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4A" w:rsidRDefault="004E54F6">
      <w:pPr>
        <w:rPr>
          <w:rFonts w:ascii="Arial" w:hAnsi="Arial" w:cs="Arial"/>
        </w:rPr>
      </w:pPr>
      <w:bookmarkStart w:id="0" w:name="_GoBack"/>
      <w:bookmarkEnd w:id="0"/>
      <w:r w:rsidRPr="00E0234A">
        <w:rPr>
          <w:rFonts w:ascii="Arial" w:hAnsi="Arial" w:cs="Arial"/>
        </w:rPr>
        <w:t>Responses to questions 1 to 3 are summarised in the below table.</w:t>
      </w:r>
    </w:p>
    <w:p w:rsidR="00AB271D" w:rsidRPr="00E0234A" w:rsidRDefault="00AB271D">
      <w:pPr>
        <w:rPr>
          <w:rFonts w:ascii="Arial" w:hAnsi="Arial" w:cs="Arial"/>
        </w:rPr>
      </w:pPr>
      <w:r w:rsidRPr="00E0234A">
        <w:rPr>
          <w:rFonts w:ascii="Arial" w:hAnsi="Arial" w:cs="Arial"/>
        </w:rPr>
        <w:fldChar w:fldCharType="begin"/>
      </w:r>
      <w:r w:rsidRPr="00E0234A">
        <w:rPr>
          <w:rFonts w:ascii="Arial" w:hAnsi="Arial" w:cs="Arial"/>
        </w:rPr>
        <w:instrText xml:space="preserve"> LINK Excel.Sheet.12 "C:\\Users\\Kearns.L\\Documents\\Parlaimentary Quest\\Quest 1144\\PQ1144.xlsx" "PQ 1144!R1C1:R54C9" \a \f 5 \h  \* MERGEFORMAT </w:instrText>
      </w:r>
      <w:r w:rsidRPr="00E0234A">
        <w:rPr>
          <w:rFonts w:ascii="Arial" w:hAnsi="Arial" w:cs="Arial"/>
        </w:rPr>
        <w:fldChar w:fldCharType="separate"/>
      </w:r>
    </w:p>
    <w:tbl>
      <w:tblPr>
        <w:tblStyle w:val="TableGrid"/>
        <w:tblW w:w="5000" w:type="pct"/>
        <w:tblLook w:val="04A0" w:firstRow="1" w:lastRow="0" w:firstColumn="1" w:lastColumn="0" w:noHBand="0" w:noVBand="1"/>
      </w:tblPr>
      <w:tblGrid>
        <w:gridCol w:w="851"/>
        <w:gridCol w:w="2706"/>
        <w:gridCol w:w="1574"/>
        <w:gridCol w:w="1388"/>
        <w:gridCol w:w="1039"/>
        <w:gridCol w:w="1117"/>
        <w:gridCol w:w="1117"/>
        <w:gridCol w:w="1239"/>
        <w:gridCol w:w="1919"/>
      </w:tblGrid>
      <w:tr w:rsidR="00F017BE" w:rsidRPr="00E0234A" w:rsidTr="0074313F">
        <w:trPr>
          <w:trHeight w:val="900"/>
          <w:tblHeader/>
        </w:trPr>
        <w:tc>
          <w:tcPr>
            <w:tcW w:w="329" w:type="pct"/>
            <w:vMerge w:val="restart"/>
            <w:shd w:val="clear" w:color="auto" w:fill="BFBFBF" w:themeFill="background1" w:themeFillShade="BF"/>
            <w:noWrap/>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No.</w:t>
            </w:r>
          </w:p>
        </w:tc>
        <w:tc>
          <w:tcPr>
            <w:tcW w:w="1045" w:type="pct"/>
            <w:shd w:val="clear" w:color="auto" w:fill="BFBFBF" w:themeFill="background1" w:themeFillShade="BF"/>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Supplier Name</w:t>
            </w:r>
          </w:p>
        </w:tc>
        <w:tc>
          <w:tcPr>
            <w:tcW w:w="608" w:type="pct"/>
            <w:shd w:val="clear" w:color="auto" w:fill="BFBFBF" w:themeFill="background1" w:themeFillShade="BF"/>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Item Description</w:t>
            </w:r>
          </w:p>
        </w:tc>
        <w:tc>
          <w:tcPr>
            <w:tcW w:w="536" w:type="pct"/>
            <w:shd w:val="clear" w:color="auto" w:fill="BFBFBF" w:themeFill="background1" w:themeFillShade="BF"/>
            <w:noWrap/>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Total Cost</w:t>
            </w:r>
          </w:p>
        </w:tc>
        <w:tc>
          <w:tcPr>
            <w:tcW w:w="401" w:type="pct"/>
            <w:shd w:val="clear" w:color="auto" w:fill="BFBFBF" w:themeFill="background1" w:themeFillShade="BF"/>
            <w:noWrap/>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Goods /</w:t>
            </w:r>
          </w:p>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Services</w:t>
            </w:r>
          </w:p>
        </w:tc>
        <w:tc>
          <w:tcPr>
            <w:tcW w:w="431" w:type="pct"/>
            <w:shd w:val="clear" w:color="auto" w:fill="BFBFBF" w:themeFill="background1" w:themeFillShade="BF"/>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Deviation (Yes or No)</w:t>
            </w:r>
          </w:p>
        </w:tc>
        <w:tc>
          <w:tcPr>
            <w:tcW w:w="431" w:type="pct"/>
            <w:shd w:val="clear" w:color="auto" w:fill="BFBFBF" w:themeFill="background1" w:themeFillShade="BF"/>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Deviation (a) why</w:t>
            </w:r>
          </w:p>
        </w:tc>
        <w:tc>
          <w:tcPr>
            <w:tcW w:w="478" w:type="pct"/>
            <w:shd w:val="clear" w:color="auto" w:fill="BFBFBF" w:themeFill="background1" w:themeFillShade="BF"/>
            <w:vAlign w:val="center"/>
            <w:hideMark/>
          </w:tcPr>
          <w:p w:rsidR="00F017BE" w:rsidRPr="00E0234A" w:rsidRDefault="00C5523F" w:rsidP="00E0234A">
            <w:pPr>
              <w:spacing w:before="60" w:after="60"/>
              <w:jc w:val="center"/>
              <w:rPr>
                <w:rFonts w:ascii="Arial" w:hAnsi="Arial" w:cs="Arial"/>
                <w:b/>
                <w:bCs/>
                <w:sz w:val="20"/>
                <w:szCs w:val="20"/>
              </w:rPr>
            </w:pPr>
            <w:r w:rsidRPr="00E0234A">
              <w:rPr>
                <w:rFonts w:ascii="Arial" w:hAnsi="Arial" w:cs="Arial"/>
                <w:b/>
                <w:bCs/>
                <w:sz w:val="20"/>
                <w:szCs w:val="20"/>
              </w:rPr>
              <w:t>Deviation (</w:t>
            </w:r>
            <w:r w:rsidR="00F017BE" w:rsidRPr="00E0234A">
              <w:rPr>
                <w:rFonts w:ascii="Arial" w:hAnsi="Arial" w:cs="Arial"/>
                <w:b/>
                <w:bCs/>
                <w:sz w:val="20"/>
                <w:szCs w:val="20"/>
              </w:rPr>
              <w:t>b) detail</w:t>
            </w:r>
          </w:p>
        </w:tc>
        <w:tc>
          <w:tcPr>
            <w:tcW w:w="741" w:type="pct"/>
            <w:shd w:val="clear" w:color="auto" w:fill="BFBFBF" w:themeFill="background1" w:themeFillShade="BF"/>
            <w:vAlign w:val="center"/>
            <w:hideMark/>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What were the reasons that the goods/service were purchased from a specified company</w:t>
            </w:r>
          </w:p>
        </w:tc>
      </w:tr>
      <w:tr w:rsidR="00F017BE" w:rsidRPr="00E0234A" w:rsidTr="00864B9B">
        <w:trPr>
          <w:trHeight w:val="40"/>
          <w:tblHeader/>
        </w:trPr>
        <w:tc>
          <w:tcPr>
            <w:tcW w:w="329" w:type="pct"/>
            <w:vMerge/>
            <w:shd w:val="clear" w:color="auto" w:fill="BFBFBF" w:themeFill="background1" w:themeFillShade="BF"/>
            <w:noWrap/>
            <w:vAlign w:val="center"/>
          </w:tcPr>
          <w:p w:rsidR="00F017BE" w:rsidRPr="00E0234A" w:rsidRDefault="00F017BE" w:rsidP="00E0234A">
            <w:pPr>
              <w:spacing w:before="60" w:after="60"/>
              <w:jc w:val="center"/>
              <w:rPr>
                <w:rFonts w:ascii="Arial" w:hAnsi="Arial" w:cs="Arial"/>
                <w:b/>
                <w:bCs/>
                <w:sz w:val="20"/>
                <w:szCs w:val="20"/>
              </w:rPr>
            </w:pPr>
          </w:p>
        </w:tc>
        <w:tc>
          <w:tcPr>
            <w:tcW w:w="1653" w:type="pct"/>
            <w:gridSpan w:val="2"/>
            <w:shd w:val="clear" w:color="auto" w:fill="BFBFBF" w:themeFill="background1" w:themeFillShade="BF"/>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1(a)</w:t>
            </w:r>
          </w:p>
        </w:tc>
        <w:tc>
          <w:tcPr>
            <w:tcW w:w="536" w:type="pct"/>
            <w:shd w:val="clear" w:color="auto" w:fill="BFBFBF" w:themeFill="background1" w:themeFillShade="BF"/>
            <w:noWrap/>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1(b)</w:t>
            </w:r>
          </w:p>
        </w:tc>
        <w:tc>
          <w:tcPr>
            <w:tcW w:w="401" w:type="pct"/>
            <w:shd w:val="clear" w:color="auto" w:fill="BFBFBF" w:themeFill="background1" w:themeFillShade="BF"/>
            <w:noWrap/>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1(c)</w:t>
            </w:r>
          </w:p>
        </w:tc>
        <w:tc>
          <w:tcPr>
            <w:tcW w:w="431" w:type="pct"/>
            <w:shd w:val="clear" w:color="auto" w:fill="BFBFBF" w:themeFill="background1" w:themeFillShade="BF"/>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2</w:t>
            </w:r>
          </w:p>
        </w:tc>
        <w:tc>
          <w:tcPr>
            <w:tcW w:w="431" w:type="pct"/>
            <w:shd w:val="clear" w:color="auto" w:fill="BFBFBF" w:themeFill="background1" w:themeFillShade="BF"/>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2(a)</w:t>
            </w:r>
          </w:p>
        </w:tc>
        <w:tc>
          <w:tcPr>
            <w:tcW w:w="478" w:type="pct"/>
            <w:shd w:val="clear" w:color="auto" w:fill="BFBFBF" w:themeFill="background1" w:themeFillShade="BF"/>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2(b)</w:t>
            </w:r>
          </w:p>
        </w:tc>
        <w:tc>
          <w:tcPr>
            <w:tcW w:w="741" w:type="pct"/>
            <w:shd w:val="clear" w:color="auto" w:fill="BFBFBF" w:themeFill="background1" w:themeFillShade="BF"/>
            <w:vAlign w:val="center"/>
          </w:tcPr>
          <w:p w:rsidR="00F017BE" w:rsidRPr="00E0234A" w:rsidRDefault="00F017BE" w:rsidP="00E0234A">
            <w:pPr>
              <w:spacing w:before="60" w:after="60"/>
              <w:jc w:val="center"/>
              <w:rPr>
                <w:rFonts w:ascii="Arial" w:hAnsi="Arial" w:cs="Arial"/>
                <w:b/>
                <w:bCs/>
                <w:sz w:val="20"/>
                <w:szCs w:val="20"/>
              </w:rPr>
            </w:pPr>
            <w:r w:rsidRPr="00E0234A">
              <w:rPr>
                <w:rFonts w:ascii="Arial" w:hAnsi="Arial" w:cs="Arial"/>
                <w:b/>
                <w:bCs/>
                <w:sz w:val="20"/>
                <w:szCs w:val="20"/>
              </w:rPr>
              <w:t>3</w:t>
            </w:r>
          </w:p>
        </w:tc>
      </w:tr>
      <w:tr w:rsidR="00864B9B" w:rsidRPr="00E0234A" w:rsidTr="0074313F">
        <w:trPr>
          <w:trHeight w:val="1785"/>
        </w:trPr>
        <w:tc>
          <w:tcPr>
            <w:tcW w:w="329" w:type="pct"/>
            <w:noWrap/>
            <w:hideMark/>
          </w:tcPr>
          <w:p w:rsidR="00AB271D" w:rsidRPr="00E0234A" w:rsidRDefault="00AB271D" w:rsidP="00E0234A">
            <w:pPr>
              <w:spacing w:before="60" w:after="60"/>
              <w:jc w:val="center"/>
              <w:rPr>
                <w:rFonts w:ascii="Arial" w:hAnsi="Arial" w:cs="Arial"/>
                <w:sz w:val="20"/>
                <w:szCs w:val="20"/>
              </w:rPr>
            </w:pPr>
            <w:r w:rsidRPr="00E0234A">
              <w:rPr>
                <w:rFonts w:ascii="Arial" w:hAnsi="Arial" w:cs="Arial"/>
                <w:sz w:val="20"/>
                <w:szCs w:val="20"/>
              </w:rPr>
              <w:t>1</w:t>
            </w:r>
          </w:p>
        </w:tc>
        <w:tc>
          <w:tcPr>
            <w:tcW w:w="1045" w:type="pct"/>
            <w:hideMark/>
          </w:tcPr>
          <w:p w:rsidR="00AB271D" w:rsidRPr="00E0234A" w:rsidRDefault="00AB271D" w:rsidP="00E0234A">
            <w:pPr>
              <w:spacing w:before="60" w:after="60"/>
              <w:rPr>
                <w:rFonts w:ascii="Arial" w:hAnsi="Arial" w:cs="Arial"/>
                <w:sz w:val="20"/>
                <w:szCs w:val="20"/>
              </w:rPr>
            </w:pPr>
            <w:r w:rsidRPr="00E0234A">
              <w:rPr>
                <w:rFonts w:ascii="Arial" w:hAnsi="Arial" w:cs="Arial"/>
                <w:sz w:val="20"/>
                <w:szCs w:val="20"/>
              </w:rPr>
              <w:t>PRIME UNIVERSAL FOODS T/A HELGA'S RETAIL</w:t>
            </w:r>
          </w:p>
        </w:tc>
        <w:tc>
          <w:tcPr>
            <w:tcW w:w="608" w:type="pct"/>
            <w:hideMark/>
          </w:tcPr>
          <w:p w:rsidR="00AB271D" w:rsidRPr="00E0234A" w:rsidRDefault="00AB271D" w:rsidP="00E0234A">
            <w:pPr>
              <w:spacing w:before="60" w:after="60"/>
              <w:rPr>
                <w:rFonts w:ascii="Arial" w:hAnsi="Arial" w:cs="Arial"/>
                <w:sz w:val="20"/>
                <w:szCs w:val="20"/>
              </w:rPr>
            </w:pPr>
            <w:r w:rsidRPr="00E0234A">
              <w:rPr>
                <w:rFonts w:ascii="Arial" w:hAnsi="Arial" w:cs="Arial"/>
                <w:sz w:val="20"/>
                <w:szCs w:val="20"/>
              </w:rPr>
              <w:t>Hand Sanitiser</w:t>
            </w:r>
          </w:p>
        </w:tc>
        <w:tc>
          <w:tcPr>
            <w:tcW w:w="536" w:type="pct"/>
            <w:hideMark/>
          </w:tcPr>
          <w:p w:rsidR="00AB271D" w:rsidRPr="00E0234A" w:rsidRDefault="00F017BE" w:rsidP="00E0234A">
            <w:pPr>
              <w:spacing w:before="60" w:after="60"/>
              <w:jc w:val="right"/>
              <w:rPr>
                <w:rFonts w:ascii="Arial" w:hAnsi="Arial" w:cs="Arial"/>
                <w:sz w:val="20"/>
                <w:szCs w:val="20"/>
              </w:rPr>
            </w:pPr>
            <w:r w:rsidRPr="00E0234A">
              <w:rPr>
                <w:rFonts w:ascii="Arial" w:hAnsi="Arial" w:cs="Arial"/>
                <w:sz w:val="20"/>
                <w:szCs w:val="20"/>
              </w:rPr>
              <w:t xml:space="preserve">R1 </w:t>
            </w:r>
            <w:r w:rsidR="00AB271D" w:rsidRPr="00E0234A">
              <w:rPr>
                <w:rFonts w:ascii="Arial" w:hAnsi="Arial" w:cs="Arial"/>
                <w:sz w:val="20"/>
                <w:szCs w:val="20"/>
              </w:rPr>
              <w:t xml:space="preserve">800.00 </w:t>
            </w:r>
          </w:p>
        </w:tc>
        <w:tc>
          <w:tcPr>
            <w:tcW w:w="401" w:type="pct"/>
            <w:hideMark/>
          </w:tcPr>
          <w:p w:rsidR="00AB271D" w:rsidRPr="00E0234A" w:rsidRDefault="00AB271D"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AB271D" w:rsidRPr="00E0234A" w:rsidRDefault="00AB271D"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AB271D" w:rsidRPr="00E0234A" w:rsidRDefault="00AB271D"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AB271D" w:rsidRPr="00E0234A" w:rsidRDefault="00AB271D"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AB271D" w:rsidRPr="00E0234A" w:rsidRDefault="00AB271D"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Department to procure from any supplier under </w:t>
            </w:r>
            <w:r w:rsidR="00F017BE" w:rsidRPr="00E0234A">
              <w:rPr>
                <w:rFonts w:ascii="Arial" w:hAnsi="Arial" w:cs="Arial"/>
                <w:sz w:val="20"/>
                <w:szCs w:val="20"/>
              </w:rPr>
              <w:br/>
            </w:r>
            <w:r w:rsidRPr="00E0234A">
              <w:rPr>
                <w:rFonts w:ascii="Arial" w:hAnsi="Arial" w:cs="Arial"/>
                <w:sz w:val="20"/>
                <w:szCs w:val="20"/>
              </w:rPr>
              <w:t>R2</w:t>
            </w:r>
            <w:r w:rsidR="00F017BE" w:rsidRPr="00E0234A">
              <w:rPr>
                <w:rFonts w:ascii="Arial" w:hAnsi="Arial" w:cs="Arial"/>
                <w:sz w:val="20"/>
                <w:szCs w:val="20"/>
              </w:rPr>
              <w:t xml:space="preserve"> </w:t>
            </w:r>
            <w:r w:rsidRPr="00E0234A">
              <w:rPr>
                <w:rFonts w:ascii="Arial" w:hAnsi="Arial" w:cs="Arial"/>
                <w:sz w:val="20"/>
                <w:szCs w:val="20"/>
              </w:rPr>
              <w:t xml:space="preserve">000 without sourcing 3 quotes. This supplier is located in the Pretoria surroundings. </w:t>
            </w:r>
          </w:p>
        </w:tc>
      </w:tr>
      <w:tr w:rsidR="00864B9B" w:rsidRPr="00E0234A" w:rsidTr="0074313F">
        <w:trPr>
          <w:trHeight w:val="1785"/>
        </w:trPr>
        <w:tc>
          <w:tcPr>
            <w:tcW w:w="329" w:type="pct"/>
            <w:noWrap/>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2</w:t>
            </w:r>
          </w:p>
        </w:tc>
        <w:tc>
          <w:tcPr>
            <w:tcW w:w="1045"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CHECKERS, QUEENSWOOD</w:t>
            </w:r>
          </w:p>
        </w:tc>
        <w:tc>
          <w:tcPr>
            <w:tcW w:w="608"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 xml:space="preserve">Savlon liquid </w:t>
            </w:r>
          </w:p>
        </w:tc>
        <w:tc>
          <w:tcPr>
            <w:tcW w:w="536" w:type="pct"/>
            <w:hideMark/>
          </w:tcPr>
          <w:p w:rsidR="00F017BE" w:rsidRPr="00E0234A" w:rsidRDefault="00F017BE" w:rsidP="00E0234A">
            <w:pPr>
              <w:spacing w:before="60" w:after="60"/>
              <w:jc w:val="right"/>
              <w:rPr>
                <w:rFonts w:ascii="Arial" w:hAnsi="Arial" w:cs="Arial"/>
                <w:sz w:val="20"/>
                <w:szCs w:val="20"/>
              </w:rPr>
            </w:pPr>
            <w:r w:rsidRPr="00E0234A">
              <w:rPr>
                <w:rFonts w:ascii="Arial" w:hAnsi="Arial" w:cs="Arial"/>
                <w:sz w:val="20"/>
                <w:szCs w:val="20"/>
              </w:rPr>
              <w:t xml:space="preserve">R199.96 </w:t>
            </w:r>
          </w:p>
        </w:tc>
        <w:tc>
          <w:tcPr>
            <w:tcW w:w="40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w:t>
            </w:r>
            <w:r w:rsidRPr="00E0234A">
              <w:rPr>
                <w:rFonts w:ascii="Arial" w:hAnsi="Arial" w:cs="Arial"/>
                <w:sz w:val="20"/>
                <w:szCs w:val="20"/>
              </w:rPr>
              <w:lastRenderedPageBreak/>
              <w:t xml:space="preserve">Department to procure from any supplier under </w:t>
            </w:r>
            <w:r w:rsidRPr="00E0234A">
              <w:rPr>
                <w:rFonts w:ascii="Arial" w:hAnsi="Arial" w:cs="Arial"/>
                <w:sz w:val="20"/>
                <w:szCs w:val="20"/>
              </w:rPr>
              <w:br/>
              <w:t xml:space="preserve">R2 000 without sourcing 3 quotes. This supplier is located in the Pretoria surroundings. </w:t>
            </w:r>
          </w:p>
        </w:tc>
      </w:tr>
      <w:tr w:rsidR="00864B9B" w:rsidRPr="00E0234A" w:rsidTr="0074313F">
        <w:trPr>
          <w:trHeight w:val="1785"/>
        </w:trPr>
        <w:tc>
          <w:tcPr>
            <w:tcW w:w="329" w:type="pct"/>
            <w:noWrap/>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lastRenderedPageBreak/>
              <w:t>3</w:t>
            </w:r>
          </w:p>
        </w:tc>
        <w:tc>
          <w:tcPr>
            <w:tcW w:w="1045"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PRIME UNIVERSAL FOODS T/A HELGA'S RETAIL</w:t>
            </w:r>
          </w:p>
        </w:tc>
        <w:tc>
          <w:tcPr>
            <w:tcW w:w="608"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Hand Sanitiser</w:t>
            </w:r>
          </w:p>
        </w:tc>
        <w:tc>
          <w:tcPr>
            <w:tcW w:w="536" w:type="pct"/>
            <w:hideMark/>
          </w:tcPr>
          <w:p w:rsidR="00F017BE" w:rsidRPr="00E0234A" w:rsidRDefault="00D05735" w:rsidP="00E0234A">
            <w:pPr>
              <w:spacing w:before="60" w:after="60"/>
              <w:jc w:val="right"/>
              <w:rPr>
                <w:rFonts w:ascii="Arial" w:hAnsi="Arial" w:cs="Arial"/>
                <w:sz w:val="20"/>
                <w:szCs w:val="20"/>
              </w:rPr>
            </w:pPr>
            <w:r w:rsidRPr="00E0234A">
              <w:rPr>
                <w:rFonts w:ascii="Arial" w:hAnsi="Arial" w:cs="Arial"/>
                <w:sz w:val="20"/>
                <w:szCs w:val="20"/>
              </w:rPr>
              <w:t xml:space="preserve">R1 </w:t>
            </w:r>
            <w:r w:rsidR="00F017BE" w:rsidRPr="00E0234A">
              <w:rPr>
                <w:rFonts w:ascii="Arial" w:hAnsi="Arial" w:cs="Arial"/>
                <w:sz w:val="20"/>
                <w:szCs w:val="20"/>
              </w:rPr>
              <w:t xml:space="preserve">800.00 </w:t>
            </w:r>
          </w:p>
        </w:tc>
        <w:tc>
          <w:tcPr>
            <w:tcW w:w="40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Department to procure from any supplier under </w:t>
            </w:r>
            <w:r w:rsidRPr="00E0234A">
              <w:rPr>
                <w:rFonts w:ascii="Arial" w:hAnsi="Arial" w:cs="Arial"/>
                <w:sz w:val="20"/>
                <w:szCs w:val="20"/>
              </w:rPr>
              <w:br/>
              <w:t xml:space="preserve">R2 000 without sourcing 3 quotes. This supplier is located in the Pretoria surroundings. </w:t>
            </w:r>
          </w:p>
        </w:tc>
      </w:tr>
      <w:tr w:rsidR="00864B9B" w:rsidRPr="00E0234A" w:rsidTr="0074313F">
        <w:trPr>
          <w:trHeight w:val="620"/>
        </w:trPr>
        <w:tc>
          <w:tcPr>
            <w:tcW w:w="329" w:type="pct"/>
            <w:noWrap/>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4</w:t>
            </w:r>
          </w:p>
        </w:tc>
        <w:tc>
          <w:tcPr>
            <w:tcW w:w="1045"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PRIME UNIVERSAL FOODS T/A HELGA'S RETAIL</w:t>
            </w:r>
          </w:p>
        </w:tc>
        <w:tc>
          <w:tcPr>
            <w:tcW w:w="608"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Hand Sanitiser</w:t>
            </w:r>
          </w:p>
        </w:tc>
        <w:tc>
          <w:tcPr>
            <w:tcW w:w="536" w:type="pct"/>
            <w:hideMark/>
          </w:tcPr>
          <w:p w:rsidR="00F017BE" w:rsidRPr="00E0234A" w:rsidRDefault="00D05735" w:rsidP="00E0234A">
            <w:pPr>
              <w:spacing w:before="60" w:after="60"/>
              <w:jc w:val="right"/>
              <w:rPr>
                <w:rFonts w:ascii="Arial" w:hAnsi="Arial" w:cs="Arial"/>
                <w:sz w:val="20"/>
                <w:szCs w:val="20"/>
              </w:rPr>
            </w:pPr>
            <w:r w:rsidRPr="00E0234A">
              <w:rPr>
                <w:rFonts w:ascii="Arial" w:hAnsi="Arial" w:cs="Arial"/>
                <w:sz w:val="20"/>
                <w:szCs w:val="20"/>
              </w:rPr>
              <w:t xml:space="preserve">R1 </w:t>
            </w:r>
            <w:r w:rsidR="00F017BE" w:rsidRPr="00E0234A">
              <w:rPr>
                <w:rFonts w:ascii="Arial" w:hAnsi="Arial" w:cs="Arial"/>
                <w:sz w:val="20"/>
                <w:szCs w:val="20"/>
              </w:rPr>
              <w:t xml:space="preserve">800.00 </w:t>
            </w:r>
          </w:p>
        </w:tc>
        <w:tc>
          <w:tcPr>
            <w:tcW w:w="40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w:t>
            </w:r>
            <w:r w:rsidRPr="00E0234A">
              <w:rPr>
                <w:rFonts w:ascii="Arial" w:hAnsi="Arial" w:cs="Arial"/>
                <w:sz w:val="20"/>
                <w:szCs w:val="20"/>
              </w:rPr>
              <w:lastRenderedPageBreak/>
              <w:t xml:space="preserve">National Treasury Instruction 8 of 2019/20. Petty cash purchase allows the Department to procure from any supplier under </w:t>
            </w:r>
            <w:r w:rsidRPr="00E0234A">
              <w:rPr>
                <w:rFonts w:ascii="Arial" w:hAnsi="Arial" w:cs="Arial"/>
                <w:sz w:val="20"/>
                <w:szCs w:val="20"/>
              </w:rPr>
              <w:br/>
              <w:t xml:space="preserve">R2 000 without sourcing 3 quotes. This supplier is located in the Pretoria surroundings. </w:t>
            </w:r>
          </w:p>
        </w:tc>
      </w:tr>
      <w:tr w:rsidR="00E0234A" w:rsidRPr="00E0234A" w:rsidTr="0074313F">
        <w:trPr>
          <w:trHeight w:val="278"/>
        </w:trPr>
        <w:tc>
          <w:tcPr>
            <w:tcW w:w="329" w:type="pct"/>
            <w:noWrap/>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lastRenderedPageBreak/>
              <w:t>5</w:t>
            </w:r>
          </w:p>
        </w:tc>
        <w:tc>
          <w:tcPr>
            <w:tcW w:w="1045"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CHECKERS, QUEENSWOOD</w:t>
            </w:r>
          </w:p>
        </w:tc>
        <w:tc>
          <w:tcPr>
            <w:tcW w:w="608"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 xml:space="preserve">Savlon liquid </w:t>
            </w:r>
          </w:p>
        </w:tc>
        <w:tc>
          <w:tcPr>
            <w:tcW w:w="536" w:type="pct"/>
            <w:hideMark/>
          </w:tcPr>
          <w:p w:rsidR="00F017BE" w:rsidRPr="00E0234A" w:rsidRDefault="00F017BE" w:rsidP="00E0234A">
            <w:pPr>
              <w:spacing w:before="60" w:after="60"/>
              <w:jc w:val="right"/>
              <w:rPr>
                <w:rFonts w:ascii="Arial" w:hAnsi="Arial" w:cs="Arial"/>
                <w:sz w:val="20"/>
                <w:szCs w:val="20"/>
              </w:rPr>
            </w:pPr>
            <w:r w:rsidRPr="00E0234A">
              <w:rPr>
                <w:rFonts w:ascii="Arial" w:hAnsi="Arial" w:cs="Arial"/>
                <w:sz w:val="20"/>
                <w:szCs w:val="20"/>
              </w:rPr>
              <w:t xml:space="preserve">R49.99 </w:t>
            </w:r>
          </w:p>
        </w:tc>
        <w:tc>
          <w:tcPr>
            <w:tcW w:w="40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F017BE" w:rsidRPr="00E0234A" w:rsidRDefault="00F017BE"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F017BE" w:rsidRPr="00E0234A" w:rsidRDefault="00F017BE"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Department to procure from any supplier under </w:t>
            </w:r>
            <w:r w:rsidRPr="00E0234A">
              <w:rPr>
                <w:rFonts w:ascii="Arial" w:hAnsi="Arial" w:cs="Arial"/>
                <w:sz w:val="20"/>
                <w:szCs w:val="20"/>
              </w:rPr>
              <w:br/>
              <w:t xml:space="preserve">R2 000 without sourcing 3 quotes. This supplier is located in the </w:t>
            </w:r>
            <w:r w:rsidRPr="00E0234A">
              <w:rPr>
                <w:rFonts w:ascii="Arial" w:hAnsi="Arial" w:cs="Arial"/>
                <w:sz w:val="20"/>
                <w:szCs w:val="20"/>
              </w:rPr>
              <w:lastRenderedPageBreak/>
              <w:t xml:space="preserve">Pretoria surroundings. </w:t>
            </w:r>
          </w:p>
        </w:tc>
      </w:tr>
      <w:tr w:rsidR="00E0234A" w:rsidRPr="00E0234A" w:rsidTr="0074313F">
        <w:trPr>
          <w:trHeight w:val="40"/>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lastRenderedPageBreak/>
              <w:t>6</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CHECKERS, QUEENSWOOD</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Detergent</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R45.98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Department to procure from any supplier under </w:t>
            </w:r>
            <w:r w:rsidRPr="00E0234A">
              <w:rPr>
                <w:rFonts w:ascii="Arial" w:hAnsi="Arial" w:cs="Arial"/>
                <w:sz w:val="20"/>
                <w:szCs w:val="20"/>
              </w:rPr>
              <w:br/>
              <w:t xml:space="preserve">R2 000 without sourcing 3 quotes. This supplier is located in the Pretoria surroundings. </w:t>
            </w:r>
          </w:p>
        </w:tc>
      </w:tr>
      <w:tr w:rsidR="00864B9B" w:rsidRPr="00E0234A" w:rsidTr="0074313F">
        <w:trPr>
          <w:trHeight w:val="1785"/>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7</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CYCLE MANIA, WATERMEYER PARK</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Anti-bacterial waterless cleaner </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R2 000.00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Department to procure from any supplier under R2000 without sourcing 3 quotes. This supplier is located in the Pretoria surroundings. </w:t>
            </w:r>
          </w:p>
        </w:tc>
      </w:tr>
      <w:tr w:rsidR="00864B9B" w:rsidRPr="00E0234A" w:rsidTr="0074313F">
        <w:trPr>
          <w:trHeight w:val="1785"/>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8</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L.M. SUPERMARKET</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Latex Gloves </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R83.97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The items were procured through petty cash prior to the issuing of National Treasury Instruction 8 of 2019/20. Petty cash purchase allows the Department to procure from any supplier under R2000 without sourcing 3 quotes. This supplier is located in the Pretoria surroundings. </w:t>
            </w:r>
          </w:p>
        </w:tc>
      </w:tr>
      <w:tr w:rsidR="00864B9B" w:rsidRPr="00E0234A" w:rsidTr="0074313F">
        <w:trPr>
          <w:trHeight w:val="2310"/>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9</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EVERGREEN LATEX</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Disposable gloves</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R4 986.00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This item was procured from National Treasury transversal contracts RT 296-2020; RT32-2019; RT76-2020. Quotations are sourced from the listed contractors where the cheapest quotations are selected. There is no financial threshold limit for quotations selected from transversal contracts. </w:t>
            </w:r>
          </w:p>
        </w:tc>
      </w:tr>
      <w:tr w:rsidR="00E0234A" w:rsidRPr="00E0234A" w:rsidTr="0074313F">
        <w:trPr>
          <w:trHeight w:val="1178"/>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10</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LIORA MEDICAL SUPPLIES</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Masks </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R3 210.00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864B9B" w:rsidRPr="00E0234A" w:rsidTr="0074313F">
        <w:trPr>
          <w:trHeight w:val="2580"/>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11</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TARA HEALTHCARE</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Sanitizer </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R236 400.00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864B9B" w:rsidRPr="00E0234A" w:rsidTr="0074313F">
        <w:trPr>
          <w:trHeight w:val="2325"/>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12</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TARA HEALTHCARE</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Sanitizer </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R2 856.50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E0234A" w:rsidRPr="00E0234A" w:rsidTr="0074313F">
        <w:trPr>
          <w:trHeight w:val="908"/>
        </w:trPr>
        <w:tc>
          <w:tcPr>
            <w:tcW w:w="329" w:type="pct"/>
            <w:noWrap/>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13</w:t>
            </w:r>
          </w:p>
        </w:tc>
        <w:tc>
          <w:tcPr>
            <w:tcW w:w="1045"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SUPRA HEALTHCARE </w:t>
            </w:r>
          </w:p>
        </w:tc>
        <w:tc>
          <w:tcPr>
            <w:tcW w:w="608"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 xml:space="preserve">Apron </w:t>
            </w:r>
          </w:p>
        </w:tc>
        <w:tc>
          <w:tcPr>
            <w:tcW w:w="536" w:type="pct"/>
            <w:hideMark/>
          </w:tcPr>
          <w:p w:rsidR="00E0234A" w:rsidRPr="00E0234A" w:rsidRDefault="00E0234A" w:rsidP="00E0234A">
            <w:pPr>
              <w:spacing w:before="60" w:after="60"/>
              <w:jc w:val="right"/>
              <w:rPr>
                <w:rFonts w:ascii="Arial" w:hAnsi="Arial" w:cs="Arial"/>
                <w:sz w:val="20"/>
                <w:szCs w:val="20"/>
              </w:rPr>
            </w:pPr>
            <w:r w:rsidRPr="00E0234A">
              <w:rPr>
                <w:rFonts w:ascii="Arial" w:hAnsi="Arial" w:cs="Arial"/>
                <w:sz w:val="20"/>
                <w:szCs w:val="20"/>
              </w:rPr>
              <w:t xml:space="preserve">R18 975.00 </w:t>
            </w:r>
          </w:p>
        </w:tc>
        <w:tc>
          <w:tcPr>
            <w:tcW w:w="40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E0234A" w:rsidRPr="00E0234A" w:rsidRDefault="00E0234A" w:rsidP="00E0234A">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E0234A" w:rsidRPr="00E0234A" w:rsidRDefault="00E0234A" w:rsidP="00E0234A">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2400"/>
        </w:trPr>
        <w:tc>
          <w:tcPr>
            <w:tcW w:w="329" w:type="pct"/>
            <w:noWrap/>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14</w:t>
            </w:r>
          </w:p>
        </w:tc>
        <w:tc>
          <w:tcPr>
            <w:tcW w:w="1045" w:type="pct"/>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SUPRA HEALTHCARE </w:t>
            </w:r>
          </w:p>
        </w:tc>
        <w:tc>
          <w:tcPr>
            <w:tcW w:w="608" w:type="pct"/>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Masks </w:t>
            </w:r>
          </w:p>
        </w:tc>
        <w:tc>
          <w:tcPr>
            <w:tcW w:w="536" w:type="pct"/>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R87 446.00 </w:t>
            </w:r>
          </w:p>
        </w:tc>
        <w:tc>
          <w:tcPr>
            <w:tcW w:w="401" w:type="pct"/>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15</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KAYTIE IDENTITY PROMOTIONS</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Cloth masks  (re-useable)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R87 446.00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17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16</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TOMEMA TRADING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Appointment of a service provider for the provision of comprehensive cleaning and hygiene service for the Department of Higher Education and Training in three its builing, 117- 123 Francis Baard Street, 178 Ndinaye House and Indlela situated in Olifantsfontein for a period three months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R1 244 534.49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Services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Yes</w:t>
            </w:r>
          </w:p>
        </w:tc>
        <w:tc>
          <w:tcPr>
            <w:tcW w:w="43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The services could not be sourced through the normal bid process as it would take at least 3 months.</w:t>
            </w:r>
          </w:p>
        </w:tc>
        <w:tc>
          <w:tcPr>
            <w:tcW w:w="47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Treasury approval was obtained to source at least 3 quotations from suppliers on the Treasury central supplier database (CSD). Five prospective local SMME bidders were invited to quote for the services captured in the terms of reference.</w:t>
            </w:r>
          </w:p>
        </w:tc>
        <w:tc>
          <w:tcPr>
            <w:tcW w:w="74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Quotations received were evaluated by an appointed Bid Evaluation Committee where the selection and final award was based on the Preferential Procurement Policy Framework Regulations. The bidder scoring the highest points was appointed.</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17</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MUVIGO AFRICA SOLUTIONS</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Supply and delivery of thermometers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R19 320.00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690"/>
        </w:trPr>
        <w:tc>
          <w:tcPr>
            <w:tcW w:w="329" w:type="pct"/>
            <w:vMerge w:val="restar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18</w:t>
            </w:r>
          </w:p>
        </w:tc>
        <w:tc>
          <w:tcPr>
            <w:tcW w:w="1045" w:type="pct"/>
            <w:vMerge w:val="restar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TRIPPLE N MEDICAL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Surgical Masks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R102 200.00 </w:t>
            </w:r>
          </w:p>
        </w:tc>
        <w:tc>
          <w:tcPr>
            <w:tcW w:w="40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vMerge w:val="restar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99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Face shield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R28 003.50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105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Bacticide hand disinfectant 500ml</w:t>
            </w:r>
          </w:p>
        </w:tc>
        <w:tc>
          <w:tcPr>
            <w:tcW w:w="536"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R480 000.00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1358"/>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19</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SUPRAHEALTHCARE</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Disposable plastic aprons</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R18 975.00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143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20</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KING T SQUARE TRADING 33 CC</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General purpose PVC Gumboots (unisex)</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R24 500.00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243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21</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SAMILSON GROUP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Durable rubber gloves</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R11 350.00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89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22</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KING T SQUARE TRADING 33 CC</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High pressure washer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R20 400.00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23</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KTF AFRICA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Surgical Disposable gloves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R3 105.00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1448"/>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24</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TARA HEALTHCARE (PTY) LTD</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Disposable plastic aprons (NSF)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R782.00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25</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MAKASE SOLUTIONS</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Fumigation services - NW regional office</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R78 234.00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Services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980"/>
        </w:trPr>
        <w:tc>
          <w:tcPr>
            <w:tcW w:w="329" w:type="pct"/>
            <w:vMerge w:val="restar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26</w:t>
            </w:r>
          </w:p>
        </w:tc>
        <w:tc>
          <w:tcPr>
            <w:tcW w:w="1045" w:type="pct"/>
            <w:vMerge w:val="restar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TRIPPLE N MEDICAL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Disposable  gloves</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R2 000.00 </w:t>
            </w:r>
          </w:p>
        </w:tc>
        <w:tc>
          <w:tcPr>
            <w:tcW w:w="40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vMerge w:val="restar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This item was procured from National Treasury transversal contracts RT 296-2020; RT32-2019; RT76-2020. Quotations are sourced from the listed contractors where the cheapest quotations are selected. There is no financial threshold limit for quotations selected from transversal contracts.</w:t>
            </w:r>
          </w:p>
        </w:tc>
      </w:tr>
      <w:tr w:rsidR="0074313F" w:rsidRPr="00E0234A" w:rsidTr="0074313F">
        <w:trPr>
          <w:trHeight w:val="645"/>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Sanitiser 10L</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R5 110.00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57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Empty bottles 750ML</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R1 200.00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12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Disposable Masks</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R172.50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300"/>
        </w:trPr>
        <w:tc>
          <w:tcPr>
            <w:tcW w:w="329" w:type="pct"/>
            <w:vMerge w:val="restar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27</w:t>
            </w:r>
          </w:p>
        </w:tc>
        <w:tc>
          <w:tcPr>
            <w:tcW w:w="1045" w:type="pct"/>
            <w:vMerge w:val="restart"/>
            <w:noWrap/>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4MATIK</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Domestos</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R6 000.00 </w:t>
            </w:r>
          </w:p>
        </w:tc>
        <w:tc>
          <w:tcPr>
            <w:tcW w:w="40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vMerge w:val="restar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vMerge w:val="restar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3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Jik</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R2 750.00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3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Pine Gel</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R6 900.00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3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Pine Soap</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R5 370.00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3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Mr Min</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R5 250.00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3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Teak Oil</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R5 400.00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300"/>
        </w:trPr>
        <w:tc>
          <w:tcPr>
            <w:tcW w:w="329" w:type="pct"/>
            <w:vMerge/>
            <w:hideMark/>
          </w:tcPr>
          <w:p w:rsidR="0074313F" w:rsidRPr="00E0234A" w:rsidRDefault="0074313F" w:rsidP="0074313F">
            <w:pPr>
              <w:spacing w:before="60" w:after="60"/>
              <w:jc w:val="center"/>
              <w:rPr>
                <w:rFonts w:ascii="Arial" w:hAnsi="Arial" w:cs="Arial"/>
                <w:sz w:val="20"/>
                <w:szCs w:val="20"/>
              </w:rPr>
            </w:pPr>
          </w:p>
        </w:tc>
        <w:tc>
          <w:tcPr>
            <w:tcW w:w="1045" w:type="pct"/>
            <w:vMerge/>
            <w:hideMark/>
          </w:tcPr>
          <w:p w:rsidR="0074313F" w:rsidRPr="00E0234A" w:rsidRDefault="0074313F" w:rsidP="0074313F">
            <w:pPr>
              <w:spacing w:before="60" w:after="60"/>
              <w:rPr>
                <w:rFonts w:ascii="Arial" w:hAnsi="Arial" w:cs="Arial"/>
                <w:sz w:val="20"/>
                <w:szCs w:val="20"/>
              </w:rPr>
            </w:pP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Sunlight Liquid</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R8 829.00 </w:t>
            </w:r>
          </w:p>
        </w:tc>
        <w:tc>
          <w:tcPr>
            <w:tcW w:w="40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31" w:type="pct"/>
            <w:vMerge/>
            <w:hideMark/>
          </w:tcPr>
          <w:p w:rsidR="0074313F" w:rsidRPr="00E0234A" w:rsidRDefault="0074313F" w:rsidP="0074313F">
            <w:pPr>
              <w:spacing w:before="60" w:after="60"/>
              <w:jc w:val="center"/>
              <w:rPr>
                <w:rFonts w:ascii="Arial" w:hAnsi="Arial" w:cs="Arial"/>
                <w:sz w:val="20"/>
                <w:szCs w:val="20"/>
              </w:rPr>
            </w:pPr>
          </w:p>
        </w:tc>
        <w:tc>
          <w:tcPr>
            <w:tcW w:w="478" w:type="pct"/>
            <w:vMerge/>
            <w:hideMark/>
          </w:tcPr>
          <w:p w:rsidR="0074313F" w:rsidRPr="00E0234A" w:rsidRDefault="0074313F" w:rsidP="0074313F">
            <w:pPr>
              <w:spacing w:before="60" w:after="60"/>
              <w:jc w:val="center"/>
              <w:rPr>
                <w:rFonts w:ascii="Arial" w:hAnsi="Arial" w:cs="Arial"/>
                <w:sz w:val="20"/>
                <w:szCs w:val="20"/>
              </w:rPr>
            </w:pPr>
          </w:p>
        </w:tc>
        <w:tc>
          <w:tcPr>
            <w:tcW w:w="741" w:type="pct"/>
            <w:vMerge/>
            <w:hideMark/>
          </w:tcPr>
          <w:p w:rsidR="0074313F" w:rsidRPr="00E0234A" w:rsidRDefault="0074313F" w:rsidP="0074313F">
            <w:pPr>
              <w:spacing w:before="60" w:after="60"/>
              <w:rPr>
                <w:rFonts w:ascii="Arial" w:hAnsi="Arial" w:cs="Arial"/>
                <w:sz w:val="20"/>
                <w:szCs w:val="20"/>
              </w:rPr>
            </w:pP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28</w:t>
            </w:r>
          </w:p>
        </w:tc>
        <w:tc>
          <w:tcPr>
            <w:tcW w:w="1045" w:type="pct"/>
            <w:noWrap/>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SAMILSON GROUP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Fogging of DHET Offices - 123 Francis Baard - 178 Ndinaye &amp; Indlela Olifantsfontein</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R198 992.00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Services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29</w:t>
            </w:r>
          </w:p>
        </w:tc>
        <w:tc>
          <w:tcPr>
            <w:tcW w:w="1045" w:type="pct"/>
            <w:noWrap/>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GAKEPHALOE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Medical Examination Beds and Contour Plastic Chairs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R24 600.00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2400"/>
        </w:trPr>
        <w:tc>
          <w:tcPr>
            <w:tcW w:w="329" w:type="pct"/>
            <w:hideMark/>
          </w:tcPr>
          <w:p w:rsidR="0074313F" w:rsidRPr="00E0234A" w:rsidRDefault="0074313F" w:rsidP="0074313F">
            <w:pPr>
              <w:spacing w:before="60" w:after="60"/>
              <w:jc w:val="center"/>
              <w:rPr>
                <w:rFonts w:ascii="Arial" w:hAnsi="Arial" w:cs="Arial"/>
                <w:bCs/>
                <w:sz w:val="20"/>
                <w:szCs w:val="20"/>
              </w:rPr>
            </w:pPr>
            <w:r w:rsidRPr="00E0234A">
              <w:rPr>
                <w:rFonts w:ascii="Arial" w:hAnsi="Arial" w:cs="Arial"/>
                <w:bCs/>
                <w:sz w:val="20"/>
                <w:szCs w:val="20"/>
              </w:rPr>
              <w:t>30</w:t>
            </w:r>
          </w:p>
        </w:tc>
        <w:tc>
          <w:tcPr>
            <w:tcW w:w="1045"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MKETWA CONSTRUCTION &amp; PROJECTS</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Ruby Pink Soap 5 Litres for Warehouse at INDLELA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R25 000.00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Goods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31</w:t>
            </w:r>
          </w:p>
        </w:tc>
        <w:tc>
          <w:tcPr>
            <w:tcW w:w="1045" w:type="pct"/>
            <w:noWrap/>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KUHLARIA HOLDINGS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Deep Cleaning Services in North West </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R66 119.25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Services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r w:rsidR="0074313F" w:rsidRPr="00E0234A" w:rsidTr="0074313F">
        <w:trPr>
          <w:trHeight w:val="2400"/>
        </w:trPr>
        <w:tc>
          <w:tcPr>
            <w:tcW w:w="329" w:type="pct"/>
            <w:noWrap/>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32</w:t>
            </w:r>
          </w:p>
        </w:tc>
        <w:tc>
          <w:tcPr>
            <w:tcW w:w="1045" w:type="pct"/>
            <w:noWrap/>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 xml:space="preserve">GIY CLEANING SERVICES </w:t>
            </w:r>
          </w:p>
        </w:tc>
        <w:tc>
          <w:tcPr>
            <w:tcW w:w="608" w:type="pct"/>
            <w:hideMark/>
          </w:tcPr>
          <w:p w:rsidR="0074313F" w:rsidRPr="00E0234A" w:rsidRDefault="0074313F" w:rsidP="0074313F">
            <w:pPr>
              <w:spacing w:before="60" w:after="60"/>
              <w:rPr>
                <w:rFonts w:ascii="Arial" w:hAnsi="Arial" w:cs="Arial"/>
                <w:sz w:val="20"/>
                <w:szCs w:val="20"/>
              </w:rPr>
            </w:pPr>
            <w:r w:rsidRPr="00E0234A">
              <w:rPr>
                <w:rFonts w:ascii="Arial" w:hAnsi="Arial" w:cs="Arial"/>
                <w:sz w:val="20"/>
                <w:szCs w:val="20"/>
              </w:rPr>
              <w:t>Deep Cleaning and Fumigation in Cape Town - Adderley Street</w:t>
            </w:r>
          </w:p>
        </w:tc>
        <w:tc>
          <w:tcPr>
            <w:tcW w:w="536" w:type="pct"/>
            <w:hideMark/>
          </w:tcPr>
          <w:p w:rsidR="0074313F" w:rsidRPr="00E0234A" w:rsidRDefault="0074313F" w:rsidP="0074313F">
            <w:pPr>
              <w:spacing w:before="60" w:after="60"/>
              <w:jc w:val="right"/>
              <w:rPr>
                <w:rFonts w:ascii="Arial" w:hAnsi="Arial" w:cs="Arial"/>
                <w:sz w:val="20"/>
                <w:szCs w:val="20"/>
              </w:rPr>
            </w:pPr>
            <w:r w:rsidRPr="00E0234A">
              <w:rPr>
                <w:rFonts w:ascii="Arial" w:hAnsi="Arial" w:cs="Arial"/>
                <w:sz w:val="20"/>
                <w:szCs w:val="20"/>
              </w:rPr>
              <w:t xml:space="preserve">R31 740.00 </w:t>
            </w:r>
          </w:p>
        </w:tc>
        <w:tc>
          <w:tcPr>
            <w:tcW w:w="40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Services</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No</w:t>
            </w:r>
          </w:p>
        </w:tc>
        <w:tc>
          <w:tcPr>
            <w:tcW w:w="431"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478" w:type="pct"/>
            <w:hideMark/>
          </w:tcPr>
          <w:p w:rsidR="0074313F" w:rsidRPr="00E0234A" w:rsidRDefault="0074313F" w:rsidP="0074313F">
            <w:pPr>
              <w:spacing w:before="60" w:after="60"/>
              <w:jc w:val="center"/>
              <w:rPr>
                <w:rFonts w:ascii="Arial" w:hAnsi="Arial" w:cs="Arial"/>
                <w:sz w:val="20"/>
                <w:szCs w:val="20"/>
              </w:rPr>
            </w:pPr>
            <w:r w:rsidRPr="00E0234A">
              <w:rPr>
                <w:rFonts w:ascii="Arial" w:hAnsi="Arial" w:cs="Arial"/>
                <w:sz w:val="20"/>
                <w:szCs w:val="20"/>
              </w:rPr>
              <w:t>NA</w:t>
            </w:r>
          </w:p>
        </w:tc>
        <w:tc>
          <w:tcPr>
            <w:tcW w:w="741" w:type="pct"/>
            <w:hideMark/>
          </w:tcPr>
          <w:p w:rsidR="0074313F" w:rsidRPr="00E0234A" w:rsidRDefault="0074313F" w:rsidP="0074313F">
            <w:pPr>
              <w:spacing w:before="60" w:after="60"/>
              <w:rPr>
                <w:rFonts w:ascii="Arial" w:hAnsi="Arial" w:cs="Arial"/>
              </w:rPr>
            </w:pPr>
            <w:r w:rsidRPr="00E0234A">
              <w:rPr>
                <w:rFonts w:ascii="Arial" w:hAnsi="Arial" w:cs="Arial"/>
                <w:sz w:val="20"/>
                <w:szCs w:val="20"/>
              </w:rPr>
              <w:t>3 Quotations were sourced from the Treasury central supplier database (CSD). Quotations were evaluated and scored in terms of the 80/20 Preferential Procurement Policy Framework Regulations where the bidder scoring the highest points were appointed.</w:t>
            </w:r>
          </w:p>
        </w:tc>
      </w:tr>
    </w:tbl>
    <w:p w:rsidR="004E54F6" w:rsidRDefault="00AB271D" w:rsidP="004E54F6">
      <w:r w:rsidRPr="00E0234A">
        <w:rPr>
          <w:rFonts w:ascii="Arial" w:hAnsi="Arial" w:cs="Arial"/>
        </w:rPr>
        <w:fldChar w:fldCharType="end"/>
      </w:r>
    </w:p>
    <w:p w:rsidR="004E54F6" w:rsidRPr="00E0234A" w:rsidRDefault="004E54F6" w:rsidP="00E0234A">
      <w:pPr>
        <w:ind w:left="450" w:hanging="450"/>
        <w:rPr>
          <w:rFonts w:ascii="Arial" w:hAnsi="Arial" w:cs="Arial"/>
        </w:rPr>
      </w:pPr>
      <w:r w:rsidRPr="00E0234A">
        <w:rPr>
          <w:rFonts w:ascii="Arial" w:hAnsi="Arial" w:cs="Arial"/>
        </w:rPr>
        <w:t xml:space="preserve">4. </w:t>
      </w:r>
      <w:r w:rsidR="00E0234A">
        <w:rPr>
          <w:rFonts w:ascii="Arial" w:hAnsi="Arial" w:cs="Arial"/>
        </w:rPr>
        <w:tab/>
      </w:r>
      <w:r w:rsidRPr="00E0234A">
        <w:rPr>
          <w:rFonts w:ascii="Arial" w:hAnsi="Arial" w:cs="Arial"/>
        </w:rPr>
        <w:t>The Minister will not make a statement on the matter.</w:t>
      </w:r>
    </w:p>
    <w:p w:rsidR="002E0121" w:rsidRDefault="002E0121"/>
    <w:sectPr w:rsidR="002E0121" w:rsidSect="00AB27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A"/>
    <w:rsid w:val="00242B7C"/>
    <w:rsid w:val="002A122E"/>
    <w:rsid w:val="002E0121"/>
    <w:rsid w:val="003A73FB"/>
    <w:rsid w:val="004E54F6"/>
    <w:rsid w:val="004F689A"/>
    <w:rsid w:val="0074313F"/>
    <w:rsid w:val="00864B9B"/>
    <w:rsid w:val="0088107B"/>
    <w:rsid w:val="00AB271D"/>
    <w:rsid w:val="00C5523F"/>
    <w:rsid w:val="00CF7D2A"/>
    <w:rsid w:val="00D05735"/>
    <w:rsid w:val="00E0234A"/>
    <w:rsid w:val="00F0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F200-53F2-4FA4-A419-5696E7D9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8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9A"/>
    <w:rPr>
      <w:rFonts w:ascii="Segoe UI" w:hAnsi="Segoe UI" w:cs="Segoe UI"/>
      <w:sz w:val="18"/>
      <w:szCs w:val="18"/>
    </w:rPr>
  </w:style>
  <w:style w:type="table" w:styleId="TableGrid">
    <w:name w:val="Table Grid"/>
    <w:basedOn w:val="TableNormal"/>
    <w:uiPriority w:val="39"/>
    <w:rsid w:val="00AB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596">
      <w:bodyDiv w:val="1"/>
      <w:marLeft w:val="0"/>
      <w:marRight w:val="0"/>
      <w:marTop w:val="0"/>
      <w:marBottom w:val="0"/>
      <w:divBdr>
        <w:top w:val="none" w:sz="0" w:space="0" w:color="auto"/>
        <w:left w:val="none" w:sz="0" w:space="0" w:color="auto"/>
        <w:bottom w:val="none" w:sz="0" w:space="0" w:color="auto"/>
        <w:right w:val="none" w:sz="0" w:space="0" w:color="auto"/>
      </w:divBdr>
    </w:div>
    <w:div w:id="1976787303">
      <w:bodyDiv w:val="1"/>
      <w:marLeft w:val="0"/>
      <w:marRight w:val="0"/>
      <w:marTop w:val="0"/>
      <w:marBottom w:val="0"/>
      <w:divBdr>
        <w:top w:val="none" w:sz="0" w:space="0" w:color="auto"/>
        <w:left w:val="none" w:sz="0" w:space="0" w:color="auto"/>
        <w:bottom w:val="none" w:sz="0" w:space="0" w:color="auto"/>
        <w:right w:val="none" w:sz="0" w:space="0" w:color="auto"/>
      </w:divBdr>
    </w:div>
    <w:div w:id="2023050205">
      <w:bodyDiv w:val="1"/>
      <w:marLeft w:val="0"/>
      <w:marRight w:val="0"/>
      <w:marTop w:val="0"/>
      <w:marBottom w:val="0"/>
      <w:divBdr>
        <w:top w:val="none" w:sz="0" w:space="0" w:color="auto"/>
        <w:left w:val="none" w:sz="0" w:space="0" w:color="auto"/>
        <w:bottom w:val="none" w:sz="0" w:space="0" w:color="auto"/>
        <w:right w:val="none" w:sz="0" w:space="0" w:color="auto"/>
      </w:divBdr>
    </w:div>
    <w:div w:id="20648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Kearns.L</dc:creator>
  <cp:keywords/>
  <dc:description/>
  <cp:lastModifiedBy>Nikiwe Ncetezo</cp:lastModifiedBy>
  <cp:revision>2</cp:revision>
  <cp:lastPrinted>2020-06-23T11:16:00Z</cp:lastPrinted>
  <dcterms:created xsi:type="dcterms:W3CDTF">2020-06-24T19:43:00Z</dcterms:created>
  <dcterms:modified xsi:type="dcterms:W3CDTF">2020-06-24T19:43:00Z</dcterms:modified>
</cp:coreProperties>
</file>