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D3E05">
        <w:rPr>
          <w:rFonts w:ascii="Times New Roman" w:hAnsi="Times New Roman" w:cs="Times New Roman"/>
          <w:b/>
          <w:sz w:val="24"/>
          <w:szCs w:val="24"/>
        </w:rPr>
        <w:t xml:space="preserve"> 1144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9564A8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11/10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956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18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4D3E05" w:rsidRPr="004D3E05" w:rsidRDefault="004D3E05" w:rsidP="004D3E0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1144.</w:t>
      </w:r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Mrs</w:t>
      </w:r>
      <w:proofErr w:type="spellEnd"/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 I </w:t>
      </w:r>
      <w:proofErr w:type="spellStart"/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Tarabella</w:t>
      </w:r>
      <w:proofErr w:type="spellEnd"/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Marchesi</w:t>
      </w:r>
      <w:proofErr w:type="spellEnd"/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(DA) to ask the Minister of Basic Education</w:t>
      </w:r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Pr="004D3E05">
        <w:rPr>
          <w:rFonts w:ascii="Calibri" w:eastAsia="Calibri" w:hAnsi="Calibri" w:cs="Times New Roman"/>
        </w:rPr>
        <w:instrText xml:space="preserve"> XE "</w:instrText>
      </w:r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Basic Education</w:instrText>
      </w:r>
      <w:r w:rsidRPr="004D3E05">
        <w:rPr>
          <w:rFonts w:ascii="Calibri" w:eastAsia="Calibri" w:hAnsi="Calibri" w:cs="Times New Roman"/>
        </w:rPr>
        <w:instrText xml:space="preserve">" </w:instrText>
      </w:r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  <w:r w:rsidRPr="004D3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D3E05" w:rsidRPr="004D3E05" w:rsidRDefault="004D3E05" w:rsidP="004D3E05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</w:rPr>
      </w:pPr>
      <w:r w:rsidRPr="004D3E05">
        <w:rPr>
          <w:rFonts w:ascii="Times New Roman" w:eastAsia="Calibri" w:hAnsi="Times New Roman" w:cs="Times New Roman"/>
          <w:sz w:val="24"/>
        </w:rPr>
        <w:t>(1)</w:t>
      </w:r>
      <w:r w:rsidRPr="004D3E05">
        <w:rPr>
          <w:rFonts w:ascii="Times New Roman" w:eastAsia="Calibri" w:hAnsi="Times New Roman" w:cs="Times New Roman"/>
          <w:sz w:val="24"/>
        </w:rPr>
        <w:tab/>
        <w:t>Whether her department collects statistics on the number and origin of learners and educators who (a) migrate between provinces and/or (b) are foreign nationals; if not, in each case, why not; if so, (i) what number of (aa) learners and (bb) educators (</w:t>
      </w:r>
      <w:proofErr w:type="spellStart"/>
      <w:r w:rsidRPr="004D3E05">
        <w:rPr>
          <w:rFonts w:ascii="Times New Roman" w:eastAsia="Calibri" w:hAnsi="Times New Roman" w:cs="Times New Roman"/>
          <w:sz w:val="24"/>
        </w:rPr>
        <w:t>aaa</w:t>
      </w:r>
      <w:proofErr w:type="spellEnd"/>
      <w:r w:rsidRPr="004D3E05">
        <w:rPr>
          <w:rFonts w:ascii="Times New Roman" w:eastAsia="Calibri" w:hAnsi="Times New Roman" w:cs="Times New Roman"/>
          <w:sz w:val="24"/>
        </w:rPr>
        <w:t>) have migrated from another province and (</w:t>
      </w:r>
      <w:proofErr w:type="spellStart"/>
      <w:r w:rsidRPr="004D3E05">
        <w:rPr>
          <w:rFonts w:ascii="Times New Roman" w:eastAsia="Calibri" w:hAnsi="Times New Roman" w:cs="Times New Roman"/>
          <w:sz w:val="24"/>
        </w:rPr>
        <w:t>bbb</w:t>
      </w:r>
      <w:proofErr w:type="spellEnd"/>
      <w:r w:rsidRPr="004D3E05">
        <w:rPr>
          <w:rFonts w:ascii="Times New Roman" w:eastAsia="Calibri" w:hAnsi="Times New Roman" w:cs="Times New Roman"/>
          <w:sz w:val="24"/>
        </w:rPr>
        <w:t>) are foreign nationals, (ii) where did each educator and learner come from and (iii) what is the nationality of each foreign educator and learner;</w:t>
      </w:r>
    </w:p>
    <w:p w:rsidR="0099369E" w:rsidRPr="004D3E05" w:rsidRDefault="0099369E" w:rsidP="0099369E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(2)         </w:t>
      </w:r>
      <w:r w:rsidRPr="004D3E05">
        <w:rPr>
          <w:rFonts w:ascii="Times New Roman" w:eastAsia="Calibri" w:hAnsi="Times New Roman" w:cs="Times New Roman"/>
          <w:sz w:val="24"/>
        </w:rPr>
        <w:t xml:space="preserve">whether her department issued any circulars or guidelines in any of the provinces or nationally to districts or schools on foreign nationals or internal migrants; if so, will she furnish Mrs N I </w:t>
      </w:r>
      <w:proofErr w:type="spellStart"/>
      <w:r w:rsidRPr="004D3E05">
        <w:rPr>
          <w:rFonts w:ascii="Times New Roman" w:eastAsia="Calibri" w:hAnsi="Times New Roman" w:cs="Times New Roman"/>
          <w:sz w:val="24"/>
        </w:rPr>
        <w:t>Tarabella</w:t>
      </w:r>
      <w:proofErr w:type="spellEnd"/>
      <w:r w:rsidRPr="004D3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D3E05">
        <w:rPr>
          <w:rFonts w:ascii="Times New Roman" w:eastAsia="Calibri" w:hAnsi="Times New Roman" w:cs="Times New Roman"/>
          <w:sz w:val="24"/>
        </w:rPr>
        <w:t>Marchesi</w:t>
      </w:r>
      <w:proofErr w:type="spellEnd"/>
      <w:r w:rsidRPr="004D3E05">
        <w:rPr>
          <w:rFonts w:ascii="Times New Roman" w:eastAsia="Calibri" w:hAnsi="Times New Roman" w:cs="Times New Roman"/>
          <w:sz w:val="24"/>
        </w:rPr>
        <w:t xml:space="preserve"> with copies of each of the circulars;</w:t>
      </w:r>
    </w:p>
    <w:p w:rsidR="00B36DFC" w:rsidRPr="004D3E05" w:rsidRDefault="00B36DFC" w:rsidP="00B36DFC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E05" w:rsidRPr="004D3E05" w:rsidRDefault="004D3E05" w:rsidP="004D3E05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E05">
        <w:rPr>
          <w:rFonts w:ascii="Times New Roman" w:eastAsia="Calibri" w:hAnsi="Times New Roman" w:cs="Times New Roman"/>
          <w:sz w:val="24"/>
          <w:szCs w:val="24"/>
        </w:rPr>
        <w:tab/>
      </w:r>
      <w:r w:rsidRPr="004D3E05">
        <w:rPr>
          <w:rFonts w:ascii="Times New Roman" w:eastAsia="Calibri" w:hAnsi="Times New Roman" w:cs="Times New Roman"/>
          <w:sz w:val="24"/>
          <w:szCs w:val="24"/>
        </w:rPr>
        <w:tab/>
      </w:r>
      <w:r w:rsidRPr="004D3E05">
        <w:rPr>
          <w:rFonts w:ascii="Times New Roman" w:eastAsia="Calibri" w:hAnsi="Times New Roman" w:cs="Times New Roman"/>
          <w:sz w:val="24"/>
          <w:szCs w:val="24"/>
        </w:rPr>
        <w:tab/>
      </w:r>
      <w:r w:rsidRPr="004D3E05">
        <w:rPr>
          <w:rFonts w:ascii="Times New Roman" w:eastAsia="Calibri" w:hAnsi="Times New Roman" w:cs="Times New Roman"/>
          <w:sz w:val="24"/>
          <w:szCs w:val="24"/>
        </w:rPr>
        <w:tab/>
      </w:r>
      <w:r w:rsidRPr="004D3E05">
        <w:rPr>
          <w:rFonts w:ascii="Times New Roman" w:eastAsia="Calibri" w:hAnsi="Times New Roman" w:cs="Times New Roman"/>
          <w:sz w:val="24"/>
          <w:szCs w:val="24"/>
        </w:rPr>
        <w:tab/>
      </w:r>
      <w:r w:rsidRPr="004D3E05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NW2304E</w:t>
      </w:r>
    </w:p>
    <w:p w:rsidR="006D7B63" w:rsidRPr="00F60A83" w:rsidRDefault="00F60A83">
      <w:pPr>
        <w:rPr>
          <w:rFonts w:ascii="Times New Roman" w:hAnsi="Times New Roman" w:cs="Times New Roman"/>
          <w:b/>
          <w:sz w:val="28"/>
          <w:szCs w:val="28"/>
        </w:rPr>
      </w:pPr>
      <w:r w:rsidRPr="00F60A83">
        <w:rPr>
          <w:rFonts w:ascii="Times New Roman" w:hAnsi="Times New Roman" w:cs="Times New Roman"/>
          <w:b/>
          <w:sz w:val="28"/>
          <w:szCs w:val="28"/>
        </w:rPr>
        <w:t xml:space="preserve">REPLY </w:t>
      </w:r>
    </w:p>
    <w:p w:rsidR="0099369E" w:rsidRDefault="006B05DB" w:rsidP="006B05DB">
      <w:pPr>
        <w:spacing w:before="100" w:beforeAutospacing="1" w:after="100" w:afterAutospacing="1" w:line="240" w:lineRule="auto"/>
        <w:ind w:left="68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(1)</w:t>
      </w:r>
      <w:r w:rsidR="00F60A83" w:rsidRPr="004D3E05">
        <w:rPr>
          <w:rFonts w:ascii="Times New Roman" w:eastAsia="Calibri" w:hAnsi="Times New Roman" w:cs="Times New Roman"/>
          <w:sz w:val="24"/>
        </w:rPr>
        <w:t>(a)</w:t>
      </w:r>
      <w:r w:rsidR="005850C1">
        <w:rPr>
          <w:rFonts w:ascii="Times New Roman" w:eastAsia="Calibri" w:hAnsi="Times New Roman" w:cs="Times New Roman"/>
          <w:sz w:val="24"/>
        </w:rPr>
        <w:t xml:space="preserve"> </w:t>
      </w:r>
      <w:r w:rsidR="00DE73BF">
        <w:rPr>
          <w:rFonts w:ascii="Times New Roman" w:eastAsia="Calibri" w:hAnsi="Times New Roman" w:cs="Times New Roman"/>
          <w:sz w:val="24"/>
        </w:rPr>
        <w:t xml:space="preserve">Information on </w:t>
      </w:r>
      <w:r w:rsidR="005850C1">
        <w:rPr>
          <w:rFonts w:ascii="Times New Roman" w:eastAsia="Calibri" w:hAnsi="Times New Roman" w:cs="Times New Roman"/>
          <w:sz w:val="24"/>
        </w:rPr>
        <w:t xml:space="preserve">State-paid educators </w:t>
      </w:r>
      <w:r w:rsidR="00DE73BF">
        <w:rPr>
          <w:rFonts w:ascii="Times New Roman" w:eastAsia="Calibri" w:hAnsi="Times New Roman" w:cs="Times New Roman"/>
          <w:sz w:val="24"/>
        </w:rPr>
        <w:t xml:space="preserve">is </w:t>
      </w:r>
      <w:r w:rsidR="005850C1">
        <w:rPr>
          <w:rFonts w:ascii="Times New Roman" w:eastAsia="Calibri" w:hAnsi="Times New Roman" w:cs="Times New Roman"/>
          <w:sz w:val="24"/>
        </w:rPr>
        <w:t xml:space="preserve">captured on the PERSAL system and their origin can </w:t>
      </w:r>
      <w:r w:rsidR="00DE73BF">
        <w:rPr>
          <w:rFonts w:ascii="Times New Roman" w:eastAsia="Calibri" w:hAnsi="Times New Roman" w:cs="Times New Roman"/>
          <w:sz w:val="24"/>
        </w:rPr>
        <w:t>be traced</w:t>
      </w:r>
      <w:r w:rsidR="005850C1">
        <w:rPr>
          <w:rFonts w:ascii="Times New Roman" w:eastAsia="Calibri" w:hAnsi="Times New Roman" w:cs="Times New Roman"/>
          <w:sz w:val="24"/>
        </w:rPr>
        <w:t>. However, the Department does not necessar</w:t>
      </w:r>
      <w:r w:rsidR="0099369E">
        <w:rPr>
          <w:rFonts w:ascii="Times New Roman" w:eastAsia="Calibri" w:hAnsi="Times New Roman" w:cs="Times New Roman"/>
          <w:sz w:val="24"/>
        </w:rPr>
        <w:t>ily</w:t>
      </w:r>
      <w:r w:rsidR="005850C1">
        <w:rPr>
          <w:rFonts w:ascii="Times New Roman" w:eastAsia="Calibri" w:hAnsi="Times New Roman" w:cs="Times New Roman"/>
          <w:sz w:val="24"/>
        </w:rPr>
        <w:t xml:space="preserve"> monitor interprovincial migration</w:t>
      </w:r>
      <w:r w:rsidR="00F60A83" w:rsidRPr="004D3E05">
        <w:rPr>
          <w:rFonts w:ascii="Times New Roman" w:eastAsia="Calibri" w:hAnsi="Times New Roman" w:cs="Times New Roman"/>
          <w:sz w:val="24"/>
        </w:rPr>
        <w:t xml:space="preserve"> </w:t>
      </w:r>
      <w:r w:rsidR="005850C1">
        <w:rPr>
          <w:rFonts w:ascii="Times New Roman" w:eastAsia="Calibri" w:hAnsi="Times New Roman" w:cs="Times New Roman"/>
          <w:sz w:val="24"/>
        </w:rPr>
        <w:t>of educators as it is not a priority</w:t>
      </w:r>
      <w:r w:rsidR="0099369E">
        <w:rPr>
          <w:rFonts w:ascii="Times New Roman" w:eastAsia="Calibri" w:hAnsi="Times New Roman" w:cs="Times New Roman"/>
          <w:sz w:val="24"/>
        </w:rPr>
        <w:t xml:space="preserve"> at this stage</w:t>
      </w:r>
      <w:r w:rsidR="00B1331C">
        <w:rPr>
          <w:rFonts w:ascii="Times New Roman" w:eastAsia="Calibri" w:hAnsi="Times New Roman" w:cs="Times New Roman"/>
          <w:sz w:val="24"/>
        </w:rPr>
        <w:t>.</w:t>
      </w:r>
      <w:r w:rsidR="005850C1">
        <w:rPr>
          <w:rFonts w:ascii="Times New Roman" w:eastAsia="Calibri" w:hAnsi="Times New Roman" w:cs="Times New Roman"/>
          <w:sz w:val="24"/>
        </w:rPr>
        <w:t xml:space="preserve"> </w:t>
      </w:r>
    </w:p>
    <w:p w:rsidR="0099369E" w:rsidRDefault="005850C1" w:rsidP="00DE73BF">
      <w:pPr>
        <w:spacing w:before="100" w:beforeAutospacing="1" w:after="100" w:afterAutospacing="1" w:line="240" w:lineRule="auto"/>
        <w:ind w:left="709" w:hanging="2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(b) </w:t>
      </w:r>
      <w:r w:rsidR="00B1331C">
        <w:rPr>
          <w:rFonts w:ascii="Times New Roman" w:eastAsia="Calibri" w:hAnsi="Times New Roman" w:cs="Times New Roman"/>
          <w:sz w:val="24"/>
        </w:rPr>
        <w:t>Similarly</w:t>
      </w:r>
      <w:r w:rsidR="00DE73BF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inform</w:t>
      </w:r>
      <w:r w:rsidR="0098333B">
        <w:rPr>
          <w:rFonts w:ascii="Times New Roman" w:eastAsia="Calibri" w:hAnsi="Times New Roman" w:cs="Times New Roman"/>
          <w:sz w:val="24"/>
        </w:rPr>
        <w:t xml:space="preserve">ation including the nationality </w:t>
      </w:r>
      <w:r>
        <w:rPr>
          <w:rFonts w:ascii="Times New Roman" w:eastAsia="Calibri" w:hAnsi="Times New Roman" w:cs="Times New Roman"/>
          <w:sz w:val="24"/>
        </w:rPr>
        <w:t xml:space="preserve">of foreign educators that are employed and paid by the State is captured on the PERSAL system. </w:t>
      </w:r>
    </w:p>
    <w:p w:rsidR="0099369E" w:rsidRDefault="00F60A83" w:rsidP="00DE73BF">
      <w:pPr>
        <w:spacing w:before="100" w:beforeAutospacing="1" w:after="100" w:afterAutospacing="1" w:line="240" w:lineRule="auto"/>
        <w:ind w:left="709" w:hanging="22"/>
        <w:jc w:val="both"/>
        <w:rPr>
          <w:rFonts w:ascii="Times New Roman" w:eastAsia="Calibri" w:hAnsi="Times New Roman" w:cs="Times New Roman"/>
          <w:sz w:val="24"/>
        </w:rPr>
      </w:pPr>
      <w:r w:rsidRPr="004D3E05">
        <w:rPr>
          <w:rFonts w:ascii="Times New Roman" w:eastAsia="Calibri" w:hAnsi="Times New Roman" w:cs="Times New Roman"/>
          <w:sz w:val="24"/>
        </w:rPr>
        <w:t>(</w:t>
      </w:r>
      <w:proofErr w:type="spellStart"/>
      <w:r w:rsidRPr="004D3E05">
        <w:rPr>
          <w:rFonts w:ascii="Times New Roman" w:eastAsia="Calibri" w:hAnsi="Times New Roman" w:cs="Times New Roman"/>
          <w:sz w:val="24"/>
        </w:rPr>
        <w:t>i</w:t>
      </w:r>
      <w:proofErr w:type="spellEnd"/>
      <w:r w:rsidRPr="004D3E05">
        <w:rPr>
          <w:rFonts w:ascii="Times New Roman" w:eastAsia="Calibri" w:hAnsi="Times New Roman" w:cs="Times New Roman"/>
          <w:sz w:val="24"/>
        </w:rPr>
        <w:t>) (bb)</w:t>
      </w:r>
      <w:r w:rsidR="00843CE4">
        <w:rPr>
          <w:rFonts w:ascii="Times New Roman" w:eastAsia="Calibri" w:hAnsi="Times New Roman" w:cs="Times New Roman"/>
          <w:sz w:val="24"/>
        </w:rPr>
        <w:t xml:space="preserve"> </w:t>
      </w:r>
      <w:r w:rsidR="0098333B">
        <w:rPr>
          <w:rFonts w:ascii="Times New Roman" w:eastAsia="Calibri" w:hAnsi="Times New Roman" w:cs="Times New Roman"/>
          <w:sz w:val="24"/>
        </w:rPr>
        <w:t>(</w:t>
      </w:r>
      <w:proofErr w:type="spellStart"/>
      <w:r w:rsidR="0098333B">
        <w:rPr>
          <w:rFonts w:ascii="Times New Roman" w:eastAsia="Calibri" w:hAnsi="Times New Roman" w:cs="Times New Roman"/>
          <w:sz w:val="24"/>
        </w:rPr>
        <w:t>aaa</w:t>
      </w:r>
      <w:proofErr w:type="spellEnd"/>
      <w:r w:rsidR="0098333B">
        <w:rPr>
          <w:rFonts w:ascii="Times New Roman" w:eastAsia="Calibri" w:hAnsi="Times New Roman" w:cs="Times New Roman"/>
          <w:sz w:val="24"/>
        </w:rPr>
        <w:t>) A</w:t>
      </w:r>
      <w:r w:rsidR="0099369E">
        <w:rPr>
          <w:rFonts w:ascii="Times New Roman" w:eastAsia="Calibri" w:hAnsi="Times New Roman" w:cs="Times New Roman"/>
          <w:sz w:val="24"/>
        </w:rPr>
        <w:t xml:space="preserve">s indicated above, </w:t>
      </w:r>
      <w:r w:rsidR="00DE73BF">
        <w:rPr>
          <w:rFonts w:ascii="Times New Roman" w:eastAsia="Calibri" w:hAnsi="Times New Roman" w:cs="Times New Roman"/>
          <w:sz w:val="24"/>
        </w:rPr>
        <w:t xml:space="preserve">information </w:t>
      </w:r>
      <w:r w:rsidR="0099369E">
        <w:rPr>
          <w:rFonts w:ascii="Times New Roman" w:eastAsia="Calibri" w:hAnsi="Times New Roman" w:cs="Times New Roman"/>
          <w:sz w:val="24"/>
        </w:rPr>
        <w:t xml:space="preserve">is </w:t>
      </w:r>
      <w:r w:rsidR="00DE73BF">
        <w:rPr>
          <w:rFonts w:ascii="Times New Roman" w:eastAsia="Calibri" w:hAnsi="Times New Roman" w:cs="Times New Roman"/>
          <w:sz w:val="24"/>
        </w:rPr>
        <w:t xml:space="preserve">currently not available as the Department does not analyse information on </w:t>
      </w:r>
      <w:r w:rsidRPr="004D3E05">
        <w:rPr>
          <w:rFonts w:ascii="Times New Roman" w:eastAsia="Calibri" w:hAnsi="Times New Roman" w:cs="Times New Roman"/>
          <w:sz w:val="24"/>
        </w:rPr>
        <w:t>educator</w:t>
      </w:r>
      <w:r w:rsidR="00843CE4">
        <w:rPr>
          <w:rFonts w:ascii="Times New Roman" w:eastAsia="Calibri" w:hAnsi="Times New Roman" w:cs="Times New Roman"/>
          <w:sz w:val="24"/>
        </w:rPr>
        <w:t xml:space="preserve"> </w:t>
      </w:r>
      <w:r w:rsidR="0099369E">
        <w:rPr>
          <w:rFonts w:ascii="Times New Roman" w:eastAsia="Calibri" w:hAnsi="Times New Roman" w:cs="Times New Roman"/>
          <w:sz w:val="24"/>
        </w:rPr>
        <w:t xml:space="preserve">interprovincial </w:t>
      </w:r>
      <w:r w:rsidR="00843CE4">
        <w:rPr>
          <w:rFonts w:ascii="Times New Roman" w:eastAsia="Calibri" w:hAnsi="Times New Roman" w:cs="Times New Roman"/>
          <w:sz w:val="24"/>
        </w:rPr>
        <w:t>migration</w:t>
      </w:r>
      <w:r w:rsidR="002B7A88">
        <w:rPr>
          <w:rFonts w:ascii="Times New Roman" w:eastAsia="Calibri" w:hAnsi="Times New Roman" w:cs="Times New Roman"/>
          <w:sz w:val="24"/>
        </w:rPr>
        <w:t>.</w:t>
      </w:r>
    </w:p>
    <w:p w:rsidR="00B36DFC" w:rsidRDefault="00F60A83" w:rsidP="00DE73BF">
      <w:pPr>
        <w:spacing w:before="100" w:beforeAutospacing="1" w:after="100" w:afterAutospacing="1" w:line="240" w:lineRule="auto"/>
        <w:ind w:left="709" w:hanging="22"/>
        <w:jc w:val="both"/>
        <w:rPr>
          <w:rFonts w:ascii="Times New Roman" w:eastAsia="Calibri" w:hAnsi="Times New Roman" w:cs="Times New Roman"/>
          <w:sz w:val="24"/>
        </w:rPr>
      </w:pPr>
      <w:r w:rsidRPr="004D3E05">
        <w:rPr>
          <w:rFonts w:ascii="Times New Roman" w:eastAsia="Calibri" w:hAnsi="Times New Roman" w:cs="Times New Roman"/>
          <w:sz w:val="24"/>
        </w:rPr>
        <w:t>(</w:t>
      </w:r>
      <w:proofErr w:type="spellStart"/>
      <w:r w:rsidRPr="004D3E05">
        <w:rPr>
          <w:rFonts w:ascii="Times New Roman" w:eastAsia="Calibri" w:hAnsi="Times New Roman" w:cs="Times New Roman"/>
          <w:sz w:val="24"/>
        </w:rPr>
        <w:t>bbb</w:t>
      </w:r>
      <w:proofErr w:type="spellEnd"/>
      <w:r w:rsidRPr="004D3E05">
        <w:rPr>
          <w:rFonts w:ascii="Times New Roman" w:eastAsia="Calibri" w:hAnsi="Times New Roman" w:cs="Times New Roman"/>
          <w:sz w:val="24"/>
        </w:rPr>
        <w:t xml:space="preserve">) </w:t>
      </w:r>
      <w:r w:rsidR="0098333B">
        <w:rPr>
          <w:rFonts w:ascii="Times New Roman" w:eastAsia="Calibri" w:hAnsi="Times New Roman" w:cs="Times New Roman"/>
          <w:sz w:val="24"/>
        </w:rPr>
        <w:t>A</w:t>
      </w:r>
      <w:r w:rsidR="00B36DFC">
        <w:rPr>
          <w:rFonts w:ascii="Times New Roman" w:eastAsia="Calibri" w:hAnsi="Times New Roman" w:cs="Times New Roman"/>
          <w:sz w:val="24"/>
        </w:rPr>
        <w:t>s at August 2019, there were 1</w:t>
      </w:r>
      <w:r w:rsidR="005A6ADE">
        <w:rPr>
          <w:rFonts w:ascii="Times New Roman" w:eastAsia="Calibri" w:hAnsi="Times New Roman" w:cs="Times New Roman"/>
          <w:sz w:val="24"/>
        </w:rPr>
        <w:t xml:space="preserve"> </w:t>
      </w:r>
      <w:r w:rsidR="00B36DFC">
        <w:rPr>
          <w:rFonts w:ascii="Times New Roman" w:eastAsia="Calibri" w:hAnsi="Times New Roman" w:cs="Times New Roman"/>
          <w:sz w:val="24"/>
        </w:rPr>
        <w:t>348 foreign educators on PERSAL</w:t>
      </w:r>
      <w:r w:rsidR="005A6ADE">
        <w:rPr>
          <w:rFonts w:ascii="Times New Roman" w:eastAsia="Calibri" w:hAnsi="Times New Roman" w:cs="Times New Roman"/>
          <w:sz w:val="24"/>
        </w:rPr>
        <w:t>,</w:t>
      </w:r>
      <w:r w:rsidR="00B36DFC">
        <w:rPr>
          <w:rFonts w:ascii="Times New Roman" w:eastAsia="Calibri" w:hAnsi="Times New Roman" w:cs="Times New Roman"/>
          <w:sz w:val="24"/>
        </w:rPr>
        <w:t xml:space="preserve"> excluding those that have sinc</w:t>
      </w:r>
      <w:r w:rsidR="005A6ADE">
        <w:rPr>
          <w:rFonts w:ascii="Times New Roman" w:eastAsia="Calibri" w:hAnsi="Times New Roman" w:cs="Times New Roman"/>
          <w:sz w:val="24"/>
        </w:rPr>
        <w:t>e obtained permanent residence.</w:t>
      </w:r>
    </w:p>
    <w:p w:rsidR="005A6ADE" w:rsidRDefault="005A6ADE" w:rsidP="00DE73BF">
      <w:pPr>
        <w:spacing w:before="100" w:beforeAutospacing="1" w:after="100" w:afterAutospacing="1" w:line="240" w:lineRule="auto"/>
        <w:ind w:left="709" w:hanging="22"/>
        <w:jc w:val="both"/>
        <w:rPr>
          <w:rFonts w:ascii="Times New Roman" w:eastAsia="Calibri" w:hAnsi="Times New Roman" w:cs="Times New Roman"/>
          <w:sz w:val="24"/>
        </w:rPr>
      </w:pPr>
    </w:p>
    <w:p w:rsidR="005A6ADE" w:rsidRDefault="005A6ADE" w:rsidP="00DE73BF">
      <w:pPr>
        <w:spacing w:before="100" w:beforeAutospacing="1" w:after="100" w:afterAutospacing="1" w:line="240" w:lineRule="auto"/>
        <w:ind w:left="709" w:hanging="22"/>
        <w:jc w:val="both"/>
        <w:rPr>
          <w:rFonts w:ascii="Times New Roman" w:eastAsia="Calibri" w:hAnsi="Times New Roman" w:cs="Times New Roman"/>
          <w:sz w:val="24"/>
        </w:rPr>
      </w:pPr>
    </w:p>
    <w:p w:rsidR="005A6ADE" w:rsidRDefault="005A6ADE" w:rsidP="00DE73BF">
      <w:pPr>
        <w:spacing w:before="100" w:beforeAutospacing="1" w:after="100" w:afterAutospacing="1" w:line="240" w:lineRule="auto"/>
        <w:ind w:left="709" w:hanging="22"/>
        <w:jc w:val="both"/>
        <w:rPr>
          <w:rFonts w:ascii="Times New Roman" w:eastAsia="Calibri" w:hAnsi="Times New Roman" w:cs="Times New Roman"/>
          <w:sz w:val="24"/>
        </w:rPr>
      </w:pPr>
    </w:p>
    <w:p w:rsidR="00F60A83" w:rsidRDefault="00F60A83" w:rsidP="00DE73BF">
      <w:pPr>
        <w:spacing w:before="100" w:beforeAutospacing="1" w:after="100" w:afterAutospacing="1" w:line="240" w:lineRule="auto"/>
        <w:ind w:left="709" w:hanging="22"/>
        <w:jc w:val="both"/>
        <w:rPr>
          <w:rFonts w:ascii="Times New Roman" w:eastAsia="Calibri" w:hAnsi="Times New Roman" w:cs="Times New Roman"/>
          <w:sz w:val="24"/>
        </w:rPr>
      </w:pPr>
      <w:r w:rsidRPr="004D3E05">
        <w:rPr>
          <w:rFonts w:ascii="Times New Roman" w:eastAsia="Calibri" w:hAnsi="Times New Roman" w:cs="Times New Roman"/>
          <w:sz w:val="24"/>
        </w:rPr>
        <w:lastRenderedPageBreak/>
        <w:t xml:space="preserve">(iii) </w:t>
      </w:r>
      <w:r w:rsidR="0099369E">
        <w:rPr>
          <w:rFonts w:ascii="Times New Roman" w:eastAsia="Calibri" w:hAnsi="Times New Roman" w:cs="Times New Roman"/>
          <w:sz w:val="24"/>
        </w:rPr>
        <w:t>The following table shows the nationality of foreign educators currently employed in State-paid posts, excluding th</w:t>
      </w:r>
      <w:r w:rsidR="0098333B">
        <w:rPr>
          <w:rFonts w:ascii="Times New Roman" w:eastAsia="Calibri" w:hAnsi="Times New Roman" w:cs="Times New Roman"/>
          <w:sz w:val="24"/>
        </w:rPr>
        <w:t xml:space="preserve">ose that have since </w:t>
      </w:r>
      <w:proofErr w:type="gramStart"/>
      <w:r w:rsidR="0098333B">
        <w:rPr>
          <w:rFonts w:ascii="Times New Roman" w:eastAsia="Calibri" w:hAnsi="Times New Roman" w:cs="Times New Roman"/>
          <w:sz w:val="24"/>
        </w:rPr>
        <w:t xml:space="preserve">obtained </w:t>
      </w:r>
      <w:r w:rsidR="0099369E">
        <w:rPr>
          <w:rFonts w:ascii="Times New Roman" w:eastAsia="Calibri" w:hAnsi="Times New Roman" w:cs="Times New Roman"/>
          <w:sz w:val="24"/>
        </w:rPr>
        <w:t xml:space="preserve"> permanent</w:t>
      </w:r>
      <w:proofErr w:type="gramEnd"/>
      <w:r w:rsidR="0099369E">
        <w:rPr>
          <w:rFonts w:ascii="Times New Roman" w:eastAsia="Calibri" w:hAnsi="Times New Roman" w:cs="Times New Roman"/>
          <w:sz w:val="24"/>
        </w:rPr>
        <w:t xml:space="preserve"> residence.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</w:tblGrid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D9D9D9" w:themeFill="background1" w:themeFillShade="D9"/>
            <w:noWrap/>
            <w:vAlign w:val="center"/>
            <w:hideMark/>
          </w:tcPr>
          <w:p w:rsidR="00B36DFC" w:rsidRPr="00666AE4" w:rsidRDefault="00B36DFC" w:rsidP="005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COUNTRY OF ORIGIN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B36DFC" w:rsidRPr="00666AE4" w:rsidRDefault="00B36DFC" w:rsidP="005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NUMBER OF EDUCATORS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BOTSWANA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BURUNDI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CAMEROON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11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COTE D'LVOIRE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CUBA   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EGYPT  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ETHIOPIA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GERMANY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FE0B7E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GHANA  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128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INDIA  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16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LESOTHO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19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MALAWI 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7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NAMIBIA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19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NIGER  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NIGERIA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42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PERU   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REPUBLIC OF CONGO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ROMANIA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SWAZILAND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10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UGANDA 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14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ZAMBIA 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10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ZIMBABWE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</w:t>
            </w:r>
            <w:r w:rsidR="005A6ADE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 </w:t>
            </w:r>
            <w:r w:rsidRPr="00666AE4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050</w:t>
            </w:r>
          </w:p>
        </w:tc>
      </w:tr>
      <w:tr w:rsidR="00B36DFC" w:rsidRPr="00B36DFC" w:rsidTr="005A6ADE">
        <w:trPr>
          <w:trHeight w:val="288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DFC" w:rsidRPr="00666AE4" w:rsidRDefault="00B36DFC" w:rsidP="00B36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666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1348</w:t>
            </w:r>
          </w:p>
        </w:tc>
      </w:tr>
    </w:tbl>
    <w:p w:rsidR="00F60A83" w:rsidRPr="004D3E05" w:rsidRDefault="00F60A83" w:rsidP="00F60A83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</w:rPr>
      </w:pPr>
      <w:r w:rsidRPr="004D3E05">
        <w:rPr>
          <w:rFonts w:ascii="Times New Roman" w:eastAsia="Calibri" w:hAnsi="Times New Roman" w:cs="Times New Roman"/>
          <w:sz w:val="24"/>
        </w:rPr>
        <w:t>(2)</w:t>
      </w:r>
      <w:r w:rsidRPr="004D3E05">
        <w:rPr>
          <w:rFonts w:ascii="Times New Roman" w:eastAsia="Calibri" w:hAnsi="Times New Roman" w:cs="Times New Roman"/>
          <w:sz w:val="24"/>
        </w:rPr>
        <w:tab/>
      </w:r>
      <w:r w:rsidR="00B36DFC">
        <w:rPr>
          <w:rFonts w:ascii="Times New Roman" w:eastAsia="Calibri" w:hAnsi="Times New Roman" w:cs="Times New Roman"/>
          <w:sz w:val="24"/>
        </w:rPr>
        <w:t>Yes. The Department issued guidelines on the appointment of foreign educators.</w:t>
      </w:r>
      <w:r w:rsidR="0099369E">
        <w:rPr>
          <w:rFonts w:ascii="Times New Roman" w:eastAsia="Calibri" w:hAnsi="Times New Roman" w:cs="Times New Roman"/>
          <w:sz w:val="24"/>
        </w:rPr>
        <w:t xml:space="preserve"> The copy </w:t>
      </w:r>
      <w:r w:rsidR="002B7A88">
        <w:rPr>
          <w:rFonts w:ascii="Times New Roman" w:eastAsia="Calibri" w:hAnsi="Times New Roman" w:cs="Times New Roman"/>
          <w:sz w:val="24"/>
        </w:rPr>
        <w:t>is attached</w:t>
      </w:r>
      <w:r w:rsidR="0099369E">
        <w:rPr>
          <w:rFonts w:ascii="Times New Roman" w:eastAsia="Calibri" w:hAnsi="Times New Roman" w:cs="Times New Roman"/>
          <w:sz w:val="24"/>
        </w:rPr>
        <w:t>.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Default="006D7B63">
      <w:pPr>
        <w:rPr>
          <w:rFonts w:ascii="Times New Roman" w:hAnsi="Times New Roman" w:cs="Times New Roman"/>
        </w:rPr>
      </w:pPr>
    </w:p>
    <w:p w:rsidR="006B05DB" w:rsidRDefault="006B05DB">
      <w:pPr>
        <w:rPr>
          <w:rFonts w:ascii="Times New Roman" w:hAnsi="Times New Roman" w:cs="Times New Roman"/>
        </w:rPr>
      </w:pPr>
    </w:p>
    <w:p w:rsidR="006B05DB" w:rsidRDefault="006B05DB">
      <w:pPr>
        <w:rPr>
          <w:rFonts w:ascii="Times New Roman" w:hAnsi="Times New Roman" w:cs="Times New Roman"/>
        </w:rPr>
      </w:pPr>
    </w:p>
    <w:p w:rsidR="006B05DB" w:rsidRDefault="006B05DB">
      <w:pPr>
        <w:rPr>
          <w:rFonts w:ascii="Times New Roman" w:hAnsi="Times New Roman" w:cs="Times New Roman"/>
        </w:rPr>
      </w:pPr>
    </w:p>
    <w:p w:rsidR="006B05DB" w:rsidRDefault="006B05DB">
      <w:pPr>
        <w:rPr>
          <w:rFonts w:ascii="Times New Roman" w:hAnsi="Times New Roman" w:cs="Times New Roman"/>
        </w:rPr>
      </w:pPr>
    </w:p>
    <w:p w:rsidR="006B05DB" w:rsidRDefault="006B05DB" w:rsidP="006B05D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5DB" w:rsidRDefault="006B05DB" w:rsidP="006B05D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B7E" w:rsidRDefault="00FE0B7E" w:rsidP="006B05D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0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34870"/>
    <w:rsid w:val="000403AE"/>
    <w:rsid w:val="0005396A"/>
    <w:rsid w:val="00064C38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C3BF2"/>
    <w:rsid w:val="001D0AE9"/>
    <w:rsid w:val="0020126E"/>
    <w:rsid w:val="00226801"/>
    <w:rsid w:val="00236728"/>
    <w:rsid w:val="00240B13"/>
    <w:rsid w:val="0027063B"/>
    <w:rsid w:val="002A6821"/>
    <w:rsid w:val="002B7A88"/>
    <w:rsid w:val="002C32A6"/>
    <w:rsid w:val="002D1513"/>
    <w:rsid w:val="00310F5F"/>
    <w:rsid w:val="0033504C"/>
    <w:rsid w:val="00341226"/>
    <w:rsid w:val="00343876"/>
    <w:rsid w:val="003511EF"/>
    <w:rsid w:val="00352663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D3E05"/>
    <w:rsid w:val="004E39FB"/>
    <w:rsid w:val="005676F7"/>
    <w:rsid w:val="00570560"/>
    <w:rsid w:val="005827AF"/>
    <w:rsid w:val="00584726"/>
    <w:rsid w:val="005850C1"/>
    <w:rsid w:val="0059663A"/>
    <w:rsid w:val="005A6ADE"/>
    <w:rsid w:val="005B389D"/>
    <w:rsid w:val="005C4AB6"/>
    <w:rsid w:val="00607436"/>
    <w:rsid w:val="00613631"/>
    <w:rsid w:val="00615A3B"/>
    <w:rsid w:val="00666324"/>
    <w:rsid w:val="00666AE4"/>
    <w:rsid w:val="00667A76"/>
    <w:rsid w:val="00692B11"/>
    <w:rsid w:val="006B05DB"/>
    <w:rsid w:val="006C1F10"/>
    <w:rsid w:val="006D7B63"/>
    <w:rsid w:val="006F297B"/>
    <w:rsid w:val="00710D44"/>
    <w:rsid w:val="00720CC4"/>
    <w:rsid w:val="00735204"/>
    <w:rsid w:val="007A4190"/>
    <w:rsid w:val="007D5B29"/>
    <w:rsid w:val="007E7A47"/>
    <w:rsid w:val="007F25CB"/>
    <w:rsid w:val="008015CE"/>
    <w:rsid w:val="008224B8"/>
    <w:rsid w:val="00830D56"/>
    <w:rsid w:val="00830FC7"/>
    <w:rsid w:val="00843CE4"/>
    <w:rsid w:val="00857A1D"/>
    <w:rsid w:val="008E742B"/>
    <w:rsid w:val="009132A2"/>
    <w:rsid w:val="009428E0"/>
    <w:rsid w:val="009434F5"/>
    <w:rsid w:val="00943B4A"/>
    <w:rsid w:val="009524A0"/>
    <w:rsid w:val="009564A8"/>
    <w:rsid w:val="00975403"/>
    <w:rsid w:val="0098333B"/>
    <w:rsid w:val="0099369E"/>
    <w:rsid w:val="00996F09"/>
    <w:rsid w:val="009B6115"/>
    <w:rsid w:val="009C2773"/>
    <w:rsid w:val="009D302C"/>
    <w:rsid w:val="009F03E8"/>
    <w:rsid w:val="00A20079"/>
    <w:rsid w:val="00A3147E"/>
    <w:rsid w:val="00A451EB"/>
    <w:rsid w:val="00A603D7"/>
    <w:rsid w:val="00A62005"/>
    <w:rsid w:val="00A666AB"/>
    <w:rsid w:val="00A776F8"/>
    <w:rsid w:val="00A96282"/>
    <w:rsid w:val="00AD7651"/>
    <w:rsid w:val="00AE1828"/>
    <w:rsid w:val="00B1331C"/>
    <w:rsid w:val="00B36DFC"/>
    <w:rsid w:val="00B6783D"/>
    <w:rsid w:val="00B81D4D"/>
    <w:rsid w:val="00B8303B"/>
    <w:rsid w:val="00BA70AC"/>
    <w:rsid w:val="00C00DC4"/>
    <w:rsid w:val="00C06F25"/>
    <w:rsid w:val="00C13772"/>
    <w:rsid w:val="00C4444B"/>
    <w:rsid w:val="00C4497B"/>
    <w:rsid w:val="00C90C8F"/>
    <w:rsid w:val="00D13D42"/>
    <w:rsid w:val="00D34C31"/>
    <w:rsid w:val="00D6328E"/>
    <w:rsid w:val="00D713FC"/>
    <w:rsid w:val="00D9276C"/>
    <w:rsid w:val="00D94B1F"/>
    <w:rsid w:val="00D97E99"/>
    <w:rsid w:val="00DB09EA"/>
    <w:rsid w:val="00DE73BF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60A83"/>
    <w:rsid w:val="00F81DBE"/>
    <w:rsid w:val="00FA6131"/>
    <w:rsid w:val="00FA6EFF"/>
    <w:rsid w:val="00FB6195"/>
    <w:rsid w:val="00FC20D9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cp:lastPrinted>2019-10-17T07:20:00Z</cp:lastPrinted>
  <dcterms:created xsi:type="dcterms:W3CDTF">2019-11-04T12:44:00Z</dcterms:created>
  <dcterms:modified xsi:type="dcterms:W3CDTF">2019-11-04T12:44:00Z</dcterms:modified>
</cp:coreProperties>
</file>