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1631B2">
        <w:rPr>
          <w:rFonts w:ascii="Arial" w:hAnsi="Arial" w:cs="Arial"/>
          <w:sz w:val="18"/>
          <w:szCs w:val="18"/>
          <w:lang w:val="en-ZA"/>
        </w:rPr>
        <w:t xml:space="preserve"> 20</w:t>
      </w:r>
      <w:r w:rsidR="00842CA4">
        <w:rPr>
          <w:rFonts w:ascii="Arial" w:hAnsi="Arial" w:cs="Arial"/>
          <w:sz w:val="18"/>
          <w:szCs w:val="18"/>
          <w:lang w:val="en-ZA"/>
        </w:rPr>
        <w:t xml:space="preserve"> May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450931">
        <w:rPr>
          <w:rFonts w:ascii="Arial" w:hAnsi="Arial" w:cs="Arial"/>
          <w:b/>
          <w:lang w:val="en-ZA"/>
        </w:rPr>
        <w:t xml:space="preserve"> 11</w:t>
      </w:r>
      <w:r w:rsidR="000856CD">
        <w:rPr>
          <w:rFonts w:ascii="Arial" w:hAnsi="Arial" w:cs="Arial"/>
          <w:b/>
          <w:lang w:val="en-ZA"/>
        </w:rPr>
        <w:t>4</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134A4F">
        <w:rPr>
          <w:rFonts w:ascii="Arial" w:hAnsi="Arial" w:cs="Arial"/>
          <w:sz w:val="22"/>
          <w:szCs w:val="22"/>
          <w:lang w:val="en-ZA"/>
        </w:rPr>
        <w:t>11 February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134A4F">
        <w:rPr>
          <w:rFonts w:ascii="Arial" w:hAnsi="Arial" w:cs="Arial"/>
          <w:sz w:val="22"/>
          <w:szCs w:val="22"/>
          <w:lang w:val="en-ZA"/>
        </w:rPr>
        <w:t>01</w:t>
      </w:r>
    </w:p>
    <w:p w:rsidR="00E1671A" w:rsidRPr="009548CF" w:rsidRDefault="00E1671A" w:rsidP="00E1671A">
      <w:pPr>
        <w:rPr>
          <w:rFonts w:ascii="Arial" w:hAnsi="Arial" w:cs="Arial"/>
          <w:sz w:val="22"/>
          <w:szCs w:val="22"/>
          <w:lang w:val="en-ZA"/>
        </w:rPr>
      </w:pPr>
    </w:p>
    <w:p w:rsidR="000856CD" w:rsidRPr="000856CD" w:rsidRDefault="000856CD" w:rsidP="000856CD">
      <w:pPr>
        <w:spacing w:before="100" w:beforeAutospacing="1" w:after="100" w:afterAutospacing="1"/>
        <w:ind w:left="709" w:hanging="720"/>
        <w:jc w:val="both"/>
        <w:outlineLvl w:val="0"/>
        <w:rPr>
          <w:rFonts w:ascii="Arial" w:eastAsiaTheme="minorHAnsi" w:hAnsi="Arial" w:cs="Arial"/>
          <w:b/>
          <w:bCs/>
          <w:lang w:val="af-ZA"/>
        </w:rPr>
      </w:pPr>
      <w:r w:rsidRPr="000856CD">
        <w:rPr>
          <w:rFonts w:ascii="Arial" w:eastAsiaTheme="minorHAnsi" w:hAnsi="Arial" w:cs="Arial"/>
          <w:b/>
          <w:bCs/>
          <w:lang w:val="af-ZA"/>
        </w:rPr>
        <w:t>114.</w:t>
      </w:r>
      <w:r w:rsidRPr="000856CD">
        <w:rPr>
          <w:rFonts w:ascii="Arial" w:eastAsiaTheme="minorHAnsi" w:hAnsi="Arial" w:cs="Arial"/>
          <w:b/>
          <w:bCs/>
          <w:lang w:val="af-ZA"/>
        </w:rPr>
        <w:tab/>
        <w:t>Ms B S Masango (DA) to ask the Minister of Social Development:</w:t>
      </w:r>
    </w:p>
    <w:p w:rsidR="000856CD" w:rsidRPr="000856CD" w:rsidRDefault="000856CD" w:rsidP="000856CD">
      <w:pPr>
        <w:spacing w:before="100" w:beforeAutospacing="1" w:after="100" w:afterAutospacing="1"/>
        <w:ind w:left="709" w:hanging="709"/>
        <w:jc w:val="both"/>
        <w:rPr>
          <w:rFonts w:ascii="Arial" w:eastAsiaTheme="minorHAnsi" w:hAnsi="Arial" w:cs="Arial"/>
          <w:lang w:val="en-ZA"/>
        </w:rPr>
      </w:pPr>
      <w:r w:rsidRPr="000856CD">
        <w:rPr>
          <w:rFonts w:ascii="Arial" w:eastAsiaTheme="minorHAnsi" w:hAnsi="Arial" w:cs="Arial"/>
          <w:lang w:val="af-ZA"/>
        </w:rPr>
        <w:t>(1)</w:t>
      </w:r>
      <w:r w:rsidRPr="000856CD">
        <w:rPr>
          <w:rFonts w:ascii="Arial" w:eastAsiaTheme="minorHAnsi" w:hAnsi="Arial" w:cs="Arial"/>
          <w:lang w:val="af-ZA"/>
        </w:rPr>
        <w:tab/>
        <w:t xml:space="preserve">What has been the effect of the recent severe drought on the vulnerable groups in South Africa in terms of (a) food insecurity, (b) escalating food prices and (c) </w:t>
      </w:r>
      <w:r w:rsidRPr="000856CD">
        <w:rPr>
          <w:rFonts w:ascii="Arial" w:eastAsia="Calibri" w:hAnsi="Arial" w:cs="Arial"/>
          <w:lang w:val="af-ZA"/>
        </w:rPr>
        <w:t>household</w:t>
      </w:r>
      <w:r w:rsidRPr="000856CD">
        <w:rPr>
          <w:rFonts w:ascii="Arial" w:eastAsiaTheme="minorHAnsi" w:hAnsi="Arial" w:cs="Arial"/>
          <w:lang w:val="af-ZA"/>
        </w:rPr>
        <w:t xml:space="preserve"> water shortages for especially the elderly in rural areas who cannot walk long distances to fetch water;</w:t>
      </w:r>
    </w:p>
    <w:p w:rsidR="000856CD" w:rsidRPr="000856CD" w:rsidRDefault="000856CD" w:rsidP="000856CD">
      <w:pPr>
        <w:spacing w:before="100" w:beforeAutospacing="1" w:after="100" w:afterAutospacing="1"/>
        <w:ind w:left="709" w:hanging="709"/>
        <w:jc w:val="both"/>
        <w:rPr>
          <w:rFonts w:ascii="Arial" w:eastAsiaTheme="minorHAnsi" w:hAnsi="Arial" w:cs="Arial"/>
          <w:lang w:val="af-ZA"/>
        </w:rPr>
      </w:pPr>
      <w:r w:rsidRPr="000856CD">
        <w:rPr>
          <w:rFonts w:ascii="Arial" w:eastAsiaTheme="minorHAnsi" w:hAnsi="Arial" w:cs="Arial"/>
          <w:lang w:val="af-ZA"/>
        </w:rPr>
        <w:t>(2)</w:t>
      </w:r>
      <w:r w:rsidRPr="000856CD">
        <w:rPr>
          <w:rFonts w:ascii="Arial" w:eastAsiaTheme="minorHAnsi" w:hAnsi="Arial" w:cs="Arial"/>
          <w:lang w:val="af-ZA"/>
        </w:rPr>
        <w:tab/>
        <w:t>whether her department has put any measures in place to support the specified groups during the drought; if not, why not; if so, what measures has her department put in place to support the specified groups;</w:t>
      </w:r>
    </w:p>
    <w:p w:rsidR="00777DEF" w:rsidRPr="00DE3457" w:rsidRDefault="000856CD" w:rsidP="00777DEF">
      <w:pPr>
        <w:pStyle w:val="ListParagraph"/>
        <w:spacing w:before="100" w:beforeAutospacing="1" w:after="100" w:afterAutospacing="1"/>
        <w:ind w:left="709"/>
        <w:jc w:val="right"/>
        <w:rPr>
          <w:rFonts w:ascii="Arial" w:eastAsiaTheme="minorHAnsi" w:hAnsi="Arial" w:cs="Arial"/>
          <w:lang w:val="af-ZA"/>
        </w:rPr>
      </w:pPr>
      <w:r w:rsidRPr="000856CD">
        <w:rPr>
          <w:rFonts w:ascii="Arial" w:eastAsiaTheme="minorHAnsi" w:hAnsi="Arial" w:cs="Arial"/>
          <w:lang w:val="af-ZA"/>
        </w:rPr>
        <w:t>(3)</w:t>
      </w:r>
      <w:r w:rsidRPr="000856CD">
        <w:rPr>
          <w:rFonts w:ascii="Arial" w:eastAsiaTheme="minorHAnsi" w:hAnsi="Arial" w:cs="Arial"/>
          <w:lang w:val="af-ZA"/>
        </w:rPr>
        <w:tab/>
        <w:t>whether any plans have been put in place to compensate grant recipients for the projected increases in food prices due to the drought; if not, why not; if so, what are the relevant details?</w:t>
      </w:r>
      <w:r w:rsidRPr="000856CD">
        <w:rPr>
          <w:rFonts w:ascii="Arial" w:eastAsiaTheme="minorHAnsi" w:hAnsi="Arial" w:cs="Arial"/>
          <w:lang w:val="af-ZA"/>
        </w:rPr>
        <w:tab/>
      </w:r>
      <w:r w:rsidRPr="000856CD">
        <w:rPr>
          <w:rFonts w:ascii="Arial" w:eastAsiaTheme="minorHAnsi" w:hAnsi="Arial" w:cs="Arial"/>
          <w:lang w:val="af-ZA"/>
        </w:rPr>
        <w:tab/>
      </w:r>
      <w:r w:rsidRPr="000856CD">
        <w:rPr>
          <w:rFonts w:ascii="Arial" w:eastAsiaTheme="minorHAnsi" w:hAnsi="Arial" w:cs="Arial"/>
          <w:lang w:val="af-ZA"/>
        </w:rPr>
        <w:tab/>
      </w:r>
      <w:r w:rsidRPr="000856CD">
        <w:rPr>
          <w:rFonts w:ascii="Arial" w:eastAsiaTheme="minorHAnsi" w:hAnsi="Arial" w:cs="Arial"/>
          <w:lang w:val="af-ZA"/>
        </w:rPr>
        <w:tab/>
      </w:r>
      <w:r w:rsidR="00777DEF" w:rsidRPr="000856CD">
        <w:rPr>
          <w:rFonts w:ascii="Arial" w:eastAsiaTheme="minorHAnsi" w:hAnsi="Arial" w:cs="Arial"/>
          <w:sz w:val="20"/>
          <w:szCs w:val="20"/>
          <w:lang w:val="af-ZA"/>
        </w:rPr>
        <w:t>NW114E</w:t>
      </w:r>
    </w:p>
    <w:p w:rsidR="00C75E7B" w:rsidRDefault="004A3A81" w:rsidP="00B7108B">
      <w:pPr>
        <w:tabs>
          <w:tab w:val="left" w:pos="1335"/>
        </w:tabs>
        <w:rPr>
          <w:rFonts w:ascii="Arial" w:hAnsi="Arial" w:cs="Arial"/>
          <w:b/>
        </w:rPr>
      </w:pPr>
      <w:r w:rsidRPr="006C5F96">
        <w:rPr>
          <w:rFonts w:ascii="Arial" w:hAnsi="Arial" w:cs="Arial"/>
          <w:b/>
        </w:rPr>
        <w:t>Reply:</w:t>
      </w:r>
    </w:p>
    <w:p w:rsidR="00C20986" w:rsidRDefault="00C20986" w:rsidP="00B7108B">
      <w:pPr>
        <w:tabs>
          <w:tab w:val="left" w:pos="1335"/>
        </w:tabs>
        <w:rPr>
          <w:rFonts w:ascii="Arial" w:hAnsi="Arial" w:cs="Arial"/>
          <w:b/>
        </w:rPr>
      </w:pPr>
    </w:p>
    <w:p w:rsidR="00C20986" w:rsidRPr="00C8467E" w:rsidRDefault="00C20986" w:rsidP="00C8467E">
      <w:pPr>
        <w:pStyle w:val="ListParagraph"/>
        <w:numPr>
          <w:ilvl w:val="0"/>
          <w:numId w:val="8"/>
        </w:numPr>
        <w:spacing w:before="100" w:beforeAutospacing="1" w:after="100" w:afterAutospacing="1"/>
        <w:ind w:hanging="720"/>
        <w:jc w:val="both"/>
        <w:rPr>
          <w:rFonts w:ascii="Arial" w:eastAsiaTheme="minorHAnsi" w:hAnsi="Arial" w:cs="Arial"/>
          <w:lang w:val="af-ZA"/>
        </w:rPr>
      </w:pPr>
      <w:r w:rsidRPr="00C8467E">
        <w:rPr>
          <w:rFonts w:ascii="Arial" w:eastAsiaTheme="minorHAnsi" w:hAnsi="Arial" w:cs="Arial"/>
          <w:lang w:val="af-ZA"/>
        </w:rPr>
        <w:t xml:space="preserve">The recent severe drought has had a severe impact on the vulnerable groups in South Africa in terms of (a) food insecurity, (b) escalating food prices and (c) </w:t>
      </w:r>
      <w:r w:rsidRPr="00C8467E">
        <w:rPr>
          <w:rFonts w:ascii="Arial" w:eastAsia="Calibri" w:hAnsi="Arial" w:cs="Arial"/>
          <w:lang w:val="af-ZA"/>
        </w:rPr>
        <w:t>household</w:t>
      </w:r>
      <w:r w:rsidRPr="00C8467E">
        <w:rPr>
          <w:rFonts w:ascii="Arial" w:eastAsiaTheme="minorHAnsi" w:hAnsi="Arial" w:cs="Arial"/>
          <w:lang w:val="af-ZA"/>
        </w:rPr>
        <w:t xml:space="preserve"> water shortages.</w:t>
      </w:r>
    </w:p>
    <w:p w:rsidR="00C20986" w:rsidRPr="00C8467E" w:rsidRDefault="00C20986" w:rsidP="00C8467E">
      <w:pPr>
        <w:pStyle w:val="ListParagraph"/>
        <w:spacing w:before="100" w:beforeAutospacing="1" w:after="100" w:afterAutospacing="1"/>
        <w:jc w:val="both"/>
        <w:rPr>
          <w:rFonts w:ascii="Arial" w:eastAsiaTheme="minorHAnsi" w:hAnsi="Arial" w:cs="Arial"/>
          <w:lang w:val="af-ZA"/>
        </w:rPr>
      </w:pPr>
    </w:p>
    <w:p w:rsidR="00C20986" w:rsidRDefault="00C20986" w:rsidP="00C8467E">
      <w:pPr>
        <w:pStyle w:val="ListParagraph"/>
        <w:spacing w:before="100" w:beforeAutospacing="1" w:after="100" w:afterAutospacing="1"/>
        <w:jc w:val="both"/>
        <w:rPr>
          <w:rFonts w:ascii="Arial" w:eastAsiaTheme="minorHAnsi" w:hAnsi="Arial" w:cs="Arial"/>
          <w:lang w:val="af-ZA"/>
        </w:rPr>
      </w:pPr>
      <w:r w:rsidRPr="00C8467E">
        <w:rPr>
          <w:rFonts w:ascii="Arial" w:eastAsiaTheme="minorHAnsi" w:hAnsi="Arial" w:cs="Arial"/>
          <w:lang w:val="af-ZA"/>
        </w:rPr>
        <w:t xml:space="preserve">According to the </w:t>
      </w:r>
      <w:r w:rsidR="00E66A33">
        <w:rPr>
          <w:rFonts w:ascii="Arial" w:eastAsiaTheme="minorHAnsi" w:hAnsi="Arial" w:cs="Arial"/>
          <w:lang w:val="af-ZA"/>
        </w:rPr>
        <w:t>Issue 3 - March 2016 Food Basket Price Monthly report</w:t>
      </w:r>
      <w:r w:rsidRPr="00C8467E">
        <w:rPr>
          <w:rFonts w:ascii="Arial" w:eastAsiaTheme="minorHAnsi" w:hAnsi="Arial" w:cs="Arial"/>
          <w:lang w:val="af-ZA"/>
        </w:rPr>
        <w:t xml:space="preserve"> from the </w:t>
      </w:r>
      <w:r w:rsidR="00657C69" w:rsidRPr="00C8467E">
        <w:rPr>
          <w:rFonts w:ascii="Arial" w:eastAsiaTheme="minorHAnsi" w:hAnsi="Arial" w:cs="Arial"/>
          <w:lang w:val="af-ZA"/>
        </w:rPr>
        <w:t xml:space="preserve">National Agricultural Marketing Council and the Food Price Monitoring Committee </w:t>
      </w:r>
      <w:r w:rsidR="00E66A33">
        <w:rPr>
          <w:rFonts w:ascii="Arial" w:eastAsiaTheme="minorHAnsi" w:hAnsi="Arial" w:cs="Arial"/>
          <w:lang w:val="af-ZA"/>
        </w:rPr>
        <w:t>using the Stats SA data,</w:t>
      </w:r>
      <w:r w:rsidR="00657C69" w:rsidRPr="00C8467E">
        <w:rPr>
          <w:rFonts w:ascii="Arial" w:eastAsiaTheme="minorHAnsi" w:hAnsi="Arial" w:cs="Arial"/>
          <w:lang w:val="af-ZA"/>
        </w:rPr>
        <w:t xml:space="preserve"> In February 2016 the price a basic 22 item food basket</w:t>
      </w:r>
      <w:r w:rsidR="00C8467E">
        <w:rPr>
          <w:rFonts w:ascii="Arial" w:eastAsiaTheme="minorHAnsi" w:hAnsi="Arial" w:cs="Arial"/>
          <w:lang w:val="af-ZA"/>
        </w:rPr>
        <w:t xml:space="preserve"> </w:t>
      </w:r>
      <w:r w:rsidR="00657C69" w:rsidRPr="00C8467E">
        <w:rPr>
          <w:rFonts w:ascii="Arial" w:eastAsiaTheme="minorHAnsi" w:hAnsi="Arial" w:cs="Arial"/>
          <w:lang w:val="af-ZA"/>
        </w:rPr>
        <w:t>increased by approximately R56 (+10.86%) i</w:t>
      </w:r>
      <w:r w:rsidR="00C8467E">
        <w:rPr>
          <w:rFonts w:ascii="Arial" w:eastAsiaTheme="minorHAnsi" w:hAnsi="Arial" w:cs="Arial"/>
          <w:lang w:val="af-ZA"/>
        </w:rPr>
        <w:t>n nominal terms from R510 to R5</w:t>
      </w:r>
      <w:r w:rsidR="00657C69" w:rsidRPr="00C8467E">
        <w:rPr>
          <w:rFonts w:ascii="Arial" w:eastAsiaTheme="minorHAnsi" w:hAnsi="Arial" w:cs="Arial"/>
          <w:lang w:val="af-ZA"/>
        </w:rPr>
        <w:t>66.</w:t>
      </w:r>
    </w:p>
    <w:p w:rsidR="00C31282" w:rsidRDefault="00C31282" w:rsidP="00C8467E">
      <w:pPr>
        <w:pStyle w:val="ListParagraph"/>
        <w:spacing w:before="100" w:beforeAutospacing="1" w:after="100" w:afterAutospacing="1"/>
        <w:jc w:val="both"/>
        <w:rPr>
          <w:rFonts w:ascii="Arial" w:eastAsiaTheme="minorHAnsi" w:hAnsi="Arial" w:cs="Arial"/>
          <w:lang w:val="af-ZA"/>
        </w:rPr>
      </w:pPr>
    </w:p>
    <w:p w:rsidR="00657C69" w:rsidRPr="00C31282" w:rsidRDefault="00C31282" w:rsidP="00C8467E">
      <w:pPr>
        <w:pStyle w:val="ListParagraph"/>
        <w:spacing w:before="100" w:beforeAutospacing="1" w:after="100" w:afterAutospacing="1"/>
        <w:jc w:val="both"/>
        <w:rPr>
          <w:rFonts w:ascii="Arial" w:hAnsi="Arial" w:cs="Arial"/>
          <w:lang w:val="en"/>
        </w:rPr>
      </w:pPr>
      <w:r w:rsidRPr="00C31282">
        <w:rPr>
          <w:rFonts w:ascii="Arial" w:hAnsi="Arial" w:cs="Arial"/>
          <w:lang w:val="en"/>
        </w:rPr>
        <w:t xml:space="preserve">It is projected that South Africa will need to import an estimated five million tons of maize between May this year and April 2017, which will weigh heavily on the trade deficit. </w:t>
      </w:r>
    </w:p>
    <w:p w:rsidR="00C31282" w:rsidRPr="00C8467E" w:rsidRDefault="00C31282" w:rsidP="00C8467E">
      <w:pPr>
        <w:pStyle w:val="ListParagraph"/>
        <w:spacing w:before="100" w:beforeAutospacing="1" w:after="100" w:afterAutospacing="1"/>
        <w:jc w:val="both"/>
        <w:rPr>
          <w:rFonts w:ascii="Arial" w:eastAsiaTheme="minorHAnsi" w:hAnsi="Arial" w:cs="Arial"/>
          <w:lang w:val="af-ZA"/>
        </w:rPr>
      </w:pPr>
    </w:p>
    <w:p w:rsidR="00E66A33" w:rsidRDefault="00E66A33" w:rsidP="00C8467E">
      <w:pPr>
        <w:pStyle w:val="ListParagraph"/>
        <w:spacing w:before="100" w:beforeAutospacing="1" w:after="100" w:afterAutospacing="1"/>
        <w:ind w:left="709"/>
        <w:jc w:val="both"/>
        <w:rPr>
          <w:rFonts w:ascii="Arial" w:eastAsiaTheme="minorHAnsi" w:hAnsi="Arial" w:cs="Arial"/>
          <w:lang w:val="en-ZA"/>
        </w:rPr>
      </w:pPr>
      <w:r>
        <w:rPr>
          <w:rFonts w:ascii="Arial" w:eastAsiaTheme="minorHAnsi" w:hAnsi="Arial" w:cs="Arial"/>
          <w:lang w:val="en-ZA"/>
        </w:rPr>
        <w:t xml:space="preserve">Water shortages were reported across various Provinces, Districts, Local Municipalities and Communities. </w:t>
      </w:r>
      <w:r w:rsidR="00D2515C">
        <w:rPr>
          <w:rFonts w:ascii="Arial" w:eastAsiaTheme="minorHAnsi" w:hAnsi="Arial" w:cs="Arial"/>
          <w:lang w:val="en-ZA"/>
        </w:rPr>
        <w:t xml:space="preserve">The drought disaster declared areas were supported with various </w:t>
      </w:r>
      <w:r>
        <w:rPr>
          <w:rFonts w:ascii="Arial" w:eastAsiaTheme="minorHAnsi" w:hAnsi="Arial" w:cs="Arial"/>
          <w:lang w:val="en-ZA"/>
        </w:rPr>
        <w:t xml:space="preserve">measures including the supply of water </w:t>
      </w:r>
      <w:r w:rsidR="00D2515C">
        <w:rPr>
          <w:rFonts w:ascii="Arial" w:eastAsiaTheme="minorHAnsi" w:hAnsi="Arial" w:cs="Arial"/>
          <w:lang w:val="en-ZA"/>
        </w:rPr>
        <w:t>using water tankers in Local Municipalities</w:t>
      </w:r>
      <w:r>
        <w:rPr>
          <w:rFonts w:ascii="Arial" w:eastAsiaTheme="minorHAnsi" w:hAnsi="Arial" w:cs="Arial"/>
          <w:lang w:val="en-ZA"/>
        </w:rPr>
        <w:t xml:space="preserve"> and the affected communities</w:t>
      </w:r>
      <w:r w:rsidR="00D2515C">
        <w:rPr>
          <w:rFonts w:ascii="Arial" w:eastAsiaTheme="minorHAnsi" w:hAnsi="Arial" w:cs="Arial"/>
          <w:lang w:val="en-ZA"/>
        </w:rPr>
        <w:t>.</w:t>
      </w:r>
      <w:r>
        <w:rPr>
          <w:rFonts w:ascii="Arial" w:eastAsiaTheme="minorHAnsi" w:hAnsi="Arial" w:cs="Arial"/>
          <w:lang w:val="en-ZA"/>
        </w:rPr>
        <w:t xml:space="preserve"> </w:t>
      </w:r>
    </w:p>
    <w:p w:rsidR="00446430" w:rsidRPr="00446430" w:rsidRDefault="00446430" w:rsidP="00446430">
      <w:pPr>
        <w:pStyle w:val="ListParagraph"/>
        <w:spacing w:before="100" w:beforeAutospacing="1" w:after="100" w:afterAutospacing="1"/>
        <w:ind w:left="709"/>
        <w:jc w:val="both"/>
        <w:rPr>
          <w:rFonts w:ascii="Arial" w:eastAsiaTheme="minorHAnsi" w:hAnsi="Arial" w:cs="Arial"/>
          <w:lang w:val="en-ZA"/>
        </w:rPr>
      </w:pPr>
    </w:p>
    <w:p w:rsidR="00446430" w:rsidRPr="00446430" w:rsidRDefault="00446430" w:rsidP="00446430">
      <w:pPr>
        <w:pStyle w:val="ListParagraph"/>
        <w:numPr>
          <w:ilvl w:val="0"/>
          <w:numId w:val="8"/>
        </w:numPr>
        <w:spacing w:before="100" w:beforeAutospacing="1" w:after="100" w:afterAutospacing="1"/>
        <w:ind w:hanging="720"/>
        <w:jc w:val="both"/>
        <w:rPr>
          <w:rFonts w:ascii="Arial" w:eastAsiaTheme="minorHAnsi" w:hAnsi="Arial" w:cs="Arial"/>
          <w:lang w:val="af-ZA"/>
        </w:rPr>
      </w:pPr>
      <w:r>
        <w:rPr>
          <w:rFonts w:ascii="Arial" w:hAnsi="Arial" w:cs="Arial"/>
        </w:rPr>
        <w:lastRenderedPageBreak/>
        <w:t>T</w:t>
      </w:r>
      <w:r w:rsidRPr="00446430">
        <w:rPr>
          <w:rFonts w:ascii="Arial" w:hAnsi="Arial" w:cs="Arial"/>
        </w:rPr>
        <w:t xml:space="preserve">he Social Assistance Act, Act 13 of 2004 mandates the </w:t>
      </w:r>
      <w:r>
        <w:rPr>
          <w:rFonts w:ascii="Arial" w:hAnsi="Arial" w:cs="Arial"/>
        </w:rPr>
        <w:t xml:space="preserve">Department through the South African Social Security </w:t>
      </w:r>
      <w:r w:rsidRPr="00446430">
        <w:rPr>
          <w:rFonts w:ascii="Arial" w:hAnsi="Arial" w:cs="Arial"/>
        </w:rPr>
        <w:t>Agency (SASSA) to provide social relief of distress (SRD) to any person in need of immediate relief, provided they meet certain prescribed criteria. One such criterion is that the person has been affected by a disaster as defined in the Disaster Management Ac</w:t>
      </w:r>
      <w:r>
        <w:rPr>
          <w:rFonts w:ascii="Arial" w:hAnsi="Arial" w:cs="Arial"/>
        </w:rPr>
        <w:t>t, 2002 (Act No. 57 of 2002).</w:t>
      </w:r>
    </w:p>
    <w:p w:rsidR="00446430" w:rsidRDefault="00446430" w:rsidP="00446430">
      <w:pPr>
        <w:pStyle w:val="ListParagraph"/>
        <w:spacing w:before="100" w:beforeAutospacing="1" w:after="100" w:afterAutospacing="1"/>
        <w:jc w:val="both"/>
        <w:rPr>
          <w:rFonts w:ascii="Arial" w:eastAsiaTheme="minorHAnsi" w:hAnsi="Arial" w:cs="Arial"/>
          <w:lang w:val="af-ZA"/>
        </w:rPr>
      </w:pPr>
    </w:p>
    <w:p w:rsidR="002B3A79" w:rsidRPr="002B3A79" w:rsidRDefault="00446430" w:rsidP="002B3A79">
      <w:pPr>
        <w:pStyle w:val="ListParagraph"/>
        <w:spacing w:before="100" w:beforeAutospacing="1" w:after="100" w:afterAutospacing="1"/>
        <w:jc w:val="both"/>
        <w:rPr>
          <w:rFonts w:ascii="Arial" w:eastAsiaTheme="minorHAnsi" w:hAnsi="Arial" w:cs="Arial"/>
          <w:lang w:val="af-ZA"/>
        </w:rPr>
      </w:pPr>
      <w:r w:rsidRPr="002B3A79">
        <w:rPr>
          <w:rFonts w:ascii="Arial" w:eastAsiaTheme="minorHAnsi" w:hAnsi="Arial" w:cs="Arial"/>
          <w:lang w:val="af-ZA"/>
        </w:rPr>
        <w:t xml:space="preserve">During this drought period SASSA has continued to provide SRD to affected households. </w:t>
      </w:r>
      <w:r w:rsidR="00B35A62">
        <w:rPr>
          <w:rFonts w:ascii="Arial" w:eastAsiaTheme="minorHAnsi" w:hAnsi="Arial" w:cs="Arial"/>
          <w:lang w:val="af-ZA"/>
        </w:rPr>
        <w:t>By December 2015</w:t>
      </w:r>
      <w:r w:rsidR="002B3A79" w:rsidRPr="002B3A79">
        <w:rPr>
          <w:rFonts w:ascii="Arial" w:eastAsiaTheme="minorHAnsi" w:hAnsi="Arial" w:cs="Arial"/>
          <w:lang w:val="af-ZA"/>
        </w:rPr>
        <w:t>, the following beneficieries were supported:</w:t>
      </w:r>
    </w:p>
    <w:p w:rsidR="002B3A79" w:rsidRPr="002B3A79" w:rsidRDefault="002B3A79" w:rsidP="002B3A79">
      <w:pPr>
        <w:pStyle w:val="ListParagraph"/>
        <w:numPr>
          <w:ilvl w:val="0"/>
          <w:numId w:val="11"/>
        </w:numPr>
        <w:spacing w:before="100" w:beforeAutospacing="1" w:after="100" w:afterAutospacing="1"/>
        <w:jc w:val="both"/>
        <w:rPr>
          <w:rFonts w:ascii="Arial" w:eastAsiaTheme="minorHAnsi" w:hAnsi="Arial" w:cs="Arial"/>
          <w:lang w:val="af-ZA"/>
        </w:rPr>
      </w:pPr>
      <w:r w:rsidRPr="002B3A79">
        <w:rPr>
          <w:rFonts w:ascii="Arial" w:hAnsi="Arial" w:cs="Arial"/>
          <w:lang w:val="en-GB"/>
        </w:rPr>
        <w:t>2 271 SRD disbursed in a form of cash</w:t>
      </w:r>
    </w:p>
    <w:p w:rsidR="002B3A79" w:rsidRPr="002B3A79" w:rsidRDefault="002B3A79" w:rsidP="002B3A79">
      <w:pPr>
        <w:pStyle w:val="ListParagraph"/>
        <w:numPr>
          <w:ilvl w:val="0"/>
          <w:numId w:val="11"/>
        </w:numPr>
        <w:spacing w:before="100" w:beforeAutospacing="1" w:after="100" w:afterAutospacing="1"/>
        <w:jc w:val="both"/>
        <w:rPr>
          <w:rFonts w:ascii="Arial" w:eastAsiaTheme="minorHAnsi" w:hAnsi="Arial" w:cs="Arial"/>
          <w:lang w:val="af-ZA"/>
        </w:rPr>
      </w:pPr>
      <w:r w:rsidRPr="002B3A79">
        <w:rPr>
          <w:rFonts w:ascii="Arial" w:hAnsi="Arial" w:cs="Arial"/>
          <w:lang w:val="en-GB"/>
        </w:rPr>
        <w:t>49 387 SRD disbursed in a form of food parcels</w:t>
      </w:r>
    </w:p>
    <w:p w:rsidR="002B3A79" w:rsidRPr="002B3A79" w:rsidRDefault="002B3A79" w:rsidP="002B3A79">
      <w:pPr>
        <w:pStyle w:val="ListParagraph"/>
        <w:numPr>
          <w:ilvl w:val="0"/>
          <w:numId w:val="11"/>
        </w:numPr>
        <w:spacing w:before="100" w:beforeAutospacing="1" w:after="100" w:afterAutospacing="1"/>
        <w:jc w:val="both"/>
        <w:rPr>
          <w:rFonts w:ascii="Arial" w:eastAsiaTheme="minorHAnsi" w:hAnsi="Arial" w:cs="Arial"/>
          <w:lang w:val="af-ZA"/>
        </w:rPr>
      </w:pPr>
      <w:r w:rsidRPr="002B3A79">
        <w:rPr>
          <w:rFonts w:ascii="Arial" w:hAnsi="Arial" w:cs="Arial"/>
          <w:lang w:val="en-GB"/>
        </w:rPr>
        <w:t>46 681 SRD disbursed in a form of vouchers</w:t>
      </w:r>
    </w:p>
    <w:p w:rsidR="002B3A79" w:rsidRDefault="002B3A79" w:rsidP="00446430">
      <w:pPr>
        <w:pStyle w:val="ListParagraph"/>
        <w:spacing w:before="100" w:beforeAutospacing="1" w:after="100" w:afterAutospacing="1"/>
        <w:jc w:val="both"/>
        <w:rPr>
          <w:rFonts w:ascii="Arial" w:eastAsiaTheme="minorHAnsi" w:hAnsi="Arial" w:cs="Arial"/>
          <w:lang w:val="af-ZA"/>
        </w:rPr>
      </w:pPr>
    </w:p>
    <w:p w:rsidR="002B3A79" w:rsidRDefault="002B3A79" w:rsidP="00DE3457">
      <w:pPr>
        <w:pStyle w:val="ListParagraph"/>
        <w:ind w:left="709"/>
        <w:jc w:val="both"/>
        <w:rPr>
          <w:rFonts w:ascii="Arial" w:eastAsiaTheme="minorHAnsi" w:hAnsi="Arial" w:cs="Arial"/>
          <w:lang w:val="af-ZA"/>
        </w:rPr>
      </w:pPr>
      <w:r>
        <w:rPr>
          <w:rFonts w:ascii="Arial" w:eastAsiaTheme="minorHAnsi" w:hAnsi="Arial" w:cs="Arial"/>
          <w:lang w:val="af-ZA"/>
        </w:rPr>
        <w:t xml:space="preserve">Over and above SRD provision DSD also continue to implement various programmes that seek to provide relief to the food insecure and vulnerable households, incliding the drought affected households. </w:t>
      </w:r>
      <w:r w:rsidRPr="00E85A22">
        <w:rPr>
          <w:rFonts w:ascii="Arial" w:eastAsiaTheme="minorHAnsi" w:hAnsi="Arial" w:cs="Arial"/>
          <w:lang w:val="af-ZA"/>
        </w:rPr>
        <w:t>Below is the overview of other interventions that provi</w:t>
      </w:r>
      <w:r w:rsidR="00E85A22" w:rsidRPr="00E85A22">
        <w:rPr>
          <w:rFonts w:ascii="Arial" w:eastAsiaTheme="minorHAnsi" w:hAnsi="Arial" w:cs="Arial"/>
          <w:lang w:val="af-ZA"/>
        </w:rPr>
        <w:t>de food relief to the effected specified groups, the number of beneficieries and the projected budget allocation to the programmes:</w:t>
      </w:r>
    </w:p>
    <w:p w:rsidR="00E85A22" w:rsidRPr="00E85A22" w:rsidRDefault="00E85A22" w:rsidP="00E85A22">
      <w:pPr>
        <w:pStyle w:val="ListParagraph"/>
        <w:ind w:left="0"/>
        <w:jc w:val="both"/>
        <w:rPr>
          <w:rFonts w:ascii="Arial" w:eastAsiaTheme="minorHAnsi" w:hAnsi="Arial" w:cs="Arial"/>
          <w:lang w:val="af-ZA"/>
        </w:rPr>
      </w:pPr>
    </w:p>
    <w:tbl>
      <w:tblPr>
        <w:tblStyle w:val="TableGrid"/>
        <w:tblW w:w="8487" w:type="dxa"/>
        <w:tblInd w:w="817" w:type="dxa"/>
        <w:tblLook w:val="0420" w:firstRow="1" w:lastRow="0" w:firstColumn="0" w:lastColumn="0" w:noHBand="0" w:noVBand="1"/>
      </w:tblPr>
      <w:tblGrid>
        <w:gridCol w:w="2693"/>
        <w:gridCol w:w="2790"/>
        <w:gridCol w:w="3004"/>
      </w:tblGrid>
      <w:tr w:rsidR="00E85A22" w:rsidRPr="00E85A22" w:rsidTr="00DE3457">
        <w:trPr>
          <w:trHeight w:val="326"/>
        </w:trPr>
        <w:tc>
          <w:tcPr>
            <w:tcW w:w="2693"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b/>
                <w:bCs/>
                <w:color w:val="000000" w:themeColor="text1"/>
                <w:kern w:val="24"/>
                <w:lang w:val="en-ZA" w:eastAsia="en-ZA"/>
              </w:rPr>
              <w:t>PROGRAMME</w:t>
            </w:r>
          </w:p>
        </w:tc>
        <w:tc>
          <w:tcPr>
            <w:tcW w:w="2790"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b/>
                <w:bCs/>
                <w:color w:val="000000" w:themeColor="text1"/>
                <w:kern w:val="24"/>
                <w:lang w:val="en-ZA" w:eastAsia="en-ZA"/>
              </w:rPr>
              <w:t>TOTAL NUMBER</w:t>
            </w:r>
          </w:p>
        </w:tc>
        <w:tc>
          <w:tcPr>
            <w:tcW w:w="3004"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b/>
                <w:bCs/>
                <w:color w:val="000000" w:themeColor="text1"/>
                <w:kern w:val="24"/>
                <w:lang w:val="en-ZA" w:eastAsia="en-ZA"/>
              </w:rPr>
              <w:t>BUDGET</w:t>
            </w:r>
          </w:p>
        </w:tc>
      </w:tr>
      <w:tr w:rsidR="00E85A22" w:rsidRPr="00E85A22" w:rsidTr="00DE3457">
        <w:trPr>
          <w:trHeight w:val="680"/>
        </w:trPr>
        <w:tc>
          <w:tcPr>
            <w:tcW w:w="2693"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color w:val="000000" w:themeColor="text1"/>
                <w:kern w:val="24"/>
                <w:lang w:val="en-ZA" w:eastAsia="en-ZA"/>
              </w:rPr>
              <w:t>Community Nutrition &amp; Dev</w:t>
            </w:r>
            <w:r>
              <w:rPr>
                <w:rFonts w:ascii="Arial" w:hAnsi="Arial" w:cs="Arial"/>
                <w:color w:val="000000" w:themeColor="text1"/>
                <w:kern w:val="24"/>
                <w:lang w:val="en-ZA" w:eastAsia="en-ZA"/>
              </w:rPr>
              <w:t>elopmen</w:t>
            </w:r>
            <w:r w:rsidRPr="00E85A22">
              <w:rPr>
                <w:rFonts w:ascii="Arial" w:hAnsi="Arial" w:cs="Arial"/>
                <w:color w:val="000000" w:themeColor="text1"/>
                <w:kern w:val="24"/>
                <w:lang w:val="en-ZA" w:eastAsia="en-ZA"/>
              </w:rPr>
              <w:t>t Centres (CNDCs)</w:t>
            </w:r>
          </w:p>
        </w:tc>
        <w:tc>
          <w:tcPr>
            <w:tcW w:w="2790"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color w:val="000000" w:themeColor="text1"/>
                <w:kern w:val="24"/>
                <w:lang w:val="en-ZA" w:eastAsia="en-ZA"/>
              </w:rPr>
              <w:t xml:space="preserve">166 CNDCs reaching about </w:t>
            </w:r>
            <w:r w:rsidRPr="00E85A22">
              <w:rPr>
                <w:rFonts w:ascii="Arial" w:eastAsia="ヒラギノ角ゴ Pro W3" w:hAnsi="Arial" w:cs="Arial"/>
                <w:color w:val="000000" w:themeColor="text1"/>
                <w:kern w:val="24"/>
                <w:lang w:val="en-ZA" w:eastAsia="en-ZA"/>
              </w:rPr>
              <w:t>1,901 952 beneficiaries</w:t>
            </w:r>
          </w:p>
        </w:tc>
        <w:tc>
          <w:tcPr>
            <w:tcW w:w="3004" w:type="dxa"/>
            <w:hideMark/>
          </w:tcPr>
          <w:p w:rsidR="00E85A22" w:rsidRPr="00E85A22" w:rsidRDefault="00E85A22" w:rsidP="00E85A22">
            <w:pPr>
              <w:textAlignment w:val="bottom"/>
              <w:rPr>
                <w:rFonts w:ascii="Arial" w:hAnsi="Arial" w:cs="Arial"/>
                <w:color w:val="000000" w:themeColor="text1"/>
                <w:lang w:val="en-ZA" w:eastAsia="en-ZA"/>
              </w:rPr>
            </w:pPr>
            <w:r w:rsidRPr="00E85A22">
              <w:rPr>
                <w:rFonts w:ascii="Arial" w:hAnsi="Arial" w:cs="Arial"/>
                <w:color w:val="000000" w:themeColor="text1"/>
                <w:kern w:val="24"/>
                <w:lang w:val="en-ZA" w:eastAsia="en-ZA"/>
              </w:rPr>
              <w:t xml:space="preserve">R175 million (FY 16/17)  </w:t>
            </w:r>
          </w:p>
        </w:tc>
      </w:tr>
      <w:tr w:rsidR="00E85A22" w:rsidRPr="00E85A22" w:rsidTr="00DE3457">
        <w:trPr>
          <w:trHeight w:val="609"/>
        </w:trPr>
        <w:tc>
          <w:tcPr>
            <w:tcW w:w="2693"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color w:val="000000" w:themeColor="text1"/>
                <w:kern w:val="24"/>
                <w:lang w:val="en-ZA" w:eastAsia="en-ZA"/>
              </w:rPr>
              <w:t>Drop Inn Centres (DIC)</w:t>
            </w:r>
          </w:p>
        </w:tc>
        <w:tc>
          <w:tcPr>
            <w:tcW w:w="2790" w:type="dxa"/>
            <w:hideMark/>
          </w:tcPr>
          <w:p w:rsidR="00E85A22" w:rsidRPr="00E85A22" w:rsidRDefault="00E85A22" w:rsidP="00E85A22">
            <w:pPr>
              <w:rPr>
                <w:rFonts w:ascii="Arial" w:hAnsi="Arial" w:cs="Arial"/>
                <w:color w:val="000000" w:themeColor="text1"/>
                <w:lang w:val="en-ZA" w:eastAsia="en-ZA"/>
              </w:rPr>
            </w:pPr>
            <w:r w:rsidRPr="00E85A22">
              <w:rPr>
                <w:rFonts w:ascii="Arial" w:eastAsia="Calibri" w:hAnsi="Arial" w:cs="Arial"/>
                <w:color w:val="000000" w:themeColor="text1"/>
                <w:kern w:val="24"/>
                <w:lang w:val="en-ZA" w:eastAsia="en-ZA"/>
              </w:rPr>
              <w:t>678 DICs</w:t>
            </w:r>
          </w:p>
        </w:tc>
        <w:tc>
          <w:tcPr>
            <w:tcW w:w="3004"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color w:val="000000" w:themeColor="text1"/>
                <w:kern w:val="24"/>
                <w:lang w:val="en-ZA" w:eastAsia="en-ZA"/>
              </w:rPr>
              <w:t>R1, 7 million</w:t>
            </w:r>
          </w:p>
        </w:tc>
      </w:tr>
      <w:tr w:rsidR="00E85A22" w:rsidRPr="00E85A22" w:rsidTr="00DE3457">
        <w:trPr>
          <w:trHeight w:val="576"/>
        </w:trPr>
        <w:tc>
          <w:tcPr>
            <w:tcW w:w="2693" w:type="dxa"/>
            <w:hideMark/>
          </w:tcPr>
          <w:p w:rsidR="00E85A22" w:rsidRPr="00E85A22" w:rsidRDefault="00E85A22" w:rsidP="00E85A22">
            <w:pPr>
              <w:rPr>
                <w:rFonts w:ascii="Arial" w:hAnsi="Arial" w:cs="Arial"/>
                <w:color w:val="000000" w:themeColor="text1"/>
                <w:lang w:val="en-ZA" w:eastAsia="en-ZA"/>
              </w:rPr>
            </w:pPr>
            <w:r w:rsidRPr="00E85A22">
              <w:rPr>
                <w:rFonts w:ascii="Arial" w:hAnsi="Arial" w:cs="Arial"/>
                <w:color w:val="000000" w:themeColor="text1"/>
                <w:kern w:val="24"/>
                <w:lang w:val="en-ZA" w:eastAsia="en-ZA"/>
              </w:rPr>
              <w:t>Social Relief of Distress (SRD)</w:t>
            </w:r>
          </w:p>
        </w:tc>
        <w:tc>
          <w:tcPr>
            <w:tcW w:w="2790" w:type="dxa"/>
            <w:hideMark/>
          </w:tcPr>
          <w:p w:rsidR="00E85A22" w:rsidRPr="00E85A22" w:rsidRDefault="00E85A22" w:rsidP="00E85A22">
            <w:pPr>
              <w:rPr>
                <w:rFonts w:ascii="Arial" w:hAnsi="Arial" w:cs="Arial"/>
                <w:color w:val="000000" w:themeColor="text1"/>
                <w:lang w:val="en-ZA" w:eastAsia="en-ZA"/>
              </w:rPr>
            </w:pPr>
            <w:r w:rsidRPr="00E85A22">
              <w:rPr>
                <w:rFonts w:ascii="Arial" w:eastAsiaTheme="minorEastAsia" w:hAnsi="Arial" w:cs="Arial"/>
                <w:color w:val="000000" w:themeColor="text1"/>
                <w:kern w:val="24"/>
                <w:lang w:val="en-ZA" w:eastAsia="en-ZA"/>
              </w:rPr>
              <w:t>263 057 beneficiaries</w:t>
            </w:r>
          </w:p>
        </w:tc>
        <w:tc>
          <w:tcPr>
            <w:tcW w:w="3004" w:type="dxa"/>
            <w:hideMark/>
          </w:tcPr>
          <w:p w:rsidR="00E85A22" w:rsidRPr="00E85A22" w:rsidRDefault="00E85A22" w:rsidP="00E85A22">
            <w:pPr>
              <w:textAlignment w:val="top"/>
              <w:rPr>
                <w:rFonts w:ascii="Arial" w:hAnsi="Arial" w:cs="Arial"/>
                <w:color w:val="000000" w:themeColor="text1"/>
                <w:lang w:val="en-ZA" w:eastAsia="en-ZA"/>
              </w:rPr>
            </w:pPr>
            <w:r w:rsidRPr="00E85A22">
              <w:rPr>
                <w:rFonts w:ascii="Arial" w:eastAsiaTheme="minorEastAsia" w:hAnsi="Arial" w:cs="Arial"/>
                <w:color w:val="000000" w:themeColor="text1"/>
                <w:kern w:val="24"/>
                <w:lang w:val="en-ZA" w:eastAsia="en-ZA"/>
              </w:rPr>
              <w:t>R 450 million</w:t>
            </w:r>
          </w:p>
        </w:tc>
      </w:tr>
      <w:tr w:rsidR="00E85A22" w:rsidRPr="00E85A22" w:rsidTr="00DE3457">
        <w:trPr>
          <w:trHeight w:val="594"/>
        </w:trPr>
        <w:tc>
          <w:tcPr>
            <w:tcW w:w="2693" w:type="dxa"/>
            <w:hideMark/>
          </w:tcPr>
          <w:p w:rsidR="00E85A22" w:rsidRPr="00E85A22" w:rsidRDefault="00E85A22" w:rsidP="00E85A22">
            <w:pPr>
              <w:rPr>
                <w:rFonts w:ascii="Arial" w:hAnsi="Arial" w:cs="Arial"/>
                <w:lang w:val="en-ZA" w:eastAsia="en-ZA"/>
              </w:rPr>
            </w:pPr>
            <w:r w:rsidRPr="00E85A22">
              <w:rPr>
                <w:rFonts w:ascii="Arial" w:hAnsi="Arial" w:cs="Arial"/>
                <w:color w:val="000000" w:themeColor="dark1"/>
                <w:kern w:val="24"/>
                <w:lang w:val="en-ZA" w:eastAsia="en-ZA"/>
              </w:rPr>
              <w:t>Early Childhood Development Centres (registered)</w:t>
            </w:r>
          </w:p>
        </w:tc>
        <w:tc>
          <w:tcPr>
            <w:tcW w:w="2790" w:type="dxa"/>
            <w:hideMark/>
          </w:tcPr>
          <w:p w:rsidR="00E85A22" w:rsidRPr="00E85A22" w:rsidRDefault="00E85A22" w:rsidP="00E85A22">
            <w:pPr>
              <w:rPr>
                <w:rFonts w:ascii="Arial" w:hAnsi="Arial" w:cs="Arial"/>
                <w:lang w:val="en-ZA" w:eastAsia="en-ZA"/>
              </w:rPr>
            </w:pPr>
            <w:r w:rsidRPr="00E85A22">
              <w:rPr>
                <w:rFonts w:ascii="Arial" w:hAnsi="Arial" w:cs="Arial"/>
                <w:color w:val="000000" w:themeColor="dark1"/>
                <w:kern w:val="24"/>
                <w:lang w:val="en-ZA" w:eastAsia="en-ZA"/>
              </w:rPr>
              <w:t xml:space="preserve">26 553 ECDs &amp; </w:t>
            </w:r>
            <w:r w:rsidRPr="00E85A22">
              <w:rPr>
                <w:rFonts w:ascii="Arial" w:eastAsia="ヒラギノ角ゴ Pro W3" w:hAnsi="Arial" w:cs="Arial"/>
                <w:color w:val="000000" w:themeColor="dark1"/>
                <w:kern w:val="24"/>
                <w:lang w:val="en-ZA" w:eastAsia="en-ZA"/>
              </w:rPr>
              <w:t>1.5million children</w:t>
            </w:r>
          </w:p>
        </w:tc>
        <w:tc>
          <w:tcPr>
            <w:tcW w:w="3004" w:type="dxa"/>
            <w:hideMark/>
          </w:tcPr>
          <w:p w:rsidR="00E85A22" w:rsidRPr="00E85A22" w:rsidRDefault="00E85A22" w:rsidP="00E85A22">
            <w:pPr>
              <w:rPr>
                <w:rFonts w:ascii="Arial" w:hAnsi="Arial" w:cs="Arial"/>
                <w:lang w:val="en-ZA" w:eastAsia="en-ZA"/>
              </w:rPr>
            </w:pPr>
            <w:r w:rsidRPr="00E85A22">
              <w:rPr>
                <w:rFonts w:ascii="Arial" w:hAnsi="Arial" w:cs="Arial"/>
                <w:color w:val="000000" w:themeColor="dark1"/>
                <w:kern w:val="24"/>
                <w:lang w:val="en-ZA" w:eastAsia="en-ZA"/>
              </w:rPr>
              <w:t>R1,9 Billion</w:t>
            </w:r>
          </w:p>
        </w:tc>
      </w:tr>
      <w:tr w:rsidR="00E85A22" w:rsidRPr="00E85A22" w:rsidTr="00C31282">
        <w:trPr>
          <w:trHeight w:val="696"/>
        </w:trPr>
        <w:tc>
          <w:tcPr>
            <w:tcW w:w="2693" w:type="dxa"/>
            <w:hideMark/>
          </w:tcPr>
          <w:p w:rsidR="00E85A22" w:rsidRPr="00E85A22" w:rsidRDefault="00E85A22" w:rsidP="00E85A22">
            <w:pPr>
              <w:rPr>
                <w:rFonts w:ascii="Arial" w:hAnsi="Arial" w:cs="Arial"/>
                <w:lang w:val="en-ZA" w:eastAsia="en-ZA"/>
              </w:rPr>
            </w:pPr>
            <w:r w:rsidRPr="00E85A22">
              <w:rPr>
                <w:rFonts w:ascii="Arial" w:hAnsi="Arial" w:cs="Arial"/>
                <w:color w:val="000000" w:themeColor="dark1"/>
                <w:kern w:val="24"/>
                <w:lang w:val="en-ZA" w:eastAsia="en-ZA"/>
              </w:rPr>
              <w:t>Social assistance</w:t>
            </w:r>
          </w:p>
        </w:tc>
        <w:tc>
          <w:tcPr>
            <w:tcW w:w="2790" w:type="dxa"/>
            <w:hideMark/>
          </w:tcPr>
          <w:p w:rsidR="00E85A22" w:rsidRPr="00E85A22" w:rsidRDefault="00E85A22" w:rsidP="00E85A22">
            <w:pPr>
              <w:rPr>
                <w:rFonts w:ascii="Arial" w:hAnsi="Arial" w:cs="Arial"/>
                <w:lang w:val="en-ZA" w:eastAsia="en-ZA"/>
              </w:rPr>
            </w:pPr>
            <w:r w:rsidRPr="00E85A22">
              <w:rPr>
                <w:rFonts w:ascii="Arial" w:hAnsi="Arial" w:cs="Arial"/>
                <w:color w:val="000000" w:themeColor="dark1"/>
                <w:kern w:val="24"/>
                <w:lang w:val="en-ZA" w:eastAsia="en-ZA"/>
              </w:rPr>
              <w:t>16 million social grant beneficiaries in SA</w:t>
            </w:r>
          </w:p>
        </w:tc>
        <w:tc>
          <w:tcPr>
            <w:tcW w:w="3004" w:type="dxa"/>
            <w:hideMark/>
          </w:tcPr>
          <w:p w:rsidR="00E85A22" w:rsidRPr="00E85A22" w:rsidRDefault="00E85A22" w:rsidP="00C31282">
            <w:pPr>
              <w:rPr>
                <w:rFonts w:ascii="Arial" w:hAnsi="Arial" w:cs="Arial"/>
                <w:lang w:val="en-ZA" w:eastAsia="en-ZA"/>
              </w:rPr>
            </w:pPr>
            <w:r w:rsidRPr="00E85A22">
              <w:rPr>
                <w:rFonts w:ascii="Arial" w:eastAsia="ヒラギノ角ゴ Pro W3" w:hAnsi="Arial" w:cs="Arial"/>
                <w:color w:val="000000" w:themeColor="dark1"/>
                <w:kern w:val="24"/>
                <w:lang w:val="en-ZA" w:eastAsia="en-ZA"/>
              </w:rPr>
              <w:t xml:space="preserve">R130 Billion per year,  </w:t>
            </w:r>
          </w:p>
        </w:tc>
      </w:tr>
    </w:tbl>
    <w:p w:rsidR="00446430" w:rsidRPr="00DE3457" w:rsidRDefault="00446430" w:rsidP="00DE3457">
      <w:pPr>
        <w:spacing w:before="100" w:beforeAutospacing="1" w:after="100" w:afterAutospacing="1"/>
        <w:jc w:val="both"/>
        <w:rPr>
          <w:rFonts w:ascii="Arial" w:eastAsiaTheme="minorHAnsi" w:hAnsi="Arial" w:cs="Arial"/>
          <w:lang w:val="af-ZA"/>
        </w:rPr>
      </w:pPr>
    </w:p>
    <w:p w:rsidR="00DE3457" w:rsidRDefault="00DE3457" w:rsidP="00DE3457">
      <w:pPr>
        <w:pStyle w:val="ListParagraph"/>
        <w:numPr>
          <w:ilvl w:val="0"/>
          <w:numId w:val="8"/>
        </w:numPr>
        <w:spacing w:before="100" w:beforeAutospacing="1" w:after="100" w:afterAutospacing="1"/>
        <w:ind w:hanging="720"/>
        <w:jc w:val="both"/>
        <w:rPr>
          <w:rFonts w:ascii="Arial" w:eastAsiaTheme="minorHAnsi" w:hAnsi="Arial" w:cs="Arial"/>
          <w:lang w:val="af-ZA"/>
        </w:rPr>
      </w:pPr>
      <w:r w:rsidRPr="00C8467E">
        <w:rPr>
          <w:rFonts w:ascii="Arial" w:eastAsiaTheme="minorHAnsi" w:hAnsi="Arial" w:cs="Arial"/>
          <w:lang w:val="af-ZA"/>
        </w:rPr>
        <w:t>In the financial year 2016/17 budget speech the Minister of Finance announced the the social grants increase as follows:</w:t>
      </w:r>
    </w:p>
    <w:p w:rsidR="00DE3457" w:rsidRPr="00DE3457" w:rsidRDefault="00DE3457" w:rsidP="00DE3457">
      <w:pPr>
        <w:pStyle w:val="ListParagraph"/>
        <w:numPr>
          <w:ilvl w:val="0"/>
          <w:numId w:val="12"/>
        </w:numPr>
        <w:spacing w:before="100" w:beforeAutospacing="1" w:after="100" w:afterAutospacing="1"/>
        <w:jc w:val="both"/>
        <w:rPr>
          <w:rFonts w:ascii="Arial" w:eastAsiaTheme="minorHAnsi" w:hAnsi="Arial" w:cs="Arial"/>
          <w:lang w:val="af-ZA"/>
        </w:rPr>
      </w:pPr>
      <w:r w:rsidRPr="00DE3457">
        <w:rPr>
          <w:rFonts w:ascii="Arial" w:hAnsi="Arial" w:cs="Arial"/>
          <w:lang w:val="en" w:eastAsia="en-ZA"/>
        </w:rPr>
        <w:t>The old age, disability and care dependency grants will rise by R80 to R1 500 in April 2016 and by a further R10 to R1 510 in October.</w:t>
      </w:r>
    </w:p>
    <w:p w:rsidR="00DE3457" w:rsidRPr="00DE3457" w:rsidRDefault="00DE3457" w:rsidP="00DE3457">
      <w:pPr>
        <w:pStyle w:val="ListParagraph"/>
        <w:numPr>
          <w:ilvl w:val="0"/>
          <w:numId w:val="12"/>
        </w:numPr>
        <w:spacing w:before="100" w:beforeAutospacing="1" w:after="100" w:afterAutospacing="1"/>
        <w:jc w:val="both"/>
        <w:rPr>
          <w:rFonts w:ascii="Arial" w:eastAsiaTheme="minorHAnsi" w:hAnsi="Arial" w:cs="Arial"/>
          <w:lang w:val="af-ZA"/>
        </w:rPr>
      </w:pPr>
      <w:r w:rsidRPr="00DE3457">
        <w:rPr>
          <w:rFonts w:ascii="Arial" w:hAnsi="Arial" w:cs="Arial"/>
          <w:lang w:val="en" w:eastAsia="en-ZA"/>
        </w:rPr>
        <w:t>The child support grant will rise by R20 to R350 in April and the foster care grant by R30 to R890.</w:t>
      </w:r>
    </w:p>
    <w:p w:rsidR="00DE3457" w:rsidRPr="00C8467E" w:rsidRDefault="00DE3457" w:rsidP="00DE3457">
      <w:pPr>
        <w:pStyle w:val="ListParagraph"/>
        <w:spacing w:before="100" w:beforeAutospacing="1" w:after="100" w:afterAutospacing="1"/>
        <w:jc w:val="both"/>
        <w:rPr>
          <w:rFonts w:ascii="Arial" w:eastAsiaTheme="minorHAnsi" w:hAnsi="Arial" w:cs="Arial"/>
          <w:lang w:val="af-ZA"/>
        </w:rPr>
      </w:pPr>
    </w:p>
    <w:p w:rsidR="00C31282" w:rsidRDefault="00DE3457" w:rsidP="00C31282">
      <w:pPr>
        <w:pStyle w:val="ListParagraph"/>
        <w:spacing w:before="100" w:beforeAutospacing="1" w:after="100" w:afterAutospacing="1"/>
        <w:ind w:left="709"/>
        <w:jc w:val="both"/>
        <w:rPr>
          <w:rFonts w:ascii="Arial" w:eastAsiaTheme="minorHAnsi" w:hAnsi="Arial" w:cs="Arial"/>
          <w:lang w:val="af-ZA"/>
        </w:rPr>
      </w:pPr>
      <w:r w:rsidRPr="00C8467E">
        <w:rPr>
          <w:rFonts w:ascii="Arial" w:eastAsiaTheme="minorHAnsi" w:hAnsi="Arial" w:cs="Arial"/>
          <w:lang w:val="en-ZA"/>
        </w:rPr>
        <w:t>This</w:t>
      </w:r>
      <w:r w:rsidRPr="00C8467E">
        <w:rPr>
          <w:rFonts w:ascii="Arial" w:hAnsi="Arial" w:cs="Arial"/>
          <w:lang w:val="en" w:eastAsia="en-ZA"/>
        </w:rPr>
        <w:t xml:space="preserve"> overall </w:t>
      </w:r>
      <w:r>
        <w:rPr>
          <w:rFonts w:ascii="Arial" w:hAnsi="Arial" w:cs="Arial"/>
          <w:lang w:val="en" w:eastAsia="en-ZA"/>
        </w:rPr>
        <w:t xml:space="preserve">increased </w:t>
      </w:r>
      <w:r w:rsidRPr="00C8467E">
        <w:rPr>
          <w:rFonts w:ascii="Arial" w:hAnsi="Arial" w:cs="Arial"/>
          <w:lang w:val="en" w:eastAsia="en-ZA"/>
        </w:rPr>
        <w:t xml:space="preserve">expenditure on social assistance from R129 billion to R165 billion in 2018/19 </w:t>
      </w:r>
      <w:r w:rsidRPr="00C8467E">
        <w:rPr>
          <w:rFonts w:ascii="Arial" w:eastAsiaTheme="minorHAnsi" w:hAnsi="Arial" w:cs="Arial"/>
          <w:lang w:val="en-ZA"/>
        </w:rPr>
        <w:t>reflects a decisive intention to curb food insecurity challenges amongst the poor and vulnerable people in our country.</w:t>
      </w:r>
      <w:r>
        <w:rPr>
          <w:rFonts w:ascii="Arial" w:eastAsiaTheme="minorHAnsi" w:hAnsi="Arial" w:cs="Arial"/>
          <w:lang w:val="en-ZA"/>
        </w:rPr>
        <w:t xml:space="preserve"> This will also curb the impact of drought amongst food insecure and vulnerable citizens.</w:t>
      </w:r>
      <w:r w:rsidR="00C20986" w:rsidRPr="000856CD">
        <w:rPr>
          <w:rFonts w:ascii="Arial" w:eastAsiaTheme="minorHAnsi" w:hAnsi="Arial" w:cs="Arial"/>
          <w:lang w:val="af-ZA"/>
        </w:rPr>
        <w:tab/>
      </w:r>
      <w:r w:rsidR="00C20986" w:rsidRPr="000856CD">
        <w:rPr>
          <w:rFonts w:ascii="Arial" w:eastAsiaTheme="minorHAnsi" w:hAnsi="Arial" w:cs="Arial"/>
          <w:lang w:val="af-ZA"/>
        </w:rPr>
        <w:tab/>
      </w:r>
      <w:r w:rsidR="00C20986" w:rsidRPr="000856CD">
        <w:rPr>
          <w:rFonts w:ascii="Arial" w:eastAsiaTheme="minorHAnsi" w:hAnsi="Arial" w:cs="Arial"/>
          <w:lang w:val="af-ZA"/>
        </w:rPr>
        <w:tab/>
      </w:r>
      <w:r w:rsidR="00C20986" w:rsidRPr="000856CD">
        <w:rPr>
          <w:rFonts w:ascii="Arial" w:eastAsiaTheme="minorHAnsi" w:hAnsi="Arial" w:cs="Arial"/>
          <w:lang w:val="af-ZA"/>
        </w:rPr>
        <w:tab/>
      </w:r>
      <w:r w:rsidR="00C20986" w:rsidRPr="000856CD">
        <w:rPr>
          <w:rFonts w:ascii="Arial" w:eastAsiaTheme="minorHAnsi" w:hAnsi="Arial" w:cs="Arial"/>
          <w:lang w:val="af-ZA"/>
        </w:rPr>
        <w:tab/>
      </w:r>
      <w:r w:rsidR="00C20986" w:rsidRPr="000856CD">
        <w:rPr>
          <w:rFonts w:ascii="Arial" w:eastAsiaTheme="minorHAnsi" w:hAnsi="Arial" w:cs="Arial"/>
          <w:lang w:val="af-ZA"/>
        </w:rPr>
        <w:tab/>
      </w:r>
    </w:p>
    <w:sectPr w:rsidR="00C31282"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60" w:rsidRDefault="00E41660" w:rsidP="0050056C">
      <w:pPr>
        <w:pStyle w:val="BodyTextIndent"/>
        <w:spacing w:line="240" w:lineRule="auto"/>
      </w:pPr>
      <w:r>
        <w:separator/>
      </w:r>
    </w:p>
  </w:endnote>
  <w:endnote w:type="continuationSeparator" w:id="0">
    <w:p w:rsidR="00E41660" w:rsidRDefault="00E41660"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FB449A">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60" w:rsidRDefault="00E41660" w:rsidP="0050056C">
      <w:pPr>
        <w:pStyle w:val="BodyTextIndent"/>
        <w:spacing w:line="240" w:lineRule="auto"/>
      </w:pPr>
      <w:r>
        <w:separator/>
      </w:r>
    </w:p>
  </w:footnote>
  <w:footnote w:type="continuationSeparator" w:id="0">
    <w:p w:rsidR="00E41660" w:rsidRDefault="00E41660"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4581A89"/>
    <w:multiLevelType w:val="hybridMultilevel"/>
    <w:tmpl w:val="53B607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3975809"/>
    <w:multiLevelType w:val="multilevel"/>
    <w:tmpl w:val="366C4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C818C1"/>
    <w:multiLevelType w:val="hybridMultilevel"/>
    <w:tmpl w:val="C256CFEC"/>
    <w:lvl w:ilvl="0" w:tplc="8514B2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D754E1E"/>
    <w:multiLevelType w:val="hybridMultilevel"/>
    <w:tmpl w:val="439C3F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F591E5A"/>
    <w:multiLevelType w:val="hybridMultilevel"/>
    <w:tmpl w:val="50DC62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0"/>
  </w:num>
  <w:num w:numId="5">
    <w:abstractNumId w:val="11"/>
  </w:num>
  <w:num w:numId="6">
    <w:abstractNumId w:val="6"/>
  </w:num>
  <w:num w:numId="7">
    <w:abstractNumId w:val="10"/>
  </w:num>
  <w:num w:numId="8">
    <w:abstractNumId w:val="3"/>
  </w:num>
  <w:num w:numId="9">
    <w:abstractNumId w:val="7"/>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65DE"/>
    <w:rsid w:val="001467A0"/>
    <w:rsid w:val="00146851"/>
    <w:rsid w:val="00147F2F"/>
    <w:rsid w:val="001577EE"/>
    <w:rsid w:val="001631B2"/>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3A79"/>
    <w:rsid w:val="002B409B"/>
    <w:rsid w:val="002B63A0"/>
    <w:rsid w:val="002C23D2"/>
    <w:rsid w:val="002D33B3"/>
    <w:rsid w:val="002E7CD1"/>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41C5"/>
    <w:rsid w:val="003C5DEC"/>
    <w:rsid w:val="003E1F89"/>
    <w:rsid w:val="003E31CC"/>
    <w:rsid w:val="003F1C15"/>
    <w:rsid w:val="003F2063"/>
    <w:rsid w:val="00401079"/>
    <w:rsid w:val="004042DC"/>
    <w:rsid w:val="004069FA"/>
    <w:rsid w:val="0044098C"/>
    <w:rsid w:val="00441AC5"/>
    <w:rsid w:val="00446430"/>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57C69"/>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77DEF"/>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4919"/>
    <w:rsid w:val="00804E20"/>
    <w:rsid w:val="00816285"/>
    <w:rsid w:val="00830D9E"/>
    <w:rsid w:val="00841950"/>
    <w:rsid w:val="00842ABB"/>
    <w:rsid w:val="00842CA4"/>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5A62"/>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0986"/>
    <w:rsid w:val="00C25C83"/>
    <w:rsid w:val="00C277D1"/>
    <w:rsid w:val="00C31282"/>
    <w:rsid w:val="00C34F95"/>
    <w:rsid w:val="00C500A3"/>
    <w:rsid w:val="00C54516"/>
    <w:rsid w:val="00C60B5A"/>
    <w:rsid w:val="00C6703E"/>
    <w:rsid w:val="00C7081A"/>
    <w:rsid w:val="00C75E7B"/>
    <w:rsid w:val="00C767DA"/>
    <w:rsid w:val="00C82E31"/>
    <w:rsid w:val="00C8467E"/>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15C"/>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E2E73"/>
    <w:rsid w:val="00DE3457"/>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1660"/>
    <w:rsid w:val="00E432F6"/>
    <w:rsid w:val="00E4593D"/>
    <w:rsid w:val="00E62048"/>
    <w:rsid w:val="00E6392C"/>
    <w:rsid w:val="00E65D08"/>
    <w:rsid w:val="00E66A33"/>
    <w:rsid w:val="00E73E11"/>
    <w:rsid w:val="00E75768"/>
    <w:rsid w:val="00E82C8A"/>
    <w:rsid w:val="00E83D54"/>
    <w:rsid w:val="00E858FF"/>
    <w:rsid w:val="00E85A22"/>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15A2"/>
    <w:rsid w:val="00F736C3"/>
    <w:rsid w:val="00F807FB"/>
    <w:rsid w:val="00F83B70"/>
    <w:rsid w:val="00F942A5"/>
    <w:rsid w:val="00F94740"/>
    <w:rsid w:val="00F963E7"/>
    <w:rsid w:val="00F977BA"/>
    <w:rsid w:val="00FA24EA"/>
    <w:rsid w:val="00FA2E79"/>
    <w:rsid w:val="00FB0ADD"/>
    <w:rsid w:val="00FB1D2C"/>
    <w:rsid w:val="00FB449A"/>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F0B73-3F0B-4137-9EAF-DE5D551D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51538">
      <w:bodyDiv w:val="1"/>
      <w:marLeft w:val="0"/>
      <w:marRight w:val="0"/>
      <w:marTop w:val="0"/>
      <w:marBottom w:val="0"/>
      <w:divBdr>
        <w:top w:val="none" w:sz="0" w:space="0" w:color="auto"/>
        <w:left w:val="none" w:sz="0" w:space="0" w:color="auto"/>
        <w:bottom w:val="none" w:sz="0" w:space="0" w:color="auto"/>
        <w:right w:val="none" w:sz="0" w:space="0" w:color="auto"/>
      </w:divBdr>
      <w:divsChild>
        <w:div w:id="296686528">
          <w:marLeft w:val="0"/>
          <w:marRight w:val="0"/>
          <w:marTop w:val="0"/>
          <w:marBottom w:val="0"/>
          <w:divBdr>
            <w:top w:val="none" w:sz="0" w:space="0" w:color="auto"/>
            <w:left w:val="none" w:sz="0" w:space="0" w:color="auto"/>
            <w:bottom w:val="none" w:sz="0" w:space="0" w:color="auto"/>
            <w:right w:val="none" w:sz="0" w:space="0" w:color="auto"/>
          </w:divBdr>
          <w:divsChild>
            <w:div w:id="1117483547">
              <w:marLeft w:val="0"/>
              <w:marRight w:val="0"/>
              <w:marTop w:val="0"/>
              <w:marBottom w:val="0"/>
              <w:divBdr>
                <w:top w:val="none" w:sz="0" w:space="0" w:color="auto"/>
                <w:left w:val="none" w:sz="0" w:space="0" w:color="auto"/>
                <w:bottom w:val="none" w:sz="0" w:space="0" w:color="auto"/>
                <w:right w:val="none" w:sz="0" w:space="0" w:color="auto"/>
              </w:divBdr>
              <w:divsChild>
                <w:div w:id="429008216">
                  <w:marLeft w:val="0"/>
                  <w:marRight w:val="0"/>
                  <w:marTop w:val="0"/>
                  <w:marBottom w:val="0"/>
                  <w:divBdr>
                    <w:top w:val="none" w:sz="0" w:space="0" w:color="auto"/>
                    <w:left w:val="none" w:sz="0" w:space="0" w:color="auto"/>
                    <w:bottom w:val="none" w:sz="0" w:space="0" w:color="auto"/>
                    <w:right w:val="none" w:sz="0" w:space="0" w:color="auto"/>
                  </w:divBdr>
                  <w:divsChild>
                    <w:div w:id="535701084">
                      <w:marLeft w:val="0"/>
                      <w:marRight w:val="0"/>
                      <w:marTop w:val="0"/>
                      <w:marBottom w:val="0"/>
                      <w:divBdr>
                        <w:top w:val="none" w:sz="0" w:space="0" w:color="auto"/>
                        <w:left w:val="none" w:sz="0" w:space="0" w:color="auto"/>
                        <w:bottom w:val="none" w:sz="0" w:space="0" w:color="auto"/>
                        <w:right w:val="none" w:sz="0" w:space="0" w:color="auto"/>
                      </w:divBdr>
                      <w:divsChild>
                        <w:div w:id="20679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529596">
      <w:bodyDiv w:val="1"/>
      <w:marLeft w:val="0"/>
      <w:marRight w:val="0"/>
      <w:marTop w:val="0"/>
      <w:marBottom w:val="0"/>
      <w:divBdr>
        <w:top w:val="none" w:sz="0" w:space="0" w:color="auto"/>
        <w:left w:val="none" w:sz="0" w:space="0" w:color="auto"/>
        <w:bottom w:val="none" w:sz="0" w:space="0" w:color="auto"/>
        <w:right w:val="none" w:sz="0" w:space="0" w:color="auto"/>
      </w:divBdr>
    </w:div>
    <w:div w:id="1954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310E-8C9D-4DFB-A593-A23B06A2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Gcina Matakane</cp:lastModifiedBy>
  <cp:revision>2</cp:revision>
  <dcterms:created xsi:type="dcterms:W3CDTF">2016-05-20T13:47:00Z</dcterms:created>
  <dcterms:modified xsi:type="dcterms:W3CDTF">2016-05-20T13:47:00Z</dcterms:modified>
</cp:coreProperties>
</file>