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6A6B0A">
        <w:rPr>
          <w:b/>
          <w:bCs/>
          <w:sz w:val="24"/>
          <w:u w:val="single"/>
        </w:rPr>
        <w:t>1</w:t>
      </w:r>
      <w:r w:rsidR="002B10C3">
        <w:rPr>
          <w:b/>
          <w:bCs/>
          <w:sz w:val="24"/>
          <w:u w:val="single"/>
        </w:rPr>
        <w:t>3</w:t>
      </w:r>
      <w:r w:rsidR="00C01DF3">
        <w:rPr>
          <w:b/>
          <w:bCs/>
          <w:sz w:val="24"/>
          <w:u w:val="single"/>
        </w:rPr>
        <w:t>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B10C3">
        <w:rPr>
          <w:b/>
          <w:bCs/>
          <w:sz w:val="24"/>
          <w:u w:val="single"/>
        </w:rPr>
        <w:t>12</w:t>
      </w:r>
      <w:r w:rsidR="006C19F1">
        <w:rPr>
          <w:b/>
          <w:bCs/>
          <w:sz w:val="24"/>
          <w:u w:val="single"/>
        </w:rPr>
        <w:t xml:space="preserve">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2B10C3">
        <w:rPr>
          <w:b/>
          <w:bCs/>
          <w:sz w:val="24"/>
          <w:u w:val="single"/>
        </w:rPr>
        <w:t>20</w:t>
      </w:r>
      <w:r w:rsidRPr="00294557">
        <w:rPr>
          <w:b/>
          <w:bCs/>
          <w:sz w:val="24"/>
          <w:u w:val="single"/>
        </w:rPr>
        <w:t>)</w:t>
      </w:r>
    </w:p>
    <w:p w:rsidR="00C01DF3" w:rsidRPr="00C01DF3" w:rsidRDefault="00C01DF3" w:rsidP="00C01DF3">
      <w:pPr>
        <w:spacing w:before="100" w:beforeAutospacing="1" w:after="100" w:afterAutospacing="1"/>
        <w:jc w:val="both"/>
        <w:outlineLvl w:val="0"/>
        <w:rPr>
          <w:rFonts w:eastAsia="Calibri"/>
          <w:b/>
          <w:sz w:val="24"/>
          <w:u w:val="single"/>
        </w:rPr>
      </w:pPr>
      <w:r w:rsidRPr="00C01DF3">
        <w:rPr>
          <w:rFonts w:eastAsia="Calibri"/>
          <w:b/>
          <w:sz w:val="24"/>
          <w:u w:val="single"/>
        </w:rPr>
        <w:t>Mr P A van Staden (FF Plus) to ask the Minister of Health</w:t>
      </w:r>
      <w:r w:rsidRPr="00C01DF3">
        <w:rPr>
          <w:rFonts w:eastAsia="Calibri"/>
          <w:b/>
          <w:sz w:val="24"/>
          <w:u w:val="single"/>
        </w:rPr>
        <w:fldChar w:fldCharType="begin"/>
      </w:r>
      <w:r w:rsidRPr="00C01DF3">
        <w:rPr>
          <w:sz w:val="24"/>
          <w:u w:val="single"/>
        </w:rPr>
        <w:instrText xml:space="preserve"> XE "</w:instrText>
      </w:r>
      <w:r w:rsidRPr="00C01DF3">
        <w:rPr>
          <w:rFonts w:eastAsia="Calibri"/>
          <w:b/>
          <w:sz w:val="24"/>
          <w:u w:val="single"/>
        </w:rPr>
        <w:instrText>Health</w:instrText>
      </w:r>
      <w:r w:rsidRPr="00C01DF3">
        <w:rPr>
          <w:sz w:val="24"/>
          <w:u w:val="single"/>
        </w:rPr>
        <w:instrText xml:space="preserve">" </w:instrText>
      </w:r>
      <w:r w:rsidRPr="00C01DF3">
        <w:rPr>
          <w:rFonts w:eastAsia="Calibri"/>
          <w:b/>
          <w:sz w:val="24"/>
          <w:u w:val="single"/>
        </w:rPr>
        <w:fldChar w:fldCharType="end"/>
      </w:r>
      <w:r w:rsidRPr="00C01DF3">
        <w:rPr>
          <w:rFonts w:eastAsia="Calibri"/>
          <w:b/>
          <w:sz w:val="24"/>
          <w:u w:val="single"/>
        </w:rPr>
        <w:t>:</w:t>
      </w:r>
    </w:p>
    <w:p w:rsidR="00C01DF3" w:rsidRPr="00C01DF3" w:rsidRDefault="00C01DF3" w:rsidP="00C01DF3">
      <w:pPr>
        <w:pStyle w:val="ListParagraph"/>
        <w:spacing w:before="100" w:beforeAutospacing="1" w:after="100" w:afterAutospacing="1"/>
        <w:ind w:left="709" w:hanging="720"/>
        <w:contextualSpacing w:val="0"/>
        <w:jc w:val="both"/>
        <w:rPr>
          <w:sz w:val="24"/>
        </w:rPr>
      </w:pPr>
      <w:r w:rsidRPr="00C01DF3">
        <w:rPr>
          <w:sz w:val="24"/>
        </w:rPr>
        <w:t>(1)</w:t>
      </w:r>
      <w:r w:rsidRPr="00C01DF3">
        <w:rPr>
          <w:sz w:val="24"/>
        </w:rPr>
        <w:tab/>
        <w:t>What measures has his department put in place to make quarantine facilities that he has earmarked for persons with Covid-19 infections fully compliant and ready to serve their purpose;</w:t>
      </w:r>
    </w:p>
    <w:p w:rsidR="00C01DF3" w:rsidRPr="00C01DF3" w:rsidRDefault="00C01DF3" w:rsidP="00C01DF3">
      <w:pPr>
        <w:pStyle w:val="ListParagraph"/>
        <w:spacing w:before="100" w:beforeAutospacing="1" w:after="100" w:afterAutospacing="1"/>
        <w:ind w:left="709" w:hanging="720"/>
        <w:contextualSpacing w:val="0"/>
        <w:jc w:val="both"/>
        <w:rPr>
          <w:sz w:val="24"/>
        </w:rPr>
      </w:pPr>
      <w:r w:rsidRPr="00C01DF3">
        <w:rPr>
          <w:sz w:val="24"/>
        </w:rPr>
        <w:t>(2)</w:t>
      </w:r>
      <w:r w:rsidRPr="00C01DF3">
        <w:rPr>
          <w:sz w:val="24"/>
        </w:rPr>
        <w:tab/>
        <w:t>whether the specified quarantine facilities are equipped with (a) sufficient water, (b) electricity, (c) clean beds and bedding and (d) food; if not, why not; if so, what are the relevant details;</w:t>
      </w:r>
    </w:p>
    <w:p w:rsidR="00C01DF3" w:rsidRPr="00C01DF3" w:rsidRDefault="00C01DF3" w:rsidP="00C01DF3">
      <w:pPr>
        <w:pStyle w:val="ListParagraph"/>
        <w:spacing w:before="100" w:beforeAutospacing="1" w:after="100" w:afterAutospacing="1"/>
        <w:ind w:left="709" w:hanging="720"/>
        <w:contextualSpacing w:val="0"/>
        <w:jc w:val="both"/>
        <w:rPr>
          <w:sz w:val="24"/>
        </w:rPr>
      </w:pPr>
      <w:r w:rsidRPr="00C01DF3">
        <w:rPr>
          <w:sz w:val="24"/>
        </w:rPr>
        <w:t>(3)</w:t>
      </w:r>
      <w:r w:rsidRPr="00C01DF3">
        <w:rPr>
          <w:sz w:val="24"/>
        </w:rPr>
        <w:tab/>
        <w:t>whether the necessary inspections have been conducted to confirm that the quarantine facilities meet the minimum requirements of a quarantine facility; if not, why not; if so, what are the relevant details;</w:t>
      </w:r>
    </w:p>
    <w:p w:rsidR="00C01DF3" w:rsidRPr="00C01DF3" w:rsidRDefault="00C01DF3" w:rsidP="00C01DF3">
      <w:pPr>
        <w:pStyle w:val="ListParagraph"/>
        <w:spacing w:before="100" w:beforeAutospacing="1" w:after="100" w:afterAutospacing="1"/>
        <w:ind w:left="709" w:hanging="720"/>
        <w:contextualSpacing w:val="0"/>
        <w:jc w:val="both"/>
        <w:rPr>
          <w:sz w:val="24"/>
        </w:rPr>
      </w:pPr>
      <w:r w:rsidRPr="00C01DF3">
        <w:rPr>
          <w:sz w:val="24"/>
        </w:rPr>
        <w:t>(4)</w:t>
      </w:r>
      <w:r w:rsidRPr="00C01DF3">
        <w:rPr>
          <w:sz w:val="24"/>
        </w:rPr>
        <w:tab/>
        <w:t xml:space="preserve">(a) what is the total number of </w:t>
      </w:r>
      <w:r w:rsidRPr="00C01DF3">
        <w:rPr>
          <w:sz w:val="24"/>
          <w:lang w:val="af-ZA"/>
        </w:rPr>
        <w:t>quarantine</w:t>
      </w:r>
      <w:r w:rsidRPr="00C01DF3">
        <w:rPr>
          <w:sz w:val="24"/>
        </w:rPr>
        <w:t xml:space="preserve"> facilities earmarked for persons with Covid-19 infections and (b) where is each such facility located;</w:t>
      </w:r>
    </w:p>
    <w:p w:rsidR="00786C98" w:rsidRPr="00E161E9" w:rsidRDefault="00C01DF3" w:rsidP="00C01DF3">
      <w:pPr>
        <w:spacing w:before="100" w:beforeAutospacing="1" w:after="100" w:afterAutospacing="1"/>
        <w:jc w:val="both"/>
        <w:rPr>
          <w:b/>
          <w:bCs/>
          <w:sz w:val="24"/>
          <w:lang w:val="en-US"/>
        </w:rPr>
      </w:pPr>
      <w:r w:rsidRPr="00C01DF3">
        <w:rPr>
          <w:rFonts w:eastAsia="Calibri"/>
          <w:sz w:val="24"/>
        </w:rPr>
        <w:t>(5)</w:t>
      </w:r>
      <w:r w:rsidRPr="00C01DF3">
        <w:rPr>
          <w:rFonts w:eastAsia="Calibri"/>
          <w:sz w:val="24"/>
          <w:lang w:val="af-ZA"/>
        </w:rPr>
        <w:tab/>
        <w:t xml:space="preserve">whether </w:t>
      </w:r>
      <w:r w:rsidRPr="00C01DF3">
        <w:rPr>
          <w:rFonts w:eastAsia="Calibri"/>
          <w:sz w:val="24"/>
        </w:rPr>
        <w:t>he</w:t>
      </w:r>
      <w:r w:rsidRPr="00C01DF3">
        <w:rPr>
          <w:rFonts w:eastAsia="Calibri"/>
          <w:sz w:val="24"/>
          <w:lang w:val="af-ZA"/>
        </w:rPr>
        <w:t xml:space="preserve"> will make a statement on </w:t>
      </w:r>
      <w:r w:rsidRPr="00C01DF3">
        <w:rPr>
          <w:sz w:val="24"/>
        </w:rPr>
        <w:t>the</w:t>
      </w:r>
      <w:r w:rsidRPr="00C01DF3">
        <w:rPr>
          <w:rFonts w:eastAsia="Calibri"/>
          <w:sz w:val="24"/>
          <w:lang w:val="af-ZA"/>
        </w:rPr>
        <w:t xml:space="preserve"> matter</w:t>
      </w:r>
      <w:r w:rsidRPr="00C01DF3">
        <w:rPr>
          <w:rFonts w:eastAsia="Calibri"/>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9626EF">
        <w:rPr>
          <w:color w:val="000000"/>
        </w:rPr>
        <w:t>4</w:t>
      </w:r>
      <w:r w:rsidR="00C01DF3">
        <w:rPr>
          <w:color w:val="000000"/>
        </w:rPr>
        <w:t>36</w:t>
      </w:r>
      <w:r w:rsidR="009D2E42">
        <w:rPr>
          <w:color w:val="000000"/>
        </w:rPr>
        <w:t>E</w:t>
      </w:r>
      <w:r w:rsidR="00E238C2">
        <w:rPr>
          <w:color w:val="000000"/>
          <w:szCs w:val="20"/>
        </w:rPr>
        <w:t xml:space="preserve"> </w:t>
      </w:r>
    </w:p>
    <w:p w:rsidR="00515F71" w:rsidRDefault="00E238C2" w:rsidP="00515F71">
      <w:pPr>
        <w:rPr>
          <w:b/>
          <w:bCs/>
          <w:sz w:val="24"/>
          <w:u w:val="single"/>
          <w:lang w:val="en-US"/>
        </w:rPr>
      </w:pPr>
      <w:r w:rsidRPr="00BB0548">
        <w:rPr>
          <w:b/>
          <w:bCs/>
          <w:sz w:val="24"/>
          <w:u w:val="single"/>
          <w:lang w:val="en-US"/>
        </w:rPr>
        <w:t>REPLY:</w:t>
      </w:r>
    </w:p>
    <w:p w:rsidR="00515F71" w:rsidRPr="00515F71" w:rsidRDefault="00515F71" w:rsidP="00515F71">
      <w:pPr>
        <w:rPr>
          <w:rStyle w:val="Strong"/>
          <w:sz w:val="24"/>
          <w:u w:val="single"/>
          <w:lang w:val="en-US"/>
        </w:rPr>
      </w:pPr>
    </w:p>
    <w:p w:rsidR="00515F71" w:rsidRPr="00515F71" w:rsidRDefault="00515F71" w:rsidP="00515F71">
      <w:pPr>
        <w:pStyle w:val="ListParagraph"/>
        <w:numPr>
          <w:ilvl w:val="0"/>
          <w:numId w:val="8"/>
        </w:numPr>
        <w:tabs>
          <w:tab w:val="left" w:pos="709"/>
        </w:tabs>
        <w:spacing w:after="240"/>
        <w:ind w:hanging="720"/>
        <w:contextualSpacing w:val="0"/>
        <w:jc w:val="both"/>
        <w:rPr>
          <w:rStyle w:val="Strong"/>
          <w:b w:val="0"/>
          <w:bCs w:val="0"/>
          <w:sz w:val="24"/>
        </w:rPr>
      </w:pPr>
      <w:r w:rsidRPr="00515F71">
        <w:rPr>
          <w:rStyle w:val="Strong"/>
          <w:b w:val="0"/>
          <w:sz w:val="24"/>
        </w:rPr>
        <w:t xml:space="preserve">The process for assessing and preparing quarantine facilities is properly defined in the approved Guidelines for Quarantine and Isolation Facilities. This process entails the identification of possible sites, the assessment thereof and the operationalisation of said sites. Apart from that, there </w:t>
      </w:r>
      <w:r>
        <w:rPr>
          <w:rStyle w:val="Strong"/>
          <w:b w:val="0"/>
          <w:sz w:val="24"/>
        </w:rPr>
        <w:t xml:space="preserve">are </w:t>
      </w:r>
      <w:r w:rsidRPr="00515F71">
        <w:rPr>
          <w:rStyle w:val="Strong"/>
          <w:b w:val="0"/>
          <w:sz w:val="24"/>
        </w:rPr>
        <w:t>also a few state-owned facilities that were earmarked and prepared. This entailed basic maintenance to the sites, procurement of beds, linen and kitchen equipment and then the operationalisation of these sites again with staff, catering where necessary, PPE and me</w:t>
      </w:r>
      <w:r>
        <w:rPr>
          <w:rStyle w:val="Strong"/>
          <w:b w:val="0"/>
          <w:sz w:val="24"/>
        </w:rPr>
        <w:t>dical waste management services;</w:t>
      </w:r>
    </w:p>
    <w:p w:rsidR="00515F71" w:rsidRPr="00515F71" w:rsidRDefault="00515F71" w:rsidP="00515F71">
      <w:pPr>
        <w:pStyle w:val="ListParagraph"/>
        <w:numPr>
          <w:ilvl w:val="0"/>
          <w:numId w:val="8"/>
        </w:numPr>
        <w:tabs>
          <w:tab w:val="left" w:pos="709"/>
        </w:tabs>
        <w:spacing w:after="240"/>
        <w:ind w:hanging="720"/>
        <w:contextualSpacing w:val="0"/>
        <w:jc w:val="both"/>
        <w:rPr>
          <w:rStyle w:val="Strong"/>
          <w:b w:val="0"/>
          <w:bCs w:val="0"/>
          <w:sz w:val="24"/>
        </w:rPr>
      </w:pPr>
      <w:r w:rsidRPr="00515F71">
        <w:rPr>
          <w:rStyle w:val="Strong"/>
          <w:b w:val="0"/>
          <w:sz w:val="24"/>
        </w:rPr>
        <w:tab/>
        <w:t xml:space="preserve">Yes. Sufficient water, electricity, clean beds, bedding and food is a prerequisite for a quarantine facility. Prior to activation, sites are inspected specifically related to the above and a list of criteria as contained in the approved guidelines. Where facilities were found to not comply to these requirements, they are decommissioned and will not be utilised again. </w:t>
      </w:r>
    </w:p>
    <w:p w:rsidR="00515F71" w:rsidRPr="00515F71" w:rsidRDefault="00515F71" w:rsidP="00515F71">
      <w:pPr>
        <w:pStyle w:val="ListParagraph"/>
        <w:tabs>
          <w:tab w:val="left" w:pos="709"/>
        </w:tabs>
        <w:spacing w:after="240"/>
        <w:ind w:left="709" w:hanging="709"/>
        <w:contextualSpacing w:val="0"/>
        <w:jc w:val="both"/>
        <w:rPr>
          <w:rStyle w:val="Strong"/>
          <w:b w:val="0"/>
          <w:sz w:val="24"/>
        </w:rPr>
      </w:pPr>
      <w:r w:rsidRPr="00515F71">
        <w:rPr>
          <w:rStyle w:val="Strong"/>
          <w:b w:val="0"/>
          <w:sz w:val="24"/>
        </w:rPr>
        <w:t xml:space="preserve">(3) </w:t>
      </w:r>
      <w:r w:rsidRPr="00515F71">
        <w:rPr>
          <w:rStyle w:val="Strong"/>
          <w:b w:val="0"/>
          <w:sz w:val="24"/>
        </w:rPr>
        <w:tab/>
      </w:r>
      <w:r w:rsidRPr="00515F71">
        <w:rPr>
          <w:rStyle w:val="Strong"/>
          <w:b w:val="0"/>
          <w:sz w:val="24"/>
        </w:rPr>
        <w:tab/>
        <w:t xml:space="preserve">Yes.  Various inspections are done. There is the initial assessment to determine if a facility would meet the requirements as per the guidelines provided. All facilities need to be assessed for suitability. These assessments are done either by the National Department of Health, National Department of Public Works and Infrastructure or their provincial counterparts. </w:t>
      </w:r>
    </w:p>
    <w:p w:rsidR="00515F71" w:rsidRDefault="00515F71" w:rsidP="00515F71">
      <w:pPr>
        <w:tabs>
          <w:tab w:val="left" w:pos="709"/>
        </w:tabs>
        <w:spacing w:after="240"/>
        <w:ind w:left="709"/>
        <w:jc w:val="both"/>
        <w:rPr>
          <w:rStyle w:val="Strong"/>
          <w:b w:val="0"/>
          <w:sz w:val="24"/>
        </w:rPr>
      </w:pPr>
    </w:p>
    <w:p w:rsidR="00515F71" w:rsidRPr="00515F71" w:rsidRDefault="00515F71" w:rsidP="00515F71">
      <w:pPr>
        <w:tabs>
          <w:tab w:val="left" w:pos="709"/>
        </w:tabs>
        <w:spacing w:after="240"/>
        <w:ind w:left="709"/>
        <w:jc w:val="both"/>
        <w:rPr>
          <w:rStyle w:val="Strong"/>
          <w:b w:val="0"/>
          <w:bCs w:val="0"/>
          <w:sz w:val="24"/>
        </w:rPr>
      </w:pPr>
      <w:r w:rsidRPr="00515F71">
        <w:rPr>
          <w:rStyle w:val="Strong"/>
          <w:b w:val="0"/>
          <w:sz w:val="24"/>
        </w:rPr>
        <w:lastRenderedPageBreak/>
        <w:tab/>
        <w:t>Once activated, there is a quality assessment that is done to determine if the operational side is in place and that subsequent infection control protocols are followed. This is a relatively new function and they are only now engaging in doing these on-site audits.</w:t>
      </w:r>
    </w:p>
    <w:p w:rsidR="00515F71" w:rsidRPr="00515F71" w:rsidRDefault="00515F71" w:rsidP="00515F71">
      <w:pPr>
        <w:tabs>
          <w:tab w:val="left" w:pos="709"/>
        </w:tabs>
        <w:spacing w:after="240"/>
        <w:ind w:left="709"/>
        <w:jc w:val="both"/>
        <w:rPr>
          <w:rStyle w:val="Strong"/>
          <w:b w:val="0"/>
          <w:bCs w:val="0"/>
          <w:sz w:val="24"/>
        </w:rPr>
      </w:pPr>
      <w:r w:rsidRPr="00515F71">
        <w:rPr>
          <w:rStyle w:val="Strong"/>
          <w:b w:val="0"/>
          <w:sz w:val="24"/>
        </w:rPr>
        <w:tab/>
        <w:t xml:space="preserve">Where complaints have been received, various teams have been sent to these facilities and report on the status of these that were assessed. </w:t>
      </w:r>
    </w:p>
    <w:p w:rsidR="00515F71" w:rsidRPr="00515F71" w:rsidRDefault="00515F71" w:rsidP="00515F71">
      <w:pPr>
        <w:tabs>
          <w:tab w:val="left" w:pos="709"/>
        </w:tabs>
        <w:spacing w:before="120" w:after="120"/>
        <w:ind w:left="360" w:hanging="360"/>
        <w:jc w:val="both"/>
        <w:rPr>
          <w:rFonts w:eastAsia="Calibri"/>
          <w:sz w:val="24"/>
        </w:rPr>
      </w:pPr>
      <w:r w:rsidRPr="00515F71">
        <w:rPr>
          <w:rStyle w:val="Strong"/>
          <w:b w:val="0"/>
          <w:sz w:val="24"/>
        </w:rPr>
        <w:t>(4)</w:t>
      </w:r>
      <w:r w:rsidRPr="00515F71">
        <w:rPr>
          <w:rStyle w:val="Strong"/>
          <w:b w:val="0"/>
          <w:sz w:val="24"/>
        </w:rPr>
        <w:tab/>
      </w:r>
      <w:r w:rsidRPr="00515F71">
        <w:rPr>
          <w:rStyle w:val="Strong"/>
          <w:b w:val="0"/>
          <w:sz w:val="24"/>
        </w:rPr>
        <w:tab/>
        <w:t xml:space="preserve">(a) </w:t>
      </w:r>
      <w:r w:rsidRPr="00515F71">
        <w:rPr>
          <w:rStyle w:val="Strong"/>
          <w:b w:val="0"/>
          <w:sz w:val="24"/>
        </w:rPr>
        <w:tab/>
      </w:r>
      <w:r w:rsidRPr="00515F71">
        <w:rPr>
          <w:rFonts w:eastAsia="Calibri"/>
          <w:sz w:val="24"/>
        </w:rPr>
        <w:t>The following quarantine facilities have been activated in the provinces:</w:t>
      </w:r>
    </w:p>
    <w:tbl>
      <w:tblPr>
        <w:tblW w:w="8882" w:type="dxa"/>
        <w:tblInd w:w="1403" w:type="dxa"/>
        <w:tblLayout w:type="fixed"/>
        <w:tblCellMar>
          <w:left w:w="30" w:type="dxa"/>
          <w:right w:w="30" w:type="dxa"/>
        </w:tblCellMar>
        <w:tblLook w:val="0000" w:firstRow="0" w:lastRow="0" w:firstColumn="0" w:lastColumn="0" w:noHBand="0" w:noVBand="0"/>
      </w:tblPr>
      <w:tblGrid>
        <w:gridCol w:w="3969"/>
        <w:gridCol w:w="2835"/>
        <w:gridCol w:w="2078"/>
      </w:tblGrid>
      <w:tr w:rsidR="00515F71" w:rsidRPr="00515F71" w:rsidTr="00515F71">
        <w:trPr>
          <w:trHeight w:val="290"/>
        </w:trPr>
        <w:tc>
          <w:tcPr>
            <w:tcW w:w="3969" w:type="dxa"/>
            <w:tcBorders>
              <w:top w:val="single" w:sz="4" w:space="0" w:color="auto"/>
              <w:left w:val="single" w:sz="12" w:space="0" w:color="000000"/>
              <w:bottom w:val="single" w:sz="12" w:space="0" w:color="000000"/>
              <w:right w:val="single" w:sz="12" w:space="0" w:color="000000"/>
            </w:tcBorders>
            <w:shd w:val="clear" w:color="auto" w:fill="E36C0A" w:themeFill="accent6" w:themeFillShade="BF"/>
          </w:tcPr>
          <w:p w:rsidR="00515F71" w:rsidRPr="00515F71" w:rsidRDefault="00515F71" w:rsidP="00515F71">
            <w:pPr>
              <w:shd w:val="clear" w:color="auto" w:fill="E36C0A" w:themeFill="accent6" w:themeFillShade="BF"/>
              <w:autoSpaceDE w:val="0"/>
              <w:autoSpaceDN w:val="0"/>
              <w:adjustRightInd w:val="0"/>
              <w:spacing w:before="120" w:after="120" w:line="276" w:lineRule="auto"/>
              <w:jc w:val="both"/>
              <w:rPr>
                <w:b/>
                <w:color w:val="FFFFFF"/>
                <w:sz w:val="24"/>
              </w:rPr>
            </w:pPr>
            <w:r w:rsidRPr="00515F71">
              <w:rPr>
                <w:b/>
                <w:color w:val="FFFFFF"/>
                <w:sz w:val="24"/>
              </w:rPr>
              <w:t>(b) PROVINCE</w:t>
            </w:r>
          </w:p>
        </w:tc>
        <w:tc>
          <w:tcPr>
            <w:tcW w:w="2835" w:type="dxa"/>
            <w:tcBorders>
              <w:top w:val="single" w:sz="4" w:space="0" w:color="auto"/>
              <w:left w:val="nil"/>
              <w:bottom w:val="single" w:sz="12" w:space="0" w:color="000000"/>
              <w:right w:val="single" w:sz="12" w:space="0" w:color="000000"/>
            </w:tcBorders>
            <w:shd w:val="clear" w:color="auto" w:fill="E36C0A" w:themeFill="accent6" w:themeFillShade="BF"/>
          </w:tcPr>
          <w:p w:rsidR="00515F71" w:rsidRPr="00515F71" w:rsidRDefault="00515F71" w:rsidP="00515F71">
            <w:pPr>
              <w:pStyle w:val="ListParagraph"/>
              <w:numPr>
                <w:ilvl w:val="0"/>
                <w:numId w:val="7"/>
              </w:numPr>
              <w:shd w:val="clear" w:color="auto" w:fill="E36C0A" w:themeFill="accent6" w:themeFillShade="BF"/>
              <w:autoSpaceDE w:val="0"/>
              <w:autoSpaceDN w:val="0"/>
              <w:adjustRightInd w:val="0"/>
              <w:spacing w:before="120" w:after="120" w:line="276" w:lineRule="auto"/>
              <w:jc w:val="both"/>
              <w:rPr>
                <w:b/>
                <w:color w:val="FFFFFF"/>
                <w:sz w:val="24"/>
              </w:rPr>
            </w:pPr>
            <w:r w:rsidRPr="00515F71">
              <w:rPr>
                <w:b/>
                <w:color w:val="FFFFFF"/>
                <w:sz w:val="24"/>
              </w:rPr>
              <w:t>NO OF SITES</w:t>
            </w:r>
          </w:p>
        </w:tc>
        <w:tc>
          <w:tcPr>
            <w:tcW w:w="2078" w:type="dxa"/>
            <w:tcBorders>
              <w:top w:val="single" w:sz="4" w:space="0" w:color="auto"/>
              <w:left w:val="nil"/>
              <w:bottom w:val="single" w:sz="12" w:space="0" w:color="000000"/>
              <w:right w:val="single" w:sz="12" w:space="0" w:color="000000"/>
            </w:tcBorders>
            <w:shd w:val="clear" w:color="auto" w:fill="E36C0A" w:themeFill="accent6" w:themeFillShade="BF"/>
          </w:tcPr>
          <w:p w:rsidR="00515F71" w:rsidRPr="00515F71" w:rsidRDefault="00515F71" w:rsidP="00515F71">
            <w:pPr>
              <w:shd w:val="clear" w:color="auto" w:fill="E36C0A" w:themeFill="accent6" w:themeFillShade="BF"/>
              <w:autoSpaceDE w:val="0"/>
              <w:autoSpaceDN w:val="0"/>
              <w:adjustRightInd w:val="0"/>
              <w:spacing w:before="120" w:after="120" w:line="276" w:lineRule="auto"/>
              <w:jc w:val="both"/>
              <w:rPr>
                <w:b/>
                <w:color w:val="FFFFFF"/>
                <w:sz w:val="24"/>
              </w:rPr>
            </w:pPr>
            <w:r w:rsidRPr="00515F71">
              <w:rPr>
                <w:b/>
                <w:color w:val="FFFFFF"/>
                <w:sz w:val="24"/>
              </w:rPr>
              <w:t>NO OF BEDS</w:t>
            </w:r>
          </w:p>
        </w:tc>
      </w:tr>
      <w:tr w:rsidR="00515F71" w:rsidRPr="00515F71" w:rsidTr="00515F71">
        <w:trPr>
          <w:trHeight w:val="290"/>
        </w:trPr>
        <w:tc>
          <w:tcPr>
            <w:tcW w:w="3969" w:type="dxa"/>
            <w:tcBorders>
              <w:top w:val="nil"/>
              <w:left w:val="single" w:sz="12" w:space="0" w:color="000000"/>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Eastern Cape</w:t>
            </w:r>
          </w:p>
        </w:tc>
        <w:tc>
          <w:tcPr>
            <w:tcW w:w="2835" w:type="dxa"/>
            <w:tcBorders>
              <w:top w:val="nil"/>
              <w:left w:val="nil"/>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19</w:t>
            </w:r>
          </w:p>
        </w:tc>
        <w:tc>
          <w:tcPr>
            <w:tcW w:w="2078" w:type="dxa"/>
            <w:tcBorders>
              <w:top w:val="nil"/>
              <w:left w:val="nil"/>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662</w:t>
            </w:r>
          </w:p>
        </w:tc>
      </w:tr>
      <w:tr w:rsidR="00515F71" w:rsidRPr="00515F71" w:rsidTr="00515F71">
        <w:trPr>
          <w:trHeight w:val="290"/>
        </w:trPr>
        <w:tc>
          <w:tcPr>
            <w:tcW w:w="3969" w:type="dxa"/>
            <w:tcBorders>
              <w:top w:val="nil"/>
              <w:left w:val="single" w:sz="12" w:space="0" w:color="000000"/>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Free State</w:t>
            </w:r>
          </w:p>
        </w:tc>
        <w:tc>
          <w:tcPr>
            <w:tcW w:w="2835" w:type="dxa"/>
            <w:tcBorders>
              <w:top w:val="nil"/>
              <w:left w:val="nil"/>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5</w:t>
            </w:r>
          </w:p>
        </w:tc>
        <w:tc>
          <w:tcPr>
            <w:tcW w:w="2078" w:type="dxa"/>
            <w:tcBorders>
              <w:top w:val="nil"/>
              <w:left w:val="nil"/>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313</w:t>
            </w:r>
          </w:p>
        </w:tc>
      </w:tr>
      <w:tr w:rsidR="00515F71" w:rsidRPr="00515F71" w:rsidTr="00515F71">
        <w:trPr>
          <w:trHeight w:val="290"/>
        </w:trPr>
        <w:tc>
          <w:tcPr>
            <w:tcW w:w="3969" w:type="dxa"/>
            <w:tcBorders>
              <w:top w:val="nil"/>
              <w:left w:val="single" w:sz="12" w:space="0" w:color="000000"/>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Gauteng</w:t>
            </w:r>
          </w:p>
        </w:tc>
        <w:tc>
          <w:tcPr>
            <w:tcW w:w="2835" w:type="dxa"/>
            <w:tcBorders>
              <w:top w:val="nil"/>
              <w:left w:val="nil"/>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21</w:t>
            </w:r>
          </w:p>
        </w:tc>
        <w:tc>
          <w:tcPr>
            <w:tcW w:w="2078" w:type="dxa"/>
            <w:tcBorders>
              <w:top w:val="nil"/>
              <w:left w:val="nil"/>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6236</w:t>
            </w:r>
          </w:p>
        </w:tc>
      </w:tr>
      <w:tr w:rsidR="00515F71" w:rsidRPr="00515F71" w:rsidTr="00515F71">
        <w:trPr>
          <w:trHeight w:val="290"/>
        </w:trPr>
        <w:tc>
          <w:tcPr>
            <w:tcW w:w="3969" w:type="dxa"/>
            <w:tcBorders>
              <w:top w:val="nil"/>
              <w:left w:val="single" w:sz="12" w:space="0" w:color="000000"/>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KwaZulu-Natal</w:t>
            </w:r>
          </w:p>
        </w:tc>
        <w:tc>
          <w:tcPr>
            <w:tcW w:w="2835" w:type="dxa"/>
            <w:tcBorders>
              <w:top w:val="nil"/>
              <w:left w:val="nil"/>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48</w:t>
            </w:r>
          </w:p>
        </w:tc>
        <w:tc>
          <w:tcPr>
            <w:tcW w:w="2078" w:type="dxa"/>
            <w:tcBorders>
              <w:top w:val="nil"/>
              <w:left w:val="nil"/>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1098</w:t>
            </w:r>
          </w:p>
        </w:tc>
      </w:tr>
      <w:tr w:rsidR="00515F71" w:rsidRPr="00515F71" w:rsidTr="00515F71">
        <w:trPr>
          <w:trHeight w:val="290"/>
        </w:trPr>
        <w:tc>
          <w:tcPr>
            <w:tcW w:w="3969" w:type="dxa"/>
            <w:tcBorders>
              <w:top w:val="nil"/>
              <w:left w:val="single" w:sz="12" w:space="0" w:color="000000"/>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Limpopo</w:t>
            </w:r>
          </w:p>
        </w:tc>
        <w:tc>
          <w:tcPr>
            <w:tcW w:w="2835" w:type="dxa"/>
            <w:tcBorders>
              <w:top w:val="nil"/>
              <w:left w:val="nil"/>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6</w:t>
            </w:r>
          </w:p>
        </w:tc>
        <w:tc>
          <w:tcPr>
            <w:tcW w:w="2078" w:type="dxa"/>
            <w:tcBorders>
              <w:top w:val="nil"/>
              <w:left w:val="nil"/>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313</w:t>
            </w:r>
          </w:p>
        </w:tc>
      </w:tr>
      <w:tr w:rsidR="00515F71" w:rsidRPr="00515F71" w:rsidTr="00515F71">
        <w:trPr>
          <w:trHeight w:val="290"/>
        </w:trPr>
        <w:tc>
          <w:tcPr>
            <w:tcW w:w="3969" w:type="dxa"/>
            <w:tcBorders>
              <w:top w:val="nil"/>
              <w:left w:val="single" w:sz="12" w:space="0" w:color="000000"/>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Mpumalanga</w:t>
            </w:r>
          </w:p>
        </w:tc>
        <w:tc>
          <w:tcPr>
            <w:tcW w:w="2835" w:type="dxa"/>
            <w:tcBorders>
              <w:top w:val="nil"/>
              <w:left w:val="nil"/>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6</w:t>
            </w:r>
          </w:p>
        </w:tc>
        <w:tc>
          <w:tcPr>
            <w:tcW w:w="2078" w:type="dxa"/>
            <w:tcBorders>
              <w:top w:val="nil"/>
              <w:left w:val="nil"/>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434</w:t>
            </w:r>
          </w:p>
        </w:tc>
      </w:tr>
      <w:tr w:rsidR="00515F71" w:rsidRPr="00515F71" w:rsidTr="00515F71">
        <w:trPr>
          <w:trHeight w:val="290"/>
        </w:trPr>
        <w:tc>
          <w:tcPr>
            <w:tcW w:w="3969" w:type="dxa"/>
            <w:tcBorders>
              <w:top w:val="nil"/>
              <w:left w:val="single" w:sz="12" w:space="0" w:color="000000"/>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North West</w:t>
            </w:r>
          </w:p>
        </w:tc>
        <w:tc>
          <w:tcPr>
            <w:tcW w:w="2835" w:type="dxa"/>
            <w:tcBorders>
              <w:top w:val="nil"/>
              <w:left w:val="nil"/>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6</w:t>
            </w:r>
          </w:p>
        </w:tc>
        <w:tc>
          <w:tcPr>
            <w:tcW w:w="2078" w:type="dxa"/>
            <w:tcBorders>
              <w:top w:val="nil"/>
              <w:left w:val="nil"/>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188</w:t>
            </w:r>
          </w:p>
        </w:tc>
      </w:tr>
      <w:tr w:rsidR="00515F71" w:rsidRPr="00515F71" w:rsidTr="00515F71">
        <w:trPr>
          <w:trHeight w:val="290"/>
        </w:trPr>
        <w:tc>
          <w:tcPr>
            <w:tcW w:w="3969" w:type="dxa"/>
            <w:tcBorders>
              <w:top w:val="nil"/>
              <w:left w:val="single" w:sz="12" w:space="0" w:color="000000"/>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Northern Cape</w:t>
            </w:r>
          </w:p>
        </w:tc>
        <w:tc>
          <w:tcPr>
            <w:tcW w:w="2835" w:type="dxa"/>
            <w:tcBorders>
              <w:top w:val="nil"/>
              <w:left w:val="nil"/>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9</w:t>
            </w:r>
          </w:p>
        </w:tc>
        <w:tc>
          <w:tcPr>
            <w:tcW w:w="2078" w:type="dxa"/>
            <w:tcBorders>
              <w:top w:val="nil"/>
              <w:left w:val="nil"/>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497</w:t>
            </w:r>
          </w:p>
        </w:tc>
      </w:tr>
      <w:tr w:rsidR="00515F71" w:rsidRPr="00515F71" w:rsidTr="00515F71">
        <w:trPr>
          <w:trHeight w:val="290"/>
        </w:trPr>
        <w:tc>
          <w:tcPr>
            <w:tcW w:w="3969" w:type="dxa"/>
            <w:tcBorders>
              <w:top w:val="nil"/>
              <w:left w:val="single" w:sz="12" w:space="0" w:color="000000"/>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Western Cape</w:t>
            </w:r>
          </w:p>
        </w:tc>
        <w:tc>
          <w:tcPr>
            <w:tcW w:w="2835" w:type="dxa"/>
            <w:tcBorders>
              <w:top w:val="nil"/>
              <w:left w:val="nil"/>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16</w:t>
            </w:r>
          </w:p>
        </w:tc>
        <w:tc>
          <w:tcPr>
            <w:tcW w:w="2078" w:type="dxa"/>
            <w:tcBorders>
              <w:top w:val="nil"/>
              <w:left w:val="nil"/>
              <w:bottom w:val="single" w:sz="12" w:space="0" w:color="000000"/>
              <w:right w:val="single" w:sz="12" w:space="0" w:color="000000"/>
            </w:tcBorders>
            <w:shd w:val="solid" w:color="FFFFFF" w:fill="auto"/>
          </w:tcPr>
          <w:p w:rsidR="00515F71" w:rsidRPr="00515F71" w:rsidRDefault="00515F71" w:rsidP="00515F71">
            <w:pPr>
              <w:autoSpaceDE w:val="0"/>
              <w:autoSpaceDN w:val="0"/>
              <w:adjustRightInd w:val="0"/>
              <w:spacing w:before="120" w:after="120" w:line="276" w:lineRule="auto"/>
              <w:jc w:val="both"/>
              <w:rPr>
                <w:color w:val="000000"/>
                <w:sz w:val="24"/>
              </w:rPr>
            </w:pPr>
            <w:r w:rsidRPr="00515F71">
              <w:rPr>
                <w:color w:val="000000"/>
                <w:sz w:val="24"/>
              </w:rPr>
              <w:t>2537</w:t>
            </w:r>
          </w:p>
        </w:tc>
      </w:tr>
      <w:tr w:rsidR="00515F71" w:rsidRPr="00515F71" w:rsidTr="00515F71">
        <w:trPr>
          <w:trHeight w:val="360"/>
        </w:trPr>
        <w:tc>
          <w:tcPr>
            <w:tcW w:w="3969" w:type="dxa"/>
            <w:tcBorders>
              <w:top w:val="nil"/>
              <w:left w:val="single" w:sz="12" w:space="0" w:color="000000"/>
              <w:bottom w:val="single" w:sz="12" w:space="0" w:color="000000"/>
              <w:right w:val="single" w:sz="12" w:space="0" w:color="000000"/>
            </w:tcBorders>
            <w:shd w:val="clear" w:color="auto" w:fill="E36C0A" w:themeFill="accent6" w:themeFillShade="BF"/>
          </w:tcPr>
          <w:p w:rsidR="00515F71" w:rsidRPr="00515F71" w:rsidRDefault="00515F71" w:rsidP="00515F71">
            <w:pPr>
              <w:autoSpaceDE w:val="0"/>
              <w:autoSpaceDN w:val="0"/>
              <w:adjustRightInd w:val="0"/>
              <w:spacing w:before="120" w:after="120" w:line="276" w:lineRule="auto"/>
              <w:jc w:val="both"/>
              <w:rPr>
                <w:b/>
                <w:bCs/>
                <w:color w:val="FFFFFF" w:themeColor="background1"/>
                <w:sz w:val="24"/>
              </w:rPr>
            </w:pPr>
            <w:r w:rsidRPr="00515F71">
              <w:rPr>
                <w:b/>
                <w:bCs/>
                <w:color w:val="FFFFFF" w:themeColor="background1"/>
                <w:sz w:val="24"/>
              </w:rPr>
              <w:t>GRAND TOTAL</w:t>
            </w:r>
          </w:p>
        </w:tc>
        <w:tc>
          <w:tcPr>
            <w:tcW w:w="2835" w:type="dxa"/>
            <w:tcBorders>
              <w:top w:val="nil"/>
              <w:left w:val="nil"/>
              <w:bottom w:val="single" w:sz="12" w:space="0" w:color="000000"/>
              <w:right w:val="single" w:sz="12" w:space="0" w:color="000000"/>
            </w:tcBorders>
            <w:shd w:val="clear" w:color="auto" w:fill="E36C0A" w:themeFill="accent6" w:themeFillShade="BF"/>
          </w:tcPr>
          <w:p w:rsidR="00515F71" w:rsidRPr="00515F71" w:rsidRDefault="00515F71" w:rsidP="00515F71">
            <w:pPr>
              <w:autoSpaceDE w:val="0"/>
              <w:autoSpaceDN w:val="0"/>
              <w:adjustRightInd w:val="0"/>
              <w:spacing w:before="120" w:after="120" w:line="276" w:lineRule="auto"/>
              <w:jc w:val="both"/>
              <w:rPr>
                <w:b/>
                <w:bCs/>
                <w:color w:val="FFFFFF" w:themeColor="background1"/>
                <w:sz w:val="24"/>
              </w:rPr>
            </w:pPr>
            <w:r w:rsidRPr="00515F71">
              <w:rPr>
                <w:b/>
                <w:bCs/>
                <w:color w:val="FFFFFF" w:themeColor="background1"/>
                <w:sz w:val="24"/>
              </w:rPr>
              <w:t>136</w:t>
            </w:r>
          </w:p>
        </w:tc>
        <w:tc>
          <w:tcPr>
            <w:tcW w:w="2078" w:type="dxa"/>
            <w:tcBorders>
              <w:top w:val="nil"/>
              <w:left w:val="nil"/>
              <w:bottom w:val="single" w:sz="12" w:space="0" w:color="000000"/>
              <w:right w:val="single" w:sz="12" w:space="0" w:color="000000"/>
            </w:tcBorders>
            <w:shd w:val="clear" w:color="auto" w:fill="E36C0A" w:themeFill="accent6" w:themeFillShade="BF"/>
          </w:tcPr>
          <w:p w:rsidR="00515F71" w:rsidRPr="00515F71" w:rsidRDefault="00515F71" w:rsidP="00515F71">
            <w:pPr>
              <w:autoSpaceDE w:val="0"/>
              <w:autoSpaceDN w:val="0"/>
              <w:adjustRightInd w:val="0"/>
              <w:spacing w:before="120" w:after="120" w:line="276" w:lineRule="auto"/>
              <w:jc w:val="both"/>
              <w:rPr>
                <w:b/>
                <w:bCs/>
                <w:color w:val="FFFFFF" w:themeColor="background1"/>
                <w:sz w:val="24"/>
              </w:rPr>
            </w:pPr>
            <w:r w:rsidRPr="00515F71">
              <w:rPr>
                <w:b/>
                <w:bCs/>
                <w:color w:val="FFFFFF" w:themeColor="background1"/>
                <w:sz w:val="24"/>
              </w:rPr>
              <w:t>12278</w:t>
            </w:r>
          </w:p>
        </w:tc>
      </w:tr>
    </w:tbl>
    <w:p w:rsidR="00515F71" w:rsidRPr="00EE19DF" w:rsidRDefault="00515F71" w:rsidP="00515F71">
      <w:pPr>
        <w:spacing w:before="120" w:after="120" w:line="360" w:lineRule="auto"/>
        <w:ind w:left="360"/>
        <w:jc w:val="both"/>
        <w:rPr>
          <w:rFonts w:eastAsia="Calibri"/>
        </w:rPr>
      </w:pPr>
    </w:p>
    <w:p w:rsidR="00515F71" w:rsidRPr="00515F71" w:rsidRDefault="00515F71" w:rsidP="00515F71">
      <w:pPr>
        <w:pStyle w:val="ListParagraph"/>
        <w:tabs>
          <w:tab w:val="left" w:pos="567"/>
        </w:tabs>
        <w:ind w:left="709" w:hanging="709"/>
        <w:contextualSpacing w:val="0"/>
        <w:jc w:val="both"/>
        <w:rPr>
          <w:bCs/>
          <w:sz w:val="24"/>
        </w:rPr>
      </w:pPr>
      <w:r w:rsidRPr="00515F71">
        <w:rPr>
          <w:bCs/>
          <w:sz w:val="24"/>
          <w:lang w:val="af-ZA"/>
        </w:rPr>
        <w:t>(5)</w:t>
      </w:r>
      <w:r w:rsidRPr="00515F71">
        <w:rPr>
          <w:bCs/>
          <w:sz w:val="24"/>
          <w:lang w:val="af-ZA"/>
        </w:rPr>
        <w:tab/>
      </w:r>
      <w:r>
        <w:rPr>
          <w:bCs/>
          <w:sz w:val="24"/>
          <w:lang w:val="af-ZA"/>
        </w:rPr>
        <w:tab/>
      </w:r>
      <w:r w:rsidRPr="00515F71">
        <w:rPr>
          <w:bCs/>
          <w:sz w:val="24"/>
        </w:rPr>
        <w:t>Yes.  A statement will be made on the matter as part of media statements to update the country on the outbreak.</w:t>
      </w:r>
    </w:p>
    <w:p w:rsidR="001F3F82" w:rsidRDefault="001F3F82"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2B5" w:rsidRDefault="002E12B5">
      <w:r>
        <w:separator/>
      </w:r>
    </w:p>
  </w:endnote>
  <w:endnote w:type="continuationSeparator" w:id="0">
    <w:p w:rsidR="002E12B5" w:rsidRDefault="002E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AC5D7A">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2B5" w:rsidRDefault="002E12B5">
      <w:r>
        <w:separator/>
      </w:r>
    </w:p>
  </w:footnote>
  <w:footnote w:type="continuationSeparator" w:id="0">
    <w:p w:rsidR="002E12B5" w:rsidRDefault="002E12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0A3"/>
    <w:multiLevelType w:val="hybridMultilevel"/>
    <w:tmpl w:val="EC24A452"/>
    <w:lvl w:ilvl="0" w:tplc="6DCED4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96191"/>
    <w:multiLevelType w:val="hybridMultilevel"/>
    <w:tmpl w:val="19A63A28"/>
    <w:lvl w:ilvl="0" w:tplc="E81AEB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 w15:restartNumberingAfterBreak="0">
    <w:nsid w:val="3B5D2F81"/>
    <w:multiLevelType w:val="hybridMultilevel"/>
    <w:tmpl w:val="09FC71CE"/>
    <w:lvl w:ilvl="0" w:tplc="D7927CCC">
      <w:start w:val="2"/>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6"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7"/>
  </w:num>
  <w:num w:numId="6">
    <w:abstractNumId w:val="4"/>
  </w:num>
  <w:num w:numId="7">
    <w:abstractNumId w:val="0"/>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455A"/>
    <w:rsid w:val="0026455E"/>
    <w:rsid w:val="00267FDF"/>
    <w:rsid w:val="00271665"/>
    <w:rsid w:val="00280B70"/>
    <w:rsid w:val="002832F3"/>
    <w:rsid w:val="00294557"/>
    <w:rsid w:val="002A0E7D"/>
    <w:rsid w:val="002A5288"/>
    <w:rsid w:val="002B10C3"/>
    <w:rsid w:val="002B20CB"/>
    <w:rsid w:val="002B32D0"/>
    <w:rsid w:val="002B366B"/>
    <w:rsid w:val="002C3327"/>
    <w:rsid w:val="002C6C59"/>
    <w:rsid w:val="002C7F1D"/>
    <w:rsid w:val="002E12B5"/>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693D"/>
    <w:rsid w:val="003F6F06"/>
    <w:rsid w:val="00401D11"/>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15F71"/>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637B"/>
    <w:rsid w:val="00866D7D"/>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2C6"/>
    <w:rsid w:val="009D2E42"/>
    <w:rsid w:val="009D3DA5"/>
    <w:rsid w:val="009D62A1"/>
    <w:rsid w:val="009D7850"/>
    <w:rsid w:val="009E05A5"/>
    <w:rsid w:val="009E6D1C"/>
    <w:rsid w:val="009F075E"/>
    <w:rsid w:val="009F0BA7"/>
    <w:rsid w:val="009F54A8"/>
    <w:rsid w:val="00A03CE5"/>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5D7A"/>
    <w:rsid w:val="00AC6AC3"/>
    <w:rsid w:val="00AD200E"/>
    <w:rsid w:val="00AD5F10"/>
    <w:rsid w:val="00AD6B02"/>
    <w:rsid w:val="00AE3C22"/>
    <w:rsid w:val="00AE65CC"/>
    <w:rsid w:val="00B04496"/>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1DF3"/>
    <w:rsid w:val="00C0227C"/>
    <w:rsid w:val="00C05144"/>
    <w:rsid w:val="00C063AA"/>
    <w:rsid w:val="00C26148"/>
    <w:rsid w:val="00C3756F"/>
    <w:rsid w:val="00C41194"/>
    <w:rsid w:val="00C42430"/>
    <w:rsid w:val="00C44833"/>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C5D3C"/>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5C31"/>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313D"/>
    <w:rsid w:val="00F84286"/>
    <w:rsid w:val="00F86457"/>
    <w:rsid w:val="00F87777"/>
    <w:rsid w:val="00F90E4A"/>
    <w:rsid w:val="00F9290C"/>
    <w:rsid w:val="00F966C3"/>
    <w:rsid w:val="00FA0CEF"/>
    <w:rsid w:val="00FA20AC"/>
    <w:rsid w:val="00FA71B1"/>
    <w:rsid w:val="00FA7DE3"/>
    <w:rsid w:val="00FB3CAB"/>
    <w:rsid w:val="00FB4984"/>
    <w:rsid w:val="00FB5A74"/>
    <w:rsid w:val="00FC68A2"/>
    <w:rsid w:val="00FC6A90"/>
    <w:rsid w:val="00FD1304"/>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uiPriority w:val="22"/>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2020-07-08T15:07:00Z</dcterms:created>
  <dcterms:modified xsi:type="dcterms:W3CDTF">2020-07-08T15:07:00Z</dcterms:modified>
</cp:coreProperties>
</file>