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610ED">
        <w:rPr>
          <w:rFonts w:ascii="Times New Roman" w:hAnsi="Times New Roman" w:cs="Times New Roman"/>
          <w:b/>
          <w:sz w:val="24"/>
          <w:szCs w:val="24"/>
        </w:rPr>
        <w:t xml:space="preserve"> 113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06F25">
        <w:rPr>
          <w:rFonts w:ascii="Times New Roman" w:hAnsi="Times New Roman" w:cs="Times New Roman"/>
          <w:b/>
          <w:sz w:val="24"/>
          <w:szCs w:val="24"/>
          <w:u w:val="single"/>
        </w:rPr>
        <w:t>F INTERNAL QUESTION PAPER: 07/02</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C06F2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01/2019</w:t>
      </w:r>
    </w:p>
    <w:p w:rsidR="00E610ED" w:rsidRPr="00E610ED" w:rsidRDefault="00E610ED" w:rsidP="00E610ED">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E610ED">
        <w:rPr>
          <w:rFonts w:ascii="Times New Roman" w:eastAsia="Times New Roman" w:hAnsi="Times New Roman" w:cs="Times New Roman"/>
          <w:b/>
          <w:sz w:val="24"/>
          <w:szCs w:val="24"/>
          <w:lang w:val="en-US"/>
        </w:rPr>
        <w:t>113.</w:t>
      </w:r>
      <w:r w:rsidRPr="00E610ED">
        <w:rPr>
          <w:rFonts w:ascii="Times New Roman" w:eastAsia="Times New Roman" w:hAnsi="Times New Roman" w:cs="Times New Roman"/>
          <w:b/>
          <w:sz w:val="24"/>
          <w:szCs w:val="24"/>
          <w:lang w:val="en-US"/>
        </w:rPr>
        <w:tab/>
      </w:r>
      <w:r w:rsidRPr="00E610ED">
        <w:rPr>
          <w:rFonts w:ascii="Times New Roman" w:eastAsia="Calibri" w:hAnsi="Times New Roman" w:cs="Times New Roman"/>
          <w:b/>
          <w:sz w:val="24"/>
          <w:szCs w:val="24"/>
        </w:rPr>
        <w:t>Ms H S Boshoff (DA) to ask the Minister of Basic Education:</w:t>
      </w:r>
    </w:p>
    <w:p w:rsidR="00E610ED" w:rsidRPr="00E610ED" w:rsidRDefault="00E610ED" w:rsidP="00E610ED">
      <w:pPr>
        <w:spacing w:before="100" w:beforeAutospacing="1" w:after="100" w:afterAutospacing="1" w:line="240" w:lineRule="auto"/>
        <w:ind w:left="1440" w:hanging="720"/>
        <w:jc w:val="both"/>
        <w:rPr>
          <w:rFonts w:ascii="Times New Roman" w:eastAsia="Calibri" w:hAnsi="Times New Roman" w:cs="Times New Roman"/>
          <w:sz w:val="24"/>
          <w:szCs w:val="24"/>
        </w:rPr>
      </w:pPr>
      <w:r w:rsidRPr="00E610ED">
        <w:rPr>
          <w:rFonts w:ascii="Times New Roman" w:eastAsia="Calibri" w:hAnsi="Times New Roman" w:cs="Times New Roman"/>
          <w:color w:val="000000"/>
          <w:sz w:val="24"/>
          <w:szCs w:val="24"/>
        </w:rPr>
        <w:t>(1)</w:t>
      </w:r>
      <w:r w:rsidRPr="00E610ED">
        <w:rPr>
          <w:rFonts w:ascii="Times New Roman" w:eastAsia="Calibri" w:hAnsi="Times New Roman" w:cs="Times New Roman"/>
          <w:color w:val="000000"/>
          <w:sz w:val="24"/>
          <w:szCs w:val="24"/>
        </w:rPr>
        <w:tab/>
      </w:r>
      <w:r w:rsidRPr="00E610ED">
        <w:rPr>
          <w:rFonts w:ascii="Times New Roman" w:eastAsia="Calibri" w:hAnsi="Times New Roman" w:cs="Times New Roman"/>
          <w:sz w:val="24"/>
          <w:szCs w:val="24"/>
        </w:rPr>
        <w:t>What number of (a)(</w:t>
      </w:r>
      <w:proofErr w:type="spellStart"/>
      <w:r w:rsidRPr="00E610ED">
        <w:rPr>
          <w:rFonts w:ascii="Times New Roman" w:eastAsia="Calibri" w:hAnsi="Times New Roman" w:cs="Times New Roman"/>
          <w:sz w:val="24"/>
          <w:szCs w:val="24"/>
        </w:rPr>
        <w:t>i</w:t>
      </w:r>
      <w:proofErr w:type="spellEnd"/>
      <w:r w:rsidRPr="00E610ED">
        <w:rPr>
          <w:rFonts w:ascii="Times New Roman" w:eastAsia="Calibri" w:hAnsi="Times New Roman" w:cs="Times New Roman"/>
          <w:sz w:val="24"/>
          <w:szCs w:val="24"/>
        </w:rPr>
        <w:t xml:space="preserve">) deaf and (ii) hearing impaired learners from each province enrolled for the </w:t>
      </w:r>
      <w:r w:rsidRPr="00E610ED">
        <w:rPr>
          <w:rFonts w:ascii="Times New Roman" w:eastAsia="Times New Roman" w:hAnsi="Times New Roman" w:cs="Times New Roman"/>
          <w:sz w:val="24"/>
          <w:szCs w:val="24"/>
          <w:lang w:val="af-ZA"/>
        </w:rPr>
        <w:t>2018</w:t>
      </w:r>
      <w:r w:rsidRPr="00E610ED">
        <w:rPr>
          <w:rFonts w:ascii="Times New Roman" w:eastAsia="Calibri" w:hAnsi="Times New Roman" w:cs="Times New Roman"/>
          <w:sz w:val="24"/>
          <w:szCs w:val="24"/>
        </w:rPr>
        <w:t xml:space="preserve"> National Senior Certificate (NSC), (b) the specified learners wrote the SA Sign Language (SASL) examination and (c) the specified learners obtained (</w:t>
      </w:r>
      <w:proofErr w:type="spellStart"/>
      <w:r w:rsidRPr="00E610ED">
        <w:rPr>
          <w:rFonts w:ascii="Times New Roman" w:eastAsia="Calibri" w:hAnsi="Times New Roman" w:cs="Times New Roman"/>
          <w:sz w:val="24"/>
          <w:szCs w:val="24"/>
        </w:rPr>
        <w:t>i</w:t>
      </w:r>
      <w:proofErr w:type="spellEnd"/>
      <w:r w:rsidRPr="00E610ED">
        <w:rPr>
          <w:rFonts w:ascii="Times New Roman" w:eastAsia="Calibri" w:hAnsi="Times New Roman" w:cs="Times New Roman"/>
          <w:sz w:val="24"/>
          <w:szCs w:val="24"/>
        </w:rPr>
        <w:t>) an NSC pass and (ii) a Bachelor pass in SASL;</w:t>
      </w:r>
    </w:p>
    <w:p w:rsidR="00E610ED" w:rsidRPr="00E610ED" w:rsidRDefault="00E610ED" w:rsidP="00E610ED">
      <w:pPr>
        <w:spacing w:before="100" w:beforeAutospacing="1" w:after="100" w:afterAutospacing="1" w:line="240" w:lineRule="auto"/>
        <w:ind w:left="1440" w:hanging="720"/>
        <w:jc w:val="both"/>
        <w:rPr>
          <w:rFonts w:ascii="Times New Roman" w:eastAsia="Calibri" w:hAnsi="Times New Roman" w:cs="Times New Roman"/>
          <w:sz w:val="24"/>
          <w:szCs w:val="24"/>
        </w:rPr>
      </w:pPr>
      <w:r w:rsidRPr="00E610ED">
        <w:rPr>
          <w:rFonts w:ascii="Times New Roman" w:eastAsia="Calibri" w:hAnsi="Times New Roman" w:cs="Times New Roman"/>
          <w:sz w:val="24"/>
          <w:szCs w:val="24"/>
        </w:rPr>
        <w:t>(2)</w:t>
      </w:r>
      <w:r w:rsidRPr="00E610ED">
        <w:rPr>
          <w:rFonts w:ascii="Times New Roman" w:eastAsia="Calibri" w:hAnsi="Times New Roman" w:cs="Times New Roman"/>
          <w:sz w:val="24"/>
          <w:szCs w:val="24"/>
        </w:rPr>
        <w:tab/>
        <w:t xml:space="preserve">what number of learners from schools for the deaf and hearing impaired in each province were </w:t>
      </w:r>
      <w:r w:rsidRPr="00E610ED">
        <w:rPr>
          <w:rFonts w:ascii="Times New Roman" w:eastAsia="Times New Roman" w:hAnsi="Times New Roman" w:cs="Times New Roman"/>
          <w:sz w:val="24"/>
          <w:szCs w:val="24"/>
          <w:lang w:val="af-ZA"/>
        </w:rPr>
        <w:t>exposed</w:t>
      </w:r>
      <w:r w:rsidRPr="00E610ED">
        <w:rPr>
          <w:rFonts w:ascii="Times New Roman" w:eastAsia="Calibri" w:hAnsi="Times New Roman" w:cs="Times New Roman"/>
          <w:sz w:val="24"/>
          <w:szCs w:val="24"/>
        </w:rPr>
        <w:t xml:space="preserve"> to </w:t>
      </w:r>
      <w:r w:rsidRPr="00E610ED">
        <w:rPr>
          <w:rFonts w:ascii="Times New Roman" w:eastAsia="Times New Roman" w:hAnsi="Times New Roman" w:cs="Times New Roman"/>
          <w:sz w:val="24"/>
          <w:szCs w:val="24"/>
          <w:lang w:val="af-ZA"/>
        </w:rPr>
        <w:t>bridging</w:t>
      </w:r>
      <w:r w:rsidRPr="00E610ED">
        <w:rPr>
          <w:rFonts w:ascii="Times New Roman" w:eastAsia="Calibri" w:hAnsi="Times New Roman" w:cs="Times New Roman"/>
          <w:sz w:val="24"/>
          <w:szCs w:val="24"/>
        </w:rPr>
        <w:t xml:space="preserve"> courses in Grades 9, 10 and 11 to prepare for the unique grammar and structure of the SASL examination;</w:t>
      </w:r>
    </w:p>
    <w:p w:rsidR="00E610ED" w:rsidRPr="00E610ED" w:rsidRDefault="00E610ED" w:rsidP="00E610ED">
      <w:pPr>
        <w:spacing w:before="100" w:beforeAutospacing="1" w:after="100" w:afterAutospacing="1" w:line="240" w:lineRule="auto"/>
        <w:ind w:left="1440" w:hanging="720"/>
        <w:jc w:val="both"/>
        <w:rPr>
          <w:rFonts w:ascii="Times New Roman" w:eastAsia="Calibri" w:hAnsi="Times New Roman" w:cs="Times New Roman"/>
          <w:sz w:val="24"/>
          <w:szCs w:val="24"/>
        </w:rPr>
      </w:pPr>
      <w:r w:rsidRPr="00E610ED">
        <w:rPr>
          <w:rFonts w:ascii="Times New Roman" w:eastAsia="Calibri" w:hAnsi="Times New Roman" w:cs="Times New Roman"/>
          <w:sz w:val="24"/>
          <w:szCs w:val="24"/>
        </w:rPr>
        <w:t>(3)</w:t>
      </w:r>
      <w:r w:rsidRPr="00E610ED">
        <w:rPr>
          <w:rFonts w:ascii="Times New Roman" w:eastAsia="Calibri" w:hAnsi="Times New Roman" w:cs="Times New Roman"/>
          <w:sz w:val="24"/>
          <w:szCs w:val="24"/>
        </w:rPr>
        <w:tab/>
        <w:t>(</w:t>
      </w:r>
      <w:proofErr w:type="gramStart"/>
      <w:r w:rsidRPr="00E610ED">
        <w:rPr>
          <w:rFonts w:ascii="Times New Roman" w:eastAsia="Calibri" w:hAnsi="Times New Roman" w:cs="Times New Roman"/>
          <w:sz w:val="24"/>
          <w:szCs w:val="24"/>
        </w:rPr>
        <w:t>a</w:t>
      </w:r>
      <w:proofErr w:type="gramEnd"/>
      <w:r w:rsidRPr="00E610ED">
        <w:rPr>
          <w:rFonts w:ascii="Times New Roman" w:eastAsia="Calibri" w:hAnsi="Times New Roman" w:cs="Times New Roman"/>
          <w:sz w:val="24"/>
          <w:szCs w:val="24"/>
        </w:rPr>
        <w:t xml:space="preserve">) what number of appointed markers had the pre-requisite qualifications to mark the final SASL </w:t>
      </w:r>
      <w:r w:rsidRPr="00E610ED">
        <w:rPr>
          <w:rFonts w:ascii="Times New Roman" w:eastAsia="Times New Roman" w:hAnsi="Times New Roman" w:cs="Times New Roman"/>
          <w:sz w:val="24"/>
          <w:szCs w:val="24"/>
          <w:lang w:val="af-ZA"/>
        </w:rPr>
        <w:t>examination</w:t>
      </w:r>
      <w:r w:rsidRPr="00E610ED">
        <w:rPr>
          <w:rFonts w:ascii="Times New Roman" w:eastAsia="Calibri" w:hAnsi="Times New Roman" w:cs="Times New Roman"/>
          <w:sz w:val="24"/>
          <w:szCs w:val="24"/>
        </w:rPr>
        <w:t xml:space="preserve"> papers in each province, (b) what are the details of the pre-requisite qualifications and (c) what number of years’ experience is required;</w:t>
      </w:r>
    </w:p>
    <w:p w:rsidR="00E610ED" w:rsidRPr="00E610ED" w:rsidRDefault="00E610ED" w:rsidP="00E610ED">
      <w:pPr>
        <w:spacing w:before="100" w:beforeAutospacing="1" w:after="100" w:afterAutospacing="1" w:line="240" w:lineRule="auto"/>
        <w:ind w:left="1440" w:hanging="720"/>
        <w:jc w:val="both"/>
        <w:rPr>
          <w:rFonts w:ascii="Times New Roman" w:eastAsia="Calibri" w:hAnsi="Times New Roman" w:cs="Times New Roman"/>
          <w:sz w:val="24"/>
          <w:szCs w:val="24"/>
        </w:rPr>
      </w:pPr>
      <w:r w:rsidRPr="00E610ED">
        <w:rPr>
          <w:rFonts w:ascii="Times New Roman" w:eastAsia="Calibri" w:hAnsi="Times New Roman" w:cs="Times New Roman"/>
          <w:sz w:val="24"/>
          <w:szCs w:val="24"/>
        </w:rPr>
        <w:t>(4)</w:t>
      </w:r>
      <w:r w:rsidRPr="00E610ED">
        <w:rPr>
          <w:rFonts w:ascii="Times New Roman" w:eastAsia="Calibri" w:hAnsi="Times New Roman" w:cs="Times New Roman"/>
          <w:sz w:val="24"/>
          <w:szCs w:val="24"/>
        </w:rPr>
        <w:tab/>
      </w:r>
      <w:proofErr w:type="gramStart"/>
      <w:r w:rsidRPr="00E610ED">
        <w:rPr>
          <w:rFonts w:ascii="Times New Roman" w:eastAsia="Calibri" w:hAnsi="Times New Roman" w:cs="Times New Roman"/>
          <w:sz w:val="24"/>
          <w:szCs w:val="24"/>
        </w:rPr>
        <w:t>on</w:t>
      </w:r>
      <w:proofErr w:type="gramEnd"/>
      <w:r w:rsidRPr="00E610ED">
        <w:rPr>
          <w:rFonts w:ascii="Times New Roman" w:eastAsia="Calibri" w:hAnsi="Times New Roman" w:cs="Times New Roman"/>
          <w:sz w:val="24"/>
          <w:szCs w:val="24"/>
        </w:rPr>
        <w:t xml:space="preserve"> what date will all </w:t>
      </w:r>
      <w:r w:rsidRPr="00E610ED">
        <w:rPr>
          <w:rFonts w:ascii="Times New Roman" w:eastAsia="Times New Roman" w:hAnsi="Times New Roman" w:cs="Times New Roman"/>
          <w:sz w:val="24"/>
          <w:szCs w:val="24"/>
          <w:lang w:val="af-ZA"/>
        </w:rPr>
        <w:t>schools</w:t>
      </w:r>
      <w:r w:rsidRPr="00E610ED">
        <w:rPr>
          <w:rFonts w:ascii="Times New Roman" w:eastAsia="Calibri" w:hAnsi="Times New Roman" w:cs="Times New Roman"/>
          <w:sz w:val="24"/>
          <w:szCs w:val="24"/>
        </w:rPr>
        <w:t xml:space="preserve"> in each province providing SASL as a home language be provided with sufficient </w:t>
      </w:r>
      <w:r w:rsidRPr="00E610ED">
        <w:rPr>
          <w:rFonts w:ascii="Times New Roman" w:eastAsia="Times New Roman" w:hAnsi="Times New Roman" w:cs="Times New Roman"/>
          <w:sz w:val="24"/>
          <w:szCs w:val="24"/>
          <w:lang w:val="af-ZA"/>
        </w:rPr>
        <w:t>textbooks</w:t>
      </w:r>
      <w:r w:rsidRPr="00E610ED">
        <w:rPr>
          <w:rFonts w:ascii="Times New Roman" w:eastAsia="Calibri" w:hAnsi="Times New Roman" w:cs="Times New Roman"/>
          <w:sz w:val="24"/>
          <w:szCs w:val="24"/>
        </w:rPr>
        <w:t>;</w:t>
      </w:r>
    </w:p>
    <w:p w:rsidR="00E610ED" w:rsidRPr="00E610ED" w:rsidRDefault="00E610ED" w:rsidP="00E610ED">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E610ED">
        <w:rPr>
          <w:rFonts w:ascii="Times New Roman" w:eastAsia="Calibri" w:hAnsi="Times New Roman" w:cs="Times New Roman"/>
          <w:sz w:val="24"/>
          <w:szCs w:val="24"/>
        </w:rPr>
        <w:t>(5)</w:t>
      </w:r>
      <w:r w:rsidRPr="00E610ED">
        <w:rPr>
          <w:rFonts w:ascii="Times New Roman" w:eastAsia="Calibri" w:hAnsi="Times New Roman" w:cs="Times New Roman"/>
          <w:sz w:val="24"/>
          <w:szCs w:val="24"/>
        </w:rPr>
        <w:tab/>
      </w:r>
      <w:proofErr w:type="gramStart"/>
      <w:r w:rsidRPr="00E610ED">
        <w:rPr>
          <w:rFonts w:ascii="Times New Roman" w:eastAsia="Calibri" w:hAnsi="Times New Roman" w:cs="Times New Roman"/>
          <w:sz w:val="24"/>
          <w:szCs w:val="24"/>
        </w:rPr>
        <w:t>what</w:t>
      </w:r>
      <w:proofErr w:type="gramEnd"/>
      <w:r w:rsidRPr="00E610ED">
        <w:rPr>
          <w:rFonts w:ascii="Times New Roman" w:eastAsia="Calibri" w:hAnsi="Times New Roman" w:cs="Times New Roman"/>
          <w:sz w:val="24"/>
          <w:szCs w:val="24"/>
        </w:rPr>
        <w:t xml:space="preserve"> number of students who completed their NSC in SASL were approached by her department to </w:t>
      </w:r>
      <w:r w:rsidRPr="00E610ED">
        <w:rPr>
          <w:rFonts w:ascii="Times New Roman" w:eastAsia="Times New Roman" w:hAnsi="Times New Roman" w:cs="Times New Roman"/>
          <w:sz w:val="24"/>
          <w:szCs w:val="24"/>
          <w:lang w:val="af-ZA"/>
        </w:rPr>
        <w:t>assist</w:t>
      </w:r>
      <w:r w:rsidRPr="00E610ED">
        <w:rPr>
          <w:rFonts w:ascii="Times New Roman" w:eastAsia="Calibri" w:hAnsi="Times New Roman" w:cs="Times New Roman"/>
          <w:sz w:val="24"/>
          <w:szCs w:val="24"/>
        </w:rPr>
        <w:t xml:space="preserve"> </w:t>
      </w:r>
      <w:r w:rsidRPr="00E610ED">
        <w:rPr>
          <w:rFonts w:ascii="Times New Roman" w:eastAsia="Times New Roman" w:hAnsi="Times New Roman" w:cs="Times New Roman"/>
          <w:sz w:val="24"/>
          <w:szCs w:val="24"/>
          <w:lang w:val="af-ZA"/>
        </w:rPr>
        <w:t>educators</w:t>
      </w:r>
      <w:r w:rsidRPr="00E610ED">
        <w:rPr>
          <w:rFonts w:ascii="Times New Roman" w:eastAsia="Calibri" w:hAnsi="Times New Roman" w:cs="Times New Roman"/>
          <w:sz w:val="24"/>
          <w:szCs w:val="24"/>
        </w:rPr>
        <w:t xml:space="preserve"> with SASL?</w:t>
      </w:r>
      <w:r w:rsidRPr="00E610ED">
        <w:rPr>
          <w:rFonts w:ascii="Times New Roman" w:eastAsia="Calibri" w:hAnsi="Times New Roman" w:cs="Times New Roman"/>
          <w:sz w:val="24"/>
          <w:szCs w:val="24"/>
        </w:rPr>
        <w:tab/>
      </w:r>
      <w:r w:rsidRPr="00E610ED">
        <w:rPr>
          <w:rFonts w:ascii="Times New Roman" w:eastAsia="Calibri" w:hAnsi="Times New Roman" w:cs="Times New Roman"/>
          <w:sz w:val="24"/>
          <w:szCs w:val="24"/>
        </w:rPr>
        <w:tab/>
      </w:r>
      <w:r w:rsidRPr="00E610ED">
        <w:rPr>
          <w:rFonts w:ascii="Times New Roman" w:eastAsia="Calibri" w:hAnsi="Times New Roman" w:cs="Times New Roman"/>
          <w:sz w:val="24"/>
          <w:szCs w:val="24"/>
        </w:rPr>
        <w:tab/>
      </w:r>
      <w:r w:rsidRPr="00E610ED">
        <w:rPr>
          <w:rFonts w:ascii="Times New Roman" w:eastAsia="Calibri" w:hAnsi="Times New Roman" w:cs="Times New Roman"/>
          <w:sz w:val="20"/>
          <w:szCs w:val="20"/>
        </w:rPr>
        <w:t>NW118E</w:t>
      </w:r>
    </w:p>
    <w:p w:rsidR="006D7B63" w:rsidRPr="006D7B63" w:rsidRDefault="006D7B63">
      <w:pPr>
        <w:rPr>
          <w:rFonts w:ascii="Times New Roman" w:hAnsi="Times New Roman" w:cs="Times New Roman"/>
          <w:sz w:val="28"/>
          <w:szCs w:val="28"/>
        </w:rPr>
      </w:pPr>
    </w:p>
    <w:p w:rsidR="00172DB7" w:rsidRPr="00E05510" w:rsidRDefault="00172DB7" w:rsidP="00172DB7">
      <w:pPr>
        <w:rPr>
          <w:rFonts w:ascii="Times New Roman" w:hAnsi="Times New Roman" w:cs="Times New Roman"/>
          <w:b/>
          <w:sz w:val="28"/>
          <w:szCs w:val="28"/>
        </w:rPr>
      </w:pPr>
      <w:r w:rsidRPr="00E05510">
        <w:rPr>
          <w:rFonts w:ascii="Times New Roman" w:hAnsi="Times New Roman" w:cs="Times New Roman"/>
          <w:b/>
          <w:sz w:val="28"/>
          <w:szCs w:val="28"/>
        </w:rPr>
        <w:t>RESPONSE</w:t>
      </w:r>
    </w:p>
    <w:p w:rsidR="00172DB7" w:rsidRPr="00E05510" w:rsidRDefault="00172DB7" w:rsidP="00172DB7">
      <w:pPr>
        <w:pStyle w:val="ListParagraph"/>
        <w:spacing w:after="0" w:line="240" w:lineRule="auto"/>
        <w:ind w:left="1440" w:hanging="73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w:t>
      </w:r>
      <w:r>
        <w:rPr>
          <w:rFonts w:ascii="Times New Roman" w:eastAsia="Calibri" w:hAnsi="Times New Roman" w:cs="Times New Roman"/>
          <w:color w:val="000000" w:themeColor="text1"/>
          <w:sz w:val="24"/>
          <w:szCs w:val="24"/>
        </w:rPr>
        <w:tab/>
      </w:r>
      <w:r w:rsidRPr="00E05510">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 xml:space="preserve"> </w:t>
      </w:r>
      <w:r w:rsidRPr="00E05510">
        <w:rPr>
          <w:rFonts w:ascii="Times New Roman" w:eastAsia="Calibri" w:hAnsi="Times New Roman" w:cs="Times New Roman"/>
          <w:color w:val="000000" w:themeColor="text1"/>
          <w:sz w:val="24"/>
          <w:szCs w:val="24"/>
        </w:rPr>
        <w:t>(</w:t>
      </w:r>
      <w:proofErr w:type="spellStart"/>
      <w:r w:rsidRPr="00E05510">
        <w:rPr>
          <w:rFonts w:ascii="Times New Roman" w:eastAsia="Calibri" w:hAnsi="Times New Roman" w:cs="Times New Roman"/>
          <w:color w:val="000000" w:themeColor="text1"/>
          <w:sz w:val="24"/>
          <w:szCs w:val="24"/>
        </w:rPr>
        <w:t>i</w:t>
      </w:r>
      <w:proofErr w:type="spellEnd"/>
      <w:r w:rsidRPr="00E05510">
        <w:rPr>
          <w:rFonts w:ascii="Times New Roman" w:eastAsia="Calibri" w:hAnsi="Times New Roman" w:cs="Times New Roman"/>
          <w:color w:val="000000" w:themeColor="text1"/>
          <w:sz w:val="24"/>
          <w:szCs w:val="24"/>
        </w:rPr>
        <w:t xml:space="preserve">) and (ii)  </w:t>
      </w:r>
      <w:r>
        <w:rPr>
          <w:rFonts w:ascii="Times New Roman" w:eastAsia="Calibri" w:hAnsi="Times New Roman" w:cs="Times New Roman"/>
          <w:color w:val="000000" w:themeColor="text1"/>
          <w:sz w:val="24"/>
          <w:szCs w:val="24"/>
        </w:rPr>
        <w:t>The current examination system only has a record of Hearing Impaired Learners and does not distinguish between Deaf learners and Hearing Impaired Learners The t</w:t>
      </w:r>
      <w:r w:rsidRPr="00E05510">
        <w:rPr>
          <w:rFonts w:ascii="Times New Roman" w:eastAsia="Calibri" w:hAnsi="Times New Roman" w:cs="Times New Roman"/>
          <w:color w:val="000000" w:themeColor="text1"/>
          <w:sz w:val="24"/>
          <w:szCs w:val="24"/>
        </w:rPr>
        <w:t xml:space="preserve">otal number </w:t>
      </w:r>
      <w:r>
        <w:rPr>
          <w:rFonts w:ascii="Times New Roman" w:eastAsia="Calibri" w:hAnsi="Times New Roman" w:cs="Times New Roman"/>
          <w:color w:val="000000" w:themeColor="text1"/>
          <w:sz w:val="24"/>
          <w:szCs w:val="24"/>
        </w:rPr>
        <w:t xml:space="preserve">of hearing impaired learners that enrolled for the National Senior Certificate (NSC) examination is </w:t>
      </w:r>
      <w:r w:rsidRPr="00E05510">
        <w:rPr>
          <w:rFonts w:ascii="Times New Roman" w:eastAsia="Calibri" w:hAnsi="Times New Roman" w:cs="Times New Roman"/>
          <w:color w:val="000000" w:themeColor="text1"/>
          <w:sz w:val="24"/>
          <w:szCs w:val="24"/>
        </w:rPr>
        <w:t>456</w:t>
      </w:r>
      <w:r>
        <w:rPr>
          <w:rFonts w:ascii="Times New Roman" w:eastAsia="Calibri" w:hAnsi="Times New Roman" w:cs="Times New Roman"/>
          <w:color w:val="000000" w:themeColor="text1"/>
          <w:sz w:val="24"/>
          <w:szCs w:val="24"/>
        </w:rPr>
        <w:t>.</w:t>
      </w:r>
      <w:r w:rsidRPr="00E05510">
        <w:rPr>
          <w:rFonts w:ascii="Times New Roman" w:eastAsia="Calibri" w:hAnsi="Times New Roman" w:cs="Times New Roman"/>
          <w:color w:val="000000" w:themeColor="text1"/>
          <w:sz w:val="24"/>
          <w:szCs w:val="24"/>
        </w:rPr>
        <w:t xml:space="preserve"> </w:t>
      </w:r>
    </w:p>
    <w:p w:rsidR="00172DB7" w:rsidRPr="00E05510" w:rsidRDefault="00172DB7" w:rsidP="00172DB7">
      <w:pPr>
        <w:spacing w:before="100" w:beforeAutospacing="1" w:after="100" w:afterAutospacing="1" w:line="240" w:lineRule="auto"/>
        <w:ind w:left="1440"/>
        <w:jc w:val="both"/>
        <w:rPr>
          <w:rFonts w:ascii="Times New Roman" w:eastAsia="Calibri" w:hAnsi="Times New Roman" w:cs="Times New Roman"/>
          <w:color w:val="000000" w:themeColor="text1"/>
          <w:sz w:val="24"/>
          <w:szCs w:val="24"/>
        </w:rPr>
      </w:pPr>
      <w:r w:rsidRPr="00E05510">
        <w:rPr>
          <w:rFonts w:ascii="Times New Roman" w:eastAsia="Calibri" w:hAnsi="Times New Roman" w:cs="Times New Roman"/>
          <w:color w:val="000000" w:themeColor="text1"/>
          <w:sz w:val="24"/>
          <w:szCs w:val="24"/>
        </w:rPr>
        <w:t>(b)</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b/>
      </w:r>
      <w:r w:rsidRPr="00E05510">
        <w:rPr>
          <w:rFonts w:ascii="Times New Roman" w:eastAsia="Calibri" w:hAnsi="Times New Roman" w:cs="Times New Roman"/>
          <w:color w:val="000000" w:themeColor="text1"/>
          <w:sz w:val="24"/>
          <w:szCs w:val="24"/>
        </w:rPr>
        <w:t xml:space="preserve">Of the 54 candidates </w:t>
      </w:r>
      <w:r>
        <w:rPr>
          <w:rFonts w:ascii="Times New Roman" w:eastAsia="Calibri" w:hAnsi="Times New Roman" w:cs="Times New Roman"/>
          <w:color w:val="000000" w:themeColor="text1"/>
          <w:sz w:val="24"/>
          <w:szCs w:val="24"/>
        </w:rPr>
        <w:t xml:space="preserve">that </w:t>
      </w:r>
      <w:r w:rsidRPr="00E05510">
        <w:rPr>
          <w:rFonts w:ascii="Times New Roman" w:eastAsia="Calibri" w:hAnsi="Times New Roman" w:cs="Times New Roman"/>
          <w:color w:val="000000" w:themeColor="text1"/>
          <w:sz w:val="24"/>
          <w:szCs w:val="24"/>
        </w:rPr>
        <w:t xml:space="preserve">enrolled to write the 2018 NSC </w:t>
      </w:r>
      <w:r>
        <w:rPr>
          <w:rFonts w:ascii="Times New Roman" w:eastAsia="Calibri" w:hAnsi="Times New Roman" w:cs="Times New Roman"/>
          <w:color w:val="000000" w:themeColor="text1"/>
          <w:sz w:val="24"/>
          <w:szCs w:val="24"/>
        </w:rPr>
        <w:t>South African Sign Language Home Language (</w:t>
      </w:r>
      <w:r w:rsidRPr="00E05510">
        <w:rPr>
          <w:rFonts w:ascii="Times New Roman" w:eastAsia="Calibri" w:hAnsi="Times New Roman" w:cs="Times New Roman"/>
          <w:color w:val="000000" w:themeColor="text1"/>
          <w:sz w:val="24"/>
          <w:szCs w:val="24"/>
        </w:rPr>
        <w:t>SASL HL</w:t>
      </w:r>
      <w:r>
        <w:rPr>
          <w:rFonts w:ascii="Times New Roman" w:eastAsia="Calibri" w:hAnsi="Times New Roman" w:cs="Times New Roman"/>
          <w:color w:val="000000" w:themeColor="text1"/>
          <w:sz w:val="24"/>
          <w:szCs w:val="24"/>
        </w:rPr>
        <w:t>)</w:t>
      </w:r>
      <w:r w:rsidRPr="00E05510">
        <w:rPr>
          <w:rFonts w:ascii="Times New Roman" w:eastAsia="Calibri" w:hAnsi="Times New Roman" w:cs="Times New Roman"/>
          <w:color w:val="000000" w:themeColor="text1"/>
          <w:sz w:val="24"/>
          <w:szCs w:val="24"/>
        </w:rPr>
        <w:t xml:space="preserve"> examination, 52 candidates wrote the examination. </w:t>
      </w:r>
    </w:p>
    <w:p w:rsidR="00172DB7" w:rsidRPr="00E05510" w:rsidRDefault="00172DB7" w:rsidP="00172DB7">
      <w:pPr>
        <w:spacing w:before="100" w:beforeAutospacing="1" w:after="100" w:afterAutospacing="1" w:line="240" w:lineRule="auto"/>
        <w:ind w:left="1440"/>
        <w:jc w:val="both"/>
        <w:rPr>
          <w:rFonts w:ascii="Times New Roman" w:eastAsia="Calibri" w:hAnsi="Times New Roman" w:cs="Times New Roman"/>
          <w:color w:val="000000" w:themeColor="text1"/>
          <w:sz w:val="24"/>
          <w:szCs w:val="24"/>
        </w:rPr>
      </w:pPr>
      <w:r w:rsidRPr="00E05510">
        <w:rPr>
          <w:rFonts w:ascii="Times New Roman" w:eastAsia="Calibri" w:hAnsi="Times New Roman" w:cs="Times New Roman"/>
          <w:color w:val="000000" w:themeColor="text1"/>
          <w:sz w:val="24"/>
          <w:szCs w:val="24"/>
        </w:rPr>
        <w:t>(c)</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b/>
        <w:t>(</w:t>
      </w:r>
      <w:proofErr w:type="spellStart"/>
      <w:proofErr w:type="gramStart"/>
      <w:r w:rsidRPr="00E05510">
        <w:rPr>
          <w:rFonts w:ascii="Times New Roman" w:eastAsia="Calibri" w:hAnsi="Times New Roman" w:cs="Times New Roman"/>
          <w:color w:val="000000" w:themeColor="text1"/>
          <w:sz w:val="24"/>
          <w:szCs w:val="24"/>
        </w:rPr>
        <w:t>i</w:t>
      </w:r>
      <w:proofErr w:type="spellEnd"/>
      <w:proofErr w:type="gramEnd"/>
      <w:r w:rsidRPr="00E0551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26 candidates achieved an </w:t>
      </w:r>
      <w:r w:rsidRPr="00E05510">
        <w:rPr>
          <w:rFonts w:ascii="Times New Roman" w:eastAsia="Calibri" w:hAnsi="Times New Roman" w:cs="Times New Roman"/>
          <w:color w:val="000000" w:themeColor="text1"/>
          <w:sz w:val="24"/>
          <w:szCs w:val="24"/>
        </w:rPr>
        <w:t>NSC pass</w:t>
      </w:r>
    </w:p>
    <w:p w:rsidR="00172DB7" w:rsidRPr="00E05510" w:rsidRDefault="00172DB7" w:rsidP="00172DB7">
      <w:pPr>
        <w:spacing w:before="100" w:beforeAutospacing="1" w:after="100" w:afterAutospacing="1" w:line="240" w:lineRule="auto"/>
        <w:ind w:left="1440" w:firstLine="720"/>
        <w:jc w:val="both"/>
        <w:rPr>
          <w:rFonts w:ascii="Times New Roman" w:eastAsia="Calibri" w:hAnsi="Times New Roman" w:cs="Times New Roman"/>
          <w:color w:val="000000" w:themeColor="text1"/>
          <w:sz w:val="24"/>
          <w:szCs w:val="24"/>
        </w:rPr>
      </w:pPr>
      <w:r w:rsidRPr="00E05510">
        <w:rPr>
          <w:rFonts w:ascii="Times New Roman" w:eastAsia="Calibri" w:hAnsi="Times New Roman" w:cs="Times New Roman"/>
          <w:color w:val="000000" w:themeColor="text1"/>
          <w:sz w:val="24"/>
          <w:szCs w:val="24"/>
        </w:rPr>
        <w:t xml:space="preserve">(ii) </w:t>
      </w:r>
      <w:r>
        <w:rPr>
          <w:rFonts w:ascii="Times New Roman" w:eastAsia="Calibri" w:hAnsi="Times New Roman" w:cs="Times New Roman"/>
          <w:color w:val="000000" w:themeColor="text1"/>
          <w:sz w:val="24"/>
          <w:szCs w:val="24"/>
        </w:rPr>
        <w:t xml:space="preserve">7 candidates achieved admission to </w:t>
      </w:r>
      <w:r w:rsidRPr="00E05510">
        <w:rPr>
          <w:rFonts w:ascii="Times New Roman" w:eastAsia="Calibri" w:hAnsi="Times New Roman" w:cs="Times New Roman"/>
          <w:color w:val="000000" w:themeColor="text1"/>
          <w:sz w:val="24"/>
          <w:szCs w:val="24"/>
        </w:rPr>
        <w:t>Bachelor</w:t>
      </w:r>
      <w:r>
        <w:rPr>
          <w:rFonts w:ascii="Times New Roman" w:eastAsia="Calibri" w:hAnsi="Times New Roman" w:cs="Times New Roman"/>
          <w:color w:val="000000" w:themeColor="text1"/>
          <w:sz w:val="24"/>
          <w:szCs w:val="24"/>
        </w:rPr>
        <w:t xml:space="preserve"> studies</w:t>
      </w:r>
      <w:r w:rsidRPr="00E05510">
        <w:rPr>
          <w:rFonts w:ascii="Times New Roman" w:eastAsia="Calibri" w:hAnsi="Times New Roman" w:cs="Times New Roman"/>
          <w:color w:val="000000" w:themeColor="text1"/>
          <w:sz w:val="24"/>
          <w:szCs w:val="24"/>
        </w:rPr>
        <w:t xml:space="preserve"> </w:t>
      </w:r>
    </w:p>
    <w:p w:rsidR="00172DB7" w:rsidRPr="00E05510" w:rsidRDefault="00172DB7" w:rsidP="00172DB7">
      <w:pPr>
        <w:spacing w:before="100" w:beforeAutospacing="1" w:after="100" w:afterAutospacing="1" w:line="240" w:lineRule="auto"/>
        <w:ind w:left="1440" w:hanging="720"/>
        <w:jc w:val="both"/>
        <w:rPr>
          <w:rFonts w:ascii="Times New Roman" w:eastAsia="Calibri" w:hAnsi="Times New Roman" w:cs="Times New Roman"/>
          <w:color w:val="000000" w:themeColor="text1"/>
          <w:sz w:val="24"/>
          <w:szCs w:val="24"/>
        </w:rPr>
      </w:pPr>
      <w:r w:rsidRPr="00E05510">
        <w:rPr>
          <w:rFonts w:ascii="Times New Roman" w:eastAsia="Calibri" w:hAnsi="Times New Roman" w:cs="Times New Roman"/>
          <w:color w:val="000000" w:themeColor="text1"/>
          <w:sz w:val="24"/>
          <w:szCs w:val="24"/>
        </w:rPr>
        <w:lastRenderedPageBreak/>
        <w:tab/>
      </w:r>
      <w:r>
        <w:rPr>
          <w:rFonts w:ascii="Times New Roman" w:eastAsia="Calibri" w:hAnsi="Times New Roman" w:cs="Times New Roman"/>
          <w:color w:val="000000" w:themeColor="text1"/>
          <w:sz w:val="24"/>
          <w:szCs w:val="24"/>
        </w:rPr>
        <w:t>N</w:t>
      </w:r>
      <w:r w:rsidRPr="00E05510">
        <w:rPr>
          <w:rFonts w:ascii="Times New Roman" w:eastAsia="Calibri" w:hAnsi="Times New Roman" w:cs="Times New Roman"/>
          <w:color w:val="000000" w:themeColor="text1"/>
          <w:sz w:val="24"/>
          <w:szCs w:val="24"/>
        </w:rPr>
        <w:t xml:space="preserve">ote that </w:t>
      </w:r>
      <w:r>
        <w:rPr>
          <w:rFonts w:ascii="Times New Roman" w:eastAsia="Calibri" w:hAnsi="Times New Roman" w:cs="Times New Roman"/>
          <w:color w:val="000000" w:themeColor="text1"/>
          <w:sz w:val="24"/>
          <w:szCs w:val="24"/>
        </w:rPr>
        <w:t xml:space="preserve">of the 52 candidates that wrote the SASL HL examination, only 28 candidates could be resulted in terms of the full qualification, given that the remaining </w:t>
      </w:r>
      <w:r w:rsidRPr="00E05510">
        <w:rPr>
          <w:rFonts w:ascii="Times New Roman" w:eastAsia="Calibri" w:hAnsi="Times New Roman" w:cs="Times New Roman"/>
          <w:color w:val="000000" w:themeColor="text1"/>
          <w:sz w:val="24"/>
          <w:szCs w:val="24"/>
        </w:rPr>
        <w:t xml:space="preserve">24 candidates </w:t>
      </w:r>
      <w:r>
        <w:rPr>
          <w:rFonts w:ascii="Times New Roman" w:eastAsia="Calibri" w:hAnsi="Times New Roman" w:cs="Times New Roman"/>
          <w:color w:val="000000" w:themeColor="text1"/>
          <w:sz w:val="24"/>
          <w:szCs w:val="24"/>
        </w:rPr>
        <w:t>did not write the full NSC subject package in 2018.</w:t>
      </w:r>
      <w:r w:rsidRPr="00E05510">
        <w:rPr>
          <w:rFonts w:ascii="Times New Roman" w:eastAsia="Calibri" w:hAnsi="Times New Roman" w:cs="Times New Roman"/>
          <w:color w:val="000000" w:themeColor="text1"/>
          <w:sz w:val="24"/>
          <w:szCs w:val="24"/>
        </w:rPr>
        <w:t xml:space="preserve"> </w:t>
      </w:r>
    </w:p>
    <w:p w:rsidR="00CA5179" w:rsidRPr="00F45D54" w:rsidRDefault="00CA5179" w:rsidP="00CA5179">
      <w:pPr>
        <w:ind w:left="1276" w:hanging="567"/>
        <w:jc w:val="both"/>
        <w:rPr>
          <w:rFonts w:ascii="Times New Roman" w:hAnsi="Times New Roman" w:cs="Times New Roman"/>
          <w:sz w:val="24"/>
          <w:szCs w:val="24"/>
        </w:rPr>
      </w:pPr>
      <w:r w:rsidRPr="00F45D54">
        <w:rPr>
          <w:rFonts w:ascii="Times New Roman" w:hAnsi="Times New Roman" w:cs="Times New Roman"/>
          <w:sz w:val="24"/>
          <w:szCs w:val="24"/>
        </w:rPr>
        <w:t>2.</w:t>
      </w:r>
      <w:r w:rsidRPr="00F45D54">
        <w:rPr>
          <w:rFonts w:ascii="Times New Roman" w:hAnsi="Times New Roman" w:cs="Times New Roman"/>
          <w:sz w:val="24"/>
          <w:szCs w:val="24"/>
        </w:rPr>
        <w:tab/>
        <w:t xml:space="preserve">All the full time candidates who wrote SASL HL in the NSC 2018 examinations were exposed to the bridging Grade 9 and 10 programme. No bridging programme was developed for Grade 11. </w:t>
      </w:r>
    </w:p>
    <w:p w:rsidR="00CA5179" w:rsidRPr="00F45D54" w:rsidRDefault="00CA5179" w:rsidP="00CA5179">
      <w:pPr>
        <w:ind w:left="1276"/>
        <w:jc w:val="both"/>
        <w:rPr>
          <w:rFonts w:ascii="Times New Roman" w:hAnsi="Times New Roman" w:cs="Times New Roman"/>
          <w:sz w:val="24"/>
          <w:szCs w:val="24"/>
        </w:rPr>
      </w:pPr>
      <w:r w:rsidRPr="00F45D54">
        <w:rPr>
          <w:rFonts w:ascii="Times New Roman" w:hAnsi="Times New Roman" w:cs="Times New Roman"/>
          <w:sz w:val="24"/>
          <w:szCs w:val="24"/>
        </w:rPr>
        <w:t>The table below provides the school, province and number of learners who wrote the SASL examinations in 2018:</w:t>
      </w:r>
    </w:p>
    <w:p w:rsidR="00CA5179" w:rsidRPr="00D6030C" w:rsidRDefault="00CA5179" w:rsidP="00CA5179">
      <w:pPr>
        <w:rPr>
          <w:rFonts w:ascii="Arial" w:hAnsi="Arial" w:cs="Arial"/>
          <w:sz w:val="24"/>
          <w:szCs w:val="24"/>
        </w:rPr>
      </w:pPr>
    </w:p>
    <w:tbl>
      <w:tblPr>
        <w:tblStyle w:val="TableGrid"/>
        <w:tblW w:w="0" w:type="auto"/>
        <w:tblInd w:w="578" w:type="dxa"/>
        <w:tblLook w:val="04A0"/>
      </w:tblPr>
      <w:tblGrid>
        <w:gridCol w:w="2518"/>
        <w:gridCol w:w="1985"/>
        <w:gridCol w:w="3402"/>
      </w:tblGrid>
      <w:tr w:rsidR="00CA5179" w:rsidRPr="00F45D54" w:rsidTr="007A2BDE">
        <w:tc>
          <w:tcPr>
            <w:tcW w:w="2518" w:type="dxa"/>
            <w:shd w:val="clear" w:color="auto" w:fill="A6A6A6" w:themeFill="background1" w:themeFillShade="A6"/>
          </w:tcPr>
          <w:p w:rsidR="00CA5179" w:rsidRPr="00F45D54" w:rsidRDefault="00CA5179" w:rsidP="007A2BDE">
            <w:pPr>
              <w:rPr>
                <w:rFonts w:ascii="Times New Roman" w:hAnsi="Times New Roman" w:cs="Times New Roman"/>
                <w:b/>
                <w:sz w:val="24"/>
                <w:szCs w:val="24"/>
              </w:rPr>
            </w:pPr>
            <w:r w:rsidRPr="00F45D54">
              <w:rPr>
                <w:rFonts w:ascii="Times New Roman" w:hAnsi="Times New Roman" w:cs="Times New Roman"/>
                <w:b/>
                <w:sz w:val="24"/>
                <w:szCs w:val="24"/>
              </w:rPr>
              <w:t>School</w:t>
            </w:r>
          </w:p>
        </w:tc>
        <w:tc>
          <w:tcPr>
            <w:tcW w:w="1985" w:type="dxa"/>
            <w:shd w:val="clear" w:color="auto" w:fill="A6A6A6" w:themeFill="background1" w:themeFillShade="A6"/>
          </w:tcPr>
          <w:p w:rsidR="00CA5179" w:rsidRPr="00F45D54" w:rsidRDefault="00CA5179" w:rsidP="007A2BDE">
            <w:pPr>
              <w:rPr>
                <w:rFonts w:ascii="Times New Roman" w:hAnsi="Times New Roman" w:cs="Times New Roman"/>
                <w:b/>
                <w:sz w:val="24"/>
                <w:szCs w:val="24"/>
              </w:rPr>
            </w:pPr>
            <w:r w:rsidRPr="00F45D54">
              <w:rPr>
                <w:rFonts w:ascii="Times New Roman" w:hAnsi="Times New Roman" w:cs="Times New Roman"/>
                <w:b/>
                <w:sz w:val="24"/>
                <w:szCs w:val="24"/>
              </w:rPr>
              <w:t>Province</w:t>
            </w:r>
          </w:p>
        </w:tc>
        <w:tc>
          <w:tcPr>
            <w:tcW w:w="3402" w:type="dxa"/>
            <w:shd w:val="clear" w:color="auto" w:fill="A6A6A6" w:themeFill="background1" w:themeFillShade="A6"/>
          </w:tcPr>
          <w:p w:rsidR="00CA5179" w:rsidRPr="00F45D54" w:rsidRDefault="00CA5179" w:rsidP="007A2BDE">
            <w:pPr>
              <w:rPr>
                <w:rFonts w:ascii="Times New Roman" w:hAnsi="Times New Roman" w:cs="Times New Roman"/>
                <w:b/>
                <w:sz w:val="24"/>
                <w:szCs w:val="24"/>
              </w:rPr>
            </w:pPr>
            <w:r w:rsidRPr="00F45D54">
              <w:rPr>
                <w:rFonts w:ascii="Times New Roman" w:hAnsi="Times New Roman" w:cs="Times New Roman"/>
                <w:b/>
                <w:sz w:val="24"/>
                <w:szCs w:val="24"/>
              </w:rPr>
              <w:t>Number of learners – Gr 12</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proofErr w:type="spellStart"/>
            <w:r w:rsidRPr="00F45D54">
              <w:rPr>
                <w:rFonts w:ascii="Times New Roman" w:hAnsi="Times New Roman" w:cs="Times New Roman"/>
                <w:sz w:val="24"/>
                <w:szCs w:val="24"/>
              </w:rPr>
              <w:t>Efata</w:t>
            </w:r>
            <w:proofErr w:type="spellEnd"/>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EC</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3</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St Thomas</w:t>
            </w:r>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EC</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10 (full time) + 6 (part time)</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proofErr w:type="spellStart"/>
            <w:r w:rsidRPr="00F45D54">
              <w:rPr>
                <w:rFonts w:ascii="Times New Roman" w:hAnsi="Times New Roman" w:cs="Times New Roman"/>
                <w:sz w:val="24"/>
                <w:szCs w:val="24"/>
              </w:rPr>
              <w:t>Bartimea</w:t>
            </w:r>
            <w:proofErr w:type="spellEnd"/>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FS</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4</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proofErr w:type="spellStart"/>
            <w:r w:rsidRPr="00F45D54">
              <w:rPr>
                <w:rFonts w:ascii="Times New Roman" w:hAnsi="Times New Roman" w:cs="Times New Roman"/>
                <w:sz w:val="24"/>
                <w:szCs w:val="24"/>
              </w:rPr>
              <w:t>Thiboloha</w:t>
            </w:r>
            <w:proofErr w:type="spellEnd"/>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FS</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2</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proofErr w:type="spellStart"/>
            <w:r w:rsidRPr="00F45D54">
              <w:rPr>
                <w:rFonts w:ascii="Times New Roman" w:hAnsi="Times New Roman" w:cs="Times New Roman"/>
                <w:sz w:val="24"/>
                <w:szCs w:val="24"/>
              </w:rPr>
              <w:t>Sizwile</w:t>
            </w:r>
            <w:proofErr w:type="spellEnd"/>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GP</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 xml:space="preserve">11 </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Fulton</w:t>
            </w:r>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KZN</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3</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proofErr w:type="spellStart"/>
            <w:r w:rsidRPr="00F45D54">
              <w:rPr>
                <w:rFonts w:ascii="Times New Roman" w:hAnsi="Times New Roman" w:cs="Times New Roman"/>
                <w:sz w:val="24"/>
                <w:szCs w:val="24"/>
              </w:rPr>
              <w:t>Kwathintwa</w:t>
            </w:r>
            <w:proofErr w:type="spellEnd"/>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KZN</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8</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 xml:space="preserve">St Martin </w:t>
            </w:r>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KZN</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7</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De-la-Bat</w:t>
            </w:r>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WC</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1</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Dominican (</w:t>
            </w:r>
            <w:proofErr w:type="spellStart"/>
            <w:r w:rsidRPr="00F45D54">
              <w:rPr>
                <w:rFonts w:ascii="Times New Roman" w:hAnsi="Times New Roman" w:cs="Times New Roman"/>
                <w:sz w:val="24"/>
                <w:szCs w:val="24"/>
              </w:rPr>
              <w:t>Wittebome</w:t>
            </w:r>
            <w:proofErr w:type="spellEnd"/>
            <w:r w:rsidRPr="00F45D54">
              <w:rPr>
                <w:rFonts w:ascii="Times New Roman" w:hAnsi="Times New Roman" w:cs="Times New Roman"/>
                <w:sz w:val="24"/>
                <w:szCs w:val="24"/>
              </w:rPr>
              <w:t>)</w:t>
            </w:r>
          </w:p>
        </w:tc>
        <w:tc>
          <w:tcPr>
            <w:tcW w:w="1985"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WC</w:t>
            </w:r>
          </w:p>
        </w:tc>
        <w:tc>
          <w:tcPr>
            <w:tcW w:w="3402" w:type="dxa"/>
          </w:tcPr>
          <w:p w:rsidR="00CA5179" w:rsidRPr="00F45D54" w:rsidRDefault="00CA5179" w:rsidP="007A2BDE">
            <w:pPr>
              <w:rPr>
                <w:rFonts w:ascii="Times New Roman" w:hAnsi="Times New Roman" w:cs="Times New Roman"/>
                <w:sz w:val="24"/>
                <w:szCs w:val="24"/>
              </w:rPr>
            </w:pPr>
            <w:r w:rsidRPr="00F45D54">
              <w:rPr>
                <w:rFonts w:ascii="Times New Roman" w:hAnsi="Times New Roman" w:cs="Times New Roman"/>
                <w:sz w:val="24"/>
                <w:szCs w:val="24"/>
              </w:rPr>
              <w:t>3</w:t>
            </w:r>
          </w:p>
        </w:tc>
      </w:tr>
      <w:tr w:rsidR="00CA5179" w:rsidRPr="00F45D54" w:rsidTr="007A2BDE">
        <w:tc>
          <w:tcPr>
            <w:tcW w:w="2518" w:type="dxa"/>
          </w:tcPr>
          <w:p w:rsidR="00CA5179" w:rsidRPr="00F45D54" w:rsidRDefault="00CA5179" w:rsidP="007A2BDE">
            <w:pPr>
              <w:rPr>
                <w:rFonts w:ascii="Times New Roman" w:hAnsi="Times New Roman" w:cs="Times New Roman"/>
                <w:sz w:val="24"/>
                <w:szCs w:val="24"/>
              </w:rPr>
            </w:pPr>
          </w:p>
        </w:tc>
        <w:tc>
          <w:tcPr>
            <w:tcW w:w="1985" w:type="dxa"/>
          </w:tcPr>
          <w:p w:rsidR="00CA5179" w:rsidRPr="00F45D54" w:rsidRDefault="00CA5179" w:rsidP="007A2BDE">
            <w:pPr>
              <w:rPr>
                <w:rFonts w:ascii="Times New Roman" w:hAnsi="Times New Roman" w:cs="Times New Roman"/>
                <w:sz w:val="24"/>
                <w:szCs w:val="24"/>
              </w:rPr>
            </w:pPr>
          </w:p>
        </w:tc>
        <w:tc>
          <w:tcPr>
            <w:tcW w:w="3402" w:type="dxa"/>
          </w:tcPr>
          <w:p w:rsidR="00CA5179" w:rsidRPr="00F45D54" w:rsidRDefault="00CA5179" w:rsidP="007A2BDE">
            <w:pPr>
              <w:rPr>
                <w:rFonts w:ascii="Times New Roman" w:hAnsi="Times New Roman" w:cs="Times New Roman"/>
                <w:sz w:val="24"/>
                <w:szCs w:val="24"/>
              </w:rPr>
            </w:pPr>
          </w:p>
        </w:tc>
      </w:tr>
      <w:tr w:rsidR="00CA5179" w:rsidRPr="00F45D54" w:rsidTr="007A2BDE">
        <w:tc>
          <w:tcPr>
            <w:tcW w:w="2518" w:type="dxa"/>
          </w:tcPr>
          <w:p w:rsidR="00CA5179" w:rsidRPr="00F45D54" w:rsidRDefault="00CA5179" w:rsidP="007A2BDE">
            <w:pPr>
              <w:rPr>
                <w:rFonts w:ascii="Times New Roman" w:hAnsi="Times New Roman" w:cs="Times New Roman"/>
                <w:b/>
                <w:sz w:val="24"/>
                <w:szCs w:val="24"/>
              </w:rPr>
            </w:pPr>
            <w:r w:rsidRPr="00F45D54">
              <w:rPr>
                <w:rFonts w:ascii="Times New Roman" w:hAnsi="Times New Roman" w:cs="Times New Roman"/>
                <w:b/>
                <w:sz w:val="24"/>
                <w:szCs w:val="24"/>
              </w:rPr>
              <w:t>Total</w:t>
            </w:r>
          </w:p>
        </w:tc>
        <w:tc>
          <w:tcPr>
            <w:tcW w:w="1985" w:type="dxa"/>
          </w:tcPr>
          <w:p w:rsidR="00CA5179" w:rsidRPr="00F45D54" w:rsidRDefault="00CA5179" w:rsidP="007A2BDE">
            <w:pPr>
              <w:rPr>
                <w:rFonts w:ascii="Times New Roman" w:hAnsi="Times New Roman" w:cs="Times New Roman"/>
                <w:b/>
                <w:sz w:val="24"/>
                <w:szCs w:val="24"/>
              </w:rPr>
            </w:pPr>
            <w:r w:rsidRPr="00F45D54">
              <w:rPr>
                <w:rFonts w:ascii="Times New Roman" w:hAnsi="Times New Roman" w:cs="Times New Roman"/>
                <w:b/>
                <w:sz w:val="24"/>
                <w:szCs w:val="24"/>
              </w:rPr>
              <w:t>10 schools</w:t>
            </w:r>
          </w:p>
        </w:tc>
        <w:tc>
          <w:tcPr>
            <w:tcW w:w="3402" w:type="dxa"/>
          </w:tcPr>
          <w:p w:rsidR="00CA5179" w:rsidRPr="00F45D54" w:rsidRDefault="00CA5179" w:rsidP="007A2BDE">
            <w:pPr>
              <w:rPr>
                <w:rFonts w:ascii="Times New Roman" w:hAnsi="Times New Roman" w:cs="Times New Roman"/>
                <w:b/>
                <w:sz w:val="24"/>
                <w:szCs w:val="24"/>
              </w:rPr>
            </w:pPr>
            <w:r w:rsidRPr="00F45D54">
              <w:rPr>
                <w:rFonts w:ascii="Times New Roman" w:hAnsi="Times New Roman" w:cs="Times New Roman"/>
                <w:b/>
                <w:sz w:val="24"/>
                <w:szCs w:val="24"/>
              </w:rPr>
              <w:t>58</w:t>
            </w:r>
          </w:p>
        </w:tc>
      </w:tr>
    </w:tbl>
    <w:p w:rsidR="00CA5179" w:rsidRDefault="00CA5179" w:rsidP="00CA5179">
      <w:pPr>
        <w:rPr>
          <w:rFonts w:ascii="Arial" w:hAnsi="Arial" w:cs="Arial"/>
          <w:sz w:val="24"/>
          <w:szCs w:val="24"/>
        </w:rPr>
      </w:pPr>
    </w:p>
    <w:p w:rsidR="00F45D54" w:rsidRPr="00CA391D" w:rsidRDefault="00F45D54" w:rsidP="00F45D54">
      <w:pPr>
        <w:spacing w:line="240" w:lineRule="auto"/>
        <w:ind w:left="709"/>
        <w:rPr>
          <w:rFonts w:ascii="Times New Roman" w:hAnsi="Times New Roman" w:cs="Times New Roman"/>
          <w:sz w:val="24"/>
          <w:szCs w:val="24"/>
        </w:rPr>
      </w:pPr>
      <w:r w:rsidRPr="00CA391D">
        <w:rPr>
          <w:rFonts w:ascii="Times New Roman" w:hAnsi="Times New Roman" w:cs="Times New Roman"/>
          <w:sz w:val="24"/>
          <w:szCs w:val="24"/>
        </w:rPr>
        <w:t>3.</w:t>
      </w:r>
      <w:r w:rsidRPr="00CA391D">
        <w:rPr>
          <w:rFonts w:ascii="Times New Roman" w:hAnsi="Times New Roman" w:cs="Times New Roman"/>
          <w:sz w:val="24"/>
          <w:szCs w:val="24"/>
        </w:rPr>
        <w:tab/>
        <w:t>(</w:t>
      </w:r>
      <w:proofErr w:type="gramStart"/>
      <w:r w:rsidRPr="00CA391D">
        <w:rPr>
          <w:rFonts w:ascii="Times New Roman" w:hAnsi="Times New Roman" w:cs="Times New Roman"/>
          <w:sz w:val="24"/>
          <w:szCs w:val="24"/>
        </w:rPr>
        <w:t>a</w:t>
      </w:r>
      <w:proofErr w:type="gramEnd"/>
      <w:r w:rsidRPr="00CA391D">
        <w:rPr>
          <w:rFonts w:ascii="Times New Roman" w:hAnsi="Times New Roman" w:cs="Times New Roman"/>
          <w:sz w:val="24"/>
          <w:szCs w:val="24"/>
        </w:rPr>
        <w:t>) (b) (c)</w:t>
      </w:r>
    </w:p>
    <w:p w:rsidR="00F45D54" w:rsidRPr="00CA391D" w:rsidRDefault="00F45D54" w:rsidP="00F47A68">
      <w:pPr>
        <w:pStyle w:val="parai-paraa"/>
        <w:spacing w:before="0" w:line="240" w:lineRule="auto"/>
        <w:ind w:left="900"/>
        <w:rPr>
          <w:rFonts w:ascii="Times New Roman" w:hAnsi="Times New Roman" w:cs="Times New Roman"/>
          <w:bCs/>
          <w:color w:val="000000" w:themeColor="text1"/>
          <w:sz w:val="24"/>
          <w:szCs w:val="24"/>
          <w:lang w:val="en-GB"/>
        </w:rPr>
      </w:pPr>
      <w:r w:rsidRPr="00CA391D">
        <w:rPr>
          <w:rFonts w:ascii="Times New Roman" w:hAnsi="Times New Roman" w:cs="Times New Roman"/>
          <w:color w:val="000000" w:themeColor="text1"/>
          <w:sz w:val="24"/>
          <w:szCs w:val="24"/>
        </w:rPr>
        <w:tab/>
        <w:t xml:space="preserve">In terms of the policy relating to the appointment of markers, the marker must have </w:t>
      </w:r>
      <w:r w:rsidRPr="00CA391D">
        <w:rPr>
          <w:rFonts w:ascii="Times New Roman" w:hAnsi="Times New Roman" w:cs="Times New Roman"/>
          <w:bCs/>
          <w:color w:val="000000" w:themeColor="text1"/>
          <w:sz w:val="24"/>
          <w:szCs w:val="24"/>
          <w:lang w:val="en-GB"/>
        </w:rPr>
        <w:t xml:space="preserve">at least a recognised three year post matric qualification which must include the subject concerned at second or third year level. In addition the marker must </w:t>
      </w:r>
      <w:r w:rsidRPr="00CA391D">
        <w:rPr>
          <w:rFonts w:ascii="Times New Roman" w:hAnsi="Times New Roman" w:cs="Times New Roman"/>
          <w:color w:val="000000" w:themeColor="text1"/>
          <w:sz w:val="24"/>
          <w:szCs w:val="24"/>
        </w:rPr>
        <w:t xml:space="preserve">have </w:t>
      </w:r>
      <w:r w:rsidRPr="00CA391D">
        <w:rPr>
          <w:rFonts w:ascii="Times New Roman" w:hAnsi="Times New Roman" w:cs="Times New Roman"/>
          <w:color w:val="000000" w:themeColor="text1"/>
          <w:sz w:val="24"/>
          <w:szCs w:val="24"/>
          <w:lang w:val="en-GB"/>
        </w:rPr>
        <w:t xml:space="preserve">extensive experience as an educator in the particular subject or a related area and at </w:t>
      </w:r>
      <w:r w:rsidRPr="00CA391D">
        <w:rPr>
          <w:rFonts w:ascii="Times New Roman" w:hAnsi="Times New Roman" w:cs="Times New Roman"/>
          <w:bCs/>
          <w:color w:val="000000" w:themeColor="text1"/>
          <w:sz w:val="24"/>
          <w:szCs w:val="24"/>
          <w:lang w:val="en-GB"/>
        </w:rPr>
        <w:t>least two years teaching or other curriculum-related experience within the last 5 years at the appropriate level, and must be competent in the language of teaching and learning.</w:t>
      </w:r>
    </w:p>
    <w:p w:rsidR="00F45D54" w:rsidRPr="00CA391D" w:rsidRDefault="00F45D54" w:rsidP="00F47A68">
      <w:pPr>
        <w:spacing w:before="100" w:beforeAutospacing="1" w:after="100" w:afterAutospacing="1" w:line="240" w:lineRule="auto"/>
        <w:ind w:left="810"/>
        <w:jc w:val="both"/>
        <w:rPr>
          <w:rFonts w:ascii="Times New Roman" w:eastAsia="Calibri" w:hAnsi="Times New Roman" w:cs="Times New Roman"/>
          <w:color w:val="000000" w:themeColor="text1"/>
          <w:sz w:val="24"/>
          <w:szCs w:val="24"/>
        </w:rPr>
      </w:pPr>
      <w:r w:rsidRPr="00CA391D">
        <w:rPr>
          <w:rFonts w:ascii="Times New Roman" w:eastAsia="Calibri" w:hAnsi="Times New Roman" w:cs="Times New Roman"/>
          <w:color w:val="000000" w:themeColor="text1"/>
          <w:sz w:val="24"/>
          <w:szCs w:val="24"/>
        </w:rPr>
        <w:t>In terms of marker appointments for SASL HL, it was not expected that the DBE will be able to appoint markers that satisfy all of the above criteria given that this is the first year of implementation of this examination. All 15 markers have extensive experience as teachers of deaf learners and have a Teaching Qualification. Four (4) of the markers have a qualification in SASL – ranging from a short course qualification to an Honours Degree in SASL. Two Deaf Teaching Assistants were also appointed to assist the hearing markers with the translation of SASL. The Teaching Assistants were not involved directly in marking. The teaching assistants have a Matric qualification.</w:t>
      </w:r>
    </w:p>
    <w:p w:rsidR="00F45D54" w:rsidRPr="00CA391D" w:rsidRDefault="00F45D54" w:rsidP="00F47A68">
      <w:pPr>
        <w:spacing w:before="100" w:beforeAutospacing="1" w:after="100" w:afterAutospacing="1" w:line="240" w:lineRule="auto"/>
        <w:ind w:left="810" w:hanging="57"/>
        <w:jc w:val="both"/>
        <w:rPr>
          <w:rFonts w:ascii="Times New Roman" w:hAnsi="Times New Roman" w:cs="Times New Roman"/>
          <w:color w:val="000000" w:themeColor="text1"/>
          <w:sz w:val="24"/>
          <w:szCs w:val="24"/>
        </w:rPr>
      </w:pPr>
      <w:r w:rsidRPr="00CA391D">
        <w:rPr>
          <w:rFonts w:ascii="Times New Roman" w:eastAsia="Calibri" w:hAnsi="Times New Roman" w:cs="Times New Roman"/>
          <w:color w:val="000000" w:themeColor="text1"/>
          <w:sz w:val="24"/>
          <w:szCs w:val="24"/>
        </w:rPr>
        <w:lastRenderedPageBreak/>
        <w:t xml:space="preserve">Given the limitations relating to the appointed markers, the marking of the 2018 NSC SASL HL examinations was centralised at the DBE to ensure stringent standardisation and quality assurance of the marking process. </w:t>
      </w:r>
    </w:p>
    <w:p w:rsidR="00CA5179" w:rsidRPr="00131B1A" w:rsidRDefault="00CA5179" w:rsidP="00CA5179">
      <w:pPr>
        <w:ind w:left="426" w:hanging="426"/>
        <w:jc w:val="both"/>
        <w:rPr>
          <w:rFonts w:ascii="Times New Roman" w:hAnsi="Times New Roman" w:cs="Times New Roman"/>
          <w:sz w:val="24"/>
          <w:szCs w:val="24"/>
        </w:rPr>
      </w:pPr>
      <w:r w:rsidRPr="00F45D54">
        <w:rPr>
          <w:rFonts w:ascii="Times New Roman" w:hAnsi="Times New Roman" w:cs="Times New Roman"/>
          <w:sz w:val="24"/>
          <w:szCs w:val="24"/>
        </w:rPr>
        <w:t>(4) T</w:t>
      </w:r>
      <w:r w:rsidRPr="00F45D54">
        <w:rPr>
          <w:rFonts w:ascii="Times New Roman" w:hAnsi="Times New Roman" w:cs="Times New Roman"/>
          <w:color w:val="212121"/>
          <w:sz w:val="24"/>
          <w:szCs w:val="24"/>
          <w:shd w:val="clear" w:color="auto" w:fill="FFFFFF"/>
        </w:rPr>
        <w:t xml:space="preserve">he Department of Basic Education (DBE) is responsible for the development of the South African Sign Language National Catalogue which is forwarded to provinces, districts and schools. The provinces and schools are responsible for procurement and delivery of these </w:t>
      </w:r>
      <w:r w:rsidRPr="00131B1A">
        <w:rPr>
          <w:rFonts w:ascii="Times New Roman" w:hAnsi="Times New Roman" w:cs="Times New Roman"/>
          <w:color w:val="212121"/>
          <w:sz w:val="24"/>
          <w:szCs w:val="24"/>
          <w:shd w:val="clear" w:color="auto" w:fill="FFFFFF"/>
        </w:rPr>
        <w:t>textbooks as required. The Catalogues referred to were developed in 2015 and 2017.</w:t>
      </w:r>
    </w:p>
    <w:p w:rsidR="00131B1A" w:rsidRPr="00131B1A" w:rsidRDefault="00131B1A" w:rsidP="00131B1A">
      <w:pPr>
        <w:ind w:left="426" w:hanging="426"/>
        <w:jc w:val="both"/>
        <w:rPr>
          <w:rFonts w:ascii="Times New Roman" w:hAnsi="Times New Roman" w:cs="Times New Roman"/>
          <w:sz w:val="24"/>
          <w:szCs w:val="24"/>
        </w:rPr>
      </w:pPr>
      <w:r w:rsidRPr="00131B1A">
        <w:rPr>
          <w:rFonts w:ascii="Times New Roman" w:hAnsi="Times New Roman" w:cs="Times New Roman"/>
          <w:sz w:val="24"/>
          <w:szCs w:val="24"/>
        </w:rPr>
        <w:t>(5).</w:t>
      </w:r>
      <w:r w:rsidRPr="00131B1A">
        <w:rPr>
          <w:rFonts w:ascii="Times New Roman" w:hAnsi="Times New Roman" w:cs="Times New Roman"/>
          <w:sz w:val="24"/>
          <w:szCs w:val="24"/>
        </w:rPr>
        <w:tab/>
        <w:t>The Department of Basic Education has not been approached by students as the function of teacher development resides with provinces.</w:t>
      </w:r>
    </w:p>
    <w:p w:rsidR="00CA5179" w:rsidRPr="00131B1A" w:rsidRDefault="00CA5179" w:rsidP="00CA5179">
      <w:pPr>
        <w:rPr>
          <w:rFonts w:ascii="Times New Roman" w:hAnsi="Times New Roman" w:cs="Times New Roman"/>
          <w:sz w:val="24"/>
          <w:szCs w:val="24"/>
        </w:rPr>
      </w:pPr>
    </w:p>
    <w:p w:rsidR="00CA5179" w:rsidRPr="00D6030C" w:rsidRDefault="00CA5179" w:rsidP="00CA5179">
      <w:pPr>
        <w:rPr>
          <w:rFonts w:ascii="Arial" w:hAnsi="Arial" w:cs="Arial"/>
          <w:sz w:val="24"/>
          <w:szCs w:val="24"/>
        </w:rPr>
      </w:pPr>
    </w:p>
    <w:p w:rsidR="00CA5179" w:rsidRPr="00D6030C"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Default="00CA5179" w:rsidP="00CA5179">
      <w:pPr>
        <w:rPr>
          <w:rFonts w:ascii="Arial" w:hAnsi="Arial" w:cs="Arial"/>
          <w:sz w:val="24"/>
          <w:szCs w:val="24"/>
        </w:rPr>
      </w:pPr>
    </w:p>
    <w:p w:rsidR="00CA5179" w:rsidRPr="00D6030C" w:rsidRDefault="00CA5179" w:rsidP="00CA5179">
      <w:pPr>
        <w:rPr>
          <w:rFonts w:ascii="Arial" w:hAnsi="Arial" w:cs="Arial"/>
          <w:sz w:val="24"/>
          <w:szCs w:val="24"/>
        </w:rPr>
      </w:pPr>
      <w:bookmarkStart w:id="0" w:name="_GoBack"/>
      <w:bookmarkEnd w:id="0"/>
    </w:p>
    <w:sectPr w:rsidR="00CA5179" w:rsidRPr="00D6030C" w:rsidSect="00545B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015890"/>
    <w:rsid w:val="0005396A"/>
    <w:rsid w:val="00075575"/>
    <w:rsid w:val="000A2AAC"/>
    <w:rsid w:val="000C6DB7"/>
    <w:rsid w:val="000D4D43"/>
    <w:rsid w:val="001034EB"/>
    <w:rsid w:val="00131B1A"/>
    <w:rsid w:val="001363D0"/>
    <w:rsid w:val="001415B1"/>
    <w:rsid w:val="00170990"/>
    <w:rsid w:val="00171447"/>
    <w:rsid w:val="00172DB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0F27"/>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45BE8"/>
    <w:rsid w:val="005676F7"/>
    <w:rsid w:val="00570560"/>
    <w:rsid w:val="005827AF"/>
    <w:rsid w:val="0059663A"/>
    <w:rsid w:val="005B389D"/>
    <w:rsid w:val="005C4AB6"/>
    <w:rsid w:val="00607436"/>
    <w:rsid w:val="00613631"/>
    <w:rsid w:val="00615A3B"/>
    <w:rsid w:val="00634B40"/>
    <w:rsid w:val="00666324"/>
    <w:rsid w:val="00667A76"/>
    <w:rsid w:val="00692B11"/>
    <w:rsid w:val="006C1F10"/>
    <w:rsid w:val="006D7B63"/>
    <w:rsid w:val="006F297B"/>
    <w:rsid w:val="00710D44"/>
    <w:rsid w:val="00720CC4"/>
    <w:rsid w:val="00735204"/>
    <w:rsid w:val="007A4190"/>
    <w:rsid w:val="007D5B29"/>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E1828"/>
    <w:rsid w:val="00B6783D"/>
    <w:rsid w:val="00B81D4D"/>
    <w:rsid w:val="00B8303B"/>
    <w:rsid w:val="00BA70AC"/>
    <w:rsid w:val="00C00DC4"/>
    <w:rsid w:val="00C06F25"/>
    <w:rsid w:val="00C4444B"/>
    <w:rsid w:val="00C90C8F"/>
    <w:rsid w:val="00CA5179"/>
    <w:rsid w:val="00D13D42"/>
    <w:rsid w:val="00D34C31"/>
    <w:rsid w:val="00D6328E"/>
    <w:rsid w:val="00D713FC"/>
    <w:rsid w:val="00D9276C"/>
    <w:rsid w:val="00D94B1F"/>
    <w:rsid w:val="00D97E99"/>
    <w:rsid w:val="00E34908"/>
    <w:rsid w:val="00E44789"/>
    <w:rsid w:val="00E610ED"/>
    <w:rsid w:val="00E65529"/>
    <w:rsid w:val="00E67F6F"/>
    <w:rsid w:val="00EA485B"/>
    <w:rsid w:val="00EC7F74"/>
    <w:rsid w:val="00EF5B30"/>
    <w:rsid w:val="00F11816"/>
    <w:rsid w:val="00F45D54"/>
    <w:rsid w:val="00F47A68"/>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17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72DB7"/>
    <w:pPr>
      <w:ind w:left="720"/>
      <w:contextualSpacing/>
    </w:pPr>
  </w:style>
  <w:style w:type="paragraph" w:customStyle="1" w:styleId="parai-paraa">
    <w:name w:val="para(i)-para(a)"/>
    <w:basedOn w:val="Normal"/>
    <w:rsid w:val="00F45D54"/>
    <w:pPr>
      <w:spacing w:before="60" w:after="0" w:line="200" w:lineRule="exact"/>
      <w:ind w:left="1644" w:hanging="1644"/>
      <w:jc w:val="both"/>
    </w:pPr>
    <w:rPr>
      <w:rFonts w:ascii="Arial" w:hAnsi="Arial" w:cs="Arial"/>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2019-03-25T09:42:00Z</dcterms:created>
  <dcterms:modified xsi:type="dcterms:W3CDTF">2019-03-25T09:42:00Z</dcterms:modified>
</cp:coreProperties>
</file>