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69" w:rsidRPr="001508AF" w:rsidRDefault="003E5569" w:rsidP="003E5569">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3E5569" w:rsidRPr="001508AF" w:rsidRDefault="003E5569" w:rsidP="003E5569">
      <w:pPr>
        <w:spacing w:after="0" w:line="240" w:lineRule="auto"/>
        <w:outlineLvl w:val="0"/>
        <w:rPr>
          <w:rFonts w:ascii="Arial" w:eastAsia="Arial Unicode MS" w:hAnsi="Arial" w:cs="Times New Roman"/>
          <w:color w:val="000000"/>
          <w:sz w:val="24"/>
          <w:szCs w:val="20"/>
          <w:lang w:eastAsia="en-ZA"/>
        </w:rPr>
      </w:pPr>
    </w:p>
    <w:p w:rsidR="003E5569" w:rsidRPr="001508AF" w:rsidRDefault="003E5569" w:rsidP="003E5569">
      <w:pPr>
        <w:spacing w:after="0" w:line="240" w:lineRule="auto"/>
        <w:outlineLvl w:val="0"/>
        <w:rPr>
          <w:rFonts w:ascii="Arial" w:eastAsia="Arial Unicode MS" w:hAnsi="Arial" w:cs="Times New Roman"/>
          <w:color w:val="000000"/>
          <w:sz w:val="24"/>
          <w:szCs w:val="20"/>
          <w:lang w:eastAsia="en-ZA"/>
        </w:rPr>
      </w:pPr>
    </w:p>
    <w:p w:rsidR="003E5569" w:rsidRPr="001508AF" w:rsidRDefault="003E5569" w:rsidP="003E5569">
      <w:pPr>
        <w:spacing w:after="0" w:line="240" w:lineRule="auto"/>
        <w:jc w:val="center"/>
        <w:outlineLvl w:val="0"/>
        <w:rPr>
          <w:rFonts w:ascii="Arial" w:eastAsia="Arial Unicode MS" w:hAnsi="Arial" w:cs="Times New Roman"/>
          <w:b/>
          <w:color w:val="000000"/>
          <w:sz w:val="24"/>
          <w:szCs w:val="20"/>
          <w:lang w:eastAsia="en-ZA"/>
        </w:rPr>
      </w:pPr>
    </w:p>
    <w:p w:rsidR="003E5569" w:rsidRPr="001508AF" w:rsidRDefault="003E5569" w:rsidP="003E5569">
      <w:pPr>
        <w:spacing w:after="0" w:line="240" w:lineRule="auto"/>
        <w:jc w:val="center"/>
        <w:outlineLvl w:val="0"/>
        <w:rPr>
          <w:rFonts w:ascii="Arial" w:eastAsia="Arial Unicode MS" w:hAnsi="Arial" w:cs="Times New Roman"/>
          <w:b/>
          <w:color w:val="000000"/>
          <w:sz w:val="24"/>
          <w:szCs w:val="20"/>
          <w:lang w:eastAsia="en-ZA"/>
        </w:rPr>
      </w:pPr>
    </w:p>
    <w:p w:rsidR="003E5569" w:rsidRPr="001508AF" w:rsidRDefault="003E5569" w:rsidP="003E556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3E5569" w:rsidRPr="001508AF" w:rsidRDefault="003E5569" w:rsidP="003E556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3E5569" w:rsidRDefault="003E5569" w:rsidP="003E5569">
      <w:pPr>
        <w:spacing w:after="0" w:line="276" w:lineRule="auto"/>
        <w:outlineLvl w:val="0"/>
        <w:rPr>
          <w:rFonts w:ascii="Arial" w:eastAsia="Arial Unicode MS" w:hAnsi="Arial" w:cs="Arial"/>
          <w:b/>
          <w:sz w:val="24"/>
          <w:szCs w:val="24"/>
          <w:lang w:eastAsia="en-ZA"/>
        </w:rPr>
      </w:pPr>
    </w:p>
    <w:p w:rsidR="003E5569" w:rsidRPr="00720C4F" w:rsidRDefault="003E5569" w:rsidP="003E5569">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NATIONAL ASSEMBLY</w:t>
      </w:r>
    </w:p>
    <w:p w:rsidR="003E5569" w:rsidRPr="00720C4F" w:rsidRDefault="003E5569" w:rsidP="003E5569">
      <w:pPr>
        <w:spacing w:after="0" w:line="276" w:lineRule="auto"/>
        <w:outlineLvl w:val="0"/>
        <w:rPr>
          <w:rFonts w:ascii="Arial" w:eastAsia="Arial Unicode MS" w:hAnsi="Arial" w:cs="Arial"/>
          <w:b/>
          <w:sz w:val="24"/>
          <w:szCs w:val="24"/>
          <w:lang w:eastAsia="en-ZA"/>
        </w:rPr>
      </w:pPr>
    </w:p>
    <w:p w:rsidR="003E5569" w:rsidRPr="00720C4F" w:rsidRDefault="003E5569" w:rsidP="003E5569">
      <w:pPr>
        <w:spacing w:after="0" w:line="276" w:lineRule="auto"/>
        <w:outlineLvl w:val="0"/>
        <w:rPr>
          <w:rFonts w:ascii="Arial" w:eastAsia="Arial Unicode MS" w:hAnsi="Arial" w:cs="Arial"/>
          <w:b/>
          <w:sz w:val="24"/>
          <w:szCs w:val="24"/>
          <w:lang w:eastAsia="en-ZA"/>
        </w:rPr>
      </w:pPr>
      <w:r w:rsidRPr="00720C4F">
        <w:rPr>
          <w:rFonts w:ascii="Arial" w:eastAsia="Arial Unicode MS" w:hAnsi="Arial" w:cs="Arial"/>
          <w:b/>
          <w:sz w:val="24"/>
          <w:szCs w:val="24"/>
          <w:lang w:eastAsia="en-ZA"/>
        </w:rPr>
        <w:t xml:space="preserve">QUESTION FOR WRITTEN REPLY </w:t>
      </w:r>
    </w:p>
    <w:p w:rsidR="003E5569" w:rsidRPr="00720C4F" w:rsidRDefault="003E5569" w:rsidP="003E5569">
      <w:pPr>
        <w:spacing w:after="0" w:line="276" w:lineRule="auto"/>
        <w:outlineLvl w:val="0"/>
        <w:rPr>
          <w:rFonts w:ascii="Arial" w:eastAsia="Arial Unicode MS" w:hAnsi="Arial" w:cs="Arial"/>
          <w:b/>
          <w:sz w:val="24"/>
          <w:szCs w:val="24"/>
          <w:lang w:eastAsia="en-ZA"/>
        </w:rPr>
      </w:pPr>
    </w:p>
    <w:p w:rsidR="003E5569" w:rsidRPr="00720C4F" w:rsidRDefault="003E5569" w:rsidP="003E5569">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DATE:</w:t>
      </w:r>
      <w:r>
        <w:rPr>
          <w:rFonts w:ascii="Arial" w:eastAsia="Arial Unicode MS" w:hAnsi="Arial" w:cs="Arial"/>
          <w:b/>
          <w:sz w:val="24"/>
          <w:szCs w:val="24"/>
          <w:lang w:eastAsia="en-ZA"/>
        </w:rPr>
        <w:tab/>
      </w:r>
      <w:r>
        <w:rPr>
          <w:rFonts w:ascii="Arial" w:eastAsia="Arial Unicode MS" w:hAnsi="Arial" w:cs="Arial"/>
          <w:b/>
          <w:sz w:val="24"/>
          <w:szCs w:val="24"/>
          <w:lang w:eastAsia="en-ZA"/>
        </w:rPr>
        <w:tab/>
        <w:t>31 MARCH</w:t>
      </w:r>
      <w:r w:rsidRPr="00720C4F">
        <w:rPr>
          <w:rFonts w:ascii="Arial" w:eastAsia="Arial Unicode MS" w:hAnsi="Arial" w:cs="Arial"/>
          <w:b/>
          <w:sz w:val="24"/>
          <w:szCs w:val="24"/>
          <w:lang w:eastAsia="en-ZA"/>
        </w:rPr>
        <w:t xml:space="preserve"> 20</w:t>
      </w:r>
      <w:r>
        <w:rPr>
          <w:rFonts w:ascii="Arial" w:eastAsia="Arial Unicode MS" w:hAnsi="Arial" w:cs="Arial"/>
          <w:b/>
          <w:sz w:val="24"/>
          <w:szCs w:val="24"/>
          <w:lang w:eastAsia="en-ZA"/>
        </w:rPr>
        <w:t>23</w:t>
      </w:r>
    </w:p>
    <w:p w:rsidR="003E5569" w:rsidRPr="00720C4F" w:rsidRDefault="003E5569" w:rsidP="003E5569">
      <w:pPr>
        <w:spacing w:after="0" w:line="276" w:lineRule="auto"/>
        <w:outlineLvl w:val="0"/>
        <w:rPr>
          <w:rFonts w:ascii="Arial" w:eastAsia="Arial Unicode MS" w:hAnsi="Arial" w:cs="Arial"/>
          <w:b/>
          <w:sz w:val="24"/>
          <w:szCs w:val="24"/>
          <w:lang w:eastAsia="en-ZA"/>
        </w:rPr>
      </w:pPr>
    </w:p>
    <w:p w:rsidR="003E5569" w:rsidRDefault="003E5569" w:rsidP="003E5569">
      <w:pPr>
        <w:spacing w:after="0" w:line="276" w:lineRule="auto"/>
        <w:outlineLvl w:val="0"/>
        <w:rPr>
          <w:rFonts w:ascii="Arial" w:eastAsia="Arial Unicode MS" w:hAnsi="Arial" w:cs="Arial"/>
          <w:b/>
          <w:sz w:val="24"/>
          <w:szCs w:val="24"/>
          <w:lang w:eastAsia="en-ZA"/>
        </w:rPr>
      </w:pPr>
      <w:r>
        <w:rPr>
          <w:rFonts w:ascii="Arial" w:eastAsia="Arial Unicode MS" w:hAnsi="Arial" w:cs="Arial"/>
          <w:b/>
          <w:sz w:val="24"/>
          <w:szCs w:val="24"/>
          <w:lang w:eastAsia="en-ZA"/>
        </w:rPr>
        <w:t xml:space="preserve">QUESTION NO.: </w:t>
      </w:r>
      <w:r>
        <w:rPr>
          <w:rFonts w:ascii="Arial" w:eastAsia="Arial Unicode MS" w:hAnsi="Arial" w:cs="Arial"/>
          <w:b/>
          <w:sz w:val="24"/>
          <w:szCs w:val="24"/>
          <w:lang w:eastAsia="en-ZA"/>
        </w:rPr>
        <w:tab/>
        <w:t>1119</w:t>
      </w:r>
      <w:r w:rsidRPr="00720C4F">
        <w:rPr>
          <w:rFonts w:ascii="Arial" w:eastAsia="Arial Unicode MS" w:hAnsi="Arial" w:cs="Arial"/>
          <w:b/>
          <w:sz w:val="24"/>
          <w:szCs w:val="24"/>
          <w:lang w:eastAsia="en-ZA"/>
        </w:rPr>
        <w:t>.</w:t>
      </w:r>
    </w:p>
    <w:p w:rsidR="003E5569" w:rsidRDefault="003E5569" w:rsidP="003E5569">
      <w:pPr>
        <w:spacing w:after="0" w:line="276" w:lineRule="auto"/>
        <w:outlineLvl w:val="0"/>
        <w:rPr>
          <w:rFonts w:ascii="Arial" w:eastAsia="Arial Unicode MS" w:hAnsi="Arial" w:cs="Arial"/>
          <w:b/>
          <w:sz w:val="24"/>
          <w:szCs w:val="24"/>
          <w:lang w:eastAsia="en-ZA"/>
        </w:rPr>
      </w:pPr>
    </w:p>
    <w:p w:rsidR="003E5569" w:rsidRPr="00A247A0" w:rsidRDefault="003E5569" w:rsidP="003E5569">
      <w:pPr>
        <w:spacing w:after="0" w:line="276" w:lineRule="auto"/>
        <w:outlineLvl w:val="0"/>
        <w:rPr>
          <w:rFonts w:ascii="Arial" w:hAnsi="Arial" w:cs="Arial"/>
          <w:b/>
          <w:lang w:val="en-GB"/>
        </w:rPr>
      </w:pPr>
      <w:r w:rsidRPr="00A247A0">
        <w:rPr>
          <w:rFonts w:ascii="Arial" w:hAnsi="Arial" w:cs="Arial"/>
          <w:b/>
          <w:lang w:val="en-GB"/>
        </w:rPr>
        <w:t>Dr W J Boshoff (FF Plus) to ask the Minister of Public Service and Administration</w:t>
      </w:r>
      <w:r w:rsidR="00DD7351" w:rsidRPr="00A247A0">
        <w:rPr>
          <w:rFonts w:ascii="Arial" w:hAnsi="Arial" w:cs="Arial"/>
          <w:b/>
          <w:lang w:val="en-GB"/>
        </w:rPr>
        <w:fldChar w:fldCharType="begin"/>
      </w:r>
      <w:r w:rsidRPr="00A247A0">
        <w:rPr>
          <w:rFonts w:ascii="Arial" w:hAnsi="Arial" w:cs="Arial"/>
        </w:rPr>
        <w:instrText xml:space="preserve"> XE "</w:instrText>
      </w:r>
      <w:r w:rsidRPr="00A247A0">
        <w:rPr>
          <w:rFonts w:ascii="Arial" w:hAnsi="Arial" w:cs="Arial"/>
          <w:b/>
          <w:lang w:val="en-GB"/>
        </w:rPr>
        <w:instrText>Minister of Public Service and Administration</w:instrText>
      </w:r>
      <w:r w:rsidRPr="00A247A0">
        <w:rPr>
          <w:rFonts w:ascii="Arial" w:hAnsi="Arial" w:cs="Arial"/>
        </w:rPr>
        <w:instrText xml:space="preserve">" </w:instrText>
      </w:r>
      <w:r w:rsidR="00DD7351" w:rsidRPr="00A247A0">
        <w:rPr>
          <w:rFonts w:ascii="Arial" w:hAnsi="Arial" w:cs="Arial"/>
          <w:b/>
          <w:lang w:val="en-GB"/>
        </w:rPr>
        <w:fldChar w:fldCharType="end"/>
      </w:r>
      <w:r w:rsidRPr="00A247A0">
        <w:rPr>
          <w:rFonts w:ascii="Arial" w:hAnsi="Arial" w:cs="Arial"/>
          <w:b/>
          <w:lang w:val="en-GB"/>
        </w:rPr>
        <w:t>:</w:t>
      </w:r>
    </w:p>
    <w:p w:rsidR="003E5569" w:rsidRPr="00A247A0" w:rsidRDefault="003E5569" w:rsidP="003E5569">
      <w:pPr>
        <w:autoSpaceDE w:val="0"/>
        <w:autoSpaceDN w:val="0"/>
        <w:adjustRightInd w:val="0"/>
        <w:spacing w:before="100" w:beforeAutospacing="1" w:after="100" w:afterAutospacing="1" w:line="360" w:lineRule="auto"/>
        <w:jc w:val="both"/>
        <w:rPr>
          <w:rFonts w:ascii="Arial" w:eastAsia="Calibri" w:hAnsi="Arial" w:cs="Arial"/>
          <w:sz w:val="24"/>
          <w:szCs w:val="24"/>
          <w:lang w:val="en-GB"/>
        </w:rPr>
      </w:pPr>
      <w:r w:rsidRPr="00A247A0">
        <w:rPr>
          <w:rFonts w:ascii="Arial" w:hAnsi="Arial" w:cs="Arial"/>
          <w:sz w:val="24"/>
          <w:szCs w:val="24"/>
          <w:lang w:val="en-GB"/>
        </w:rPr>
        <w:t>Whether she will provide Dr W J Boshoff with the relevant details of the (a) current statistics of on-the-job training in the spheres of government she is responsible for, (b) steps she has taken to keep government employees up to date, specifically regarding the use of artificial intelligence and (c) time frame and/or objectives for upgrading the skills and knowledge base in the specified spheres of government; if not, why not, in each case; if so, by what date, in each case?</w:t>
      </w:r>
      <w:r w:rsidRPr="00A247A0">
        <w:rPr>
          <w:rFonts w:ascii="Arial" w:hAnsi="Arial" w:cs="Arial"/>
          <w:sz w:val="24"/>
          <w:szCs w:val="24"/>
          <w:lang w:val="en-GB"/>
        </w:rPr>
        <w:tab/>
      </w:r>
      <w:r w:rsidRPr="00A247A0">
        <w:rPr>
          <w:rFonts w:ascii="Arial" w:hAnsi="Arial" w:cs="Arial"/>
          <w:sz w:val="24"/>
          <w:szCs w:val="24"/>
          <w:lang w:val="en-GB"/>
        </w:rPr>
        <w:tab/>
      </w:r>
      <w:r w:rsidRPr="00A247A0">
        <w:rPr>
          <w:rFonts w:ascii="Arial" w:hAnsi="Arial" w:cs="Arial"/>
          <w:sz w:val="24"/>
          <w:szCs w:val="24"/>
          <w:lang w:val="en-GB"/>
        </w:rPr>
        <w:tab/>
      </w:r>
      <w:r w:rsidRPr="00A247A0">
        <w:rPr>
          <w:rFonts w:ascii="Arial" w:hAnsi="Arial" w:cs="Arial"/>
          <w:sz w:val="24"/>
          <w:szCs w:val="24"/>
          <w:lang w:val="en-GB"/>
        </w:rPr>
        <w:tab/>
      </w:r>
      <w:r w:rsidRPr="00A247A0">
        <w:rPr>
          <w:rFonts w:ascii="Arial" w:eastAsia="Calibri" w:hAnsi="Arial" w:cs="Arial"/>
          <w:bCs/>
          <w:sz w:val="24"/>
          <w:szCs w:val="24"/>
          <w:lang w:val="en-GB"/>
        </w:rPr>
        <w:tab/>
      </w:r>
      <w:r w:rsidRPr="00773EB7">
        <w:rPr>
          <w:rFonts w:ascii="Arial" w:hAnsi="Arial" w:cs="Arial"/>
          <w:b/>
          <w:bCs/>
          <w:color w:val="000000"/>
          <w:sz w:val="24"/>
          <w:szCs w:val="24"/>
          <w:lang w:val="en-GB"/>
        </w:rPr>
        <w:t>NW1258E</w:t>
      </w:r>
    </w:p>
    <w:p w:rsidR="003E5569" w:rsidRPr="00A247A0" w:rsidRDefault="003E5569" w:rsidP="003E5569">
      <w:pPr>
        <w:jc w:val="both"/>
        <w:rPr>
          <w:rFonts w:ascii="Arial" w:hAnsi="Arial" w:cs="Arial"/>
          <w:b/>
          <w:bCs/>
          <w:sz w:val="24"/>
          <w:szCs w:val="24"/>
        </w:rPr>
      </w:pPr>
      <w:r w:rsidRPr="00A247A0">
        <w:rPr>
          <w:rFonts w:ascii="Arial" w:hAnsi="Arial" w:cs="Arial"/>
          <w:b/>
          <w:bCs/>
          <w:sz w:val="24"/>
          <w:szCs w:val="24"/>
        </w:rPr>
        <w:t>REPLY:</w:t>
      </w:r>
    </w:p>
    <w:p w:rsidR="003E5569" w:rsidRDefault="003E5569" w:rsidP="003E5569">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Minister for Public Service and Administration issued the (revised) Directive on Developmental programmes in the Public Service in 2018. </w:t>
      </w:r>
      <w:proofErr w:type="gramStart"/>
      <w:r>
        <w:rPr>
          <w:rFonts w:ascii="Arial" w:hAnsi="Arial" w:cs="Arial"/>
          <w:sz w:val="24"/>
          <w:szCs w:val="24"/>
        </w:rPr>
        <w:t>Developmental programmes refers</w:t>
      </w:r>
      <w:proofErr w:type="gramEnd"/>
      <w:r>
        <w:rPr>
          <w:rFonts w:ascii="Arial" w:hAnsi="Arial" w:cs="Arial"/>
          <w:sz w:val="24"/>
          <w:szCs w:val="24"/>
        </w:rPr>
        <w:t xml:space="preserve"> to internship, learnership, apprenticeship, graduate recruitment scheme. In line with Regulation 57(2) (d), Persons appointed to these programmes are additional to the establishment. </w:t>
      </w:r>
      <w:r w:rsidRPr="00E22E24">
        <w:rPr>
          <w:rFonts w:ascii="Arial" w:hAnsi="Arial" w:cs="Arial"/>
          <w:sz w:val="24"/>
          <w:szCs w:val="24"/>
        </w:rPr>
        <w:t xml:space="preserve">The table below </w:t>
      </w:r>
      <w:r>
        <w:rPr>
          <w:rFonts w:ascii="Arial" w:hAnsi="Arial" w:cs="Arial"/>
          <w:sz w:val="24"/>
          <w:szCs w:val="24"/>
        </w:rPr>
        <w:t>reflects</w:t>
      </w:r>
      <w:r w:rsidRPr="00E22E24">
        <w:rPr>
          <w:rFonts w:ascii="Arial" w:hAnsi="Arial" w:cs="Arial"/>
          <w:sz w:val="24"/>
          <w:szCs w:val="24"/>
        </w:rPr>
        <w:t xml:space="preserve"> the number of persons appointed into developmental programmes during 2021/22 financial year.</w:t>
      </w:r>
    </w:p>
    <w:p w:rsidR="003E5569" w:rsidRDefault="003E5569" w:rsidP="003E5569">
      <w:pPr>
        <w:spacing w:line="360" w:lineRule="auto"/>
        <w:jc w:val="both"/>
        <w:rPr>
          <w:rFonts w:ascii="Arial" w:hAnsi="Arial" w:cs="Arial"/>
          <w:sz w:val="24"/>
          <w:szCs w:val="24"/>
        </w:rPr>
      </w:pPr>
    </w:p>
    <w:p w:rsidR="003E5569" w:rsidRDefault="003E5569" w:rsidP="003E5569">
      <w:pPr>
        <w:spacing w:line="360" w:lineRule="auto"/>
        <w:jc w:val="both"/>
        <w:rPr>
          <w:rFonts w:ascii="Arial" w:hAnsi="Arial" w:cs="Arial"/>
          <w:sz w:val="24"/>
          <w:szCs w:val="24"/>
        </w:rPr>
      </w:pPr>
    </w:p>
    <w:p w:rsidR="003E5569" w:rsidRDefault="003E5569" w:rsidP="003E5569">
      <w:pPr>
        <w:spacing w:line="360" w:lineRule="auto"/>
        <w:jc w:val="both"/>
        <w:rPr>
          <w:rFonts w:ascii="Arial" w:hAnsi="Arial" w:cs="Arial"/>
          <w:sz w:val="24"/>
          <w:szCs w:val="24"/>
        </w:rPr>
      </w:pPr>
    </w:p>
    <w:p w:rsidR="003E5569" w:rsidRPr="003E5569" w:rsidRDefault="003E5569" w:rsidP="003E5569">
      <w:pPr>
        <w:spacing w:line="360" w:lineRule="auto"/>
        <w:jc w:val="both"/>
        <w:rPr>
          <w:rFonts w:ascii="Arial" w:hAnsi="Arial" w:cs="Arial"/>
          <w:sz w:val="24"/>
          <w:szCs w:val="24"/>
        </w:rPr>
      </w:pPr>
    </w:p>
    <w:p w:rsidR="003E5569" w:rsidRDefault="003E5569" w:rsidP="003E5569">
      <w:pPr>
        <w:pStyle w:val="ListParagraph"/>
        <w:spacing w:after="0"/>
        <w:ind w:left="360"/>
        <w:jc w:val="both"/>
        <w:rPr>
          <w:rFonts w:ascii="Arial" w:hAnsi="Arial" w:cs="Arial"/>
          <w:sz w:val="24"/>
          <w:szCs w:val="24"/>
        </w:rPr>
      </w:pPr>
    </w:p>
    <w:tbl>
      <w:tblPr>
        <w:tblW w:w="9488" w:type="dxa"/>
        <w:tblCellMar>
          <w:left w:w="0" w:type="dxa"/>
          <w:right w:w="0" w:type="dxa"/>
        </w:tblCellMar>
        <w:tblLook w:val="0420"/>
      </w:tblPr>
      <w:tblGrid>
        <w:gridCol w:w="1123"/>
        <w:gridCol w:w="1134"/>
        <w:gridCol w:w="1134"/>
        <w:gridCol w:w="1134"/>
        <w:gridCol w:w="1189"/>
        <w:gridCol w:w="1506"/>
        <w:gridCol w:w="1275"/>
        <w:gridCol w:w="993"/>
      </w:tblGrid>
      <w:tr w:rsidR="003E5569" w:rsidRPr="0019513E" w:rsidTr="00F04711">
        <w:trPr>
          <w:trHeight w:val="654"/>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Provinces/ National</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 xml:space="preserve">Graduate internship </w:t>
            </w:r>
            <w:r w:rsidRPr="0019513E">
              <w:rPr>
                <w:rFonts w:ascii="Arial" w:eastAsia="Times New Roman" w:hAnsi="Arial" w:cs="Arial"/>
                <w:b/>
                <w:bCs/>
                <w:color w:val="000000" w:themeColor="dark1"/>
                <w:kern w:val="24"/>
                <w:sz w:val="16"/>
                <w:szCs w:val="16"/>
                <w:lang w:eastAsia="en-ZA"/>
              </w:rPr>
              <w:lastRenderedPageBreak/>
              <w:t>Programme</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lastRenderedPageBreak/>
              <w:t xml:space="preserve">Student Internship </w:t>
            </w:r>
            <w:r w:rsidRPr="0019513E">
              <w:rPr>
                <w:rFonts w:ascii="Arial" w:eastAsia="Times New Roman" w:hAnsi="Arial" w:cs="Arial"/>
                <w:b/>
                <w:bCs/>
                <w:color w:val="000000" w:themeColor="dark1"/>
                <w:kern w:val="24"/>
                <w:sz w:val="16"/>
                <w:szCs w:val="16"/>
                <w:lang w:eastAsia="en-ZA"/>
              </w:rPr>
              <w:lastRenderedPageBreak/>
              <w:t>Programme</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lastRenderedPageBreak/>
              <w:t>Learnership Programme</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Apprenticeship Programme</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 xml:space="preserve">Structured Youth Development </w:t>
            </w:r>
            <w:r w:rsidRPr="0019513E">
              <w:rPr>
                <w:rFonts w:ascii="Arial" w:eastAsia="Times New Roman" w:hAnsi="Arial" w:cs="Arial"/>
                <w:b/>
                <w:bCs/>
                <w:color w:val="000000" w:themeColor="dark1"/>
                <w:kern w:val="24"/>
                <w:sz w:val="16"/>
                <w:szCs w:val="16"/>
                <w:lang w:eastAsia="en-ZA"/>
              </w:rPr>
              <w:lastRenderedPageBreak/>
              <w:t>Programme</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lastRenderedPageBreak/>
              <w:t>Gradu</w:t>
            </w:r>
            <w:r>
              <w:rPr>
                <w:rFonts w:ascii="Arial" w:eastAsia="Times New Roman" w:hAnsi="Arial" w:cs="Arial"/>
                <w:b/>
                <w:bCs/>
                <w:color w:val="000000" w:themeColor="dark1"/>
                <w:kern w:val="24"/>
                <w:sz w:val="16"/>
                <w:szCs w:val="16"/>
                <w:lang w:eastAsia="en-ZA"/>
              </w:rPr>
              <w:t xml:space="preserve">ate Recruitment </w:t>
            </w:r>
            <w:r>
              <w:rPr>
                <w:rFonts w:ascii="Arial" w:eastAsia="Times New Roman" w:hAnsi="Arial" w:cs="Arial"/>
                <w:b/>
                <w:bCs/>
                <w:color w:val="000000" w:themeColor="dark1"/>
                <w:kern w:val="24"/>
                <w:sz w:val="16"/>
                <w:szCs w:val="16"/>
                <w:lang w:eastAsia="en-ZA"/>
              </w:rPr>
              <w:lastRenderedPageBreak/>
              <w:t>Scheme</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textAlignment w:val="top"/>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lastRenderedPageBreak/>
              <w:t>Grand Total</w:t>
            </w:r>
          </w:p>
        </w:tc>
      </w:tr>
      <w:tr w:rsidR="003E5569" w:rsidRPr="0019513E" w:rsidTr="00F04711">
        <w:trPr>
          <w:trHeight w:val="249"/>
        </w:trPr>
        <w:tc>
          <w:tcPr>
            <w:tcW w:w="1123"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lastRenderedPageBreak/>
              <w:t>Eastern Cape</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807</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1 531</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217</w:t>
            </w:r>
          </w:p>
        </w:tc>
        <w:tc>
          <w:tcPr>
            <w:tcW w:w="1189"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506"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2 555</w:t>
            </w:r>
          </w:p>
        </w:tc>
      </w:tr>
      <w:tr w:rsidR="003E5569" w:rsidRPr="0019513E" w:rsidTr="00F04711">
        <w:trPr>
          <w:trHeight w:val="126"/>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Free State</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506</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252</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34</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103</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895</w:t>
            </w:r>
          </w:p>
        </w:tc>
      </w:tr>
      <w:tr w:rsidR="003E5569" w:rsidRPr="0019513E" w:rsidTr="00F04711">
        <w:trPr>
          <w:trHeight w:val="172"/>
        </w:trPr>
        <w:tc>
          <w:tcPr>
            <w:tcW w:w="1123"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Gauteng</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992</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395</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680</w:t>
            </w:r>
          </w:p>
        </w:tc>
        <w:tc>
          <w:tcPr>
            <w:tcW w:w="1189"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506"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16</w:t>
            </w:r>
          </w:p>
        </w:tc>
        <w:tc>
          <w:tcPr>
            <w:tcW w:w="1275"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39</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2 122</w:t>
            </w:r>
          </w:p>
        </w:tc>
      </w:tr>
      <w:tr w:rsidR="003E5569" w:rsidRPr="0019513E" w:rsidTr="00F04711">
        <w:trPr>
          <w:trHeight w:val="245"/>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KwaZulu-Natal</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2 173</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1 071</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133</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75</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48</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1655</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5 155</w:t>
            </w:r>
          </w:p>
        </w:tc>
      </w:tr>
      <w:tr w:rsidR="003E5569" w:rsidRPr="0019513E" w:rsidTr="00F04711">
        <w:trPr>
          <w:trHeight w:val="249"/>
        </w:trPr>
        <w:tc>
          <w:tcPr>
            <w:tcW w:w="1123"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Limpopo</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727</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1 513</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color w:val="000000" w:themeColor="dark1"/>
                <w:kern w:val="24"/>
                <w:sz w:val="16"/>
                <w:szCs w:val="16"/>
                <w:lang w:eastAsia="en-ZA"/>
              </w:rPr>
            </w:pPr>
            <w:r w:rsidRPr="0019513E">
              <w:rPr>
                <w:rFonts w:ascii="Arial" w:eastAsia="Times New Roman" w:hAnsi="Arial" w:cs="Arial"/>
                <w:color w:val="000000" w:themeColor="dark1"/>
                <w:kern w:val="24"/>
                <w:sz w:val="16"/>
                <w:szCs w:val="16"/>
                <w:lang w:eastAsia="en-ZA"/>
              </w:rPr>
              <w:t>108</w:t>
            </w:r>
          </w:p>
        </w:tc>
        <w:tc>
          <w:tcPr>
            <w:tcW w:w="1189"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506"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2348</w:t>
            </w:r>
          </w:p>
        </w:tc>
      </w:tr>
      <w:tr w:rsidR="003E5569" w:rsidRPr="0019513E" w:rsidTr="00F04711">
        <w:trPr>
          <w:trHeight w:val="267"/>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Mpumalanga</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353</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97</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119</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111</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680</w:t>
            </w:r>
          </w:p>
        </w:tc>
      </w:tr>
      <w:tr w:rsidR="003E5569" w:rsidRPr="0019513E" w:rsidTr="00F04711">
        <w:trPr>
          <w:trHeight w:val="243"/>
        </w:trPr>
        <w:tc>
          <w:tcPr>
            <w:tcW w:w="1123"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National</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2 940</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1 267</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206</w:t>
            </w:r>
          </w:p>
        </w:tc>
        <w:tc>
          <w:tcPr>
            <w:tcW w:w="1189"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94</w:t>
            </w:r>
          </w:p>
        </w:tc>
        <w:tc>
          <w:tcPr>
            <w:tcW w:w="1506"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130</w:t>
            </w:r>
          </w:p>
        </w:tc>
        <w:tc>
          <w:tcPr>
            <w:tcW w:w="1275"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4 637</w:t>
            </w:r>
          </w:p>
        </w:tc>
      </w:tr>
      <w:tr w:rsidR="003E5569" w:rsidRPr="0019513E" w:rsidTr="00F04711">
        <w:trPr>
          <w:trHeight w:val="263"/>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Northern Cape</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215</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44</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370</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629</w:t>
            </w:r>
          </w:p>
        </w:tc>
      </w:tr>
      <w:tr w:rsidR="003E5569" w:rsidRPr="0019513E" w:rsidTr="00F04711">
        <w:trPr>
          <w:trHeight w:val="266"/>
        </w:trPr>
        <w:tc>
          <w:tcPr>
            <w:tcW w:w="1123"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North West</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243</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154</w:t>
            </w:r>
          </w:p>
        </w:tc>
        <w:tc>
          <w:tcPr>
            <w:tcW w:w="1134"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79</w:t>
            </w:r>
          </w:p>
        </w:tc>
        <w:tc>
          <w:tcPr>
            <w:tcW w:w="1189"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50</w:t>
            </w:r>
          </w:p>
        </w:tc>
        <w:tc>
          <w:tcPr>
            <w:tcW w:w="1506"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275" w:type="dxa"/>
            <w:tcBorders>
              <w:top w:val="single" w:sz="8" w:space="0" w:color="70AD47"/>
              <w:left w:val="single" w:sz="8" w:space="0" w:color="70AD47"/>
              <w:bottom w:val="single" w:sz="8" w:space="0" w:color="70AD47"/>
              <w:right w:val="single" w:sz="8" w:space="0" w:color="70AD47"/>
            </w:tcBorders>
            <w:shd w:val="clear" w:color="auto" w:fill="D5E3CF"/>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526</w:t>
            </w:r>
          </w:p>
        </w:tc>
      </w:tr>
      <w:tr w:rsidR="003E5569" w:rsidRPr="0019513E" w:rsidTr="00F04711">
        <w:trPr>
          <w:trHeight w:val="243"/>
        </w:trPr>
        <w:tc>
          <w:tcPr>
            <w:tcW w:w="1123"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Western Cape</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264</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90</w:t>
            </w:r>
          </w:p>
        </w:tc>
        <w:tc>
          <w:tcPr>
            <w:tcW w:w="1134"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157</w:t>
            </w:r>
          </w:p>
        </w:tc>
        <w:tc>
          <w:tcPr>
            <w:tcW w:w="1189"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1506"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2245</w:t>
            </w:r>
          </w:p>
        </w:tc>
        <w:tc>
          <w:tcPr>
            <w:tcW w:w="1275" w:type="dxa"/>
            <w:tcBorders>
              <w:top w:val="single" w:sz="8" w:space="0" w:color="70AD47"/>
              <w:left w:val="single" w:sz="8" w:space="0" w:color="70AD47"/>
              <w:bottom w:val="single" w:sz="8" w:space="0" w:color="70AD47"/>
              <w:right w:val="single" w:sz="8" w:space="0" w:color="70AD47"/>
            </w:tcBorders>
            <w:shd w:val="clear" w:color="auto" w:fill="EBF1E9"/>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color w:val="000000" w:themeColor="dark1"/>
                <w:kern w:val="24"/>
                <w:sz w:val="16"/>
                <w:szCs w:val="16"/>
                <w:lang w:eastAsia="en-ZA"/>
              </w:rPr>
              <w:t>0</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2 756</w:t>
            </w:r>
          </w:p>
        </w:tc>
      </w:tr>
      <w:tr w:rsidR="003E5569" w:rsidRPr="0019513E" w:rsidTr="00F04711">
        <w:trPr>
          <w:trHeight w:val="247"/>
        </w:trPr>
        <w:tc>
          <w:tcPr>
            <w:tcW w:w="112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TOTAL</w:t>
            </w:r>
          </w:p>
        </w:tc>
        <w:tc>
          <w:tcPr>
            <w:tcW w:w="1134"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9 220</w:t>
            </w:r>
          </w:p>
        </w:tc>
        <w:tc>
          <w:tcPr>
            <w:tcW w:w="1134"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6 414</w:t>
            </w:r>
          </w:p>
        </w:tc>
        <w:tc>
          <w:tcPr>
            <w:tcW w:w="1134"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2 103</w:t>
            </w:r>
          </w:p>
        </w:tc>
        <w:tc>
          <w:tcPr>
            <w:tcW w:w="1189"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433</w:t>
            </w:r>
          </w:p>
        </w:tc>
        <w:tc>
          <w:tcPr>
            <w:tcW w:w="1506"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2494</w:t>
            </w:r>
          </w:p>
        </w:tc>
        <w:tc>
          <w:tcPr>
            <w:tcW w:w="1275"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1694</w:t>
            </w:r>
          </w:p>
        </w:tc>
        <w:tc>
          <w:tcPr>
            <w:tcW w:w="993" w:type="dxa"/>
            <w:tcBorders>
              <w:top w:val="single" w:sz="8" w:space="0" w:color="70AD47"/>
              <w:left w:val="single" w:sz="8" w:space="0" w:color="70AD47"/>
              <w:bottom w:val="single" w:sz="8" w:space="0" w:color="70AD47"/>
              <w:right w:val="single" w:sz="8" w:space="0" w:color="70AD47"/>
            </w:tcBorders>
            <w:shd w:val="clear" w:color="auto" w:fill="92D050"/>
            <w:tcMar>
              <w:top w:w="12" w:type="dxa"/>
              <w:left w:w="12" w:type="dxa"/>
              <w:bottom w:w="0" w:type="dxa"/>
              <w:right w:w="12" w:type="dxa"/>
            </w:tcMar>
            <w:hideMark/>
          </w:tcPr>
          <w:p w:rsidR="003E5569" w:rsidRPr="0019513E" w:rsidRDefault="003E5569" w:rsidP="00F04711">
            <w:pPr>
              <w:spacing w:after="0" w:line="360" w:lineRule="auto"/>
              <w:jc w:val="center"/>
              <w:textAlignment w:val="bottom"/>
              <w:rPr>
                <w:rFonts w:ascii="Arial" w:eastAsia="Times New Roman" w:hAnsi="Arial" w:cs="Arial"/>
                <w:sz w:val="16"/>
                <w:szCs w:val="16"/>
                <w:lang w:eastAsia="en-ZA"/>
              </w:rPr>
            </w:pPr>
            <w:r w:rsidRPr="0019513E">
              <w:rPr>
                <w:rFonts w:ascii="Arial" w:eastAsia="Times New Roman" w:hAnsi="Arial" w:cs="Arial"/>
                <w:b/>
                <w:bCs/>
                <w:color w:val="000000" w:themeColor="dark1"/>
                <w:kern w:val="24"/>
                <w:sz w:val="16"/>
                <w:szCs w:val="16"/>
                <w:lang w:eastAsia="en-ZA"/>
              </w:rPr>
              <w:t>22 303</w:t>
            </w:r>
          </w:p>
        </w:tc>
      </w:tr>
    </w:tbl>
    <w:p w:rsidR="003E5569" w:rsidRDefault="003E5569" w:rsidP="003E5569">
      <w:pPr>
        <w:pStyle w:val="ListParagraph"/>
        <w:ind w:left="360"/>
        <w:jc w:val="both"/>
        <w:rPr>
          <w:rFonts w:ascii="Arial" w:hAnsi="Arial" w:cs="Arial"/>
          <w:sz w:val="24"/>
          <w:szCs w:val="24"/>
        </w:rPr>
      </w:pPr>
    </w:p>
    <w:p w:rsidR="003E5569" w:rsidRDefault="003E5569" w:rsidP="003E5569">
      <w:pPr>
        <w:pStyle w:val="ListParagraph"/>
        <w:ind w:left="360"/>
        <w:jc w:val="both"/>
        <w:rPr>
          <w:rFonts w:ascii="Arial" w:hAnsi="Arial" w:cs="Arial"/>
          <w:sz w:val="24"/>
          <w:szCs w:val="24"/>
        </w:rPr>
      </w:pPr>
      <w:r>
        <w:rPr>
          <w:rFonts w:ascii="Arial" w:hAnsi="Arial" w:cs="Arial"/>
          <w:sz w:val="24"/>
          <w:szCs w:val="24"/>
        </w:rPr>
        <w:t xml:space="preserve">The NSG provides off the job training whereby employees leave their offices to attend training at the NSG designated venue or online. As government departments are responsible for on-the-job training for serving employees, this data is held by them directly. </w:t>
      </w:r>
    </w:p>
    <w:p w:rsidR="003E5569" w:rsidRDefault="003E5569" w:rsidP="003E5569">
      <w:pPr>
        <w:pStyle w:val="ListParagraph"/>
        <w:ind w:left="360"/>
        <w:jc w:val="both"/>
        <w:rPr>
          <w:rFonts w:ascii="Arial" w:hAnsi="Arial" w:cs="Arial"/>
          <w:sz w:val="24"/>
          <w:szCs w:val="24"/>
        </w:rPr>
      </w:pPr>
    </w:p>
    <w:p w:rsidR="003E5569" w:rsidRPr="0088473B" w:rsidRDefault="003E5569" w:rsidP="003E5569">
      <w:pPr>
        <w:pStyle w:val="ListParagraph"/>
        <w:numPr>
          <w:ilvl w:val="0"/>
          <w:numId w:val="1"/>
        </w:numPr>
        <w:spacing w:after="0"/>
        <w:jc w:val="both"/>
        <w:rPr>
          <w:rFonts w:ascii="Arial" w:hAnsi="Arial" w:cs="Arial"/>
          <w:sz w:val="24"/>
          <w:szCs w:val="24"/>
        </w:rPr>
      </w:pPr>
      <w:r>
        <w:rPr>
          <w:rFonts w:ascii="Arial" w:hAnsi="Arial" w:cs="Arial"/>
          <w:sz w:val="24"/>
          <w:szCs w:val="24"/>
        </w:rPr>
        <w:t xml:space="preserve">&amp; (c) The NSG will continue hosting Masterclasses to create awareness on the </w:t>
      </w:r>
      <w:r w:rsidRPr="0088473B">
        <w:rPr>
          <w:rFonts w:ascii="Arial" w:hAnsi="Arial" w:cs="Arial"/>
          <w:sz w:val="24"/>
          <w:szCs w:val="24"/>
        </w:rPr>
        <w:t xml:space="preserve">use of artificial intelligence in the public service. </w:t>
      </w:r>
    </w:p>
    <w:p w:rsidR="00B5350F" w:rsidRPr="003E5569" w:rsidRDefault="003E5569">
      <w:pPr>
        <w:rPr>
          <w:rFonts w:ascii="Arial" w:hAnsi="Arial" w:cs="Arial"/>
          <w:sz w:val="24"/>
          <w:szCs w:val="24"/>
        </w:rPr>
      </w:pPr>
      <w:r w:rsidRPr="003E5569">
        <w:rPr>
          <w:rFonts w:ascii="Arial" w:hAnsi="Arial" w:cs="Arial"/>
          <w:sz w:val="24"/>
          <w:szCs w:val="24"/>
        </w:rPr>
        <w:t xml:space="preserve">End </w:t>
      </w:r>
    </w:p>
    <w:sectPr w:rsidR="00B5350F" w:rsidRPr="003E5569"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6602C"/>
    <w:multiLevelType w:val="hybridMultilevel"/>
    <w:tmpl w:val="019AF3F0"/>
    <w:lvl w:ilvl="0" w:tplc="76A4F622">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3E5569"/>
    <w:rsid w:val="002073B0"/>
    <w:rsid w:val="003E5569"/>
    <w:rsid w:val="00657753"/>
    <w:rsid w:val="00717FF4"/>
    <w:rsid w:val="00773EB7"/>
    <w:rsid w:val="00784657"/>
    <w:rsid w:val="00836B5F"/>
    <w:rsid w:val="00B5350F"/>
    <w:rsid w:val="00DD735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69"/>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1969</Characters>
  <Application>Microsoft Office Word</Application>
  <DocSecurity>0</DocSecurity>
  <Lines>16</Lines>
  <Paragraphs>4</Paragraphs>
  <ScaleCrop>false</ScaleCrop>
  <Company>Toshiba</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2023-05-17T10:37:00Z</dcterms:created>
  <dcterms:modified xsi:type="dcterms:W3CDTF">2023-05-17T10:37:00Z</dcterms:modified>
</cp:coreProperties>
</file>