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8E9" w:rsidRPr="00BF349B" w:rsidRDefault="00BF48E9" w:rsidP="00E53BF6">
      <w:pPr>
        <w:spacing w:after="0" w:line="240" w:lineRule="auto"/>
        <w:rPr>
          <w:rFonts w:ascii="Arial" w:hAnsi="Arial" w:cs="Arial"/>
          <w:b/>
          <w:sz w:val="24"/>
          <w:szCs w:val="24"/>
          <w:lang w:val="fr-FR"/>
        </w:rPr>
      </w:pPr>
      <w:bookmarkStart w:id="0" w:name="_GoBack"/>
      <w:bookmarkEnd w:id="0"/>
    </w:p>
    <w:p w:rsidR="00BF48E9" w:rsidRPr="00BF349B" w:rsidRDefault="00BF48E9" w:rsidP="00E81167">
      <w:pPr>
        <w:spacing w:after="0" w:line="240" w:lineRule="auto"/>
        <w:jc w:val="both"/>
        <w:rPr>
          <w:rFonts w:ascii="Arial" w:hAnsi="Arial" w:cs="Arial"/>
          <w:sz w:val="24"/>
          <w:szCs w:val="24"/>
        </w:rPr>
      </w:pPr>
    </w:p>
    <w:p w:rsidR="00BF48E9" w:rsidRDefault="00BF48E9" w:rsidP="00DD4D78">
      <w:pPr>
        <w:pStyle w:val="Heading6"/>
        <w:spacing w:line="480" w:lineRule="auto"/>
        <w:rPr>
          <w:rFonts w:cs="Arial"/>
          <w:sz w:val="22"/>
          <w:szCs w:val="22"/>
          <w:u w:val="none"/>
          <w:lang w:val="en-ZA"/>
        </w:rPr>
      </w:pPr>
      <w:r w:rsidRPr="001828D3">
        <w:rPr>
          <w:rFonts w:cs="Arial"/>
          <w:sz w:val="22"/>
          <w:szCs w:val="22"/>
          <w:u w:val="none"/>
          <w:lang w:val="en-ZA"/>
        </w:rPr>
        <w:t xml:space="preserve">National </w:t>
      </w:r>
      <w:r>
        <w:rPr>
          <w:rFonts w:cs="Arial"/>
          <w:sz w:val="22"/>
          <w:szCs w:val="22"/>
          <w:u w:val="none"/>
          <w:lang w:val="en-ZA"/>
        </w:rPr>
        <w:t>Assembly</w:t>
      </w:r>
    </w:p>
    <w:p w:rsidR="00BF48E9" w:rsidRDefault="00BF48E9" w:rsidP="00B21162">
      <w:pPr>
        <w:pStyle w:val="Heading6"/>
        <w:spacing w:line="480" w:lineRule="auto"/>
        <w:rPr>
          <w:rFonts w:cs="Arial"/>
          <w:sz w:val="22"/>
          <w:szCs w:val="22"/>
          <w:u w:val="none"/>
          <w:lang w:val="en-ZA"/>
        </w:rPr>
      </w:pPr>
      <w:r>
        <w:rPr>
          <w:rFonts w:cs="Arial"/>
          <w:sz w:val="22"/>
          <w:szCs w:val="22"/>
          <w:u w:val="none"/>
          <w:lang w:val="en-ZA"/>
        </w:rPr>
        <w:t xml:space="preserve">Question Number: </w:t>
      </w:r>
      <w:r w:rsidRPr="001828D3">
        <w:rPr>
          <w:rFonts w:cs="Arial"/>
          <w:sz w:val="22"/>
          <w:szCs w:val="22"/>
          <w:u w:val="none"/>
          <w:lang w:val="en-ZA"/>
        </w:rPr>
        <w:t xml:space="preserve"> </w:t>
      </w:r>
      <w:r>
        <w:rPr>
          <w:rFonts w:cs="Arial"/>
          <w:sz w:val="22"/>
          <w:szCs w:val="22"/>
          <w:u w:val="none"/>
          <w:lang w:val="en-ZA"/>
        </w:rPr>
        <w:t>1118</w:t>
      </w:r>
      <w:r w:rsidRPr="001828D3">
        <w:rPr>
          <w:rFonts w:cs="Arial"/>
          <w:sz w:val="22"/>
          <w:szCs w:val="22"/>
          <w:u w:val="none"/>
          <w:lang w:val="en-ZA"/>
        </w:rPr>
        <w:t xml:space="preserve"> </w:t>
      </w:r>
    </w:p>
    <w:p w:rsidR="00BF48E9" w:rsidRPr="00AD0D7F" w:rsidRDefault="00BF48E9" w:rsidP="00AD0D7F">
      <w:pPr>
        <w:spacing w:before="100" w:beforeAutospacing="1" w:after="100" w:afterAutospacing="1" w:line="240" w:lineRule="auto"/>
        <w:ind w:left="851" w:hanging="851"/>
        <w:jc w:val="both"/>
        <w:outlineLvl w:val="0"/>
        <w:rPr>
          <w:rFonts w:ascii="Arial" w:hAnsi="Arial" w:cs="Arial"/>
          <w:b/>
        </w:rPr>
      </w:pPr>
      <w:r w:rsidRPr="00AD0D7F">
        <w:rPr>
          <w:rFonts w:ascii="Arial" w:hAnsi="Arial" w:cs="Arial"/>
          <w:b/>
        </w:rPr>
        <w:t xml:space="preserve">Mr C H H </w:t>
      </w:r>
      <w:r w:rsidRPr="00AD0D7F">
        <w:rPr>
          <w:rFonts w:ascii="Arial" w:hAnsi="Arial" w:cs="Arial"/>
          <w:b/>
          <w:bCs/>
        </w:rPr>
        <w:t>Hunsinger</w:t>
      </w:r>
      <w:r w:rsidRPr="00AD0D7F">
        <w:rPr>
          <w:rFonts w:ascii="Arial" w:hAnsi="Arial" w:cs="Arial"/>
          <w:b/>
        </w:rPr>
        <w:t xml:space="preserve"> (DA) to ask the Minister of Transport:</w:t>
      </w:r>
    </w:p>
    <w:p w:rsidR="00BF48E9" w:rsidRPr="00AD0D7F" w:rsidRDefault="00BF48E9" w:rsidP="00AD0D7F">
      <w:pPr>
        <w:spacing w:before="100" w:beforeAutospacing="1" w:after="100" w:afterAutospacing="1" w:line="240" w:lineRule="auto"/>
        <w:jc w:val="both"/>
        <w:rPr>
          <w:rFonts w:ascii="Arial" w:hAnsi="Arial" w:cs="Arial"/>
        </w:rPr>
      </w:pPr>
      <w:r w:rsidRPr="00AD0D7F">
        <w:rPr>
          <w:rFonts w:ascii="Arial" w:hAnsi="Arial" w:cs="Arial"/>
        </w:rPr>
        <w:t>With reference to her reply to question 490 on 16 March 2016, what (a) steps is each entity reporting to her taking to implement the plans mentioned, (b)  are the deadlines in this regard and (c)(i) processes, (ii) procedures and (iii) mechanisms exist to monitor this process in each respective entity?</w:t>
      </w:r>
      <w:r w:rsidRPr="00AD0D7F">
        <w:rPr>
          <w:rFonts w:ascii="Arial" w:hAnsi="Arial" w:cs="Arial"/>
        </w:rPr>
        <w:tab/>
      </w:r>
      <w:r w:rsidRPr="00AD0D7F">
        <w:rPr>
          <w:rFonts w:ascii="Arial" w:hAnsi="Arial" w:cs="Arial"/>
        </w:rPr>
        <w:tab/>
      </w:r>
      <w:r w:rsidRPr="00AD0D7F">
        <w:rPr>
          <w:rFonts w:ascii="Arial" w:hAnsi="Arial" w:cs="Arial"/>
        </w:rPr>
        <w:tab/>
        <w:t>NW1252E</w:t>
      </w:r>
    </w:p>
    <w:p w:rsidR="00BF48E9" w:rsidRDefault="00BF48E9" w:rsidP="00F3787C">
      <w:pPr>
        <w:pStyle w:val="Heading2"/>
        <w:tabs>
          <w:tab w:val="left" w:pos="5940"/>
        </w:tabs>
        <w:spacing w:before="100" w:beforeAutospacing="1" w:after="100" w:afterAutospacing="1"/>
        <w:ind w:left="0" w:firstLine="0"/>
        <w:jc w:val="both"/>
        <w:rPr>
          <w:rFonts w:ascii="Arial" w:hAnsi="Arial" w:cs="Arial"/>
          <w:sz w:val="22"/>
          <w:szCs w:val="22"/>
          <w:lang w:val="en-ZA"/>
        </w:rPr>
      </w:pPr>
    </w:p>
    <w:p w:rsidR="00BF48E9" w:rsidRDefault="00BF48E9" w:rsidP="00F3787C">
      <w:pPr>
        <w:pStyle w:val="Heading2"/>
        <w:tabs>
          <w:tab w:val="left" w:pos="5940"/>
        </w:tabs>
        <w:spacing w:line="360" w:lineRule="auto"/>
        <w:ind w:left="0" w:firstLine="0"/>
        <w:jc w:val="both"/>
        <w:rPr>
          <w:rFonts w:ascii="Arial" w:hAnsi="Arial" w:cs="Arial"/>
          <w:sz w:val="22"/>
          <w:szCs w:val="22"/>
          <w:lang w:val="en-ZA"/>
        </w:rPr>
      </w:pPr>
      <w:r>
        <w:rPr>
          <w:rFonts w:ascii="Arial" w:hAnsi="Arial" w:cs="Arial"/>
          <w:sz w:val="22"/>
          <w:szCs w:val="22"/>
          <w:lang w:val="en-ZA"/>
        </w:rPr>
        <w:t>REPLY</w:t>
      </w:r>
    </w:p>
    <w:p w:rsidR="00BF48E9" w:rsidRDefault="00BF48E9" w:rsidP="00F3787C">
      <w:pPr>
        <w:spacing w:after="0" w:line="360" w:lineRule="auto"/>
        <w:rPr>
          <w:lang w:val="en-ZA"/>
        </w:rPr>
      </w:pPr>
    </w:p>
    <w:p w:rsidR="00BF48E9" w:rsidRDefault="00BF48E9" w:rsidP="00F3787C">
      <w:pPr>
        <w:spacing w:after="0" w:line="360" w:lineRule="auto"/>
        <w:rPr>
          <w:rFonts w:ascii="Arial" w:hAnsi="Arial" w:cs="Arial"/>
          <w:b/>
          <w:lang w:val="en-ZA"/>
        </w:rPr>
      </w:pPr>
      <w:r>
        <w:rPr>
          <w:rFonts w:ascii="Arial" w:hAnsi="Arial" w:cs="Arial"/>
          <w:b/>
          <w:lang w:val="en-ZA"/>
        </w:rPr>
        <w:t>Airports Company South Africa SOC Limited (ACSA)</w:t>
      </w:r>
    </w:p>
    <w:p w:rsidR="00BF48E9" w:rsidRPr="00227A87" w:rsidRDefault="00BF48E9" w:rsidP="003F129C">
      <w:pPr>
        <w:pStyle w:val="ListParagraph"/>
        <w:numPr>
          <w:ilvl w:val="0"/>
          <w:numId w:val="2"/>
        </w:numPr>
        <w:spacing w:after="0" w:line="360" w:lineRule="auto"/>
        <w:ind w:left="360"/>
        <w:jc w:val="both"/>
        <w:rPr>
          <w:rFonts w:ascii="Arial" w:hAnsi="Arial" w:cs="Arial"/>
          <w:lang w:val="en-ZA"/>
        </w:rPr>
      </w:pPr>
      <w:r w:rsidRPr="00227A87">
        <w:rPr>
          <w:rFonts w:ascii="Arial" w:hAnsi="Arial" w:cs="Arial"/>
          <w:lang w:val="en-ZA"/>
        </w:rPr>
        <w:t xml:space="preserve">The Airports Company South Africa SOC Limited (ACSA) tracks progress against the Corporate Plan and where applicable will ensure alignment with the NATMAP. </w:t>
      </w:r>
    </w:p>
    <w:p w:rsidR="00BF48E9" w:rsidRDefault="00BF48E9" w:rsidP="00F3787C">
      <w:pPr>
        <w:spacing w:after="0" w:line="360" w:lineRule="auto"/>
        <w:jc w:val="both"/>
        <w:rPr>
          <w:rFonts w:ascii="Arial" w:hAnsi="Arial" w:cs="Arial"/>
          <w:b/>
          <w:lang w:val="en-ZA"/>
        </w:rPr>
      </w:pPr>
    </w:p>
    <w:p w:rsidR="00BF48E9" w:rsidRDefault="00BF48E9" w:rsidP="00F3787C">
      <w:pPr>
        <w:spacing w:after="0" w:line="360" w:lineRule="auto"/>
        <w:jc w:val="both"/>
        <w:rPr>
          <w:rFonts w:ascii="Arial" w:hAnsi="Arial" w:cs="Arial"/>
          <w:b/>
          <w:lang w:val="en-ZA"/>
        </w:rPr>
      </w:pPr>
      <w:r w:rsidRPr="00EE3944">
        <w:rPr>
          <w:rFonts w:ascii="Arial" w:hAnsi="Arial" w:cs="Arial"/>
          <w:b/>
          <w:lang w:val="en-ZA"/>
        </w:rPr>
        <w:t xml:space="preserve">Air Traffic and Navigation Services SOC Limited (ATNS) </w:t>
      </w:r>
    </w:p>
    <w:p w:rsidR="00BF48E9" w:rsidRPr="00471FA2" w:rsidRDefault="00BF48E9" w:rsidP="003F129C">
      <w:pPr>
        <w:pStyle w:val="ListParagraph"/>
        <w:numPr>
          <w:ilvl w:val="0"/>
          <w:numId w:val="1"/>
        </w:numPr>
        <w:spacing w:after="0" w:line="360" w:lineRule="auto"/>
        <w:ind w:left="360"/>
        <w:jc w:val="both"/>
        <w:rPr>
          <w:rFonts w:ascii="Arial" w:hAnsi="Arial" w:cs="Arial"/>
          <w:lang w:val="en-ZA"/>
        </w:rPr>
      </w:pPr>
      <w:r w:rsidRPr="00471FA2">
        <w:rPr>
          <w:rFonts w:ascii="Arial" w:hAnsi="Arial" w:cs="Arial"/>
          <w:lang w:val="en-ZA"/>
        </w:rPr>
        <w:t xml:space="preserve">With reference to the National Transport Masterplan (NATMAP) </w:t>
      </w:r>
      <w:r>
        <w:rPr>
          <w:rFonts w:ascii="Arial" w:hAnsi="Arial" w:cs="Arial"/>
          <w:lang w:val="en-ZA"/>
        </w:rPr>
        <w:t xml:space="preserve">and </w:t>
      </w:r>
      <w:r w:rsidRPr="00471FA2">
        <w:rPr>
          <w:rFonts w:ascii="Arial" w:hAnsi="Arial" w:cs="Arial"/>
          <w:lang w:val="en-ZA"/>
        </w:rPr>
        <w:t>implementation thereof, ATNS is not in a position to answer th</w:t>
      </w:r>
      <w:r>
        <w:rPr>
          <w:rFonts w:ascii="Arial" w:hAnsi="Arial" w:cs="Arial"/>
          <w:lang w:val="en-ZA"/>
        </w:rPr>
        <w:t xml:space="preserve">e </w:t>
      </w:r>
      <w:r w:rsidRPr="00471FA2">
        <w:rPr>
          <w:rFonts w:ascii="Arial" w:hAnsi="Arial" w:cs="Arial"/>
          <w:lang w:val="en-ZA"/>
        </w:rPr>
        <w:t>question as th</w:t>
      </w:r>
      <w:r>
        <w:rPr>
          <w:rFonts w:ascii="Arial" w:hAnsi="Arial" w:cs="Arial"/>
          <w:lang w:val="en-ZA"/>
        </w:rPr>
        <w:t>e</w:t>
      </w:r>
      <w:r w:rsidRPr="00471FA2">
        <w:rPr>
          <w:rFonts w:ascii="Arial" w:hAnsi="Arial" w:cs="Arial"/>
          <w:lang w:val="en-ZA"/>
        </w:rPr>
        <w:t xml:space="preserve"> plan is </w:t>
      </w:r>
      <w:r>
        <w:rPr>
          <w:rFonts w:ascii="Arial" w:hAnsi="Arial" w:cs="Arial"/>
          <w:lang w:val="en-ZA"/>
        </w:rPr>
        <w:t>within the scope of the Department of Transport.</w:t>
      </w:r>
    </w:p>
    <w:p w:rsidR="00BF48E9" w:rsidRPr="00471FA2" w:rsidRDefault="00BF48E9" w:rsidP="003F129C">
      <w:pPr>
        <w:pStyle w:val="ListParagraph"/>
        <w:numPr>
          <w:ilvl w:val="0"/>
          <w:numId w:val="1"/>
        </w:numPr>
        <w:spacing w:after="0" w:line="360" w:lineRule="auto"/>
        <w:ind w:left="360"/>
        <w:jc w:val="both"/>
        <w:rPr>
          <w:rFonts w:ascii="Arial" w:hAnsi="Arial" w:cs="Arial"/>
          <w:lang w:val="en-ZA"/>
        </w:rPr>
      </w:pPr>
      <w:r w:rsidRPr="00471FA2">
        <w:rPr>
          <w:rFonts w:ascii="Arial" w:hAnsi="Arial" w:cs="Arial"/>
          <w:lang w:val="en-ZA"/>
        </w:rPr>
        <w:t>Not applicable to ATNS.</w:t>
      </w:r>
    </w:p>
    <w:p w:rsidR="00BF48E9" w:rsidRDefault="00BF48E9" w:rsidP="003F129C">
      <w:pPr>
        <w:pStyle w:val="ListParagraph"/>
        <w:numPr>
          <w:ilvl w:val="0"/>
          <w:numId w:val="1"/>
        </w:numPr>
        <w:spacing w:after="0" w:line="360" w:lineRule="auto"/>
        <w:ind w:left="360"/>
        <w:jc w:val="both"/>
        <w:rPr>
          <w:rFonts w:ascii="Arial" w:hAnsi="Arial" w:cs="Arial"/>
          <w:lang w:val="en-ZA"/>
        </w:rPr>
      </w:pPr>
      <w:r w:rsidRPr="00471FA2">
        <w:rPr>
          <w:rFonts w:ascii="Arial" w:hAnsi="Arial" w:cs="Arial"/>
          <w:lang w:val="en-ZA"/>
        </w:rPr>
        <w:t>(i) Not Applicable to ATNS (ii) Not Applicable to ATNS and (iii) Not Applicable to ATNS.</w:t>
      </w:r>
    </w:p>
    <w:p w:rsidR="00BF48E9" w:rsidRPr="00471FA2" w:rsidRDefault="00BF48E9" w:rsidP="00F3787C">
      <w:pPr>
        <w:pStyle w:val="ListParagraph"/>
        <w:spacing w:after="0" w:line="360" w:lineRule="auto"/>
        <w:ind w:left="360"/>
        <w:jc w:val="both"/>
        <w:rPr>
          <w:rFonts w:ascii="Arial" w:hAnsi="Arial" w:cs="Arial"/>
          <w:lang w:val="en-ZA"/>
        </w:rPr>
      </w:pPr>
    </w:p>
    <w:p w:rsidR="00BF48E9" w:rsidRDefault="00BF48E9" w:rsidP="00F3787C">
      <w:pPr>
        <w:spacing w:after="0" w:line="360" w:lineRule="auto"/>
        <w:jc w:val="both"/>
        <w:rPr>
          <w:rFonts w:ascii="Arial" w:hAnsi="Arial" w:cs="Arial"/>
          <w:b/>
          <w:lang w:val="en-ZA"/>
        </w:rPr>
      </w:pPr>
      <w:r w:rsidRPr="00FB041A">
        <w:rPr>
          <w:rFonts w:ascii="Arial" w:hAnsi="Arial" w:cs="Arial"/>
          <w:b/>
          <w:lang w:val="en-ZA"/>
        </w:rPr>
        <w:t>South African Civil Aviation Authority (SACAA)</w:t>
      </w:r>
    </w:p>
    <w:p w:rsidR="00BF48E9" w:rsidRDefault="00BF48E9" w:rsidP="003F129C">
      <w:pPr>
        <w:pStyle w:val="ListParagraph"/>
        <w:numPr>
          <w:ilvl w:val="0"/>
          <w:numId w:val="3"/>
        </w:numPr>
        <w:spacing w:after="0" w:line="360" w:lineRule="auto"/>
        <w:ind w:left="360"/>
        <w:jc w:val="both"/>
        <w:rPr>
          <w:rFonts w:ascii="Arial" w:hAnsi="Arial" w:cs="Arial"/>
          <w:lang w:val="en-ZA"/>
        </w:rPr>
      </w:pPr>
      <w:r w:rsidRPr="00227A87">
        <w:rPr>
          <w:rFonts w:ascii="Arial" w:hAnsi="Arial" w:cs="Arial"/>
          <w:lang w:val="en-ZA"/>
        </w:rPr>
        <w:t>With reference to the SACAA reply on NATMAP on 16 March 2016, (a) (b) (c) (i) (ii) (iii) the SACAA confirmed that the question was not relevant to the SACAA and therefore no further action was taken.</w:t>
      </w:r>
    </w:p>
    <w:p w:rsidR="00BF48E9" w:rsidRDefault="00BF48E9" w:rsidP="00466796">
      <w:pPr>
        <w:pStyle w:val="ListParagraph"/>
        <w:spacing w:after="0" w:line="360" w:lineRule="auto"/>
        <w:ind w:left="360"/>
        <w:jc w:val="both"/>
        <w:rPr>
          <w:rFonts w:ascii="Arial" w:hAnsi="Arial" w:cs="Arial"/>
          <w:lang w:val="en-ZA"/>
        </w:rPr>
      </w:pPr>
    </w:p>
    <w:p w:rsidR="00BF48E9" w:rsidRPr="00466796" w:rsidRDefault="00BF48E9" w:rsidP="00466796">
      <w:pPr>
        <w:spacing w:after="0" w:line="360" w:lineRule="auto"/>
        <w:jc w:val="both"/>
        <w:rPr>
          <w:rFonts w:ascii="Arial" w:hAnsi="Arial" w:cs="Arial"/>
          <w:b/>
          <w:lang w:val="en-ZA"/>
        </w:rPr>
      </w:pPr>
      <w:r w:rsidRPr="00466796">
        <w:rPr>
          <w:rFonts w:ascii="Arial" w:hAnsi="Arial" w:cs="Arial"/>
          <w:b/>
          <w:lang w:val="en-ZA"/>
        </w:rPr>
        <w:t>Roads Branch Entities</w:t>
      </w:r>
    </w:p>
    <w:p w:rsidR="00BF48E9" w:rsidRDefault="00BF48E9" w:rsidP="003F129C">
      <w:pPr>
        <w:pStyle w:val="ListParagraph"/>
        <w:numPr>
          <w:ilvl w:val="0"/>
          <w:numId w:val="4"/>
        </w:numPr>
        <w:ind w:left="426" w:hanging="426"/>
        <w:jc w:val="both"/>
        <w:rPr>
          <w:rFonts w:ascii="Arial" w:hAnsi="Arial" w:cs="Arial"/>
          <w:lang w:val="en-ZA"/>
        </w:rPr>
      </w:pPr>
      <w:r w:rsidRPr="00534476">
        <w:rPr>
          <w:rFonts w:ascii="Arial" w:hAnsi="Arial" w:cs="Arial"/>
          <w:lang w:val="en-ZA"/>
        </w:rPr>
        <w:t xml:space="preserve">NATMAP is still in a process of being approved by Parliament. Upon approval, the Department of Transport will </w:t>
      </w:r>
      <w:r>
        <w:rPr>
          <w:rFonts w:ascii="Arial" w:hAnsi="Arial" w:cs="Arial"/>
          <w:lang w:val="en-ZA"/>
        </w:rPr>
        <w:t xml:space="preserve">ensure that </w:t>
      </w:r>
      <w:r w:rsidRPr="00534476">
        <w:rPr>
          <w:rFonts w:ascii="Arial" w:hAnsi="Arial" w:cs="Arial"/>
          <w:lang w:val="en-ZA"/>
        </w:rPr>
        <w:t xml:space="preserve">the Strategic </w:t>
      </w:r>
      <w:r>
        <w:rPr>
          <w:rFonts w:ascii="Arial" w:hAnsi="Arial" w:cs="Arial"/>
          <w:lang w:val="en-ZA"/>
        </w:rPr>
        <w:t xml:space="preserve">Plans </w:t>
      </w:r>
      <w:r w:rsidRPr="00534476">
        <w:rPr>
          <w:rFonts w:ascii="Arial" w:hAnsi="Arial" w:cs="Arial"/>
          <w:lang w:val="en-ZA"/>
        </w:rPr>
        <w:t>and Annual Performance Plans of</w:t>
      </w:r>
      <w:r>
        <w:rPr>
          <w:rFonts w:ascii="Arial" w:hAnsi="Arial" w:cs="Arial"/>
          <w:lang w:val="en-ZA"/>
        </w:rPr>
        <w:t xml:space="preserve"> the entities align with NATMAP.</w:t>
      </w:r>
    </w:p>
    <w:p w:rsidR="00BF48E9" w:rsidRPr="00534476" w:rsidRDefault="00BF48E9" w:rsidP="00466796">
      <w:pPr>
        <w:pStyle w:val="ListParagraph"/>
        <w:ind w:left="426" w:hanging="426"/>
        <w:jc w:val="both"/>
        <w:rPr>
          <w:rFonts w:ascii="Arial" w:hAnsi="Arial" w:cs="Arial"/>
          <w:lang w:val="en-ZA"/>
        </w:rPr>
      </w:pPr>
    </w:p>
    <w:p w:rsidR="00BF48E9" w:rsidRPr="00534476" w:rsidRDefault="00BF48E9" w:rsidP="003F129C">
      <w:pPr>
        <w:pStyle w:val="ListParagraph"/>
        <w:numPr>
          <w:ilvl w:val="0"/>
          <w:numId w:val="4"/>
        </w:numPr>
        <w:ind w:left="426" w:hanging="426"/>
        <w:jc w:val="both"/>
        <w:rPr>
          <w:rFonts w:ascii="Arial" w:hAnsi="Arial" w:cs="Arial"/>
          <w:lang w:val="en-ZA"/>
        </w:rPr>
      </w:pPr>
      <w:r w:rsidRPr="00534476">
        <w:rPr>
          <w:rFonts w:ascii="Arial" w:hAnsi="Arial" w:cs="Arial"/>
          <w:lang w:val="en-ZA"/>
        </w:rPr>
        <w:t>Upon approval</w:t>
      </w:r>
      <w:r>
        <w:rPr>
          <w:rFonts w:ascii="Arial" w:hAnsi="Arial" w:cs="Arial"/>
          <w:lang w:val="en-ZA"/>
        </w:rPr>
        <w:t xml:space="preserve"> of NATMAP</w:t>
      </w:r>
      <w:r w:rsidRPr="00534476">
        <w:rPr>
          <w:rFonts w:ascii="Arial" w:hAnsi="Arial" w:cs="Arial"/>
          <w:lang w:val="en-ZA"/>
        </w:rPr>
        <w:t xml:space="preserve">, the </w:t>
      </w:r>
      <w:r>
        <w:rPr>
          <w:rFonts w:ascii="Arial" w:hAnsi="Arial" w:cs="Arial"/>
          <w:lang w:val="en-ZA"/>
        </w:rPr>
        <w:t>interventions</w:t>
      </w:r>
      <w:r w:rsidRPr="00534476">
        <w:rPr>
          <w:rFonts w:ascii="Arial" w:hAnsi="Arial" w:cs="Arial"/>
          <w:lang w:val="en-ZA"/>
        </w:rPr>
        <w:t xml:space="preserve"> identified by the entities </w:t>
      </w:r>
      <w:r>
        <w:rPr>
          <w:rFonts w:ascii="Arial" w:hAnsi="Arial" w:cs="Arial"/>
          <w:lang w:val="en-ZA"/>
        </w:rPr>
        <w:t>will be</w:t>
      </w:r>
      <w:r w:rsidRPr="00534476">
        <w:rPr>
          <w:rFonts w:ascii="Arial" w:hAnsi="Arial" w:cs="Arial"/>
          <w:lang w:val="en-ZA"/>
        </w:rPr>
        <w:t xml:space="preserve"> align</w:t>
      </w:r>
      <w:r>
        <w:rPr>
          <w:rFonts w:ascii="Arial" w:hAnsi="Arial" w:cs="Arial"/>
          <w:lang w:val="en-ZA"/>
        </w:rPr>
        <w:t>ed</w:t>
      </w:r>
      <w:r w:rsidRPr="00534476">
        <w:rPr>
          <w:rFonts w:ascii="Arial" w:hAnsi="Arial" w:cs="Arial"/>
          <w:lang w:val="en-ZA"/>
        </w:rPr>
        <w:t xml:space="preserve"> to the following timeframes: </w:t>
      </w:r>
    </w:p>
    <w:p w:rsidR="00BF48E9" w:rsidRPr="00534476" w:rsidRDefault="00BF48E9" w:rsidP="003F129C">
      <w:pPr>
        <w:pStyle w:val="ListParagraph"/>
        <w:numPr>
          <w:ilvl w:val="0"/>
          <w:numId w:val="6"/>
        </w:numPr>
        <w:jc w:val="both"/>
        <w:rPr>
          <w:rFonts w:ascii="Arial" w:hAnsi="Arial" w:cs="Arial"/>
          <w:lang w:val="en-ZA"/>
        </w:rPr>
      </w:pPr>
      <w:r w:rsidRPr="00534476">
        <w:rPr>
          <w:rFonts w:ascii="Arial" w:hAnsi="Arial" w:cs="Arial"/>
          <w:lang w:val="en-ZA"/>
        </w:rPr>
        <w:t>Short term: 5 years</w:t>
      </w:r>
      <w:r>
        <w:rPr>
          <w:rFonts w:ascii="Arial" w:hAnsi="Arial" w:cs="Arial"/>
          <w:lang w:val="en-ZA"/>
        </w:rPr>
        <w:t xml:space="preserve"> intervention</w:t>
      </w:r>
    </w:p>
    <w:p w:rsidR="00BF48E9" w:rsidRPr="00534476" w:rsidRDefault="00BF48E9" w:rsidP="003F129C">
      <w:pPr>
        <w:pStyle w:val="ListParagraph"/>
        <w:numPr>
          <w:ilvl w:val="0"/>
          <w:numId w:val="6"/>
        </w:numPr>
        <w:jc w:val="both"/>
        <w:rPr>
          <w:rFonts w:ascii="Arial" w:hAnsi="Arial" w:cs="Arial"/>
          <w:lang w:val="en-ZA"/>
        </w:rPr>
      </w:pPr>
      <w:r w:rsidRPr="00534476">
        <w:rPr>
          <w:rFonts w:ascii="Arial" w:hAnsi="Arial" w:cs="Arial"/>
          <w:lang w:val="en-ZA"/>
        </w:rPr>
        <w:t>Medium term: 10 years</w:t>
      </w:r>
      <w:r>
        <w:rPr>
          <w:rFonts w:ascii="Arial" w:hAnsi="Arial" w:cs="Arial"/>
          <w:lang w:val="en-ZA"/>
        </w:rPr>
        <w:t xml:space="preserve"> intervention</w:t>
      </w:r>
      <w:r w:rsidRPr="00534476">
        <w:rPr>
          <w:rFonts w:ascii="Arial" w:hAnsi="Arial" w:cs="Arial"/>
          <w:lang w:val="en-ZA"/>
        </w:rPr>
        <w:t>, and</w:t>
      </w:r>
    </w:p>
    <w:p w:rsidR="00BF48E9" w:rsidRDefault="00BF48E9" w:rsidP="003F129C">
      <w:pPr>
        <w:pStyle w:val="ListParagraph"/>
        <w:numPr>
          <w:ilvl w:val="0"/>
          <w:numId w:val="6"/>
        </w:numPr>
        <w:jc w:val="both"/>
        <w:rPr>
          <w:rFonts w:ascii="Arial" w:hAnsi="Arial" w:cs="Arial"/>
          <w:lang w:val="en-ZA"/>
        </w:rPr>
      </w:pPr>
      <w:r w:rsidRPr="00534476">
        <w:rPr>
          <w:rFonts w:ascii="Arial" w:hAnsi="Arial" w:cs="Arial"/>
          <w:lang w:val="en-ZA"/>
        </w:rPr>
        <w:t>Long term: 20 years</w:t>
      </w:r>
      <w:r>
        <w:rPr>
          <w:rFonts w:ascii="Arial" w:hAnsi="Arial" w:cs="Arial"/>
          <w:lang w:val="en-ZA"/>
        </w:rPr>
        <w:t xml:space="preserve"> or more interventions</w:t>
      </w:r>
      <w:r w:rsidRPr="00534476">
        <w:rPr>
          <w:rFonts w:ascii="Arial" w:hAnsi="Arial" w:cs="Arial"/>
          <w:lang w:val="en-ZA"/>
        </w:rPr>
        <w:t>.</w:t>
      </w:r>
    </w:p>
    <w:p w:rsidR="00BF48E9" w:rsidRPr="00534476" w:rsidRDefault="00BF48E9" w:rsidP="00466796">
      <w:pPr>
        <w:pStyle w:val="ListParagraph"/>
        <w:ind w:left="426" w:hanging="426"/>
        <w:jc w:val="both"/>
        <w:rPr>
          <w:rFonts w:ascii="Arial" w:hAnsi="Arial" w:cs="Arial"/>
          <w:lang w:val="en-ZA"/>
        </w:rPr>
      </w:pPr>
    </w:p>
    <w:p w:rsidR="00BF48E9" w:rsidRDefault="00BF48E9" w:rsidP="003F129C">
      <w:pPr>
        <w:pStyle w:val="ListParagraph"/>
        <w:numPr>
          <w:ilvl w:val="0"/>
          <w:numId w:val="4"/>
        </w:numPr>
        <w:tabs>
          <w:tab w:val="left" w:pos="1134"/>
        </w:tabs>
        <w:ind w:left="426" w:hanging="426"/>
        <w:jc w:val="both"/>
        <w:rPr>
          <w:rFonts w:ascii="Arial" w:hAnsi="Arial" w:cs="Arial"/>
          <w:lang w:val="en-ZA"/>
        </w:rPr>
      </w:pPr>
      <w:r w:rsidRPr="00534476">
        <w:rPr>
          <w:rFonts w:ascii="Arial" w:hAnsi="Arial" w:cs="Arial"/>
          <w:lang w:val="en-ZA"/>
        </w:rPr>
        <w:t>(i) (ii)</w:t>
      </w:r>
      <w:r w:rsidRPr="00534476">
        <w:rPr>
          <w:rFonts w:ascii="Arial" w:hAnsi="Arial" w:cs="Arial"/>
          <w:lang w:val="en-ZA"/>
        </w:rPr>
        <w:tab/>
        <w:t>Entities will be required</w:t>
      </w:r>
      <w:r>
        <w:rPr>
          <w:rFonts w:ascii="Arial" w:hAnsi="Arial" w:cs="Arial"/>
          <w:lang w:val="en-ZA"/>
        </w:rPr>
        <w:t xml:space="preserve"> to submit their Strategic</w:t>
      </w:r>
      <w:r w:rsidRPr="00534476">
        <w:rPr>
          <w:rFonts w:ascii="Arial" w:hAnsi="Arial" w:cs="Arial"/>
          <w:lang w:val="en-ZA"/>
        </w:rPr>
        <w:t xml:space="preserve"> </w:t>
      </w:r>
      <w:r>
        <w:rPr>
          <w:rFonts w:ascii="Arial" w:hAnsi="Arial" w:cs="Arial"/>
          <w:lang w:val="en-ZA"/>
        </w:rPr>
        <w:t xml:space="preserve">Plans </w:t>
      </w:r>
      <w:r w:rsidRPr="00534476">
        <w:rPr>
          <w:rFonts w:ascii="Arial" w:hAnsi="Arial" w:cs="Arial"/>
          <w:lang w:val="en-ZA"/>
        </w:rPr>
        <w:t xml:space="preserve">and Annual Performance Plans </w:t>
      </w:r>
      <w:r>
        <w:rPr>
          <w:rFonts w:ascii="Arial" w:hAnsi="Arial" w:cs="Arial"/>
          <w:lang w:val="en-ZA"/>
        </w:rPr>
        <w:t>in l</w:t>
      </w:r>
      <w:r w:rsidRPr="00534476">
        <w:rPr>
          <w:rFonts w:ascii="Arial" w:hAnsi="Arial" w:cs="Arial"/>
          <w:lang w:val="en-ZA"/>
        </w:rPr>
        <w:t xml:space="preserve">ine </w:t>
      </w:r>
      <w:r>
        <w:rPr>
          <w:rFonts w:ascii="Arial" w:hAnsi="Arial" w:cs="Arial"/>
          <w:lang w:val="en-ZA"/>
        </w:rPr>
        <w:t xml:space="preserve">         </w:t>
      </w:r>
    </w:p>
    <w:p w:rsidR="00BF48E9" w:rsidRDefault="00BF48E9" w:rsidP="00466796">
      <w:pPr>
        <w:pStyle w:val="ListParagraph"/>
        <w:ind w:left="426"/>
        <w:jc w:val="both"/>
        <w:rPr>
          <w:rFonts w:ascii="Arial" w:hAnsi="Arial" w:cs="Arial"/>
          <w:lang w:val="en-ZA"/>
        </w:rPr>
      </w:pPr>
      <w:r>
        <w:rPr>
          <w:rFonts w:ascii="Arial" w:hAnsi="Arial" w:cs="Arial"/>
          <w:lang w:val="en-ZA"/>
        </w:rPr>
        <w:t>P</w:t>
      </w:r>
      <w:r w:rsidRPr="00534476">
        <w:rPr>
          <w:rFonts w:ascii="Arial" w:hAnsi="Arial" w:cs="Arial"/>
          <w:lang w:val="en-ZA"/>
        </w:rPr>
        <w:t xml:space="preserve">with </w:t>
      </w:r>
      <w:r>
        <w:rPr>
          <w:rFonts w:ascii="Arial" w:hAnsi="Arial" w:cs="Arial"/>
          <w:lang w:val="en-ZA"/>
        </w:rPr>
        <w:t xml:space="preserve">the </w:t>
      </w:r>
      <w:r w:rsidRPr="00534476">
        <w:rPr>
          <w:rFonts w:ascii="Arial" w:hAnsi="Arial" w:cs="Arial"/>
          <w:lang w:val="en-ZA"/>
        </w:rPr>
        <w:t xml:space="preserve">interventions proposed on the </w:t>
      </w:r>
      <w:r>
        <w:rPr>
          <w:rFonts w:ascii="Arial" w:hAnsi="Arial" w:cs="Arial"/>
          <w:lang w:val="en-ZA"/>
        </w:rPr>
        <w:t>NATMAP</w:t>
      </w:r>
      <w:r w:rsidRPr="00534476">
        <w:rPr>
          <w:rFonts w:ascii="Arial" w:hAnsi="Arial" w:cs="Arial"/>
          <w:lang w:val="en-ZA"/>
        </w:rPr>
        <w:t xml:space="preserve">. Upon submission of these plans, the </w:t>
      </w:r>
      <w:r>
        <w:rPr>
          <w:rFonts w:ascii="Arial" w:hAnsi="Arial" w:cs="Arial"/>
          <w:lang w:val="en-ZA"/>
        </w:rPr>
        <w:t>Department</w:t>
      </w:r>
      <w:r w:rsidRPr="00534476">
        <w:rPr>
          <w:rFonts w:ascii="Arial" w:hAnsi="Arial" w:cs="Arial"/>
          <w:lang w:val="en-ZA"/>
        </w:rPr>
        <w:t xml:space="preserve"> will ensure that implementation of NATMAP within the entities take</w:t>
      </w:r>
      <w:r>
        <w:rPr>
          <w:rFonts w:ascii="Arial" w:hAnsi="Arial" w:cs="Arial"/>
          <w:lang w:val="en-ZA"/>
        </w:rPr>
        <w:t>s</w:t>
      </w:r>
      <w:r w:rsidRPr="00534476">
        <w:rPr>
          <w:rFonts w:ascii="Arial" w:hAnsi="Arial" w:cs="Arial"/>
          <w:lang w:val="en-ZA"/>
        </w:rPr>
        <w:t xml:space="preserve"> place</w:t>
      </w:r>
      <w:r>
        <w:rPr>
          <w:rFonts w:ascii="Arial" w:hAnsi="Arial" w:cs="Arial"/>
          <w:lang w:val="en-ZA"/>
        </w:rPr>
        <w:t xml:space="preserve"> as per the plans approved by the Minister. </w:t>
      </w:r>
    </w:p>
    <w:p w:rsidR="00BF48E9" w:rsidRPr="00A12B1B" w:rsidRDefault="00BF48E9" w:rsidP="00466796">
      <w:pPr>
        <w:pStyle w:val="ListParagraph"/>
        <w:ind w:left="426"/>
        <w:jc w:val="both"/>
        <w:rPr>
          <w:rFonts w:ascii="Arial" w:hAnsi="Arial" w:cs="Arial"/>
          <w:lang w:val="en-ZA"/>
        </w:rPr>
      </w:pPr>
    </w:p>
    <w:p w:rsidR="00BF48E9" w:rsidRPr="00466796" w:rsidRDefault="00BF48E9" w:rsidP="00466796">
      <w:pPr>
        <w:ind w:left="426"/>
        <w:jc w:val="both"/>
        <w:rPr>
          <w:rFonts w:ascii="Arial" w:hAnsi="Arial" w:cs="Arial"/>
          <w:lang w:val="en-ZA"/>
        </w:rPr>
      </w:pPr>
      <w:r w:rsidRPr="00466796">
        <w:rPr>
          <w:rFonts w:ascii="Arial" w:hAnsi="Arial" w:cs="Arial"/>
          <w:lang w:val="en-ZA"/>
        </w:rPr>
        <w:t xml:space="preserve">The Department will monitor the performance of the entities based on the targets set in their Strategic Plans and Annual Performance Plans. </w:t>
      </w:r>
    </w:p>
    <w:p w:rsidR="00BF48E9" w:rsidRPr="00A12B1B" w:rsidRDefault="00BF48E9" w:rsidP="00466796">
      <w:pPr>
        <w:pStyle w:val="ListParagraph"/>
        <w:ind w:left="851"/>
        <w:jc w:val="both"/>
        <w:rPr>
          <w:rFonts w:ascii="Arial" w:hAnsi="Arial" w:cs="Arial"/>
          <w:lang w:val="en-ZA"/>
        </w:rPr>
      </w:pPr>
    </w:p>
    <w:p w:rsidR="00BF48E9" w:rsidRPr="00466796" w:rsidRDefault="00BF48E9" w:rsidP="00466796">
      <w:pPr>
        <w:ind w:firstLine="426"/>
        <w:rPr>
          <w:rFonts w:ascii="Arial" w:hAnsi="Arial" w:cs="Arial"/>
          <w:b/>
          <w:lang w:val="en-ZA"/>
        </w:rPr>
      </w:pPr>
      <w:r w:rsidRPr="00466796">
        <w:rPr>
          <w:rFonts w:ascii="Arial" w:hAnsi="Arial" w:cs="Arial"/>
          <w:b/>
          <w:lang w:val="en-ZA"/>
        </w:rPr>
        <w:t>Passenger Rail Agency of South Africa (PRASA)</w:t>
      </w:r>
    </w:p>
    <w:p w:rsidR="00BF48E9" w:rsidRPr="00466796" w:rsidRDefault="00BF48E9" w:rsidP="003F129C">
      <w:pPr>
        <w:pStyle w:val="ListParagraph"/>
        <w:numPr>
          <w:ilvl w:val="0"/>
          <w:numId w:val="5"/>
        </w:numPr>
        <w:rPr>
          <w:rFonts w:ascii="Arial" w:hAnsi="Arial" w:cs="Arial"/>
          <w:lang w:val="en-ZA"/>
        </w:rPr>
      </w:pPr>
      <w:r w:rsidRPr="00466796">
        <w:rPr>
          <w:rFonts w:ascii="Arial" w:hAnsi="Arial" w:cs="Arial"/>
          <w:lang w:val="en-ZA"/>
        </w:rPr>
        <w:t>The short – medium term focus is on modernisation and renewal of the rail system.  Many of these plans have already progressed significantly.  Project management, monitoring and reporting mechanisms and structures are in place to ensure the successful implementation of these projects. These projects include:</w:t>
      </w:r>
    </w:p>
    <w:p w:rsidR="00BF48E9" w:rsidRDefault="00BF48E9" w:rsidP="003F129C">
      <w:pPr>
        <w:pStyle w:val="ListParagraph"/>
        <w:numPr>
          <w:ilvl w:val="1"/>
          <w:numId w:val="5"/>
        </w:numPr>
        <w:rPr>
          <w:rFonts w:ascii="Arial" w:hAnsi="Arial" w:cs="Arial"/>
          <w:lang w:val="en-ZA"/>
        </w:rPr>
      </w:pPr>
      <w:r>
        <w:rPr>
          <w:rFonts w:ascii="Arial" w:hAnsi="Arial" w:cs="Arial"/>
          <w:lang w:val="en-ZA"/>
        </w:rPr>
        <w:t>Rolling stock renewal</w:t>
      </w:r>
    </w:p>
    <w:p w:rsidR="00BF48E9" w:rsidRDefault="00BF48E9" w:rsidP="003F129C">
      <w:pPr>
        <w:pStyle w:val="ListParagraph"/>
        <w:numPr>
          <w:ilvl w:val="1"/>
          <w:numId w:val="5"/>
        </w:numPr>
        <w:rPr>
          <w:rFonts w:ascii="Arial" w:hAnsi="Arial" w:cs="Arial"/>
          <w:lang w:val="en-ZA"/>
        </w:rPr>
      </w:pPr>
      <w:r>
        <w:rPr>
          <w:rFonts w:ascii="Arial" w:hAnsi="Arial" w:cs="Arial"/>
          <w:lang w:val="en-ZA"/>
        </w:rPr>
        <w:t>Signaling renewal</w:t>
      </w:r>
    </w:p>
    <w:p w:rsidR="00BF48E9" w:rsidRDefault="00BF48E9" w:rsidP="003F129C">
      <w:pPr>
        <w:pStyle w:val="ListParagraph"/>
        <w:numPr>
          <w:ilvl w:val="1"/>
          <w:numId w:val="5"/>
        </w:numPr>
        <w:rPr>
          <w:rFonts w:ascii="Arial" w:hAnsi="Arial" w:cs="Arial"/>
          <w:lang w:val="en-ZA"/>
        </w:rPr>
      </w:pPr>
      <w:r>
        <w:rPr>
          <w:rFonts w:ascii="Arial" w:hAnsi="Arial" w:cs="Arial"/>
          <w:lang w:val="en-ZA"/>
        </w:rPr>
        <w:t>Station modernisation</w:t>
      </w:r>
    </w:p>
    <w:p w:rsidR="00BF48E9" w:rsidRDefault="00BF48E9" w:rsidP="003F129C">
      <w:pPr>
        <w:pStyle w:val="ListParagraph"/>
        <w:numPr>
          <w:ilvl w:val="1"/>
          <w:numId w:val="5"/>
        </w:numPr>
        <w:rPr>
          <w:rFonts w:ascii="Arial" w:hAnsi="Arial" w:cs="Arial"/>
          <w:lang w:val="en-ZA"/>
        </w:rPr>
      </w:pPr>
      <w:r>
        <w:rPr>
          <w:rFonts w:ascii="Arial" w:hAnsi="Arial" w:cs="Arial"/>
          <w:lang w:val="en-ZA"/>
        </w:rPr>
        <w:t>Depot modernisation</w:t>
      </w:r>
    </w:p>
    <w:p w:rsidR="00BF48E9" w:rsidRDefault="00BF48E9" w:rsidP="003F129C">
      <w:pPr>
        <w:pStyle w:val="ListParagraph"/>
        <w:numPr>
          <w:ilvl w:val="1"/>
          <w:numId w:val="5"/>
        </w:numPr>
        <w:rPr>
          <w:rFonts w:ascii="Arial" w:hAnsi="Arial" w:cs="Arial"/>
          <w:lang w:val="en-ZA"/>
        </w:rPr>
      </w:pPr>
      <w:r>
        <w:rPr>
          <w:rFonts w:ascii="Arial" w:hAnsi="Arial" w:cs="Arial"/>
          <w:lang w:val="en-ZA"/>
        </w:rPr>
        <w:t>Perway and Security Upgrades</w:t>
      </w:r>
    </w:p>
    <w:p w:rsidR="00BF48E9" w:rsidRDefault="00BF48E9" w:rsidP="00466796">
      <w:pPr>
        <w:pStyle w:val="ListParagraph"/>
        <w:ind w:left="360"/>
        <w:rPr>
          <w:rFonts w:ascii="Arial" w:hAnsi="Arial" w:cs="Arial"/>
          <w:lang w:val="en-ZA"/>
        </w:rPr>
      </w:pPr>
    </w:p>
    <w:p w:rsidR="00BF48E9" w:rsidRDefault="00BF48E9" w:rsidP="003F129C">
      <w:pPr>
        <w:pStyle w:val="ListParagraph"/>
        <w:numPr>
          <w:ilvl w:val="0"/>
          <w:numId w:val="5"/>
        </w:numPr>
        <w:rPr>
          <w:rFonts w:ascii="Arial" w:hAnsi="Arial" w:cs="Arial"/>
          <w:lang w:val="en-ZA"/>
        </w:rPr>
      </w:pPr>
      <w:r>
        <w:rPr>
          <w:rFonts w:ascii="Arial" w:hAnsi="Arial" w:cs="Arial"/>
          <w:lang w:val="en-ZA"/>
        </w:rPr>
        <w:t xml:space="preserve">Deadlines / targets: </w:t>
      </w:r>
    </w:p>
    <w:p w:rsidR="00BF48E9" w:rsidRDefault="00BF48E9" w:rsidP="00466796">
      <w:pPr>
        <w:pStyle w:val="ListParagraph"/>
        <w:ind w:left="360"/>
        <w:rPr>
          <w:rFonts w:ascii="Arial" w:hAnsi="Arial" w:cs="Arial"/>
          <w:lang w:val="en-ZA"/>
        </w:rPr>
      </w:pPr>
    </w:p>
    <w:p w:rsidR="00BF48E9" w:rsidRPr="003910B9" w:rsidRDefault="00BF48E9" w:rsidP="00466796">
      <w:pPr>
        <w:pStyle w:val="ListParagraph"/>
        <w:ind w:left="360"/>
        <w:rPr>
          <w:rFonts w:ascii="Arial" w:hAnsi="Arial" w:cs="Arial"/>
          <w:lang w:val="en-ZA"/>
        </w:rPr>
      </w:pPr>
      <w:r>
        <w:rPr>
          <w:rFonts w:ascii="Arial" w:hAnsi="Arial" w:cs="Arial"/>
          <w:lang w:val="en-ZA"/>
        </w:rPr>
        <w:t>The deadlines and targets are aligned with the respective contracts e</w:t>
      </w:r>
      <w:r w:rsidRPr="003910B9">
        <w:rPr>
          <w:rFonts w:ascii="Arial" w:hAnsi="Arial" w:cs="Arial"/>
          <w:lang w:val="en-ZA"/>
        </w:rPr>
        <w:t xml:space="preserve">specially those of a multi-year nature as well as capital programme allocation. The following targets for the multi-year projects as part of the PRASA Corporate plan and incorporated in the Shareholder Compact with the Minister of Transport: </w:t>
      </w:r>
    </w:p>
    <w:p w:rsidR="00BF48E9" w:rsidRPr="003910B9" w:rsidRDefault="00BF48E9" w:rsidP="00466796">
      <w:pPr>
        <w:pStyle w:val="ListParagraph"/>
        <w:ind w:left="360"/>
        <w:rPr>
          <w:rFonts w:ascii="Arial" w:hAnsi="Arial" w:cs="Arial"/>
          <w:lang w:val="en-ZA"/>
        </w:rPr>
      </w:pPr>
    </w:p>
    <w:tbl>
      <w:tblPr>
        <w:tblW w:w="9920" w:type="dxa"/>
        <w:tblInd w:w="98" w:type="dxa"/>
        <w:tblLook w:val="00A0"/>
      </w:tblPr>
      <w:tblGrid>
        <w:gridCol w:w="1858"/>
        <w:gridCol w:w="1904"/>
        <w:gridCol w:w="1996"/>
        <w:gridCol w:w="2151"/>
        <w:gridCol w:w="2011"/>
      </w:tblGrid>
      <w:tr w:rsidR="00BF48E9" w:rsidRPr="00D34B5A" w:rsidTr="00A97D4F">
        <w:trPr>
          <w:trHeight w:val="1115"/>
          <w:tblHeader/>
        </w:trPr>
        <w:tc>
          <w:tcPr>
            <w:tcW w:w="1858" w:type="dxa"/>
            <w:tcBorders>
              <w:top w:val="single" w:sz="8" w:space="0" w:color="auto"/>
              <w:left w:val="single" w:sz="8" w:space="0" w:color="auto"/>
              <w:bottom w:val="nil"/>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Key Performance Area</w:t>
            </w:r>
          </w:p>
        </w:tc>
        <w:tc>
          <w:tcPr>
            <w:tcW w:w="1904" w:type="dxa"/>
            <w:tcBorders>
              <w:top w:val="single" w:sz="8" w:space="0" w:color="auto"/>
              <w:left w:val="nil"/>
              <w:bottom w:val="nil"/>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Key Performance Indicators</w:t>
            </w:r>
          </w:p>
        </w:tc>
        <w:tc>
          <w:tcPr>
            <w:tcW w:w="6158" w:type="dxa"/>
            <w:gridSpan w:val="3"/>
            <w:tcBorders>
              <w:top w:val="single" w:sz="8" w:space="0" w:color="auto"/>
              <w:left w:val="nil"/>
              <w:right w:val="single" w:sz="8" w:space="0" w:color="000000"/>
            </w:tcBorders>
            <w:shd w:val="clear" w:color="000000" w:fill="00B0F0"/>
            <w:vAlign w:val="center"/>
          </w:tcPr>
          <w:p w:rsidR="00BF48E9" w:rsidRPr="003910B9" w:rsidRDefault="00BF48E9" w:rsidP="00A97D4F">
            <w:pPr>
              <w:spacing w:after="0" w:line="240" w:lineRule="auto"/>
              <w:jc w:val="center"/>
              <w:rPr>
                <w:rFonts w:ascii="Arial" w:hAnsi="Arial" w:cs="Arial"/>
                <w:b/>
                <w:bCs/>
                <w:color w:val="FFFFFF"/>
                <w:lang w:val="en-ZA" w:eastAsia="en-ZA"/>
              </w:rPr>
            </w:pPr>
            <w:r w:rsidRPr="003910B9">
              <w:rPr>
                <w:rFonts w:ascii="Arial" w:hAnsi="Arial" w:cs="Arial"/>
                <w:b/>
                <w:bCs/>
                <w:color w:val="FFFFFF"/>
                <w:lang w:val="en-ZA" w:eastAsia="en-ZA"/>
              </w:rPr>
              <w:t>Medium-term targets</w:t>
            </w:r>
          </w:p>
        </w:tc>
      </w:tr>
      <w:tr w:rsidR="00BF48E9" w:rsidRPr="00D34B5A" w:rsidTr="00A97D4F">
        <w:trPr>
          <w:trHeight w:val="390"/>
          <w:tblHeader/>
        </w:trPr>
        <w:tc>
          <w:tcPr>
            <w:tcW w:w="1858" w:type="dxa"/>
            <w:tcBorders>
              <w:top w:val="nil"/>
              <w:left w:val="single" w:sz="8" w:space="0" w:color="auto"/>
              <w:bottom w:val="single" w:sz="8" w:space="0" w:color="auto"/>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 </w:t>
            </w:r>
          </w:p>
        </w:tc>
        <w:tc>
          <w:tcPr>
            <w:tcW w:w="1904" w:type="dxa"/>
            <w:tcBorders>
              <w:top w:val="nil"/>
              <w:left w:val="nil"/>
              <w:bottom w:val="single" w:sz="8" w:space="0" w:color="auto"/>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 </w:t>
            </w:r>
          </w:p>
        </w:tc>
        <w:tc>
          <w:tcPr>
            <w:tcW w:w="1996" w:type="dxa"/>
            <w:tcBorders>
              <w:top w:val="nil"/>
              <w:left w:val="nil"/>
              <w:bottom w:val="single" w:sz="4" w:space="0" w:color="auto"/>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2016/17</w:t>
            </w:r>
          </w:p>
        </w:tc>
        <w:tc>
          <w:tcPr>
            <w:tcW w:w="2151" w:type="dxa"/>
            <w:tcBorders>
              <w:top w:val="nil"/>
              <w:left w:val="nil"/>
              <w:bottom w:val="single" w:sz="4" w:space="0" w:color="auto"/>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2017/18</w:t>
            </w:r>
          </w:p>
        </w:tc>
        <w:tc>
          <w:tcPr>
            <w:tcW w:w="2011" w:type="dxa"/>
            <w:tcBorders>
              <w:top w:val="nil"/>
              <w:left w:val="nil"/>
              <w:bottom w:val="single" w:sz="4" w:space="0" w:color="auto"/>
              <w:right w:val="single" w:sz="8" w:space="0" w:color="auto"/>
            </w:tcBorders>
            <w:shd w:val="clear" w:color="000000" w:fill="00B0F0"/>
            <w:vAlign w:val="center"/>
          </w:tcPr>
          <w:p w:rsidR="00BF48E9" w:rsidRPr="003910B9" w:rsidRDefault="00BF48E9" w:rsidP="00A97D4F">
            <w:pPr>
              <w:spacing w:after="0" w:line="240" w:lineRule="auto"/>
              <w:rPr>
                <w:rFonts w:ascii="Arial" w:hAnsi="Arial" w:cs="Arial"/>
                <w:b/>
                <w:bCs/>
                <w:color w:val="FFFFFF"/>
                <w:lang w:val="en-ZA" w:eastAsia="en-ZA"/>
              </w:rPr>
            </w:pPr>
            <w:r w:rsidRPr="003910B9">
              <w:rPr>
                <w:rFonts w:ascii="Arial" w:hAnsi="Arial" w:cs="Arial"/>
                <w:b/>
                <w:bCs/>
                <w:color w:val="FFFFFF"/>
                <w:lang w:val="en-ZA" w:eastAsia="en-ZA"/>
              </w:rPr>
              <w:t>2018/19</w:t>
            </w:r>
          </w:p>
        </w:tc>
      </w:tr>
      <w:tr w:rsidR="00BF48E9" w:rsidRPr="00D34B5A" w:rsidTr="00A97D4F">
        <w:trPr>
          <w:trHeight w:val="1278"/>
        </w:trPr>
        <w:tc>
          <w:tcPr>
            <w:tcW w:w="1858" w:type="dxa"/>
            <w:tcBorders>
              <w:top w:val="single" w:sz="8" w:space="0" w:color="auto"/>
              <w:left w:val="single" w:sz="8" w:space="0" w:color="auto"/>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Delivering on the new Rolling Stock Programme</w:t>
            </w:r>
          </w:p>
        </w:tc>
        <w:tc>
          <w:tcPr>
            <w:tcW w:w="1904" w:type="dxa"/>
            <w:tcBorders>
              <w:top w:val="nil"/>
              <w:left w:val="nil"/>
              <w:bottom w:val="single" w:sz="4"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Train sets delivered and commissioned</w:t>
            </w:r>
          </w:p>
        </w:tc>
        <w:tc>
          <w:tcPr>
            <w:tcW w:w="1996" w:type="dxa"/>
            <w:tcBorders>
              <w:top w:val="single" w:sz="4" w:space="0" w:color="auto"/>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From 11 -13 train sets accepted as per contract</w:t>
            </w:r>
          </w:p>
        </w:tc>
        <w:tc>
          <w:tcPr>
            <w:tcW w:w="2151" w:type="dxa"/>
            <w:tcBorders>
              <w:top w:val="single" w:sz="4" w:space="0" w:color="auto"/>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From 4 - 5 train sets accepted  as per contract</w:t>
            </w:r>
          </w:p>
        </w:tc>
        <w:tc>
          <w:tcPr>
            <w:tcW w:w="2011" w:type="dxa"/>
            <w:tcBorders>
              <w:top w:val="single" w:sz="4" w:space="0" w:color="auto"/>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From 8 - 9 train sets accepted  as per contract</w:t>
            </w:r>
          </w:p>
        </w:tc>
      </w:tr>
      <w:tr w:rsidR="00BF48E9" w:rsidRPr="00D34B5A" w:rsidTr="00A97D4F">
        <w:trPr>
          <w:trHeight w:val="1410"/>
        </w:trPr>
        <w:tc>
          <w:tcPr>
            <w:tcW w:w="1858" w:type="dxa"/>
            <w:tcBorders>
              <w:top w:val="single" w:sz="8" w:space="0" w:color="auto"/>
              <w:left w:val="single" w:sz="8" w:space="0" w:color="auto"/>
              <w:bottom w:val="single" w:sz="4"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Infrastructure Readiness</w:t>
            </w:r>
          </w:p>
        </w:tc>
        <w:tc>
          <w:tcPr>
            <w:tcW w:w="1904" w:type="dxa"/>
            <w:tcBorders>
              <w:top w:val="nil"/>
              <w:left w:val="nil"/>
              <w:bottom w:val="single" w:sz="4"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Traffic control centres completed</w:t>
            </w:r>
          </w:p>
        </w:tc>
        <w:tc>
          <w:tcPr>
            <w:tcW w:w="1996" w:type="dxa"/>
            <w:tcBorders>
              <w:top w:val="single" w:sz="4" w:space="0" w:color="auto"/>
              <w:left w:val="nil"/>
              <w:bottom w:val="nil"/>
              <w:right w:val="nil"/>
            </w:tcBorders>
            <w:noWrap/>
            <w:vAlign w:val="bottom"/>
          </w:tcPr>
          <w:p w:rsidR="00BF48E9" w:rsidRPr="003910B9" w:rsidRDefault="00BF48E9" w:rsidP="00A97D4F">
            <w:pPr>
              <w:spacing w:after="0" w:line="240" w:lineRule="auto"/>
              <w:rPr>
                <w:rFonts w:ascii="Arial" w:hAnsi="Arial" w:cs="Arial"/>
                <w:color w:val="000000"/>
                <w:sz w:val="20"/>
                <w:szCs w:val="20"/>
                <w:lang w:val="en-ZA" w:eastAsia="en-ZA"/>
              </w:rPr>
            </w:pPr>
          </w:p>
        </w:tc>
        <w:tc>
          <w:tcPr>
            <w:tcW w:w="2151" w:type="dxa"/>
            <w:tcBorders>
              <w:top w:val="nil"/>
              <w:left w:val="single" w:sz="8" w:space="0" w:color="auto"/>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Completion of the buildings of   1-2 regions (Bellville, Durban)</w:t>
            </w:r>
          </w:p>
        </w:tc>
        <w:tc>
          <w:tcPr>
            <w:tcW w:w="2011" w:type="dxa"/>
            <w:tcBorders>
              <w:top w:val="nil"/>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Fully functional Traffic control systems (Gauteng, KZN and Western Cape)</w:t>
            </w:r>
          </w:p>
        </w:tc>
      </w:tr>
      <w:tr w:rsidR="00BF48E9" w:rsidRPr="00D34B5A" w:rsidTr="00A97D4F">
        <w:trPr>
          <w:trHeight w:val="1704"/>
        </w:trPr>
        <w:tc>
          <w:tcPr>
            <w:tcW w:w="1858" w:type="dxa"/>
            <w:tcBorders>
              <w:top w:val="single" w:sz="4" w:space="0" w:color="auto"/>
              <w:left w:val="single" w:sz="8" w:space="0" w:color="auto"/>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Infrastructure Readiness</w:t>
            </w:r>
          </w:p>
        </w:tc>
        <w:tc>
          <w:tcPr>
            <w:tcW w:w="1904" w:type="dxa"/>
            <w:tcBorders>
              <w:top w:val="nil"/>
              <w:left w:val="nil"/>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Signal interlockings completed (Gauteng, KZN and Western Cape)</w:t>
            </w:r>
          </w:p>
        </w:tc>
        <w:tc>
          <w:tcPr>
            <w:tcW w:w="1996" w:type="dxa"/>
            <w:tcBorders>
              <w:top w:val="single" w:sz="4" w:space="0" w:color="auto"/>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Between 11 - 14 Signal interlocking commissions completed</w:t>
            </w:r>
          </w:p>
        </w:tc>
        <w:tc>
          <w:tcPr>
            <w:tcW w:w="215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Between 33 - 44 signal interlocking commissions completed</w:t>
            </w:r>
          </w:p>
        </w:tc>
        <w:tc>
          <w:tcPr>
            <w:tcW w:w="201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jc w:val="center"/>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Between 37 - 48 signal interlocking commissions completed</w:t>
            </w:r>
          </w:p>
        </w:tc>
      </w:tr>
      <w:tr w:rsidR="00BF48E9" w:rsidRPr="00D34B5A" w:rsidTr="00A97D4F">
        <w:trPr>
          <w:trHeight w:val="1676"/>
        </w:trPr>
        <w:tc>
          <w:tcPr>
            <w:tcW w:w="1858" w:type="dxa"/>
            <w:tcBorders>
              <w:top w:val="nil"/>
              <w:left w:val="single" w:sz="8" w:space="0" w:color="auto"/>
              <w:bottom w:val="nil"/>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Infrastructure Readiness</w:t>
            </w:r>
          </w:p>
        </w:tc>
        <w:tc>
          <w:tcPr>
            <w:tcW w:w="1904" w:type="dxa"/>
            <w:tcBorders>
              <w:top w:val="nil"/>
              <w:left w:val="nil"/>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Modernisation stations completed</w:t>
            </w:r>
          </w:p>
        </w:tc>
        <w:tc>
          <w:tcPr>
            <w:tcW w:w="1996"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xml:space="preserve">Between 1 - 2 stations completed (Duff's Road and  Phillipi or Oakmoor) as per contract. </w:t>
            </w:r>
          </w:p>
        </w:tc>
        <w:tc>
          <w:tcPr>
            <w:tcW w:w="215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xml:space="preserve">Between 1 - 2 stations completed (Oakmoor,Phillipi) as per contract. </w:t>
            </w:r>
          </w:p>
        </w:tc>
        <w:tc>
          <w:tcPr>
            <w:tcW w:w="201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Between 3-5 stations completed.</w:t>
            </w:r>
          </w:p>
        </w:tc>
      </w:tr>
      <w:tr w:rsidR="00BF48E9" w:rsidRPr="00D34B5A" w:rsidTr="00A97D4F">
        <w:trPr>
          <w:trHeight w:val="2522"/>
        </w:trPr>
        <w:tc>
          <w:tcPr>
            <w:tcW w:w="1858" w:type="dxa"/>
            <w:tcBorders>
              <w:top w:val="nil"/>
              <w:left w:val="single" w:sz="8" w:space="0" w:color="auto"/>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w:t>
            </w:r>
          </w:p>
        </w:tc>
        <w:tc>
          <w:tcPr>
            <w:tcW w:w="1904" w:type="dxa"/>
            <w:tcBorders>
              <w:top w:val="nil"/>
              <w:left w:val="nil"/>
              <w:bottom w:val="single" w:sz="8"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Depot modernisation projects commencing, in construction and complete.</w:t>
            </w:r>
          </w:p>
        </w:tc>
        <w:tc>
          <w:tcPr>
            <w:tcW w:w="1996"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xml:space="preserve">Alternative Test Facility at Wolmerton depot complete and  handover to Gibela &amp; Maintenance Facility at Wolmerton completed for 20 new production trains. </w:t>
            </w:r>
          </w:p>
        </w:tc>
        <w:tc>
          <w:tcPr>
            <w:tcW w:w="215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Commence Main depot construction at Braamfontein</w:t>
            </w:r>
          </w:p>
        </w:tc>
        <w:tc>
          <w:tcPr>
            <w:tcW w:w="2011" w:type="dxa"/>
            <w:tcBorders>
              <w:top w:val="nil"/>
              <w:left w:val="nil"/>
              <w:bottom w:val="single" w:sz="8"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Commence main depot construction at Salt River</w:t>
            </w:r>
          </w:p>
        </w:tc>
      </w:tr>
      <w:tr w:rsidR="00BF48E9" w:rsidRPr="00D34B5A" w:rsidTr="00A97D4F">
        <w:trPr>
          <w:trHeight w:val="1544"/>
        </w:trPr>
        <w:tc>
          <w:tcPr>
            <w:tcW w:w="1858" w:type="dxa"/>
            <w:tcBorders>
              <w:top w:val="nil"/>
              <w:left w:val="single" w:sz="8" w:space="0" w:color="auto"/>
              <w:bottom w:val="single" w:sz="8" w:space="0" w:color="auto"/>
              <w:right w:val="single" w:sz="8" w:space="0" w:color="auto"/>
            </w:tcBorders>
            <w:shd w:val="clear" w:color="000000" w:fill="FFFFFF"/>
          </w:tcPr>
          <w:p w:rsidR="00BF48E9" w:rsidRPr="003910B9" w:rsidRDefault="00BF48E9" w:rsidP="00A97D4F">
            <w:pPr>
              <w:spacing w:after="0" w:line="240" w:lineRule="auto"/>
              <w:jc w:val="center"/>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Infrastructure Readiness</w:t>
            </w:r>
          </w:p>
        </w:tc>
        <w:tc>
          <w:tcPr>
            <w:tcW w:w="1904" w:type="dxa"/>
            <w:tcBorders>
              <w:top w:val="nil"/>
              <w:left w:val="nil"/>
              <w:bottom w:val="single" w:sz="4" w:space="0" w:color="auto"/>
              <w:right w:val="single" w:sz="8" w:space="0" w:color="auto"/>
            </w:tcBorders>
            <w:shd w:val="clear" w:color="000000" w:fill="FFFFFF"/>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xml:space="preserve">Track upgrade projects for 120km/h </w:t>
            </w:r>
          </w:p>
        </w:tc>
        <w:tc>
          <w:tcPr>
            <w:tcW w:w="1996" w:type="dxa"/>
            <w:tcBorders>
              <w:top w:val="nil"/>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 xml:space="preserve">Complete tender process for Track preparation for new Rolling Stock with placement of contract(s) for work. </w:t>
            </w:r>
          </w:p>
        </w:tc>
        <w:tc>
          <w:tcPr>
            <w:tcW w:w="2151" w:type="dxa"/>
            <w:tcBorders>
              <w:top w:val="nil"/>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Contract(s) for Track upgrade for modernisation commences</w:t>
            </w:r>
          </w:p>
        </w:tc>
        <w:tc>
          <w:tcPr>
            <w:tcW w:w="2011" w:type="dxa"/>
            <w:tcBorders>
              <w:top w:val="nil"/>
              <w:left w:val="nil"/>
              <w:bottom w:val="single" w:sz="4" w:space="0" w:color="auto"/>
              <w:right w:val="single" w:sz="8" w:space="0" w:color="auto"/>
            </w:tcBorders>
            <w:shd w:val="clear" w:color="000000" w:fill="FFFFFF"/>
            <w:vAlign w:val="center"/>
          </w:tcPr>
          <w:p w:rsidR="00BF48E9" w:rsidRPr="003910B9" w:rsidRDefault="00BF48E9" w:rsidP="00A97D4F">
            <w:pPr>
              <w:spacing w:after="0" w:line="240" w:lineRule="auto"/>
              <w:rPr>
                <w:rFonts w:ascii="Arial" w:hAnsi="Arial" w:cs="Arial"/>
                <w:bCs/>
                <w:color w:val="000000"/>
                <w:sz w:val="20"/>
                <w:szCs w:val="20"/>
                <w:lang w:val="en-ZA" w:eastAsia="en-ZA"/>
              </w:rPr>
            </w:pPr>
            <w:r w:rsidRPr="003910B9">
              <w:rPr>
                <w:rFonts w:ascii="Arial" w:hAnsi="Arial" w:cs="Arial"/>
                <w:bCs/>
                <w:color w:val="000000"/>
                <w:sz w:val="20"/>
                <w:szCs w:val="20"/>
                <w:lang w:val="en-ZA" w:eastAsia="en-ZA"/>
              </w:rPr>
              <w:t>Contract(s)  for Track upgrade for modernisation continues</w:t>
            </w:r>
          </w:p>
        </w:tc>
      </w:tr>
    </w:tbl>
    <w:p w:rsidR="00BF48E9" w:rsidRPr="003910B9" w:rsidRDefault="00BF48E9" w:rsidP="00466796">
      <w:pPr>
        <w:pStyle w:val="ListParagraph"/>
        <w:ind w:left="360"/>
        <w:rPr>
          <w:rFonts w:ascii="Arial" w:hAnsi="Arial" w:cs="Arial"/>
          <w:lang w:val="en-ZA"/>
        </w:rPr>
      </w:pPr>
    </w:p>
    <w:p w:rsidR="00BF48E9" w:rsidRPr="003910B9" w:rsidRDefault="00BF48E9" w:rsidP="00466796">
      <w:pPr>
        <w:pStyle w:val="ListParagraph"/>
        <w:ind w:left="360"/>
        <w:rPr>
          <w:rFonts w:ascii="Arial" w:hAnsi="Arial" w:cs="Arial"/>
          <w:lang w:val="en-ZA"/>
        </w:rPr>
      </w:pPr>
    </w:p>
    <w:p w:rsidR="00BF48E9" w:rsidRDefault="00BF48E9" w:rsidP="00466796">
      <w:pPr>
        <w:rPr>
          <w:rFonts w:ascii="Arial" w:hAnsi="Arial" w:cs="Arial"/>
        </w:rPr>
      </w:pPr>
      <w:r w:rsidRPr="003910B9">
        <w:rPr>
          <w:rFonts w:ascii="Arial" w:hAnsi="Arial" w:cs="Arial"/>
        </w:rPr>
        <w:t>As required by the PFMA and Treasury Regulations, PRASA reports to the Shareholder on a quarterly basis on the state of performance with reasons for variation and actions to improve performance</w:t>
      </w:r>
    </w:p>
    <w:p w:rsidR="00BF48E9" w:rsidRPr="00437F07" w:rsidRDefault="00BF48E9" w:rsidP="00466796">
      <w:pPr>
        <w:rPr>
          <w:b/>
          <w:lang w:val="en-ZA"/>
        </w:rPr>
      </w:pPr>
      <w:r w:rsidRPr="00437F07">
        <w:rPr>
          <w:rFonts w:ascii="Arial" w:hAnsi="Arial" w:cs="Arial"/>
          <w:b/>
        </w:rPr>
        <w:t>Railway Safety Regulator (RSR)</w:t>
      </w:r>
    </w:p>
    <w:p w:rsidR="00BF48E9" w:rsidRDefault="00BF48E9" w:rsidP="00437F07">
      <w:pPr>
        <w:rPr>
          <w:lang w:val="en-ZA"/>
        </w:rPr>
      </w:pPr>
      <w:r>
        <w:rPr>
          <w:rFonts w:ascii="Arial" w:hAnsi="Arial" w:cs="Arial"/>
        </w:rPr>
        <w:t>The National Transport Master Plan (Natmap) has not been incorporated by the RSR.</w:t>
      </w:r>
    </w:p>
    <w:p w:rsidR="00BF48E9" w:rsidRPr="007E273F" w:rsidRDefault="00BF48E9" w:rsidP="00437F07">
      <w:pPr>
        <w:rPr>
          <w:rFonts w:ascii="Arial" w:hAnsi="Arial" w:cs="Arial"/>
          <w:b/>
          <w:lang w:val="en-ZA"/>
        </w:rPr>
      </w:pPr>
      <w:r w:rsidRPr="007E273F">
        <w:rPr>
          <w:rFonts w:ascii="Arial" w:hAnsi="Arial" w:cs="Arial"/>
          <w:b/>
          <w:lang w:val="en-ZA"/>
        </w:rPr>
        <w:t>Ports Regulator</w:t>
      </w:r>
      <w:r>
        <w:rPr>
          <w:rFonts w:ascii="Arial" w:hAnsi="Arial" w:cs="Arial"/>
          <w:b/>
          <w:lang w:val="en-ZA"/>
        </w:rPr>
        <w:t xml:space="preserve"> (PR)</w:t>
      </w:r>
    </w:p>
    <w:p w:rsidR="00BF48E9" w:rsidRPr="00576645" w:rsidRDefault="00BF48E9" w:rsidP="00437F07">
      <w:pPr>
        <w:rPr>
          <w:rFonts w:ascii="Arial" w:hAnsi="Arial" w:cs="Arial"/>
          <w:lang w:val="en-ZA"/>
        </w:rPr>
      </w:pPr>
      <w:r>
        <w:rPr>
          <w:rFonts w:ascii="Arial" w:hAnsi="Arial" w:cs="Arial"/>
          <w:lang w:val="en-ZA"/>
        </w:rPr>
        <w:t>Since t</w:t>
      </w:r>
      <w:r w:rsidRPr="00576645">
        <w:rPr>
          <w:rFonts w:ascii="Arial" w:hAnsi="Arial" w:cs="Arial"/>
          <w:lang w:val="en-ZA"/>
        </w:rPr>
        <w:t>he Ports Regulator is not aware that NATMAP has been approved by Cabinet for implementation and has not received any directive in this</w:t>
      </w:r>
      <w:r>
        <w:rPr>
          <w:rFonts w:ascii="Arial" w:hAnsi="Arial" w:cs="Arial"/>
          <w:lang w:val="en-ZA"/>
        </w:rPr>
        <w:t xml:space="preserve"> regard from Department of Transport, (a) there are no steps that were planned or have been taken to implement the NATMAP. (b) No deadlines have been set and (c) no processes and mechanism are in place to monitor it.</w:t>
      </w:r>
    </w:p>
    <w:p w:rsidR="00BF48E9" w:rsidRPr="007E273F" w:rsidRDefault="00BF48E9" w:rsidP="00437F07">
      <w:pPr>
        <w:rPr>
          <w:rFonts w:ascii="Arial" w:hAnsi="Arial" w:cs="Arial"/>
          <w:b/>
          <w:lang w:val="en-ZA"/>
        </w:rPr>
      </w:pPr>
      <w:r>
        <w:rPr>
          <w:rFonts w:ascii="Arial" w:hAnsi="Arial" w:cs="Arial"/>
          <w:b/>
          <w:lang w:val="en-ZA"/>
        </w:rPr>
        <w:t>South African Maritime Safety Authority (SAMSA)</w:t>
      </w:r>
    </w:p>
    <w:p w:rsidR="00BF48E9" w:rsidRDefault="00BF48E9" w:rsidP="003F129C">
      <w:pPr>
        <w:pStyle w:val="ListParagraph"/>
        <w:numPr>
          <w:ilvl w:val="0"/>
          <w:numId w:val="7"/>
        </w:numPr>
        <w:rPr>
          <w:rFonts w:ascii="Arial" w:hAnsi="Arial" w:cs="Arial"/>
          <w:lang w:val="en-ZA"/>
        </w:rPr>
      </w:pPr>
      <w:r w:rsidRPr="003E4FE5">
        <w:rPr>
          <w:rFonts w:ascii="Arial" w:hAnsi="Arial" w:cs="Arial"/>
          <w:lang w:val="en-ZA"/>
        </w:rPr>
        <w:t xml:space="preserve">As indicted in response to parliamentary question 490 previously, the DoT has indicated that the NATMAP is under review and SAMSA still awaits direction from the department in this regard. </w:t>
      </w:r>
    </w:p>
    <w:p w:rsidR="00BF48E9" w:rsidRDefault="00BF48E9" w:rsidP="003F129C">
      <w:pPr>
        <w:pStyle w:val="ListParagraph"/>
        <w:numPr>
          <w:ilvl w:val="0"/>
          <w:numId w:val="7"/>
        </w:numPr>
        <w:rPr>
          <w:rFonts w:ascii="Arial" w:hAnsi="Arial" w:cs="Arial"/>
          <w:lang w:val="en-ZA"/>
        </w:rPr>
      </w:pPr>
      <w:r>
        <w:rPr>
          <w:rFonts w:ascii="Arial" w:hAnsi="Arial" w:cs="Arial"/>
          <w:lang w:val="en-ZA"/>
        </w:rPr>
        <w:t>This has dependency on response to (a) above</w:t>
      </w:r>
    </w:p>
    <w:p w:rsidR="00BF48E9" w:rsidRPr="003E4FE5" w:rsidRDefault="00BF48E9" w:rsidP="003F129C">
      <w:pPr>
        <w:pStyle w:val="ListParagraph"/>
        <w:numPr>
          <w:ilvl w:val="0"/>
          <w:numId w:val="7"/>
        </w:numPr>
        <w:rPr>
          <w:rFonts w:ascii="Arial" w:hAnsi="Arial" w:cs="Arial"/>
          <w:lang w:val="en-ZA"/>
        </w:rPr>
      </w:pPr>
      <w:r>
        <w:rPr>
          <w:rFonts w:ascii="Arial" w:hAnsi="Arial" w:cs="Arial"/>
          <w:lang w:val="en-ZA"/>
        </w:rPr>
        <w:t>This has dependency on response to (a) above</w:t>
      </w:r>
    </w:p>
    <w:p w:rsidR="00BF48E9" w:rsidRPr="00437F07" w:rsidRDefault="00BF48E9" w:rsidP="00437F07">
      <w:pPr>
        <w:spacing w:after="0" w:line="360" w:lineRule="auto"/>
        <w:jc w:val="both"/>
        <w:rPr>
          <w:rFonts w:ascii="Arial" w:hAnsi="Arial" w:cs="Arial"/>
          <w:lang w:val="en-ZA"/>
        </w:rPr>
      </w:pPr>
    </w:p>
    <w:sectPr w:rsidR="00BF48E9" w:rsidRPr="00437F07" w:rsidSect="00F3787C">
      <w:pgSz w:w="12240" w:h="15840"/>
      <w:pgMar w:top="568" w:right="117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A2119"/>
    <w:multiLevelType w:val="hybridMultilevel"/>
    <w:tmpl w:val="E264B81C"/>
    <w:lvl w:ilvl="0" w:tplc="9C145B7C">
      <w:start w:val="1"/>
      <w:numFmt w:val="lowerLetter"/>
      <w:lvlText w:val="(%1)"/>
      <w:lvlJc w:val="left"/>
      <w:pPr>
        <w:ind w:left="1440" w:hanging="720"/>
      </w:pPr>
      <w:rPr>
        <w:rFonts w:ascii="Arial" w:eastAsia="MS Minngs" w:hAnsi="Arial" w:cs="Arial"/>
      </w:rPr>
    </w:lvl>
    <w:lvl w:ilvl="1" w:tplc="1C090019">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1">
    <w:nsid w:val="21492237"/>
    <w:multiLevelType w:val="hybridMultilevel"/>
    <w:tmpl w:val="ABFA3478"/>
    <w:lvl w:ilvl="0" w:tplc="B8C28AD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311F2668"/>
    <w:multiLevelType w:val="hybridMultilevel"/>
    <w:tmpl w:val="3B4E8030"/>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48995655"/>
    <w:multiLevelType w:val="hybridMultilevel"/>
    <w:tmpl w:val="22269712"/>
    <w:lvl w:ilvl="0" w:tplc="F6B2AEDE">
      <w:start w:val="1"/>
      <w:numFmt w:val="lowerLetter"/>
      <w:lvlText w:val="(%1)"/>
      <w:lvlJc w:val="left"/>
      <w:pPr>
        <w:ind w:left="720" w:hanging="360"/>
      </w:pPr>
      <w:rPr>
        <w:rFonts w:cs="Times New Roman" w:hint="default"/>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4EF84D40"/>
    <w:multiLevelType w:val="hybridMultilevel"/>
    <w:tmpl w:val="2A625FE2"/>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5E6F0BD5"/>
    <w:multiLevelType w:val="hybridMultilevel"/>
    <w:tmpl w:val="DEAC3122"/>
    <w:lvl w:ilvl="0" w:tplc="031C9C4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B31BF0"/>
    <w:multiLevelType w:val="hybridMultilevel"/>
    <w:tmpl w:val="EE524D3C"/>
    <w:lvl w:ilvl="0" w:tplc="6A22112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3"/>
  </w:num>
  <w:num w:numId="5">
    <w:abstractNumId w:val="0"/>
  </w:num>
  <w:num w:numId="6">
    <w:abstractNumId w:val="2"/>
  </w:num>
  <w:num w:numId="7">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33D9"/>
    <w:rsid w:val="00041985"/>
    <w:rsid w:val="00044AC4"/>
    <w:rsid w:val="0005391D"/>
    <w:rsid w:val="00055A79"/>
    <w:rsid w:val="000773B2"/>
    <w:rsid w:val="00080CA6"/>
    <w:rsid w:val="00082A4E"/>
    <w:rsid w:val="0009500E"/>
    <w:rsid w:val="000B01FF"/>
    <w:rsid w:val="000E04E0"/>
    <w:rsid w:val="000E1816"/>
    <w:rsid w:val="000E1907"/>
    <w:rsid w:val="000F14B7"/>
    <w:rsid w:val="000F15CB"/>
    <w:rsid w:val="000F29A6"/>
    <w:rsid w:val="000F76BD"/>
    <w:rsid w:val="00130AB5"/>
    <w:rsid w:val="0013407E"/>
    <w:rsid w:val="00151529"/>
    <w:rsid w:val="00153AAD"/>
    <w:rsid w:val="00156DFD"/>
    <w:rsid w:val="001712B4"/>
    <w:rsid w:val="001828D3"/>
    <w:rsid w:val="001B2E53"/>
    <w:rsid w:val="001C323C"/>
    <w:rsid w:val="001C32E4"/>
    <w:rsid w:val="001E1B86"/>
    <w:rsid w:val="001F0CED"/>
    <w:rsid w:val="002026BE"/>
    <w:rsid w:val="00206B22"/>
    <w:rsid w:val="002136FC"/>
    <w:rsid w:val="00220C71"/>
    <w:rsid w:val="00227A87"/>
    <w:rsid w:val="0023041D"/>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0B34"/>
    <w:rsid w:val="002E1F7C"/>
    <w:rsid w:val="002E404E"/>
    <w:rsid w:val="002E4BF3"/>
    <w:rsid w:val="00300DB7"/>
    <w:rsid w:val="00305323"/>
    <w:rsid w:val="003130D1"/>
    <w:rsid w:val="00314530"/>
    <w:rsid w:val="00323697"/>
    <w:rsid w:val="003450B0"/>
    <w:rsid w:val="00352FE8"/>
    <w:rsid w:val="003554D8"/>
    <w:rsid w:val="00377916"/>
    <w:rsid w:val="003910B9"/>
    <w:rsid w:val="00391284"/>
    <w:rsid w:val="00392460"/>
    <w:rsid w:val="00393E6C"/>
    <w:rsid w:val="00396483"/>
    <w:rsid w:val="003A0196"/>
    <w:rsid w:val="003B15B6"/>
    <w:rsid w:val="003C53EF"/>
    <w:rsid w:val="003D7ABC"/>
    <w:rsid w:val="003E4FE5"/>
    <w:rsid w:val="003F129C"/>
    <w:rsid w:val="003F7CE2"/>
    <w:rsid w:val="004016C1"/>
    <w:rsid w:val="004019ED"/>
    <w:rsid w:val="0040578A"/>
    <w:rsid w:val="0040684E"/>
    <w:rsid w:val="00420BFA"/>
    <w:rsid w:val="00423E34"/>
    <w:rsid w:val="004253F6"/>
    <w:rsid w:val="00430277"/>
    <w:rsid w:val="00437F07"/>
    <w:rsid w:val="00451494"/>
    <w:rsid w:val="00460FD2"/>
    <w:rsid w:val="00466796"/>
    <w:rsid w:val="004679CC"/>
    <w:rsid w:val="00471FA2"/>
    <w:rsid w:val="004813B8"/>
    <w:rsid w:val="00493015"/>
    <w:rsid w:val="00495833"/>
    <w:rsid w:val="004A00D3"/>
    <w:rsid w:val="004A62DE"/>
    <w:rsid w:val="004D17A6"/>
    <w:rsid w:val="004D18C0"/>
    <w:rsid w:val="004E03F1"/>
    <w:rsid w:val="004E13FB"/>
    <w:rsid w:val="004E67DE"/>
    <w:rsid w:val="004E75EB"/>
    <w:rsid w:val="00521C71"/>
    <w:rsid w:val="00525BB9"/>
    <w:rsid w:val="005318EE"/>
    <w:rsid w:val="0053349A"/>
    <w:rsid w:val="00534476"/>
    <w:rsid w:val="005346BD"/>
    <w:rsid w:val="0054378D"/>
    <w:rsid w:val="00555FE7"/>
    <w:rsid w:val="0056444A"/>
    <w:rsid w:val="00566CB8"/>
    <w:rsid w:val="00567B24"/>
    <w:rsid w:val="00572AAB"/>
    <w:rsid w:val="00576645"/>
    <w:rsid w:val="0057794C"/>
    <w:rsid w:val="00582974"/>
    <w:rsid w:val="00593859"/>
    <w:rsid w:val="005D5448"/>
    <w:rsid w:val="005E123E"/>
    <w:rsid w:val="005F20B1"/>
    <w:rsid w:val="005F3F35"/>
    <w:rsid w:val="005F630B"/>
    <w:rsid w:val="006009A0"/>
    <w:rsid w:val="00604285"/>
    <w:rsid w:val="006140CA"/>
    <w:rsid w:val="006762C5"/>
    <w:rsid w:val="00682580"/>
    <w:rsid w:val="006917CD"/>
    <w:rsid w:val="00691EDB"/>
    <w:rsid w:val="006B11A5"/>
    <w:rsid w:val="006B1CD3"/>
    <w:rsid w:val="006B4375"/>
    <w:rsid w:val="006D22A6"/>
    <w:rsid w:val="006E0F31"/>
    <w:rsid w:val="006F0BDD"/>
    <w:rsid w:val="006F2271"/>
    <w:rsid w:val="006F4245"/>
    <w:rsid w:val="00703B2E"/>
    <w:rsid w:val="007118B7"/>
    <w:rsid w:val="00713E4B"/>
    <w:rsid w:val="00721731"/>
    <w:rsid w:val="0072523F"/>
    <w:rsid w:val="00727B18"/>
    <w:rsid w:val="00732AD7"/>
    <w:rsid w:val="00732F1A"/>
    <w:rsid w:val="0075491A"/>
    <w:rsid w:val="00787784"/>
    <w:rsid w:val="007907EC"/>
    <w:rsid w:val="007A22E6"/>
    <w:rsid w:val="007A5C12"/>
    <w:rsid w:val="007A6B70"/>
    <w:rsid w:val="007C7CC7"/>
    <w:rsid w:val="007D3628"/>
    <w:rsid w:val="007E273F"/>
    <w:rsid w:val="00802076"/>
    <w:rsid w:val="008046C7"/>
    <w:rsid w:val="0081425D"/>
    <w:rsid w:val="0082214B"/>
    <w:rsid w:val="00833625"/>
    <w:rsid w:val="0083742C"/>
    <w:rsid w:val="0083772C"/>
    <w:rsid w:val="008424B4"/>
    <w:rsid w:val="00843914"/>
    <w:rsid w:val="00844201"/>
    <w:rsid w:val="00845BE5"/>
    <w:rsid w:val="00850363"/>
    <w:rsid w:val="008513C3"/>
    <w:rsid w:val="00856F99"/>
    <w:rsid w:val="0086133C"/>
    <w:rsid w:val="008A3260"/>
    <w:rsid w:val="008A52D5"/>
    <w:rsid w:val="008B2E50"/>
    <w:rsid w:val="008B4716"/>
    <w:rsid w:val="008B6FC7"/>
    <w:rsid w:val="008C2F92"/>
    <w:rsid w:val="008E13A6"/>
    <w:rsid w:val="00916A9F"/>
    <w:rsid w:val="00916CE7"/>
    <w:rsid w:val="00926370"/>
    <w:rsid w:val="00926938"/>
    <w:rsid w:val="0093674F"/>
    <w:rsid w:val="00945835"/>
    <w:rsid w:val="00961E2F"/>
    <w:rsid w:val="0097652F"/>
    <w:rsid w:val="00983EC7"/>
    <w:rsid w:val="00990CE2"/>
    <w:rsid w:val="00992AA4"/>
    <w:rsid w:val="00993310"/>
    <w:rsid w:val="009A0286"/>
    <w:rsid w:val="009A4739"/>
    <w:rsid w:val="009B0431"/>
    <w:rsid w:val="009C4E79"/>
    <w:rsid w:val="009F7581"/>
    <w:rsid w:val="00A00E4A"/>
    <w:rsid w:val="00A01414"/>
    <w:rsid w:val="00A12B1B"/>
    <w:rsid w:val="00A21F7F"/>
    <w:rsid w:val="00A33285"/>
    <w:rsid w:val="00A4192C"/>
    <w:rsid w:val="00A44B9A"/>
    <w:rsid w:val="00A55457"/>
    <w:rsid w:val="00A756F5"/>
    <w:rsid w:val="00A75AE8"/>
    <w:rsid w:val="00A87430"/>
    <w:rsid w:val="00A90242"/>
    <w:rsid w:val="00A90517"/>
    <w:rsid w:val="00A910A7"/>
    <w:rsid w:val="00A96DC3"/>
    <w:rsid w:val="00A97D4F"/>
    <w:rsid w:val="00AD0D7F"/>
    <w:rsid w:val="00AD4B8F"/>
    <w:rsid w:val="00AD6B5D"/>
    <w:rsid w:val="00AE290B"/>
    <w:rsid w:val="00B00C2E"/>
    <w:rsid w:val="00B05CA7"/>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A5E0E"/>
    <w:rsid w:val="00BB5EA4"/>
    <w:rsid w:val="00BB6DD8"/>
    <w:rsid w:val="00BC06BD"/>
    <w:rsid w:val="00BC2F3F"/>
    <w:rsid w:val="00BF349B"/>
    <w:rsid w:val="00BF48E9"/>
    <w:rsid w:val="00BF68B6"/>
    <w:rsid w:val="00BF69C4"/>
    <w:rsid w:val="00C202CB"/>
    <w:rsid w:val="00C50D10"/>
    <w:rsid w:val="00C6207A"/>
    <w:rsid w:val="00C62268"/>
    <w:rsid w:val="00C64770"/>
    <w:rsid w:val="00C6708C"/>
    <w:rsid w:val="00C731ED"/>
    <w:rsid w:val="00C92817"/>
    <w:rsid w:val="00CB640B"/>
    <w:rsid w:val="00CC164A"/>
    <w:rsid w:val="00CE1573"/>
    <w:rsid w:val="00CE54D8"/>
    <w:rsid w:val="00CF5BC7"/>
    <w:rsid w:val="00D222DF"/>
    <w:rsid w:val="00D24F7C"/>
    <w:rsid w:val="00D34B5A"/>
    <w:rsid w:val="00D444E5"/>
    <w:rsid w:val="00D82AB0"/>
    <w:rsid w:val="00D92CFD"/>
    <w:rsid w:val="00D92F30"/>
    <w:rsid w:val="00DA1E37"/>
    <w:rsid w:val="00DD4D78"/>
    <w:rsid w:val="00DE5D58"/>
    <w:rsid w:val="00E00BA3"/>
    <w:rsid w:val="00E1610F"/>
    <w:rsid w:val="00E16B9F"/>
    <w:rsid w:val="00E24CB8"/>
    <w:rsid w:val="00E26225"/>
    <w:rsid w:val="00E31BF8"/>
    <w:rsid w:val="00E4370C"/>
    <w:rsid w:val="00E458BE"/>
    <w:rsid w:val="00E53BF6"/>
    <w:rsid w:val="00E57A4E"/>
    <w:rsid w:val="00E676A3"/>
    <w:rsid w:val="00E74736"/>
    <w:rsid w:val="00E7676F"/>
    <w:rsid w:val="00E80B27"/>
    <w:rsid w:val="00E81167"/>
    <w:rsid w:val="00E83B34"/>
    <w:rsid w:val="00EA5DC9"/>
    <w:rsid w:val="00EB53F1"/>
    <w:rsid w:val="00EC4D69"/>
    <w:rsid w:val="00EE3944"/>
    <w:rsid w:val="00EF5FED"/>
    <w:rsid w:val="00EF7862"/>
    <w:rsid w:val="00F00B6B"/>
    <w:rsid w:val="00F3787C"/>
    <w:rsid w:val="00F526AD"/>
    <w:rsid w:val="00F5526F"/>
    <w:rsid w:val="00F65142"/>
    <w:rsid w:val="00F806FE"/>
    <w:rsid w:val="00F80B01"/>
    <w:rsid w:val="00F83C35"/>
    <w:rsid w:val="00F86A5F"/>
    <w:rsid w:val="00F91072"/>
    <w:rsid w:val="00F920A1"/>
    <w:rsid w:val="00FA3CC6"/>
    <w:rsid w:val="00FA6022"/>
    <w:rsid w:val="00FB041A"/>
    <w:rsid w:val="00FC6F2E"/>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Minngs"/>
    </w:rPr>
  </w:style>
  <w:style w:type="paragraph" w:styleId="Heading1">
    <w:name w:val="heading 1"/>
    <w:basedOn w:val="Normal"/>
    <w:next w:val="Normal"/>
    <w:link w:val="Heading1Char"/>
    <w:uiPriority w:val="99"/>
    <w:qFormat/>
    <w:rsid w:val="001F0CED"/>
    <w:pPr>
      <w:keepNext/>
      <w:keepLines/>
      <w:spacing w:before="240" w:after="0"/>
      <w:outlineLvl w:val="0"/>
    </w:pPr>
    <w:rPr>
      <w:rFonts w:ascii="Cambria" w:eastAsia="MS Gothi" w:hAnsi="Cambria"/>
      <w:color w:val="365F91"/>
      <w:sz w:val="32"/>
      <w:szCs w:val="32"/>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F0CED"/>
    <w:rPr>
      <w:rFonts w:ascii="Cambria" w:eastAsia="MS Gothi" w:hAnsi="Cambria" w:cs="Times New Roman"/>
      <w:color w:val="365F91"/>
      <w:sz w:val="32"/>
      <w:szCs w:val="32"/>
    </w:rPr>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link w:val="ListParagraphChar"/>
    <w:uiPriority w:val="99"/>
    <w:qFormat/>
    <w:rsid w:val="00E1610F"/>
    <w:pPr>
      <w:ind w:left="720"/>
      <w:contextualSpacing/>
    </w:pPr>
    <w:rPr>
      <w:sz w:val="20"/>
      <w:szCs w:val="20"/>
    </w:r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Minngs"/>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Minngs"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character" w:customStyle="1" w:styleId="st1">
    <w:name w:val="st1"/>
    <w:basedOn w:val="DefaultParagraphFont"/>
    <w:uiPriority w:val="99"/>
    <w:rsid w:val="00493015"/>
    <w:rPr>
      <w:rFonts w:cs="Times New Roman"/>
    </w:rPr>
  </w:style>
  <w:style w:type="character" w:customStyle="1" w:styleId="ListParagraphChar">
    <w:name w:val="List Paragraph Char"/>
    <w:link w:val="ListParagraph"/>
    <w:uiPriority w:val="99"/>
    <w:locked/>
    <w:rsid w:val="001F0CED"/>
    <w:rPr>
      <w:rFonts w:eastAsia="MS Minngs"/>
    </w:rPr>
  </w:style>
  <w:style w:type="paragraph" w:styleId="Caption">
    <w:name w:val="caption"/>
    <w:basedOn w:val="Normal"/>
    <w:next w:val="Normal"/>
    <w:uiPriority w:val="99"/>
    <w:qFormat/>
    <w:rsid w:val="001F0CED"/>
    <w:pPr>
      <w:spacing w:line="240" w:lineRule="auto"/>
    </w:pPr>
    <w:rPr>
      <w:i/>
      <w:iCs/>
      <w:color w:val="1F497D"/>
      <w:sz w:val="18"/>
      <w:szCs w:val="18"/>
    </w:rPr>
  </w:style>
</w:styles>
</file>

<file path=word/webSettings.xml><?xml version="1.0" encoding="utf-8"?>
<w:webSettings xmlns:r="http://schemas.openxmlformats.org/officeDocument/2006/relationships" xmlns:w="http://schemas.openxmlformats.org/wordprocessingml/2006/main">
  <w:divs>
    <w:div w:id="1662660996">
      <w:marLeft w:val="0"/>
      <w:marRight w:val="0"/>
      <w:marTop w:val="0"/>
      <w:marBottom w:val="0"/>
      <w:divBdr>
        <w:top w:val="none" w:sz="0" w:space="0" w:color="auto"/>
        <w:left w:val="none" w:sz="0" w:space="0" w:color="auto"/>
        <w:bottom w:val="none" w:sz="0" w:space="0" w:color="auto"/>
        <w:right w:val="none" w:sz="0" w:space="0" w:color="auto"/>
      </w:divBdr>
    </w:div>
    <w:div w:id="1662660997">
      <w:marLeft w:val="0"/>
      <w:marRight w:val="0"/>
      <w:marTop w:val="0"/>
      <w:marBottom w:val="0"/>
      <w:divBdr>
        <w:top w:val="none" w:sz="0" w:space="0" w:color="auto"/>
        <w:left w:val="none" w:sz="0" w:space="0" w:color="auto"/>
        <w:bottom w:val="none" w:sz="0" w:space="0" w:color="auto"/>
        <w:right w:val="none" w:sz="0" w:space="0" w:color="auto"/>
      </w:divBdr>
    </w:div>
    <w:div w:id="1662660998">
      <w:marLeft w:val="0"/>
      <w:marRight w:val="0"/>
      <w:marTop w:val="0"/>
      <w:marBottom w:val="0"/>
      <w:divBdr>
        <w:top w:val="none" w:sz="0" w:space="0" w:color="auto"/>
        <w:left w:val="none" w:sz="0" w:space="0" w:color="auto"/>
        <w:bottom w:val="none" w:sz="0" w:space="0" w:color="auto"/>
        <w:right w:val="none" w:sz="0" w:space="0" w:color="auto"/>
      </w:divBdr>
    </w:div>
    <w:div w:id="1662660999">
      <w:marLeft w:val="0"/>
      <w:marRight w:val="0"/>
      <w:marTop w:val="0"/>
      <w:marBottom w:val="0"/>
      <w:divBdr>
        <w:top w:val="none" w:sz="0" w:space="0" w:color="auto"/>
        <w:left w:val="none" w:sz="0" w:space="0" w:color="auto"/>
        <w:bottom w:val="none" w:sz="0" w:space="0" w:color="auto"/>
        <w:right w:val="none" w:sz="0" w:space="0" w:color="auto"/>
      </w:divBdr>
    </w:div>
    <w:div w:id="166266100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844</Words>
  <Characters>4814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thembeka.matsomela</dc:creator>
  <cp:keywords/>
  <dc:description/>
  <cp:lastModifiedBy>schuene</cp:lastModifiedBy>
  <cp:revision>2</cp:revision>
  <cp:lastPrinted>2016-04-22T09:32:00Z</cp:lastPrinted>
  <dcterms:created xsi:type="dcterms:W3CDTF">2016-04-25T10:03:00Z</dcterms:created>
  <dcterms:modified xsi:type="dcterms:W3CDTF">2016-04-25T10:03:00Z</dcterms:modified>
</cp:coreProperties>
</file>