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640D86" w:rsidRPr="00523941" w:rsidTr="003309E3">
        <w:tc>
          <w:tcPr>
            <w:tcW w:w="9576" w:type="dxa"/>
          </w:tcPr>
          <w:p w:rsidR="00640D86" w:rsidRPr="00B67B6C" w:rsidRDefault="00640D86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523941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640D86" w:rsidRPr="00B67B6C" w:rsidRDefault="00640D86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640D86" w:rsidRPr="00523941" w:rsidTr="003309E3">
        <w:tc>
          <w:tcPr>
            <w:tcW w:w="9576" w:type="dxa"/>
          </w:tcPr>
          <w:p w:rsidR="00640D86" w:rsidRPr="00B67B6C" w:rsidRDefault="00640D86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640D86" w:rsidRPr="00B67B6C" w:rsidRDefault="00640D86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640D86" w:rsidRPr="00B67B6C" w:rsidRDefault="00640D86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640D86" w:rsidRPr="00B35F59" w:rsidRDefault="00640D86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640D86" w:rsidRPr="00E2426A" w:rsidRDefault="00640D86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640D86" w:rsidRPr="00E2426A" w:rsidRDefault="00640D86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640D86" w:rsidRPr="0002450B" w:rsidRDefault="00640D86" w:rsidP="009978C2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1112 OF 2015 </w:t>
      </w:r>
    </w:p>
    <w:p w:rsidR="00640D86" w:rsidRPr="00E2426A" w:rsidRDefault="00640D86" w:rsidP="008377F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27 MARCH 2015</w:t>
      </w:r>
    </w:p>
    <w:p w:rsidR="00640D86" w:rsidRDefault="00640D86" w:rsidP="002E4ABD">
      <w:pPr>
        <w:spacing w:after="0" w:line="360" w:lineRule="auto"/>
        <w:ind w:left="567" w:hanging="567"/>
        <w:jc w:val="both"/>
        <w:outlineLvl w:val="0"/>
        <w:rPr>
          <w:rFonts w:ascii="Arial" w:hAnsi="Arial"/>
          <w:b/>
          <w:sz w:val="24"/>
          <w:szCs w:val="24"/>
        </w:rPr>
      </w:pPr>
    </w:p>
    <w:p w:rsidR="00640D86" w:rsidRDefault="00640D86" w:rsidP="008D414E">
      <w:pPr>
        <w:pBdr>
          <w:bottom w:val="single" w:sz="12" w:space="1" w:color="auto"/>
        </w:pBdr>
        <w:spacing w:before="100" w:beforeAutospacing="1" w:after="100" w:afterAutospacing="1" w:line="48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8D414E">
        <w:rPr>
          <w:rFonts w:ascii="Arial" w:hAnsi="Arial"/>
          <w:b/>
          <w:sz w:val="24"/>
          <w:szCs w:val="24"/>
        </w:rPr>
        <w:t>Mr Z N Mbhele (DA) to ask the Minister of Communications:</w:t>
      </w:r>
    </w:p>
    <w:p w:rsidR="00640D86" w:rsidRPr="008D414E" w:rsidRDefault="00640D86" w:rsidP="008D414E">
      <w:pPr>
        <w:pBdr>
          <w:bottom w:val="single" w:sz="12" w:space="1" w:color="auto"/>
        </w:pBdr>
        <w:spacing w:before="100" w:beforeAutospacing="1" w:after="100" w:afterAutospacing="1" w:line="480" w:lineRule="auto"/>
        <w:jc w:val="both"/>
        <w:outlineLvl w:val="0"/>
        <w:rPr>
          <w:rFonts w:ascii="Arial" w:hAnsi="Arial"/>
          <w:sz w:val="24"/>
          <w:szCs w:val="24"/>
        </w:rPr>
      </w:pPr>
      <w:r w:rsidRPr="008D414E">
        <w:rPr>
          <w:rFonts w:ascii="Arial" w:hAnsi="Arial"/>
          <w:sz w:val="24"/>
          <w:szCs w:val="24"/>
        </w:rPr>
        <w:t xml:space="preserve">How much did (a) her department and (b) entities reporting to her spend on advertising in </w:t>
      </w:r>
      <w:r w:rsidRPr="008D414E">
        <w:rPr>
          <w:rFonts w:ascii="Arial" w:hAnsi="Arial"/>
          <w:i/>
          <w:sz w:val="24"/>
          <w:szCs w:val="24"/>
        </w:rPr>
        <w:t>The New Age</w:t>
      </w:r>
      <w:r w:rsidRPr="008D414E">
        <w:rPr>
          <w:rFonts w:ascii="Arial" w:hAnsi="Arial"/>
          <w:sz w:val="24"/>
          <w:szCs w:val="24"/>
        </w:rPr>
        <w:t xml:space="preserve"> newspaper in the (i) 2011-12, (ii) 2012-13 and (iii) 2013-14 financial years?</w:t>
      </w:r>
      <w:r w:rsidRPr="008D414E">
        <w:rPr>
          <w:rFonts w:ascii="Arial" w:hAnsi="Arial"/>
          <w:sz w:val="24"/>
          <w:szCs w:val="24"/>
        </w:rPr>
        <w:tab/>
      </w:r>
    </w:p>
    <w:p w:rsidR="00640D86" w:rsidRDefault="00640D86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640D86" w:rsidRDefault="00640D86" w:rsidP="00E2426A">
      <w:pPr>
        <w:jc w:val="both"/>
        <w:rPr>
          <w:rFonts w:ascii="Arial" w:hAnsi="Arial"/>
          <w:b/>
          <w:sz w:val="24"/>
          <w:szCs w:val="24"/>
        </w:rPr>
      </w:pPr>
    </w:p>
    <w:p w:rsidR="00640D86" w:rsidRPr="00107A2C" w:rsidRDefault="00640D86" w:rsidP="00DA0F0C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GCIS</w:t>
      </w:r>
      <w:r w:rsidRPr="00107A2C">
        <w:rPr>
          <w:rFonts w:ascii="Arial" w:hAnsi="Arial"/>
          <w:bCs/>
          <w:sz w:val="24"/>
          <w:szCs w:val="24"/>
        </w:rPr>
        <w:t xml:space="preserve"> procures media space and services on behalf of other departments and public entities. The total funds </w:t>
      </w:r>
      <w:r>
        <w:rPr>
          <w:rFonts w:ascii="Arial" w:hAnsi="Arial"/>
          <w:bCs/>
          <w:sz w:val="24"/>
          <w:szCs w:val="24"/>
        </w:rPr>
        <w:t>spent</w:t>
      </w:r>
      <w:r w:rsidRPr="00107A2C">
        <w:rPr>
          <w:rFonts w:ascii="Arial" w:hAnsi="Arial"/>
          <w:bCs/>
          <w:sz w:val="24"/>
          <w:szCs w:val="24"/>
        </w:rPr>
        <w:t xml:space="preserve"> on TNA Media related service including transactions facilitated for the departments </w:t>
      </w:r>
      <w:r>
        <w:rPr>
          <w:rFonts w:ascii="Arial" w:hAnsi="Arial"/>
          <w:bCs/>
          <w:sz w:val="24"/>
          <w:szCs w:val="24"/>
        </w:rPr>
        <w:t>and entities</w:t>
      </w:r>
      <w:r w:rsidRPr="00107A2C">
        <w:rPr>
          <w:rFonts w:ascii="Arial" w:hAnsi="Arial"/>
          <w:bCs/>
          <w:sz w:val="24"/>
          <w:szCs w:val="24"/>
        </w:rPr>
        <w:t xml:space="preserve"> as follows:</w:t>
      </w:r>
    </w:p>
    <w:p w:rsidR="00640D86" w:rsidRPr="00107A2C" w:rsidRDefault="00640D86" w:rsidP="00107A2C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 xml:space="preserve">Department </w:t>
      </w:r>
    </w:p>
    <w:p w:rsidR="00640D86" w:rsidRPr="00107A2C" w:rsidRDefault="00640D86" w:rsidP="00107A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 w:rsidRPr="00107A2C">
        <w:rPr>
          <w:rFonts w:ascii="Arial" w:hAnsi="Arial"/>
          <w:bCs/>
          <w:sz w:val="24"/>
          <w:szCs w:val="24"/>
        </w:rPr>
        <w:t>Financial Year 2011/2012               R 7 637 809.65</w:t>
      </w:r>
    </w:p>
    <w:p w:rsidR="00640D86" w:rsidRPr="00107A2C" w:rsidRDefault="00640D86" w:rsidP="00107A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 w:rsidRPr="00107A2C">
        <w:rPr>
          <w:rFonts w:ascii="Arial" w:hAnsi="Arial"/>
          <w:bCs/>
          <w:sz w:val="24"/>
          <w:szCs w:val="24"/>
        </w:rPr>
        <w:t>Financial Year 2012/2013               R 8 348 116.90</w:t>
      </w:r>
    </w:p>
    <w:p w:rsidR="00640D86" w:rsidRPr="00107A2C" w:rsidRDefault="00640D86" w:rsidP="00107A2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/>
          <w:bCs/>
          <w:sz w:val="24"/>
          <w:szCs w:val="24"/>
        </w:rPr>
      </w:pPr>
      <w:r w:rsidRPr="00107A2C">
        <w:rPr>
          <w:rFonts w:ascii="Arial" w:hAnsi="Arial"/>
          <w:bCs/>
          <w:sz w:val="24"/>
          <w:szCs w:val="24"/>
        </w:rPr>
        <w:t>Financial Year 2013/2014               R 9 048 481.89</w:t>
      </w:r>
    </w:p>
    <w:p w:rsidR="00640D86" w:rsidRPr="00107A2C" w:rsidRDefault="00640D86" w:rsidP="00FB0788">
      <w:pPr>
        <w:spacing w:after="0" w:line="360" w:lineRule="auto"/>
        <w:rPr>
          <w:rFonts w:ascii="Arial" w:hAnsi="Arial"/>
          <w:bCs/>
          <w:sz w:val="24"/>
          <w:szCs w:val="24"/>
        </w:rPr>
      </w:pPr>
    </w:p>
    <w:p w:rsidR="00640D86" w:rsidRDefault="00640D86" w:rsidP="00107A2C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ab/>
        <w:t>Entities</w:t>
      </w:r>
    </w:p>
    <w:p w:rsidR="00640D86" w:rsidRDefault="00640D86" w:rsidP="00107A2C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640D86" w:rsidRPr="00107A2C" w:rsidRDefault="00640D86" w:rsidP="00107A2C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640D86" w:rsidRPr="00107A2C" w:rsidRDefault="00640D86" w:rsidP="00107A2C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>BrandSA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(i), (ii) &amp; (iii)  BrandSA did not spend on advertising in The New Age newspaper for financial years 2011/12, 2012/13 and 2013/14.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Pr="00107A2C" w:rsidRDefault="00640D86" w:rsidP="00107A2C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 xml:space="preserve">Independent Communications Authority of South Africa (ICASA) </w:t>
      </w:r>
    </w:p>
    <w:p w:rsidR="00640D86" w:rsidRDefault="00640D86" w:rsidP="00333983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(i), (ii) &amp; (iii) The ICASA did not spend on advertising in The New Age newspaper for financial years 2011/12, 2012/13 and 2013/14.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Pr="00107A2C" w:rsidRDefault="00640D86" w:rsidP="00107A2C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>Film and Publication Board (fpb)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(i), (ii) &amp; (iii)  The FPB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did not spend on advertising in The New Age newspaper for financial years 2011/12, 2012/13 and 2013/14.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Pr="00107A2C" w:rsidRDefault="00640D86" w:rsidP="00107A2C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>Media Development and Diversity Agency (MDDA)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(i), (ii) &amp; (iii)  The MDDA did not spend on advertising in The New Age newspaper for financial years 2011/12, 2012/13 and 2013/14.</w:t>
      </w:r>
    </w:p>
    <w:p w:rsidR="00640D86" w:rsidRDefault="00640D86" w:rsidP="00107A2C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Pr="00107A2C" w:rsidRDefault="00640D86" w:rsidP="00107A2C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107A2C">
        <w:rPr>
          <w:rFonts w:ascii="Arial" w:hAnsi="Arial"/>
          <w:b/>
          <w:bCs/>
          <w:sz w:val="24"/>
          <w:szCs w:val="24"/>
        </w:rPr>
        <w:t>South African Broadcasting Corporation (SABC)</w:t>
      </w:r>
    </w:p>
    <w:p w:rsidR="00640D86" w:rsidRDefault="00640D86" w:rsidP="00160C5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2011-12   none </w:t>
      </w:r>
    </w:p>
    <w:p w:rsidR="00640D86" w:rsidRDefault="00640D86" w:rsidP="00160C5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2012 – 2013  R175 840</w:t>
      </w:r>
    </w:p>
    <w:p w:rsidR="00640D86" w:rsidRDefault="00640D86" w:rsidP="00160C5D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2013 – 2014 R73 140</w:t>
      </w:r>
    </w:p>
    <w:p w:rsidR="00640D86" w:rsidRDefault="00640D86" w:rsidP="009C1D82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Default="00640D86" w:rsidP="009C1D82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640D86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MR N </w:t>
      </w:r>
      <w:r w:rsidRPr="0087503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MUNZHELELE</w:t>
      </w: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640D86" w:rsidRDefault="00640D86" w:rsidP="00E703CC">
      <w:pPr>
        <w:rPr>
          <w:rFonts w:ascii="Arial" w:hAnsi="Arial"/>
          <w:b/>
          <w:sz w:val="24"/>
          <w:szCs w:val="24"/>
        </w:rPr>
      </w:pPr>
    </w:p>
    <w:p w:rsidR="00640D86" w:rsidRDefault="00640D86" w:rsidP="00E703CC">
      <w:pPr>
        <w:rPr>
          <w:rFonts w:ascii="Arial" w:hAnsi="Arial"/>
          <w:b/>
          <w:sz w:val="24"/>
          <w:szCs w:val="24"/>
        </w:rPr>
      </w:pPr>
    </w:p>
    <w:p w:rsidR="00640D86" w:rsidRPr="00875031" w:rsidRDefault="00640D86" w:rsidP="00E703CC">
      <w:pPr>
        <w:rPr>
          <w:rFonts w:ascii="Arial" w:hAnsi="Arial"/>
          <w:b/>
          <w:sz w:val="24"/>
          <w:szCs w:val="24"/>
        </w:rPr>
      </w:pP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640D86" w:rsidRPr="00875031" w:rsidRDefault="00640D86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640D86" w:rsidRPr="00875031" w:rsidSect="00C701F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86" w:rsidRDefault="00640D86" w:rsidP="00455F18">
      <w:pPr>
        <w:spacing w:after="0" w:line="240" w:lineRule="auto"/>
      </w:pPr>
      <w:r>
        <w:separator/>
      </w:r>
    </w:p>
  </w:endnote>
  <w:endnote w:type="continuationSeparator" w:id="0">
    <w:p w:rsidR="00640D86" w:rsidRDefault="00640D86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86" w:rsidRPr="007432C3" w:rsidRDefault="00640D86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1112 of 2015</w:t>
    </w:r>
  </w:p>
  <w:p w:rsidR="00640D86" w:rsidRDefault="00640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86" w:rsidRDefault="00640D86" w:rsidP="00455F18">
      <w:pPr>
        <w:spacing w:after="0" w:line="240" w:lineRule="auto"/>
      </w:pPr>
      <w:r>
        <w:separator/>
      </w:r>
    </w:p>
  </w:footnote>
  <w:footnote w:type="continuationSeparator" w:id="0">
    <w:p w:rsidR="00640D86" w:rsidRDefault="00640D86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9FE"/>
    <w:multiLevelType w:val="hybridMultilevel"/>
    <w:tmpl w:val="9EDAB2E4"/>
    <w:lvl w:ilvl="0" w:tplc="8E2A64A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962EC"/>
    <w:multiLevelType w:val="hybridMultilevel"/>
    <w:tmpl w:val="5B6A4914"/>
    <w:lvl w:ilvl="0" w:tplc="603EB4C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9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ABF710D"/>
    <w:multiLevelType w:val="hybridMultilevel"/>
    <w:tmpl w:val="8DA68558"/>
    <w:lvl w:ilvl="0" w:tplc="27BCB12C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2450B"/>
    <w:rsid w:val="0004519D"/>
    <w:rsid w:val="000514FC"/>
    <w:rsid w:val="00054734"/>
    <w:rsid w:val="00066F6D"/>
    <w:rsid w:val="000864AC"/>
    <w:rsid w:val="000E15E9"/>
    <w:rsid w:val="000F51A0"/>
    <w:rsid w:val="00100DC5"/>
    <w:rsid w:val="00107A2C"/>
    <w:rsid w:val="00160C5D"/>
    <w:rsid w:val="00177215"/>
    <w:rsid w:val="001933D2"/>
    <w:rsid w:val="001A04AF"/>
    <w:rsid w:val="001A1629"/>
    <w:rsid w:val="001D444E"/>
    <w:rsid w:val="001D4DE6"/>
    <w:rsid w:val="00210021"/>
    <w:rsid w:val="00260755"/>
    <w:rsid w:val="002872C2"/>
    <w:rsid w:val="002C1083"/>
    <w:rsid w:val="002C5A5D"/>
    <w:rsid w:val="002D453F"/>
    <w:rsid w:val="002E4ABD"/>
    <w:rsid w:val="00306264"/>
    <w:rsid w:val="003309E3"/>
    <w:rsid w:val="00333983"/>
    <w:rsid w:val="003449A4"/>
    <w:rsid w:val="003568C4"/>
    <w:rsid w:val="00382318"/>
    <w:rsid w:val="00384B60"/>
    <w:rsid w:val="003A6720"/>
    <w:rsid w:val="003C62A0"/>
    <w:rsid w:val="003F3C04"/>
    <w:rsid w:val="00455F18"/>
    <w:rsid w:val="0046109A"/>
    <w:rsid w:val="004617B3"/>
    <w:rsid w:val="00464BF7"/>
    <w:rsid w:val="004671A4"/>
    <w:rsid w:val="0047307E"/>
    <w:rsid w:val="004868FA"/>
    <w:rsid w:val="0049645D"/>
    <w:rsid w:val="004F0ECF"/>
    <w:rsid w:val="004F15C8"/>
    <w:rsid w:val="00507A3A"/>
    <w:rsid w:val="00523941"/>
    <w:rsid w:val="0052481C"/>
    <w:rsid w:val="00537DE3"/>
    <w:rsid w:val="00593282"/>
    <w:rsid w:val="005953F6"/>
    <w:rsid w:val="005B10C3"/>
    <w:rsid w:val="005C245E"/>
    <w:rsid w:val="005F218B"/>
    <w:rsid w:val="005F2EC2"/>
    <w:rsid w:val="006001DC"/>
    <w:rsid w:val="00615AAC"/>
    <w:rsid w:val="006306F0"/>
    <w:rsid w:val="006364AF"/>
    <w:rsid w:val="00640D86"/>
    <w:rsid w:val="00657BDC"/>
    <w:rsid w:val="00683B95"/>
    <w:rsid w:val="006B6978"/>
    <w:rsid w:val="006C7813"/>
    <w:rsid w:val="006D3CE5"/>
    <w:rsid w:val="006D5352"/>
    <w:rsid w:val="00706F9E"/>
    <w:rsid w:val="007432C3"/>
    <w:rsid w:val="007710B5"/>
    <w:rsid w:val="00773C40"/>
    <w:rsid w:val="007C5FB7"/>
    <w:rsid w:val="008135FA"/>
    <w:rsid w:val="00823F21"/>
    <w:rsid w:val="008377F0"/>
    <w:rsid w:val="0084390F"/>
    <w:rsid w:val="0084486A"/>
    <w:rsid w:val="00855BE5"/>
    <w:rsid w:val="008741EA"/>
    <w:rsid w:val="00875031"/>
    <w:rsid w:val="008B4AD0"/>
    <w:rsid w:val="008C7126"/>
    <w:rsid w:val="008C7E12"/>
    <w:rsid w:val="008D414E"/>
    <w:rsid w:val="008E0595"/>
    <w:rsid w:val="009167B1"/>
    <w:rsid w:val="00987981"/>
    <w:rsid w:val="009978C2"/>
    <w:rsid w:val="009A2B22"/>
    <w:rsid w:val="009C1D82"/>
    <w:rsid w:val="009C483A"/>
    <w:rsid w:val="00A12929"/>
    <w:rsid w:val="00AA32B3"/>
    <w:rsid w:val="00AB4C64"/>
    <w:rsid w:val="00AF549D"/>
    <w:rsid w:val="00B042D1"/>
    <w:rsid w:val="00B35F59"/>
    <w:rsid w:val="00B60CC6"/>
    <w:rsid w:val="00B6331C"/>
    <w:rsid w:val="00B67B6C"/>
    <w:rsid w:val="00B9586C"/>
    <w:rsid w:val="00BE1CC7"/>
    <w:rsid w:val="00C60FDC"/>
    <w:rsid w:val="00C65CB5"/>
    <w:rsid w:val="00C701F6"/>
    <w:rsid w:val="00C90457"/>
    <w:rsid w:val="00CA1DF5"/>
    <w:rsid w:val="00CB65A4"/>
    <w:rsid w:val="00CD0DC2"/>
    <w:rsid w:val="00D62D9F"/>
    <w:rsid w:val="00D8435F"/>
    <w:rsid w:val="00DA0F0C"/>
    <w:rsid w:val="00E2426A"/>
    <w:rsid w:val="00E55C55"/>
    <w:rsid w:val="00E67E97"/>
    <w:rsid w:val="00E703CC"/>
    <w:rsid w:val="00F558DB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304</Words>
  <Characters>1739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2015-06-26T06:26:00Z</cp:lastPrinted>
  <dcterms:created xsi:type="dcterms:W3CDTF">2015-07-07T07:46:00Z</dcterms:created>
  <dcterms:modified xsi:type="dcterms:W3CDTF">2015-07-07T07:46:00Z</dcterms:modified>
</cp:coreProperties>
</file>