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C97501">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C97501">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C97501">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C97501">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240401">
        <w:rPr>
          <w:rFonts w:ascii="Tahoma" w:hAnsi="Tahoma" w:cs="Tahoma"/>
          <w:b/>
          <w:bCs/>
          <w:sz w:val="22"/>
          <w:szCs w:val="22"/>
          <w:lang w:val="en-ZA"/>
        </w:rPr>
        <w:t>11</w:t>
      </w:r>
      <w:r w:rsidR="00514E4D">
        <w:rPr>
          <w:rFonts w:ascii="Tahoma" w:hAnsi="Tahoma" w:cs="Tahoma"/>
          <w:b/>
          <w:bCs/>
          <w:sz w:val="22"/>
          <w:szCs w:val="22"/>
          <w:lang w:val="en-ZA"/>
        </w:rPr>
        <w:t>10</w:t>
      </w:r>
    </w:p>
    <w:p w:rsidR="008960B2" w:rsidRPr="00987C9F" w:rsidRDefault="008960B2" w:rsidP="00C97501">
      <w:pPr>
        <w:ind w:left="284"/>
        <w:jc w:val="center"/>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691B90" w:rsidP="008F1057">
      <w:pPr>
        <w:autoSpaceDE w:val="0"/>
        <w:autoSpaceDN w:val="0"/>
        <w:adjustRightInd w:val="0"/>
        <w:ind w:left="284"/>
        <w:rPr>
          <w:rFonts w:ascii="Arial" w:hAnsi="Arial" w:cs="Arial"/>
          <w:b/>
          <w:sz w:val="22"/>
          <w:szCs w:val="22"/>
        </w:rPr>
      </w:pPr>
      <w:r w:rsidRPr="00691B90">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514E4D" w:rsidRPr="00DB3309" w:rsidRDefault="00514E4D" w:rsidP="00DB3309">
      <w:pPr>
        <w:pStyle w:val="Default"/>
        <w:spacing w:line="360" w:lineRule="auto"/>
        <w:ind w:left="1134" w:hanging="850"/>
        <w:rPr>
          <w:rFonts w:ascii="Arial" w:hAnsi="Arial" w:cs="Arial"/>
        </w:rPr>
      </w:pPr>
      <w:r w:rsidRPr="00DB3309">
        <w:rPr>
          <w:rFonts w:ascii="Arial" w:hAnsi="Arial" w:cs="Arial"/>
          <w:b/>
          <w:bCs/>
        </w:rPr>
        <w:t>1110.</w:t>
      </w:r>
      <w:r w:rsidR="00DB3309">
        <w:rPr>
          <w:rFonts w:ascii="Arial" w:hAnsi="Arial" w:cs="Arial"/>
          <w:b/>
          <w:bCs/>
        </w:rPr>
        <w:tab/>
      </w:r>
      <w:r w:rsidRPr="00DB3309">
        <w:rPr>
          <w:rFonts w:ascii="Arial" w:hAnsi="Arial" w:cs="Arial"/>
          <w:b/>
          <w:bCs/>
        </w:rPr>
        <w:t xml:space="preserve">Mr G K Y </w:t>
      </w:r>
      <w:proofErr w:type="spellStart"/>
      <w:r w:rsidRPr="00DB3309">
        <w:rPr>
          <w:rFonts w:ascii="Arial" w:hAnsi="Arial" w:cs="Arial"/>
          <w:b/>
          <w:bCs/>
        </w:rPr>
        <w:t>Cachalia</w:t>
      </w:r>
      <w:proofErr w:type="spellEnd"/>
      <w:r w:rsidRPr="00DB3309">
        <w:rPr>
          <w:rFonts w:ascii="Arial" w:hAnsi="Arial" w:cs="Arial"/>
          <w:b/>
          <w:bCs/>
        </w:rPr>
        <w:t xml:space="preserve"> (DA) to ask the Minister of Public Enterprises: </w:t>
      </w:r>
    </w:p>
    <w:p w:rsidR="00DB3309" w:rsidRDefault="00514E4D" w:rsidP="00DB3309">
      <w:pPr>
        <w:spacing w:line="360" w:lineRule="auto"/>
        <w:ind w:left="1134"/>
        <w:jc w:val="both"/>
        <w:rPr>
          <w:rFonts w:ascii="Arial" w:hAnsi="Arial" w:cs="Arial"/>
        </w:rPr>
      </w:pPr>
      <w:r w:rsidRPr="00DB3309">
        <w:rPr>
          <w:rFonts w:ascii="Arial" w:hAnsi="Arial" w:cs="Arial"/>
        </w:rPr>
        <w:t xml:space="preserve">With reference to Eskom suspending stage two </w:t>
      </w:r>
      <w:proofErr w:type="gramStart"/>
      <w:r w:rsidRPr="00DB3309">
        <w:rPr>
          <w:rFonts w:ascii="Arial" w:hAnsi="Arial" w:cs="Arial"/>
        </w:rPr>
        <w:t>load</w:t>
      </w:r>
      <w:proofErr w:type="gramEnd"/>
      <w:r w:rsidR="00DB3309">
        <w:rPr>
          <w:rFonts w:ascii="Arial" w:hAnsi="Arial" w:cs="Arial"/>
        </w:rPr>
        <w:t xml:space="preserve"> </w:t>
      </w:r>
      <w:r w:rsidRPr="00DB3309">
        <w:rPr>
          <w:rFonts w:ascii="Arial" w:hAnsi="Arial" w:cs="Arial"/>
        </w:rPr>
        <w:t xml:space="preserve">shedding between 10:00 and 14:00, in order for the nation to mourn the passing of the King on 18 March during the memorial service of King Goodwill </w:t>
      </w:r>
      <w:proofErr w:type="spellStart"/>
      <w:r w:rsidRPr="00DB3309">
        <w:rPr>
          <w:rFonts w:ascii="Arial" w:hAnsi="Arial" w:cs="Arial"/>
        </w:rPr>
        <w:t>Zwelithini</w:t>
      </w:r>
      <w:proofErr w:type="spellEnd"/>
      <w:r w:rsidRPr="00DB3309">
        <w:rPr>
          <w:rFonts w:ascii="Arial" w:hAnsi="Arial" w:cs="Arial"/>
        </w:rPr>
        <w:t xml:space="preserve">, </w:t>
      </w:r>
    </w:p>
    <w:p w:rsidR="00DB3309" w:rsidRDefault="00DB3309" w:rsidP="00DB3309">
      <w:pPr>
        <w:pStyle w:val="ListParagraph"/>
        <w:numPr>
          <w:ilvl w:val="0"/>
          <w:numId w:val="16"/>
        </w:numPr>
        <w:spacing w:line="360" w:lineRule="auto"/>
        <w:ind w:left="1843" w:hanging="709"/>
        <w:jc w:val="both"/>
        <w:rPr>
          <w:rFonts w:ascii="Arial" w:hAnsi="Arial" w:cs="Arial"/>
        </w:rPr>
      </w:pPr>
      <w:r>
        <w:rPr>
          <w:rFonts w:ascii="Arial" w:hAnsi="Arial" w:cs="Arial"/>
        </w:rPr>
        <w:t>H</w:t>
      </w:r>
      <w:r w:rsidR="00514E4D" w:rsidRPr="00DB3309">
        <w:rPr>
          <w:rFonts w:ascii="Arial" w:hAnsi="Arial" w:cs="Arial"/>
        </w:rPr>
        <w:t>ow did Eskom arrive at the decision to suspend load</w:t>
      </w:r>
      <w:r w:rsidRPr="00DB3309">
        <w:rPr>
          <w:rFonts w:ascii="Arial" w:hAnsi="Arial" w:cs="Arial"/>
        </w:rPr>
        <w:t xml:space="preserve"> </w:t>
      </w:r>
      <w:r w:rsidR="00514E4D" w:rsidRPr="00DB3309">
        <w:rPr>
          <w:rFonts w:ascii="Arial" w:hAnsi="Arial" w:cs="Arial"/>
        </w:rPr>
        <w:t xml:space="preserve">shedding for the memorial service, </w:t>
      </w:r>
    </w:p>
    <w:p w:rsidR="00DB3309" w:rsidRDefault="00DB3309" w:rsidP="00DB3309">
      <w:pPr>
        <w:pStyle w:val="ListParagraph"/>
        <w:numPr>
          <w:ilvl w:val="0"/>
          <w:numId w:val="16"/>
        </w:numPr>
        <w:spacing w:line="360" w:lineRule="auto"/>
        <w:ind w:left="1843" w:hanging="709"/>
        <w:jc w:val="both"/>
        <w:rPr>
          <w:rFonts w:ascii="Arial" w:hAnsi="Arial" w:cs="Arial"/>
        </w:rPr>
      </w:pPr>
      <w:r>
        <w:rPr>
          <w:rFonts w:ascii="Arial" w:hAnsi="Arial" w:cs="Arial"/>
        </w:rPr>
        <w:t>W</w:t>
      </w:r>
      <w:r w:rsidR="00514E4D" w:rsidRPr="00DB3309">
        <w:rPr>
          <w:rFonts w:ascii="Arial" w:hAnsi="Arial" w:cs="Arial"/>
        </w:rPr>
        <w:t xml:space="preserve">hat criteria were used to arrive at the decision, </w:t>
      </w:r>
    </w:p>
    <w:p w:rsidR="00DB3309" w:rsidRDefault="00DB3309" w:rsidP="00DB3309">
      <w:pPr>
        <w:pStyle w:val="ListParagraph"/>
        <w:numPr>
          <w:ilvl w:val="0"/>
          <w:numId w:val="16"/>
        </w:numPr>
        <w:spacing w:line="360" w:lineRule="auto"/>
        <w:ind w:left="1843" w:hanging="709"/>
        <w:jc w:val="both"/>
        <w:rPr>
          <w:rFonts w:ascii="Arial" w:hAnsi="Arial" w:cs="Arial"/>
        </w:rPr>
      </w:pPr>
      <w:r>
        <w:rPr>
          <w:rFonts w:ascii="Arial" w:hAnsi="Arial" w:cs="Arial"/>
        </w:rPr>
        <w:t>B</w:t>
      </w:r>
      <w:r w:rsidR="00514E4D" w:rsidRPr="00DB3309">
        <w:rPr>
          <w:rFonts w:ascii="Arial" w:hAnsi="Arial" w:cs="Arial"/>
        </w:rPr>
        <w:t xml:space="preserve">y whose instruction was the suspension agreed to and </w:t>
      </w:r>
    </w:p>
    <w:p w:rsidR="00514E4D" w:rsidRPr="00DB3309" w:rsidRDefault="00DB3309" w:rsidP="00DB3309">
      <w:pPr>
        <w:pStyle w:val="ListParagraph"/>
        <w:numPr>
          <w:ilvl w:val="0"/>
          <w:numId w:val="16"/>
        </w:numPr>
        <w:spacing w:line="360" w:lineRule="auto"/>
        <w:ind w:left="1843" w:hanging="709"/>
        <w:jc w:val="both"/>
        <w:rPr>
          <w:rFonts w:ascii="Arial" w:hAnsi="Arial" w:cs="Arial"/>
        </w:rPr>
      </w:pPr>
      <w:r>
        <w:rPr>
          <w:rFonts w:ascii="Arial" w:hAnsi="Arial" w:cs="Arial"/>
        </w:rPr>
        <w:t>W</w:t>
      </w:r>
      <w:r w:rsidR="00514E4D" w:rsidRPr="00DB3309">
        <w:rPr>
          <w:rFonts w:ascii="Arial" w:hAnsi="Arial" w:cs="Arial"/>
        </w:rPr>
        <w:t xml:space="preserve">hat total amount did Eskom spend on diesel fuel to provide uninterrupted electricity supply during the period? </w:t>
      </w:r>
      <w:r>
        <w:rPr>
          <w:rFonts w:ascii="Arial" w:hAnsi="Arial" w:cs="Arial"/>
        </w:rPr>
        <w:t xml:space="preserve">                                            </w:t>
      </w:r>
      <w:r w:rsidR="00514E4D" w:rsidRPr="00DB3309">
        <w:rPr>
          <w:rFonts w:ascii="Arial" w:hAnsi="Arial" w:cs="Arial"/>
        </w:rPr>
        <w:t>NW1297E</w:t>
      </w:r>
    </w:p>
    <w:p w:rsidR="00514E4D" w:rsidRDefault="00514E4D" w:rsidP="00514E4D">
      <w:pPr>
        <w:rPr>
          <w:sz w:val="20"/>
          <w:szCs w:val="20"/>
        </w:rPr>
      </w:pPr>
    </w:p>
    <w:p w:rsidR="006F5FEE" w:rsidRPr="00A218F1" w:rsidRDefault="006F5FEE" w:rsidP="006F5FEE">
      <w:pPr>
        <w:widowControl w:val="0"/>
        <w:suppressAutoHyphens/>
        <w:ind w:left="851" w:hanging="567"/>
        <w:jc w:val="both"/>
        <w:rPr>
          <w:rFonts w:ascii="Arial" w:hAnsi="Arial" w:cs="Arial"/>
          <w:sz w:val="22"/>
          <w:szCs w:val="22"/>
          <w:lang w:val="en-GB"/>
        </w:rPr>
      </w:pPr>
    </w:p>
    <w:p w:rsidR="003042F7" w:rsidRPr="00C97501" w:rsidRDefault="003042F7" w:rsidP="00817F1E">
      <w:pPr>
        <w:spacing w:line="360" w:lineRule="auto"/>
        <w:ind w:left="284"/>
        <w:jc w:val="both"/>
        <w:outlineLvl w:val="0"/>
        <w:rPr>
          <w:rFonts w:ascii="Arial" w:hAnsi="Arial" w:cs="Arial"/>
          <w:b/>
          <w:u w:val="single"/>
        </w:rPr>
      </w:pPr>
      <w:r w:rsidRPr="00C97501">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w:t>
      </w:r>
      <w:r w:rsidR="00C97501">
        <w:rPr>
          <w:rFonts w:ascii="Arial" w:hAnsi="Arial" w:cs="Arial"/>
          <w:b/>
        </w:rPr>
        <w:t>i</w:t>
      </w:r>
      <w:r w:rsidR="000F7318">
        <w:rPr>
          <w:rFonts w:ascii="Arial" w:hAnsi="Arial" w:cs="Arial"/>
          <w:b/>
        </w:rPr>
        <w:t xml:space="preserve">nformation </w:t>
      </w:r>
      <w:r w:rsidR="00C97501">
        <w:rPr>
          <w:rFonts w:ascii="Arial" w:hAnsi="Arial" w:cs="Arial"/>
          <w:b/>
        </w:rPr>
        <w:t>r</w:t>
      </w:r>
      <w:r w:rsidR="000F7318">
        <w:rPr>
          <w:rFonts w:ascii="Arial" w:hAnsi="Arial" w:cs="Arial"/>
          <w:b/>
        </w:rPr>
        <w:t xml:space="preserve">eceived from </w:t>
      </w:r>
      <w:r w:rsidR="00B521A2">
        <w:rPr>
          <w:rFonts w:ascii="Arial" w:hAnsi="Arial" w:cs="Arial"/>
          <w:b/>
        </w:rPr>
        <w:t>Eskom</w:t>
      </w:r>
      <w:r w:rsidR="00C97501">
        <w:rPr>
          <w:rFonts w:ascii="Arial" w:hAnsi="Arial" w:cs="Arial"/>
          <w:b/>
        </w:rPr>
        <w:t>:</w:t>
      </w:r>
    </w:p>
    <w:p w:rsidR="000718FF" w:rsidRPr="000718FF" w:rsidRDefault="000718FF" w:rsidP="000718FF">
      <w:pPr>
        <w:widowControl w:val="0"/>
        <w:suppressAutoHyphens/>
        <w:spacing w:line="360" w:lineRule="auto"/>
        <w:ind w:left="284"/>
        <w:jc w:val="both"/>
        <w:rPr>
          <w:rFonts w:ascii="Arial" w:hAnsi="Arial" w:cs="Arial"/>
        </w:rPr>
      </w:pPr>
      <w:r w:rsidRPr="000718FF">
        <w:rPr>
          <w:rFonts w:ascii="Arial" w:hAnsi="Arial" w:cs="Arial"/>
        </w:rPr>
        <w:t xml:space="preserve">On 17 March 2021, Government requested Eskom to suspend load shedding for the duration of King Goodwill </w:t>
      </w:r>
      <w:proofErr w:type="spellStart"/>
      <w:r w:rsidRPr="000718FF">
        <w:rPr>
          <w:rFonts w:ascii="Arial" w:hAnsi="Arial" w:cs="Arial"/>
        </w:rPr>
        <w:t>Zwelithini’s</w:t>
      </w:r>
      <w:proofErr w:type="spellEnd"/>
      <w:r w:rsidRPr="000718FF">
        <w:rPr>
          <w:rFonts w:ascii="Arial" w:hAnsi="Arial" w:cs="Arial"/>
        </w:rPr>
        <w:t xml:space="preserve"> memorial service on 18 March 2021 from 10:00 to 14:00.  The System Operator evaluated the request and concluded that this was technically possible without putting the power system at risk and would not result in a higher stage of load shedding either before or after the memorial service.  </w:t>
      </w:r>
    </w:p>
    <w:p w:rsidR="000718FF" w:rsidRPr="000718FF" w:rsidRDefault="000718FF" w:rsidP="000718FF">
      <w:pPr>
        <w:widowControl w:val="0"/>
        <w:suppressAutoHyphens/>
        <w:spacing w:line="360" w:lineRule="auto"/>
        <w:ind w:left="284"/>
        <w:jc w:val="both"/>
        <w:rPr>
          <w:rFonts w:ascii="Arial" w:hAnsi="Arial" w:cs="Arial"/>
        </w:rPr>
      </w:pPr>
    </w:p>
    <w:p w:rsidR="000718FF" w:rsidRPr="000718FF" w:rsidRDefault="000718FF" w:rsidP="000718FF">
      <w:pPr>
        <w:widowControl w:val="0"/>
        <w:suppressAutoHyphens/>
        <w:spacing w:line="360" w:lineRule="auto"/>
        <w:ind w:left="284"/>
        <w:jc w:val="both"/>
        <w:rPr>
          <w:rFonts w:ascii="Arial" w:hAnsi="Arial" w:cs="Arial"/>
        </w:rPr>
      </w:pPr>
      <w:r w:rsidRPr="000718FF">
        <w:rPr>
          <w:rFonts w:ascii="Arial" w:hAnsi="Arial" w:cs="Arial"/>
        </w:rPr>
        <w:t>The following was taken onto account:</w:t>
      </w:r>
    </w:p>
    <w:p w:rsidR="000718FF" w:rsidRPr="000718FF" w:rsidRDefault="000718FF" w:rsidP="000718FF">
      <w:pPr>
        <w:widowControl w:val="0"/>
        <w:suppressAutoHyphens/>
        <w:spacing w:line="360" w:lineRule="auto"/>
        <w:ind w:left="284"/>
        <w:jc w:val="both"/>
        <w:rPr>
          <w:rFonts w:ascii="Arial" w:hAnsi="Arial" w:cs="Arial"/>
        </w:rPr>
      </w:pPr>
    </w:p>
    <w:p w:rsidR="000718FF" w:rsidRDefault="000718FF" w:rsidP="000718FF">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stage of load shedding before and after the memorial service would not be increased from Stage 2 load shedding that was being implemented at the time.</w:t>
      </w:r>
    </w:p>
    <w:p w:rsidR="000718FF" w:rsidRDefault="000718FF">
      <w:pPr>
        <w:rPr>
          <w:rFonts w:ascii="Arial" w:hAnsi="Arial" w:cs="Arial"/>
          <w:lang w:val="en-ZA"/>
        </w:rPr>
      </w:pPr>
      <w:r>
        <w:rPr>
          <w:rFonts w:ascii="Arial" w:hAnsi="Arial" w:cs="Arial"/>
          <w:lang w:val="en-ZA"/>
        </w:rPr>
        <w:br w:type="page"/>
      </w:r>
    </w:p>
    <w:p w:rsidR="000718FF" w:rsidRPr="000718FF" w:rsidRDefault="000718FF" w:rsidP="000718FF">
      <w:pPr>
        <w:widowControl w:val="0"/>
        <w:suppressAutoHyphens/>
        <w:spacing w:line="360" w:lineRule="auto"/>
        <w:ind w:left="851"/>
        <w:jc w:val="both"/>
        <w:rPr>
          <w:rFonts w:ascii="Arial" w:hAnsi="Arial" w:cs="Arial"/>
          <w:lang w:val="en-ZA"/>
        </w:rPr>
      </w:pPr>
    </w:p>
    <w:p w:rsidR="000718FF" w:rsidRPr="000718FF" w:rsidRDefault="000718FF" w:rsidP="000718FF">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load shedding that was being implemented was necessary to ration the remaining fuel at the pumped storage and OCGT power stations, as these resources were running low on diesel and water in the top reservoirs.  The suspension of load shedding would require additional generators at these power stations to be dispatched utilising some additional fuel.</w:t>
      </w:r>
    </w:p>
    <w:p w:rsidR="000718FF" w:rsidRPr="000718FF" w:rsidRDefault="000718FF" w:rsidP="000718FF">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duration of the suspension of load shedding was only four hours.</w:t>
      </w:r>
    </w:p>
    <w:p w:rsidR="000718FF" w:rsidRPr="000718FF" w:rsidRDefault="000718FF" w:rsidP="000718FF">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Load curtailment of industrial customers would not be suspended.</w:t>
      </w:r>
    </w:p>
    <w:p w:rsidR="000718FF" w:rsidRPr="000718FF" w:rsidRDefault="000718FF" w:rsidP="000718FF">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suspension of load shedding would take place during the late morning and early afternoon when there was a reduction in demand.</w:t>
      </w:r>
    </w:p>
    <w:p w:rsidR="000718FF" w:rsidRPr="000718FF" w:rsidRDefault="000718FF" w:rsidP="000718FF">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event was considered to be in the national interest and is allowed by NRS048-9, the standard that governs load shedding in South Africa.</w:t>
      </w:r>
    </w:p>
    <w:p w:rsidR="000718FF" w:rsidRPr="000718FF" w:rsidRDefault="000718FF" w:rsidP="000718FF">
      <w:pPr>
        <w:widowControl w:val="0"/>
        <w:numPr>
          <w:ilvl w:val="0"/>
          <w:numId w:val="17"/>
        </w:numPr>
        <w:suppressAutoHyphens/>
        <w:spacing w:line="360" w:lineRule="auto"/>
        <w:ind w:left="851" w:hanging="567"/>
        <w:contextualSpacing/>
        <w:jc w:val="both"/>
        <w:rPr>
          <w:rFonts w:ascii="Arial" w:hAnsi="Arial" w:cs="Arial"/>
        </w:rPr>
      </w:pPr>
      <w:r w:rsidRPr="000718FF">
        <w:rPr>
          <w:rFonts w:ascii="Arial" w:hAnsi="Arial" w:cs="Arial"/>
          <w:lang w:val="en-ZA"/>
        </w:rPr>
        <w:t>A number of generating units were expected to return to service that afternoon and early evening.</w:t>
      </w:r>
    </w:p>
    <w:p w:rsidR="000718FF" w:rsidRPr="000718FF" w:rsidRDefault="000718FF" w:rsidP="000718FF">
      <w:pPr>
        <w:widowControl w:val="0"/>
        <w:suppressAutoHyphens/>
        <w:spacing w:line="360" w:lineRule="auto"/>
        <w:ind w:left="284"/>
        <w:jc w:val="both"/>
        <w:rPr>
          <w:rFonts w:ascii="Arial" w:hAnsi="Arial" w:cs="Arial"/>
        </w:rPr>
      </w:pPr>
    </w:p>
    <w:p w:rsidR="00626D60" w:rsidRDefault="000718FF" w:rsidP="000718FF">
      <w:pPr>
        <w:widowControl w:val="0"/>
        <w:suppressAutoHyphens/>
        <w:spacing w:line="360" w:lineRule="auto"/>
        <w:ind w:left="284"/>
        <w:jc w:val="both"/>
        <w:rPr>
          <w:rFonts w:ascii="Arial" w:hAnsi="Arial" w:cs="Arial"/>
          <w:lang w:val="en-ZA"/>
        </w:rPr>
      </w:pPr>
      <w:r w:rsidRPr="000718FF">
        <w:rPr>
          <w:rFonts w:ascii="Arial" w:hAnsi="Arial" w:cs="Arial"/>
          <w:lang w:val="en-ZA"/>
        </w:rPr>
        <w:t xml:space="preserve">In order to supply the additional demand due to the suspension of load shedding, the System Operator dispatched four additional OCGTs from 09:42 until 14:10.  These OCGTs supplied 2 404 </w:t>
      </w:r>
      <w:proofErr w:type="spellStart"/>
      <w:r w:rsidRPr="000718FF">
        <w:rPr>
          <w:rFonts w:ascii="Arial" w:hAnsi="Arial" w:cs="Arial"/>
          <w:lang w:val="en-ZA"/>
        </w:rPr>
        <w:t>MWh</w:t>
      </w:r>
      <w:proofErr w:type="spellEnd"/>
      <w:r w:rsidRPr="000718FF">
        <w:rPr>
          <w:rFonts w:ascii="Arial" w:hAnsi="Arial" w:cs="Arial"/>
          <w:lang w:val="en-ZA"/>
        </w:rPr>
        <w:t xml:space="preserve"> (approximately R8.5 million) during this period with a maximum output reaching 610 MW.  Furthermore, pumped storage generation was dispatched and supplied an estimated additional 2 240 </w:t>
      </w:r>
      <w:proofErr w:type="spellStart"/>
      <w:r w:rsidRPr="000718FF">
        <w:rPr>
          <w:rFonts w:ascii="Arial" w:hAnsi="Arial" w:cs="Arial"/>
          <w:lang w:val="en-ZA"/>
        </w:rPr>
        <w:t>MWh</w:t>
      </w:r>
      <w:proofErr w:type="spellEnd"/>
      <w:r w:rsidRPr="000718FF">
        <w:rPr>
          <w:rFonts w:ascii="Arial" w:hAnsi="Arial" w:cs="Arial"/>
          <w:lang w:val="en-ZA"/>
        </w:rPr>
        <w:t xml:space="preserve"> with a maximum additional capacity of 626 MW dispatched.  Between 12:00 and 14:00, four coal-fired generators returned to service adding 1 935 MW of capacity to the system, although it takes many hours to ramp these generators to their maximum capacity.</w:t>
      </w:r>
    </w:p>
    <w:p w:rsidR="001A3A4E" w:rsidRPr="001A3A4E" w:rsidRDefault="001A3A4E" w:rsidP="000718FF">
      <w:pPr>
        <w:widowControl w:val="0"/>
        <w:suppressAutoHyphens/>
        <w:spacing w:line="360" w:lineRule="auto"/>
        <w:ind w:left="284"/>
        <w:jc w:val="both"/>
        <w:rPr>
          <w:rFonts w:ascii="Arial" w:eastAsia="Arial Unicode MS" w:hAnsi="Arial" w:cs="Arial"/>
          <w:color w:val="FF0000"/>
          <w:lang w:eastAsia="en-PH"/>
        </w:rPr>
      </w:pPr>
      <w:r w:rsidRPr="001A3A4E">
        <w:rPr>
          <w:rFonts w:ascii="Arial" w:eastAsia="Arial Unicode MS" w:hAnsi="Arial" w:cs="Arial"/>
          <w:color w:val="FF0000"/>
          <w:lang w:eastAsia="en-PH"/>
        </w:rPr>
        <w:t xml:space="preserve">Eskom </w:t>
      </w:r>
      <w:r>
        <w:rPr>
          <w:rFonts w:ascii="Arial" w:eastAsia="Arial Unicode MS" w:hAnsi="Arial" w:cs="Arial"/>
          <w:color w:val="FF0000"/>
          <w:lang w:eastAsia="en-PH"/>
        </w:rPr>
        <w:t>has the technical capacity and expertise to evaluate each situation and make a sound, technical decision.</w:t>
      </w:r>
    </w:p>
    <w:p w:rsidR="001A3A4E" w:rsidRPr="001A3A4E" w:rsidRDefault="001A3A4E" w:rsidP="000718FF">
      <w:pPr>
        <w:widowControl w:val="0"/>
        <w:suppressAutoHyphens/>
        <w:spacing w:line="360" w:lineRule="auto"/>
        <w:ind w:left="284"/>
        <w:jc w:val="both"/>
        <w:rPr>
          <w:rFonts w:ascii="Arial" w:eastAsia="Arial Unicode MS" w:hAnsi="Arial" w:cs="Arial"/>
          <w:b/>
          <w:color w:val="FF0000"/>
          <w:lang w:eastAsia="en-PH"/>
        </w:rPr>
      </w:pPr>
      <w:r>
        <w:rPr>
          <w:rFonts w:ascii="Arial" w:eastAsia="Arial Unicode MS" w:hAnsi="Arial" w:cs="Arial"/>
          <w:b/>
          <w:color w:val="FF0000"/>
          <w:lang w:eastAsia="en-PH"/>
        </w:rPr>
        <w:t xml:space="preserve">I trust that the </w:t>
      </w:r>
      <w:proofErr w:type="spellStart"/>
      <w:r>
        <w:rPr>
          <w:rFonts w:ascii="Arial" w:eastAsia="Arial Unicode MS" w:hAnsi="Arial" w:cs="Arial"/>
          <w:b/>
          <w:color w:val="FF0000"/>
          <w:lang w:eastAsia="en-PH"/>
        </w:rPr>
        <w:t>Honourable</w:t>
      </w:r>
      <w:proofErr w:type="spellEnd"/>
      <w:r>
        <w:rPr>
          <w:rFonts w:ascii="Arial" w:eastAsia="Arial Unicode MS" w:hAnsi="Arial" w:cs="Arial"/>
          <w:b/>
          <w:color w:val="FF0000"/>
          <w:lang w:eastAsia="en-PH"/>
        </w:rPr>
        <w:t xml:space="preserve"> Member is not opposed to efforts such as these being made, when appropriate and technically possible?</w:t>
      </w:r>
    </w:p>
    <w:p w:rsidR="000718FF" w:rsidRDefault="000718FF" w:rsidP="00B521A2">
      <w:pPr>
        <w:ind w:left="284"/>
        <w:rPr>
          <w:rFonts w:ascii="Arial" w:hAnsi="Arial" w:cs="Arial"/>
          <w:b/>
          <w:bCs/>
          <w:lang w:val="en-ZA"/>
        </w:rPr>
      </w:pPr>
    </w:p>
    <w:p w:rsidR="00E575C0" w:rsidRPr="00522234" w:rsidRDefault="00E575C0" w:rsidP="00B521A2">
      <w:pPr>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8C3840" w:rsidP="008F1057">
      <w:pPr>
        <w:ind w:left="284"/>
        <w:contextualSpacing/>
        <w:rPr>
          <w:rFonts w:ascii="Arial" w:hAnsi="Arial" w:cs="Arial"/>
          <w:b/>
          <w:bCs/>
          <w:lang w:val="en-ZA"/>
        </w:rPr>
      </w:pPr>
      <w:proofErr w:type="spellStart"/>
      <w:r>
        <w:rPr>
          <w:rFonts w:ascii="Arial" w:hAnsi="Arial" w:cs="Arial"/>
          <w:b/>
          <w:bCs/>
          <w:lang w:val="en-ZA"/>
        </w:rPr>
        <w:t>Kgathatso</w:t>
      </w:r>
      <w:proofErr w:type="spellEnd"/>
      <w:r>
        <w:rPr>
          <w:rFonts w:ascii="Arial" w:hAnsi="Arial" w:cs="Arial"/>
          <w:b/>
          <w:bCs/>
          <w:lang w:val="en-ZA"/>
        </w:rPr>
        <w:t xml:space="preserve"> </w:t>
      </w:r>
      <w:proofErr w:type="spellStart"/>
      <w:r>
        <w:rPr>
          <w:rFonts w:ascii="Arial" w:hAnsi="Arial" w:cs="Arial"/>
          <w:b/>
          <w:bCs/>
          <w:lang w:val="en-ZA"/>
        </w:rPr>
        <w:t>Tlhakudi</w:t>
      </w:r>
      <w:proofErr w:type="spellEnd"/>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proofErr w:type="spellStart"/>
      <w:r w:rsidR="00E575C0">
        <w:rPr>
          <w:rFonts w:ascii="Arial" w:hAnsi="Arial" w:cs="Arial"/>
          <w:b/>
          <w:bCs/>
          <w:lang w:val="en-ZA"/>
        </w:rPr>
        <w:t>Pravin</w:t>
      </w:r>
      <w:proofErr w:type="spellEnd"/>
      <w:r w:rsidR="00E575C0">
        <w:rPr>
          <w:rFonts w:ascii="Arial" w:hAnsi="Arial" w:cs="Arial"/>
          <w:b/>
          <w:bCs/>
          <w:lang w:val="en-ZA"/>
        </w:rPr>
        <w:t xml:space="preserve">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E575C0" w:rsidP="008F1057">
      <w:pPr>
        <w:ind w:left="284"/>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0B" w:rsidRDefault="0014310B" w:rsidP="006A43DE">
      <w:r>
        <w:separator/>
      </w:r>
    </w:p>
  </w:endnote>
  <w:endnote w:type="continuationSeparator" w:id="0">
    <w:p w:rsidR="0014310B" w:rsidRDefault="0014310B"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0B" w:rsidRDefault="0014310B" w:rsidP="006A43DE">
      <w:r>
        <w:separator/>
      </w:r>
    </w:p>
  </w:footnote>
  <w:footnote w:type="continuationSeparator" w:id="0">
    <w:p w:rsidR="0014310B" w:rsidRDefault="0014310B"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D2D16A4"/>
    <w:multiLevelType w:val="hybridMultilevel"/>
    <w:tmpl w:val="68D2DF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24DD63B6"/>
    <w:multiLevelType w:val="hybridMultilevel"/>
    <w:tmpl w:val="87B0F47C"/>
    <w:lvl w:ilvl="0" w:tplc="2334F63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7">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6"/>
  </w:num>
  <w:num w:numId="3">
    <w:abstractNumId w:val="6"/>
  </w:num>
  <w:num w:numId="4">
    <w:abstractNumId w:val="13"/>
  </w:num>
  <w:num w:numId="5">
    <w:abstractNumId w:val="14"/>
  </w:num>
  <w:num w:numId="6">
    <w:abstractNumId w:val="0"/>
  </w:num>
  <w:num w:numId="7">
    <w:abstractNumId w:val="10"/>
  </w:num>
  <w:num w:numId="8">
    <w:abstractNumId w:val="12"/>
  </w:num>
  <w:num w:numId="9">
    <w:abstractNumId w:val="3"/>
  </w:num>
  <w:num w:numId="10">
    <w:abstractNumId w:val="4"/>
  </w:num>
  <w:num w:numId="11">
    <w:abstractNumId w:val="5"/>
  </w:num>
  <w:num w:numId="12">
    <w:abstractNumId w:val="9"/>
  </w:num>
  <w:num w:numId="13">
    <w:abstractNumId w:val="15"/>
  </w:num>
  <w:num w:numId="14">
    <w:abstractNumId w:val="11"/>
  </w:num>
  <w:num w:numId="15">
    <w:abstractNumId w:val="8"/>
  </w:num>
  <w:num w:numId="16">
    <w:abstractNumId w:val="2"/>
  </w:num>
  <w:num w:numId="1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8FF"/>
    <w:rsid w:val="00071BD8"/>
    <w:rsid w:val="00074EBD"/>
    <w:rsid w:val="00074F0B"/>
    <w:rsid w:val="0008029D"/>
    <w:rsid w:val="00083713"/>
    <w:rsid w:val="000856BB"/>
    <w:rsid w:val="00090AD5"/>
    <w:rsid w:val="0009659A"/>
    <w:rsid w:val="000B6791"/>
    <w:rsid w:val="000B75A2"/>
    <w:rsid w:val="000C4756"/>
    <w:rsid w:val="000C48EB"/>
    <w:rsid w:val="000C7094"/>
    <w:rsid w:val="000F6FB5"/>
    <w:rsid w:val="000F7318"/>
    <w:rsid w:val="001204BE"/>
    <w:rsid w:val="00125D8E"/>
    <w:rsid w:val="00141EAA"/>
    <w:rsid w:val="0014310B"/>
    <w:rsid w:val="00152E8D"/>
    <w:rsid w:val="00153347"/>
    <w:rsid w:val="00162952"/>
    <w:rsid w:val="001633F2"/>
    <w:rsid w:val="00164073"/>
    <w:rsid w:val="00170AB9"/>
    <w:rsid w:val="00190B29"/>
    <w:rsid w:val="001961F0"/>
    <w:rsid w:val="001A3A4E"/>
    <w:rsid w:val="001B13C2"/>
    <w:rsid w:val="001C647A"/>
    <w:rsid w:val="001D28C7"/>
    <w:rsid w:val="001D4235"/>
    <w:rsid w:val="001E09A9"/>
    <w:rsid w:val="001E1264"/>
    <w:rsid w:val="001F33B3"/>
    <w:rsid w:val="00203FBE"/>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87396"/>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14E4D"/>
    <w:rsid w:val="005206AC"/>
    <w:rsid w:val="00521620"/>
    <w:rsid w:val="00533F1A"/>
    <w:rsid w:val="00534DDF"/>
    <w:rsid w:val="0054518F"/>
    <w:rsid w:val="005703CE"/>
    <w:rsid w:val="005843D2"/>
    <w:rsid w:val="005B2A1A"/>
    <w:rsid w:val="005C2884"/>
    <w:rsid w:val="005C28EA"/>
    <w:rsid w:val="005C408E"/>
    <w:rsid w:val="005D1885"/>
    <w:rsid w:val="005D4F0C"/>
    <w:rsid w:val="005F3E8F"/>
    <w:rsid w:val="00601570"/>
    <w:rsid w:val="00612054"/>
    <w:rsid w:val="00612C27"/>
    <w:rsid w:val="00614DA3"/>
    <w:rsid w:val="00626D60"/>
    <w:rsid w:val="00627F86"/>
    <w:rsid w:val="00647844"/>
    <w:rsid w:val="006512FA"/>
    <w:rsid w:val="0065694F"/>
    <w:rsid w:val="0066527A"/>
    <w:rsid w:val="00665425"/>
    <w:rsid w:val="006807DC"/>
    <w:rsid w:val="006825A7"/>
    <w:rsid w:val="00691B90"/>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7205F"/>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495"/>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97501"/>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A251F"/>
    <w:rsid w:val="00DB1776"/>
    <w:rsid w:val="00DB3309"/>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90"/>
    <w:rPr>
      <w:sz w:val="24"/>
      <w:szCs w:val="24"/>
    </w:rPr>
  </w:style>
  <w:style w:type="paragraph" w:styleId="Heading1">
    <w:name w:val="heading 1"/>
    <w:basedOn w:val="Normal"/>
    <w:next w:val="Normal"/>
    <w:qFormat/>
    <w:rsid w:val="00691B90"/>
    <w:pPr>
      <w:keepNext/>
      <w:spacing w:line="312" w:lineRule="auto"/>
      <w:ind w:left="540"/>
      <w:outlineLvl w:val="0"/>
    </w:pPr>
    <w:rPr>
      <w:rFonts w:ascii="Arial" w:hAnsi="Arial" w:cs="Arial"/>
      <w:b/>
      <w:bCs/>
    </w:rPr>
  </w:style>
  <w:style w:type="paragraph" w:styleId="Heading2">
    <w:name w:val="heading 2"/>
    <w:basedOn w:val="Normal"/>
    <w:next w:val="Normal"/>
    <w:qFormat/>
    <w:rsid w:val="00691B9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91B9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91B9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91B9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paragraph" w:customStyle="1" w:styleId="Default">
    <w:name w:val="Default"/>
    <w:basedOn w:val="Normal"/>
    <w:rsid w:val="00514E4D"/>
    <w:pPr>
      <w:autoSpaceDE w:val="0"/>
      <w:autoSpaceDN w:val="0"/>
    </w:pPr>
    <w:rPr>
      <w:rFonts w:eastAsiaTheme="minorHAnsi"/>
      <w:color w:val="000000"/>
      <w:lang w:val="en-ZA"/>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95182081">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A02C-7576-4288-963D-4EF5E189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3353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2021-05-18T08:51:00Z</cp:lastPrinted>
  <dcterms:created xsi:type="dcterms:W3CDTF">2021-06-09T11:14:00Z</dcterms:created>
  <dcterms:modified xsi:type="dcterms:W3CDTF">2021-06-09T11:14:00Z</dcterms:modified>
</cp:coreProperties>
</file>