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8968" w14:textId="77777777" w:rsidR="005D3B6A" w:rsidRDefault="00DD6B4E"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rFonts w:ascii="Arial" w:eastAsia="Times New Roman" w:hAnsi="Arial" w:cs="Arial"/>
          <w:noProof/>
          <w:sz w:val="28"/>
          <w:szCs w:val="28"/>
          <w:lang w:val="en-US"/>
        </w:rPr>
        <w:drawing>
          <wp:inline distT="0" distB="0" distL="0" distR="0" wp14:anchorId="0798E4E7" wp14:editId="0F922F36">
            <wp:extent cx="21704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14:paraId="68882B07" w14:textId="77777777" w:rsidR="00DD6B4E" w:rsidRDefault="00DD6B4E" w:rsidP="0031644A">
      <w:pPr>
        <w:spacing w:after="0" w:line="360" w:lineRule="auto"/>
        <w:ind w:left="720" w:hanging="720"/>
        <w:jc w:val="center"/>
        <w:outlineLvl w:val="0"/>
        <w:rPr>
          <w:rFonts w:ascii="Arial" w:hAnsi="Arial" w:cs="Arial"/>
          <w:b/>
          <w:sz w:val="24"/>
          <w:szCs w:val="24"/>
        </w:rPr>
      </w:pPr>
    </w:p>
    <w:p w14:paraId="4AE799FD" w14:textId="77777777"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14:paraId="320B4EB6" w14:textId="77777777"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14:paraId="76D760C0" w14:textId="77777777" w:rsidR="00294D96" w:rsidRPr="00B236EF" w:rsidRDefault="00294D96" w:rsidP="00B236EF">
      <w:pPr>
        <w:spacing w:after="0" w:line="360" w:lineRule="auto"/>
        <w:ind w:left="720" w:hanging="720"/>
        <w:jc w:val="both"/>
        <w:outlineLvl w:val="0"/>
        <w:rPr>
          <w:rFonts w:ascii="Arial" w:hAnsi="Arial" w:cs="Arial"/>
          <w:b/>
          <w:bCs/>
          <w:sz w:val="24"/>
          <w:szCs w:val="24"/>
        </w:rPr>
      </w:pPr>
    </w:p>
    <w:p w14:paraId="3FA78E46" w14:textId="77777777" w:rsidR="00B236EF" w:rsidRPr="00353870" w:rsidRDefault="00B236EF" w:rsidP="00B236EF">
      <w:pPr>
        <w:spacing w:after="0" w:line="360" w:lineRule="auto"/>
        <w:ind w:left="720" w:hanging="720"/>
        <w:jc w:val="both"/>
        <w:outlineLvl w:val="0"/>
        <w:rPr>
          <w:rFonts w:ascii="Arial" w:hAnsi="Arial" w:cs="Arial"/>
          <w:b/>
          <w:bCs/>
          <w:sz w:val="24"/>
        </w:rPr>
      </w:pPr>
      <w:r w:rsidRPr="00353870">
        <w:rPr>
          <w:rFonts w:ascii="Arial" w:hAnsi="Arial" w:cs="Arial"/>
          <w:b/>
          <w:bCs/>
          <w:sz w:val="24"/>
        </w:rPr>
        <w:t>QUESTION</w:t>
      </w:r>
      <w:r w:rsidR="00C85DD8" w:rsidRPr="00353870">
        <w:rPr>
          <w:rFonts w:ascii="Arial" w:hAnsi="Arial" w:cs="Arial"/>
          <w:b/>
          <w:bCs/>
          <w:sz w:val="24"/>
        </w:rPr>
        <w:t xml:space="preserve"> NO</w:t>
      </w:r>
      <w:r w:rsidR="00D66290" w:rsidRPr="00353870">
        <w:rPr>
          <w:rFonts w:ascii="Arial" w:hAnsi="Arial" w:cs="Arial"/>
          <w:b/>
          <w:bCs/>
          <w:sz w:val="24"/>
        </w:rPr>
        <w:t xml:space="preserve">. </w:t>
      </w:r>
      <w:r w:rsidR="00353870" w:rsidRPr="00353870">
        <w:rPr>
          <w:rFonts w:ascii="Arial" w:hAnsi="Arial" w:cs="Arial"/>
          <w:b/>
          <w:bCs/>
          <w:sz w:val="24"/>
        </w:rPr>
        <w:t>110</w:t>
      </w:r>
      <w:r w:rsidR="00432417" w:rsidRPr="00353870">
        <w:rPr>
          <w:rFonts w:ascii="Arial" w:hAnsi="Arial" w:cs="Arial"/>
          <w:b/>
          <w:bCs/>
          <w:sz w:val="24"/>
        </w:rPr>
        <w:t>9</w:t>
      </w:r>
      <w:r w:rsidR="00294D96" w:rsidRPr="00353870">
        <w:rPr>
          <w:rFonts w:ascii="Arial" w:hAnsi="Arial" w:cs="Arial"/>
          <w:b/>
          <w:bCs/>
          <w:sz w:val="24"/>
        </w:rPr>
        <w:tab/>
      </w:r>
    </w:p>
    <w:p w14:paraId="1A09FC42" w14:textId="77777777" w:rsidR="00353870" w:rsidRPr="00353870" w:rsidRDefault="00353870" w:rsidP="00353870">
      <w:pPr>
        <w:spacing w:before="100" w:beforeAutospacing="1" w:after="100" w:afterAutospacing="1" w:line="240" w:lineRule="auto"/>
        <w:jc w:val="both"/>
        <w:outlineLvl w:val="0"/>
        <w:rPr>
          <w:rFonts w:ascii="Arial" w:hAnsi="Arial" w:cs="Arial"/>
          <w:b/>
          <w:sz w:val="24"/>
        </w:rPr>
      </w:pPr>
      <w:r w:rsidRPr="00353870">
        <w:rPr>
          <w:rFonts w:ascii="Arial" w:hAnsi="Arial" w:cs="Arial"/>
          <w:b/>
          <w:sz w:val="24"/>
        </w:rPr>
        <w:t>Mr M Waters (DA) to ask the Minister of Trade, Industry and Competition</w:t>
      </w:r>
      <w:r w:rsidRPr="00353870">
        <w:rPr>
          <w:rFonts w:ascii="Arial" w:hAnsi="Arial" w:cs="Arial"/>
          <w:b/>
          <w:sz w:val="24"/>
        </w:rPr>
        <w:fldChar w:fldCharType="begin"/>
      </w:r>
      <w:r w:rsidRPr="00353870">
        <w:rPr>
          <w:rFonts w:ascii="Arial" w:hAnsi="Arial" w:cs="Arial"/>
          <w:sz w:val="24"/>
        </w:rPr>
        <w:instrText xml:space="preserve"> XE "</w:instrText>
      </w:r>
      <w:r w:rsidRPr="00353870">
        <w:rPr>
          <w:rFonts w:ascii="Arial" w:hAnsi="Arial" w:cs="Arial"/>
          <w:b/>
          <w:sz w:val="24"/>
        </w:rPr>
        <w:instrText>Trade, Industry and Competition</w:instrText>
      </w:r>
      <w:r w:rsidRPr="00353870">
        <w:rPr>
          <w:rFonts w:ascii="Arial" w:hAnsi="Arial" w:cs="Arial"/>
          <w:sz w:val="24"/>
        </w:rPr>
        <w:instrText xml:space="preserve">" </w:instrText>
      </w:r>
      <w:r w:rsidRPr="00353870">
        <w:rPr>
          <w:rFonts w:ascii="Arial" w:hAnsi="Arial" w:cs="Arial"/>
          <w:b/>
          <w:sz w:val="24"/>
        </w:rPr>
        <w:fldChar w:fldCharType="end"/>
      </w:r>
      <w:r w:rsidRPr="00353870">
        <w:rPr>
          <w:rFonts w:ascii="Arial" w:hAnsi="Arial" w:cs="Arial"/>
          <w:b/>
          <w:sz w:val="24"/>
        </w:rPr>
        <w:t xml:space="preserve">: </w:t>
      </w:r>
    </w:p>
    <w:p w14:paraId="0C1F27E0" w14:textId="77777777" w:rsidR="00353870" w:rsidRPr="00353870" w:rsidRDefault="00353870" w:rsidP="00DA24F7">
      <w:pPr>
        <w:spacing w:before="100" w:beforeAutospacing="1" w:after="100" w:afterAutospacing="1" w:line="276" w:lineRule="auto"/>
        <w:ind w:left="720" w:hanging="720"/>
        <w:jc w:val="both"/>
        <w:rPr>
          <w:rFonts w:ascii="Arial" w:hAnsi="Arial" w:cs="Arial"/>
          <w:sz w:val="24"/>
        </w:rPr>
      </w:pPr>
      <w:r w:rsidRPr="00353870">
        <w:rPr>
          <w:rFonts w:ascii="Arial" w:hAnsi="Arial" w:cs="Arial"/>
          <w:sz w:val="24"/>
        </w:rPr>
        <w:t>(1)</w:t>
      </w:r>
      <w:r w:rsidRPr="00353870">
        <w:rPr>
          <w:rFonts w:ascii="Arial" w:hAnsi="Arial" w:cs="Arial"/>
          <w:sz w:val="24"/>
        </w:rPr>
        <w:tab/>
        <w:t xml:space="preserve">What (a) are the names of the top 50 organisations in the past 10 financial years that received the highest amount of funding from the National Lottery and (b) was the value of funding in each case in each specified financial year; </w:t>
      </w:r>
    </w:p>
    <w:p w14:paraId="2249832F" w14:textId="77777777" w:rsidR="00353870" w:rsidRPr="00353870" w:rsidRDefault="00353870" w:rsidP="00DA24F7">
      <w:pPr>
        <w:spacing w:before="100" w:beforeAutospacing="1" w:after="100" w:afterAutospacing="1" w:line="276" w:lineRule="auto"/>
        <w:ind w:left="720" w:hanging="720"/>
        <w:jc w:val="both"/>
        <w:rPr>
          <w:rFonts w:ascii="Arial" w:hAnsi="Arial" w:cs="Arial"/>
          <w:sz w:val="24"/>
        </w:rPr>
      </w:pPr>
      <w:r w:rsidRPr="00353870">
        <w:rPr>
          <w:rFonts w:ascii="Arial" w:hAnsi="Arial" w:cs="Arial"/>
          <w:sz w:val="24"/>
        </w:rPr>
        <w:t>(2)</w:t>
      </w:r>
      <w:r w:rsidRPr="00353870">
        <w:rPr>
          <w:rFonts w:ascii="Arial" w:hAnsi="Arial" w:cs="Arial"/>
          <w:sz w:val="24"/>
        </w:rPr>
        <w:tab/>
        <w:t>Whether the National Lottery has conducted audits on the specified organisations to ensure that the money allocated in the specified financial years was indeed spent on what was stated; if so, (a) which organisations and/or entities were audited, (b) in which year and (c) what were the adverse findings? NW1405E</w:t>
      </w:r>
    </w:p>
    <w:p w14:paraId="793A6E7F" w14:textId="77777777" w:rsidR="000A013C" w:rsidRDefault="000A013C" w:rsidP="00432417">
      <w:pPr>
        <w:spacing w:before="100" w:beforeAutospacing="1" w:after="100" w:afterAutospacing="1" w:line="240" w:lineRule="auto"/>
        <w:ind w:left="720" w:hanging="720"/>
        <w:jc w:val="both"/>
        <w:outlineLvl w:val="0"/>
        <w:rPr>
          <w:rFonts w:ascii="Arial" w:eastAsia="Times New Roman" w:hAnsi="Arial" w:cs="Arial"/>
          <w:bCs/>
          <w:lang w:val="en-US"/>
        </w:rPr>
      </w:pPr>
    </w:p>
    <w:p w14:paraId="51AE08D4" w14:textId="77777777" w:rsidR="000A013C" w:rsidRPr="000A013C" w:rsidRDefault="000A013C" w:rsidP="00432417">
      <w:pPr>
        <w:spacing w:before="100" w:beforeAutospacing="1" w:after="100" w:afterAutospacing="1" w:line="240" w:lineRule="auto"/>
        <w:ind w:left="720" w:hanging="720"/>
        <w:jc w:val="both"/>
        <w:outlineLvl w:val="0"/>
        <w:rPr>
          <w:rFonts w:ascii="Arial" w:eastAsia="Times New Roman" w:hAnsi="Arial" w:cs="Arial"/>
          <w:bCs/>
          <w:sz w:val="24"/>
          <w:szCs w:val="24"/>
          <w:lang w:val="en-US"/>
        </w:rPr>
      </w:pPr>
      <w:r w:rsidRPr="000A013C">
        <w:rPr>
          <w:rFonts w:ascii="Arial" w:eastAsia="Times New Roman" w:hAnsi="Arial" w:cs="Arial"/>
          <w:bCs/>
          <w:sz w:val="24"/>
          <w:szCs w:val="24"/>
          <w:lang w:val="en-US"/>
        </w:rPr>
        <w:t xml:space="preserve">Reply: </w:t>
      </w:r>
    </w:p>
    <w:p w14:paraId="1C958F40" w14:textId="499EA159" w:rsidR="00353870" w:rsidRPr="000A013C" w:rsidRDefault="00B37E8A" w:rsidP="002F30D7">
      <w:pPr>
        <w:spacing w:before="100" w:beforeAutospacing="1" w:after="100" w:afterAutospacing="1" w:line="276"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Following an initial reply from the NLC setting out the reasons why they will not be able to provide the requested information within the available time before the Parliamentary Reply was due and requesting additional time, I requested my office to obtain dates when the information will be available. </w:t>
      </w:r>
      <w:r w:rsidR="000A013C" w:rsidRPr="000A013C">
        <w:rPr>
          <w:rFonts w:ascii="Arial" w:eastAsia="Times New Roman" w:hAnsi="Arial" w:cs="Arial"/>
          <w:bCs/>
          <w:sz w:val="24"/>
          <w:szCs w:val="24"/>
          <w:lang w:val="en-US"/>
        </w:rPr>
        <w:t xml:space="preserve">I have received the following reply from the National Lotteries Commission, which I reproduce in full. </w:t>
      </w:r>
    </w:p>
    <w:p w14:paraId="08D09FBB" w14:textId="6F7B6BD7" w:rsidR="00B37E8A" w:rsidRDefault="00B37E8A" w:rsidP="002F30D7">
      <w:pPr>
        <w:spacing w:line="360" w:lineRule="auto"/>
        <w:jc w:val="both"/>
        <w:rPr>
          <w:rFonts w:ascii="Arial" w:eastAsia="Arial" w:hAnsi="Arial" w:cs="Arial"/>
          <w:b/>
        </w:rPr>
      </w:pPr>
      <w:r>
        <w:rPr>
          <w:rFonts w:ascii="Arial" w:eastAsia="Arial" w:hAnsi="Arial" w:cs="Arial"/>
          <w:b/>
          <w:color w:val="000000"/>
        </w:rPr>
        <w:t>“PARLIAMENTARY QUESTION 1039 AND 1109</w:t>
      </w:r>
    </w:p>
    <w:p w14:paraId="1FB58BE7" w14:textId="65A0A7ED" w:rsidR="00B37E8A" w:rsidRDefault="00B37E8A" w:rsidP="002F30D7">
      <w:pPr>
        <w:spacing w:line="480" w:lineRule="auto"/>
        <w:jc w:val="both"/>
        <w:rPr>
          <w:rFonts w:ascii="Arial" w:eastAsia="Arial" w:hAnsi="Arial" w:cs="Arial"/>
        </w:rPr>
      </w:pPr>
      <w:r>
        <w:rPr>
          <w:rFonts w:ascii="Arial" w:eastAsia="Arial" w:hAnsi="Arial" w:cs="Arial"/>
          <w:color w:val="000000"/>
        </w:rPr>
        <w:t xml:space="preserve">The NLC has taken note of the questions raised in the above PQ’s and the information to be collated and prepared to be able to fully respond to them accordingly. On the face of it, the information requested is vast and dates to 2009/10 constituting an overwhelming task. The NLC information is managed through the Grant Management System (GMS) and most of the records have been archived. The implication is that there is need for time and resources to be deployed for the purposes of retrieval of records; particularly those older than 2014 as the </w:t>
      </w:r>
      <w:r>
        <w:rPr>
          <w:rFonts w:ascii="Arial" w:eastAsia="Arial" w:hAnsi="Arial" w:cs="Arial"/>
          <w:color w:val="000000"/>
        </w:rPr>
        <w:lastRenderedPageBreak/>
        <w:t xml:space="preserve">Records and Archives Act limits the retention of records to five years. Additionally, the Commission has also migrated from the GMS system to a new ERP.  </w:t>
      </w:r>
    </w:p>
    <w:p w14:paraId="27809611" w14:textId="5F570BB5" w:rsidR="00B37E8A" w:rsidRDefault="00B37E8A" w:rsidP="00B37E8A">
      <w:pPr>
        <w:spacing w:line="480" w:lineRule="auto"/>
        <w:ind w:left="720"/>
        <w:jc w:val="both"/>
        <w:rPr>
          <w:rFonts w:ascii="Arial" w:eastAsia="Arial" w:hAnsi="Arial" w:cs="Arial"/>
        </w:rPr>
      </w:pPr>
      <w:r>
        <w:rPr>
          <w:rFonts w:ascii="Arial" w:eastAsia="Arial" w:hAnsi="Arial" w:cs="Arial"/>
          <w:color w:val="000000"/>
        </w:rPr>
        <w:t>Given the limitations relating to availability of staff due to Covid 19, the retrieval and processing of information, records retrieval from the old and new platform; the NLC would like to be afforded time to retrieve the records, verify and process the information to be able to properly attend to the questions asked. In terms of the NLC processes, only the Chief Information Officer and Chief Audit Executive can extract the information from the legacy system and archives. The proposed implementation plan for the retrieval of information is as follows:</w:t>
      </w:r>
    </w:p>
    <w:tbl>
      <w:tblPr>
        <w:tblW w:w="1029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2126"/>
        <w:gridCol w:w="2933"/>
      </w:tblGrid>
      <w:tr w:rsidR="00B37E8A" w14:paraId="49DB2967" w14:textId="77777777" w:rsidTr="00730BC8">
        <w:tc>
          <w:tcPr>
            <w:tcW w:w="846" w:type="dxa"/>
          </w:tcPr>
          <w:p w14:paraId="0B09D209" w14:textId="77777777" w:rsidR="00B37E8A" w:rsidRDefault="00B37E8A" w:rsidP="00730BC8">
            <w:pPr>
              <w:spacing w:line="360" w:lineRule="auto"/>
              <w:jc w:val="center"/>
              <w:rPr>
                <w:rFonts w:ascii="Arial" w:eastAsia="Arial" w:hAnsi="Arial" w:cs="Arial"/>
                <w:b/>
              </w:rPr>
            </w:pPr>
            <w:r>
              <w:rPr>
                <w:rFonts w:ascii="Arial" w:eastAsia="Arial" w:hAnsi="Arial" w:cs="Arial"/>
                <w:b/>
                <w:color w:val="000000"/>
              </w:rPr>
              <w:t>No</w:t>
            </w:r>
          </w:p>
        </w:tc>
        <w:tc>
          <w:tcPr>
            <w:tcW w:w="4394" w:type="dxa"/>
          </w:tcPr>
          <w:p w14:paraId="12CB5E2B" w14:textId="77777777" w:rsidR="00B37E8A" w:rsidRDefault="00B37E8A" w:rsidP="00730BC8">
            <w:pPr>
              <w:spacing w:line="360" w:lineRule="auto"/>
              <w:jc w:val="center"/>
              <w:rPr>
                <w:rFonts w:ascii="Arial" w:eastAsia="Arial" w:hAnsi="Arial" w:cs="Arial"/>
                <w:b/>
              </w:rPr>
            </w:pPr>
            <w:r>
              <w:rPr>
                <w:rFonts w:ascii="Arial" w:eastAsia="Arial" w:hAnsi="Arial" w:cs="Arial"/>
                <w:b/>
                <w:color w:val="000000"/>
              </w:rPr>
              <w:t>Item</w:t>
            </w:r>
          </w:p>
        </w:tc>
        <w:tc>
          <w:tcPr>
            <w:tcW w:w="2126" w:type="dxa"/>
          </w:tcPr>
          <w:p w14:paraId="1EE84242" w14:textId="77777777" w:rsidR="00B37E8A" w:rsidRDefault="00B37E8A" w:rsidP="00730BC8">
            <w:pPr>
              <w:spacing w:line="360" w:lineRule="auto"/>
              <w:jc w:val="center"/>
              <w:rPr>
                <w:rFonts w:ascii="Arial" w:eastAsia="Arial" w:hAnsi="Arial" w:cs="Arial"/>
                <w:b/>
              </w:rPr>
            </w:pPr>
            <w:r>
              <w:rPr>
                <w:rFonts w:ascii="Arial" w:eastAsia="Arial" w:hAnsi="Arial" w:cs="Arial"/>
                <w:b/>
                <w:color w:val="000000"/>
              </w:rPr>
              <w:t xml:space="preserve">Expected Start Date </w:t>
            </w:r>
          </w:p>
        </w:tc>
        <w:tc>
          <w:tcPr>
            <w:tcW w:w="2933" w:type="dxa"/>
          </w:tcPr>
          <w:p w14:paraId="4F429F04" w14:textId="77777777" w:rsidR="00B37E8A" w:rsidRDefault="00B37E8A" w:rsidP="00730BC8">
            <w:pPr>
              <w:spacing w:line="360" w:lineRule="auto"/>
              <w:jc w:val="center"/>
              <w:rPr>
                <w:rFonts w:ascii="Arial" w:eastAsia="Arial" w:hAnsi="Arial" w:cs="Arial"/>
                <w:b/>
              </w:rPr>
            </w:pPr>
            <w:r>
              <w:rPr>
                <w:rFonts w:ascii="Arial" w:eastAsia="Arial" w:hAnsi="Arial" w:cs="Arial"/>
                <w:b/>
                <w:color w:val="000000"/>
              </w:rPr>
              <w:t xml:space="preserve">Expected End Date </w:t>
            </w:r>
          </w:p>
        </w:tc>
      </w:tr>
      <w:tr w:rsidR="00B37E8A" w14:paraId="48AA7B35" w14:textId="77777777" w:rsidTr="00730BC8">
        <w:tc>
          <w:tcPr>
            <w:tcW w:w="846" w:type="dxa"/>
          </w:tcPr>
          <w:p w14:paraId="77D04329"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w:t>
            </w:r>
          </w:p>
        </w:tc>
        <w:tc>
          <w:tcPr>
            <w:tcW w:w="4394" w:type="dxa"/>
          </w:tcPr>
          <w:p w14:paraId="0BAD6792" w14:textId="77777777" w:rsidR="00B37E8A" w:rsidRDefault="00B37E8A" w:rsidP="00730BC8">
            <w:pPr>
              <w:spacing w:line="360" w:lineRule="auto"/>
              <w:jc w:val="both"/>
              <w:rPr>
                <w:rFonts w:ascii="Arial" w:eastAsia="Arial" w:hAnsi="Arial" w:cs="Arial"/>
              </w:rPr>
            </w:pPr>
            <w:r>
              <w:rPr>
                <w:rFonts w:ascii="Arial" w:eastAsia="Arial" w:hAnsi="Arial" w:cs="Arial"/>
                <w:color w:val="000000"/>
              </w:rPr>
              <w:t>Notification of the third party that archives NLC information</w:t>
            </w:r>
          </w:p>
          <w:p w14:paraId="166B0044" w14:textId="77777777" w:rsidR="00B37E8A" w:rsidRDefault="00B37E8A" w:rsidP="00730BC8">
            <w:pPr>
              <w:spacing w:line="360" w:lineRule="auto"/>
              <w:jc w:val="both"/>
              <w:rPr>
                <w:rFonts w:ascii="Arial" w:eastAsia="Arial" w:hAnsi="Arial" w:cs="Arial"/>
              </w:rPr>
            </w:pPr>
          </w:p>
        </w:tc>
        <w:tc>
          <w:tcPr>
            <w:tcW w:w="2126" w:type="dxa"/>
          </w:tcPr>
          <w:p w14:paraId="21F5FB55"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10 June 2020</w:t>
            </w:r>
          </w:p>
        </w:tc>
        <w:tc>
          <w:tcPr>
            <w:tcW w:w="2933" w:type="dxa"/>
          </w:tcPr>
          <w:p w14:paraId="74B7C26B"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10 June 2020</w:t>
            </w:r>
          </w:p>
        </w:tc>
      </w:tr>
      <w:tr w:rsidR="00B37E8A" w14:paraId="2121FAB3" w14:textId="77777777" w:rsidTr="00730BC8">
        <w:tc>
          <w:tcPr>
            <w:tcW w:w="846" w:type="dxa"/>
          </w:tcPr>
          <w:p w14:paraId="4F456F4D"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2</w:t>
            </w:r>
          </w:p>
        </w:tc>
        <w:tc>
          <w:tcPr>
            <w:tcW w:w="4394" w:type="dxa"/>
          </w:tcPr>
          <w:p w14:paraId="35CBCF04" w14:textId="77777777" w:rsidR="00B37E8A" w:rsidRDefault="00B37E8A" w:rsidP="00730BC8">
            <w:pPr>
              <w:spacing w:line="360" w:lineRule="auto"/>
              <w:jc w:val="both"/>
              <w:rPr>
                <w:rFonts w:ascii="Arial" w:eastAsia="Arial" w:hAnsi="Arial" w:cs="Arial"/>
              </w:rPr>
            </w:pPr>
            <w:r>
              <w:rPr>
                <w:rFonts w:ascii="Arial" w:eastAsia="Arial" w:hAnsi="Arial" w:cs="Arial"/>
                <w:color w:val="000000"/>
              </w:rPr>
              <w:t>Initiation of the process to access the legacy GMS</w:t>
            </w:r>
          </w:p>
          <w:p w14:paraId="66D19176" w14:textId="77777777" w:rsidR="00B37E8A" w:rsidRDefault="00B37E8A" w:rsidP="00730BC8">
            <w:pPr>
              <w:spacing w:line="360" w:lineRule="auto"/>
              <w:jc w:val="both"/>
              <w:rPr>
                <w:rFonts w:ascii="Arial" w:eastAsia="Arial" w:hAnsi="Arial" w:cs="Arial"/>
              </w:rPr>
            </w:pPr>
          </w:p>
        </w:tc>
        <w:tc>
          <w:tcPr>
            <w:tcW w:w="2126" w:type="dxa"/>
          </w:tcPr>
          <w:p w14:paraId="10C640E0"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10 June 2020</w:t>
            </w:r>
          </w:p>
        </w:tc>
        <w:tc>
          <w:tcPr>
            <w:tcW w:w="2933" w:type="dxa"/>
          </w:tcPr>
          <w:p w14:paraId="20B37F29"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10 June 2020</w:t>
            </w:r>
          </w:p>
        </w:tc>
      </w:tr>
      <w:tr w:rsidR="00B37E8A" w14:paraId="6B486D05" w14:textId="77777777" w:rsidTr="00730BC8">
        <w:tc>
          <w:tcPr>
            <w:tcW w:w="846" w:type="dxa"/>
          </w:tcPr>
          <w:p w14:paraId="2F9B5E59"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3</w:t>
            </w:r>
          </w:p>
        </w:tc>
        <w:tc>
          <w:tcPr>
            <w:tcW w:w="4394" w:type="dxa"/>
          </w:tcPr>
          <w:p w14:paraId="767F5472" w14:textId="77777777" w:rsidR="00B37E8A" w:rsidRDefault="00B37E8A" w:rsidP="00730BC8">
            <w:pPr>
              <w:spacing w:line="360" w:lineRule="auto"/>
              <w:jc w:val="both"/>
              <w:rPr>
                <w:rFonts w:ascii="Arial" w:eastAsia="Arial" w:hAnsi="Arial" w:cs="Arial"/>
              </w:rPr>
            </w:pPr>
            <w:r>
              <w:rPr>
                <w:rFonts w:ascii="Arial" w:eastAsia="Arial" w:hAnsi="Arial" w:cs="Arial"/>
                <w:color w:val="000000"/>
              </w:rPr>
              <w:t>Retrieval of the information from the legacy GMS and archives</w:t>
            </w:r>
          </w:p>
          <w:p w14:paraId="0DD78AA2" w14:textId="77777777" w:rsidR="00B37E8A" w:rsidRDefault="00B37E8A" w:rsidP="00730BC8">
            <w:pPr>
              <w:spacing w:line="360" w:lineRule="auto"/>
              <w:jc w:val="both"/>
              <w:rPr>
                <w:rFonts w:ascii="Arial" w:eastAsia="Arial" w:hAnsi="Arial" w:cs="Arial"/>
              </w:rPr>
            </w:pPr>
          </w:p>
        </w:tc>
        <w:tc>
          <w:tcPr>
            <w:tcW w:w="2126" w:type="dxa"/>
          </w:tcPr>
          <w:p w14:paraId="20EE2E03"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15 June 2020</w:t>
            </w:r>
          </w:p>
        </w:tc>
        <w:tc>
          <w:tcPr>
            <w:tcW w:w="2933" w:type="dxa"/>
          </w:tcPr>
          <w:p w14:paraId="6C67F5AA"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17 June 2020</w:t>
            </w:r>
          </w:p>
        </w:tc>
      </w:tr>
      <w:tr w:rsidR="00B37E8A" w14:paraId="574DF3C5" w14:textId="77777777" w:rsidTr="00730BC8">
        <w:tc>
          <w:tcPr>
            <w:tcW w:w="846" w:type="dxa"/>
          </w:tcPr>
          <w:p w14:paraId="548B592B"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4</w:t>
            </w:r>
          </w:p>
        </w:tc>
        <w:tc>
          <w:tcPr>
            <w:tcW w:w="4394" w:type="dxa"/>
          </w:tcPr>
          <w:p w14:paraId="00E8A64F" w14:textId="77777777" w:rsidR="00B37E8A" w:rsidRDefault="00B37E8A" w:rsidP="00730BC8">
            <w:pPr>
              <w:spacing w:line="360" w:lineRule="auto"/>
              <w:jc w:val="both"/>
              <w:rPr>
                <w:rFonts w:ascii="Arial" w:eastAsia="Arial" w:hAnsi="Arial" w:cs="Arial"/>
              </w:rPr>
            </w:pPr>
            <w:r>
              <w:rPr>
                <w:rFonts w:ascii="Arial" w:eastAsia="Arial" w:hAnsi="Arial" w:cs="Arial"/>
                <w:color w:val="000000"/>
              </w:rPr>
              <w:t>Analysis and packaging of information</w:t>
            </w:r>
          </w:p>
          <w:p w14:paraId="7840D673" w14:textId="77777777" w:rsidR="00B37E8A" w:rsidRDefault="00B37E8A" w:rsidP="00730BC8">
            <w:pPr>
              <w:spacing w:line="360" w:lineRule="auto"/>
              <w:jc w:val="both"/>
              <w:rPr>
                <w:rFonts w:ascii="Arial" w:eastAsia="Arial" w:hAnsi="Arial" w:cs="Arial"/>
              </w:rPr>
            </w:pPr>
          </w:p>
        </w:tc>
        <w:tc>
          <w:tcPr>
            <w:tcW w:w="2126" w:type="dxa"/>
          </w:tcPr>
          <w:p w14:paraId="6A6FEAFE"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18 June 2020</w:t>
            </w:r>
          </w:p>
        </w:tc>
        <w:tc>
          <w:tcPr>
            <w:tcW w:w="2933" w:type="dxa"/>
          </w:tcPr>
          <w:p w14:paraId="62970955"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29 June 2020</w:t>
            </w:r>
          </w:p>
        </w:tc>
      </w:tr>
      <w:tr w:rsidR="00B37E8A" w14:paraId="108FEECC" w14:textId="77777777" w:rsidTr="00730BC8">
        <w:tc>
          <w:tcPr>
            <w:tcW w:w="846" w:type="dxa"/>
          </w:tcPr>
          <w:p w14:paraId="648DAA00"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5</w:t>
            </w:r>
          </w:p>
        </w:tc>
        <w:tc>
          <w:tcPr>
            <w:tcW w:w="4394" w:type="dxa"/>
          </w:tcPr>
          <w:p w14:paraId="29BFAF3F" w14:textId="77777777" w:rsidR="00B37E8A" w:rsidRDefault="00B37E8A" w:rsidP="00730BC8">
            <w:pPr>
              <w:spacing w:line="360" w:lineRule="auto"/>
              <w:jc w:val="both"/>
              <w:rPr>
                <w:rFonts w:ascii="Arial" w:eastAsia="Arial" w:hAnsi="Arial" w:cs="Arial"/>
              </w:rPr>
            </w:pPr>
            <w:r>
              <w:rPr>
                <w:rFonts w:ascii="Arial" w:eastAsia="Arial" w:hAnsi="Arial" w:cs="Arial"/>
                <w:color w:val="000000"/>
              </w:rPr>
              <w:t>Quality assurance on the information</w:t>
            </w:r>
          </w:p>
          <w:p w14:paraId="39B2D748" w14:textId="77777777" w:rsidR="00B37E8A" w:rsidRDefault="00B37E8A" w:rsidP="00730BC8">
            <w:pPr>
              <w:spacing w:line="360" w:lineRule="auto"/>
              <w:jc w:val="both"/>
              <w:rPr>
                <w:rFonts w:ascii="Arial" w:eastAsia="Arial" w:hAnsi="Arial" w:cs="Arial"/>
              </w:rPr>
            </w:pPr>
          </w:p>
        </w:tc>
        <w:tc>
          <w:tcPr>
            <w:tcW w:w="2126" w:type="dxa"/>
          </w:tcPr>
          <w:p w14:paraId="1CF9C55E"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30 June 2020</w:t>
            </w:r>
          </w:p>
        </w:tc>
        <w:tc>
          <w:tcPr>
            <w:tcW w:w="2933" w:type="dxa"/>
          </w:tcPr>
          <w:p w14:paraId="35156351"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1 July 2020</w:t>
            </w:r>
          </w:p>
        </w:tc>
      </w:tr>
      <w:tr w:rsidR="00B37E8A" w14:paraId="0F11F3CA" w14:textId="77777777" w:rsidTr="00730BC8">
        <w:tc>
          <w:tcPr>
            <w:tcW w:w="846" w:type="dxa"/>
          </w:tcPr>
          <w:p w14:paraId="7CC8CFD0"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6</w:t>
            </w:r>
          </w:p>
        </w:tc>
        <w:tc>
          <w:tcPr>
            <w:tcW w:w="4394" w:type="dxa"/>
          </w:tcPr>
          <w:p w14:paraId="3ED9583F" w14:textId="77777777" w:rsidR="00B37E8A" w:rsidRDefault="00B37E8A" w:rsidP="00730BC8">
            <w:pPr>
              <w:spacing w:line="360" w:lineRule="auto"/>
              <w:jc w:val="both"/>
              <w:rPr>
                <w:rFonts w:ascii="Arial" w:eastAsia="Arial" w:hAnsi="Arial" w:cs="Arial"/>
              </w:rPr>
            </w:pPr>
            <w:r>
              <w:rPr>
                <w:rFonts w:ascii="Arial" w:eastAsia="Arial" w:hAnsi="Arial" w:cs="Arial"/>
                <w:color w:val="000000"/>
              </w:rPr>
              <w:t>Sign-off of the information and submission to the Department of Trade, Industry and Competition</w:t>
            </w:r>
          </w:p>
        </w:tc>
        <w:tc>
          <w:tcPr>
            <w:tcW w:w="2126" w:type="dxa"/>
          </w:tcPr>
          <w:p w14:paraId="331B4221"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3</w:t>
            </w:r>
            <w:r>
              <w:rPr>
                <w:rFonts w:ascii="Arial" w:eastAsia="Arial" w:hAnsi="Arial" w:cs="Arial"/>
                <w:color w:val="000000"/>
                <w:vertAlign w:val="superscript"/>
              </w:rPr>
              <w:t xml:space="preserve"> </w:t>
            </w:r>
            <w:r>
              <w:rPr>
                <w:rFonts w:ascii="Arial" w:eastAsia="Arial" w:hAnsi="Arial" w:cs="Arial"/>
                <w:color w:val="000000"/>
              </w:rPr>
              <w:t>July 2020</w:t>
            </w:r>
          </w:p>
        </w:tc>
        <w:tc>
          <w:tcPr>
            <w:tcW w:w="2933" w:type="dxa"/>
          </w:tcPr>
          <w:p w14:paraId="37C4AC47" w14:textId="77777777" w:rsidR="00B37E8A" w:rsidRDefault="00B37E8A" w:rsidP="00730BC8">
            <w:pPr>
              <w:spacing w:line="360" w:lineRule="auto"/>
              <w:jc w:val="center"/>
              <w:rPr>
                <w:rFonts w:ascii="Arial" w:eastAsia="Arial" w:hAnsi="Arial" w:cs="Arial"/>
              </w:rPr>
            </w:pPr>
            <w:r>
              <w:rPr>
                <w:rFonts w:ascii="Arial" w:eastAsia="Arial" w:hAnsi="Arial" w:cs="Arial"/>
                <w:color w:val="000000"/>
              </w:rPr>
              <w:t>3</w:t>
            </w:r>
            <w:r>
              <w:rPr>
                <w:rFonts w:ascii="Arial" w:eastAsia="Arial" w:hAnsi="Arial" w:cs="Arial"/>
                <w:color w:val="000000"/>
                <w:vertAlign w:val="superscript"/>
              </w:rPr>
              <w:t xml:space="preserve"> </w:t>
            </w:r>
            <w:r>
              <w:rPr>
                <w:rFonts w:ascii="Arial" w:eastAsia="Arial" w:hAnsi="Arial" w:cs="Arial"/>
                <w:color w:val="000000"/>
              </w:rPr>
              <w:t>July 2020</w:t>
            </w:r>
          </w:p>
        </w:tc>
      </w:tr>
    </w:tbl>
    <w:p w14:paraId="3EC2579C" w14:textId="77777777" w:rsidR="00B37E8A" w:rsidRDefault="00B37E8A" w:rsidP="00B37E8A">
      <w:pPr>
        <w:spacing w:line="360" w:lineRule="auto"/>
        <w:jc w:val="both"/>
        <w:rPr>
          <w:rFonts w:ascii="Arial" w:eastAsia="Arial" w:hAnsi="Arial" w:cs="Arial"/>
        </w:rPr>
      </w:pPr>
    </w:p>
    <w:p w14:paraId="40A7E399" w14:textId="77777777" w:rsidR="00B37E8A" w:rsidRDefault="00B37E8A" w:rsidP="00B37E8A">
      <w:pPr>
        <w:spacing w:line="360" w:lineRule="auto"/>
        <w:jc w:val="both"/>
        <w:rPr>
          <w:rFonts w:ascii="Arial" w:eastAsia="Arial" w:hAnsi="Arial" w:cs="Arial"/>
        </w:rPr>
      </w:pPr>
      <w:r>
        <w:rPr>
          <w:rFonts w:ascii="Arial" w:eastAsia="Arial" w:hAnsi="Arial" w:cs="Arial"/>
          <w:color w:val="000000"/>
        </w:rPr>
        <w:lastRenderedPageBreak/>
        <w:t>We therefore request the Minister to note the NLC plan in retrieving and submitting the required information in response to parliamentary questions 1039 and 1109.</w:t>
      </w:r>
    </w:p>
    <w:p w14:paraId="6DC046CE" w14:textId="1DF0BE12" w:rsidR="00B37E8A" w:rsidRPr="00B37E8A" w:rsidRDefault="00B37E8A" w:rsidP="00B37E8A">
      <w:pPr>
        <w:rPr>
          <w:rFonts w:ascii="Arial" w:eastAsia="Arial" w:hAnsi="Arial" w:cs="Arial"/>
          <w:b/>
        </w:rPr>
      </w:pPr>
      <w:r>
        <w:rPr>
          <w:rFonts w:ascii="Arial" w:eastAsia="Arial" w:hAnsi="Arial" w:cs="Arial"/>
        </w:rPr>
        <w:t xml:space="preserve">I trust you find the enclosed in order. </w:t>
      </w:r>
      <w:r>
        <w:rPr>
          <w:rFonts w:ascii="Arial" w:eastAsia="Arial" w:hAnsi="Arial" w:cs="Arial"/>
          <w:b/>
        </w:rPr>
        <w:t>TCC MAMPANE, NLC COMMISSIONER.”</w:t>
      </w:r>
    </w:p>
    <w:p w14:paraId="59AFAB2C" w14:textId="3035D868" w:rsidR="00B37E8A" w:rsidRDefault="00B37E8A" w:rsidP="00B37E8A">
      <w:pPr>
        <w:spacing w:after="120" w:line="276" w:lineRule="auto"/>
        <w:jc w:val="both"/>
        <w:rPr>
          <w:rFonts w:ascii="Arial" w:eastAsia="Arial" w:hAnsi="Arial" w:cs="Arial"/>
        </w:rPr>
      </w:pPr>
    </w:p>
    <w:p w14:paraId="739DE1CD" w14:textId="77777777" w:rsidR="00353870" w:rsidRPr="007F37C9" w:rsidRDefault="00353870" w:rsidP="007F37C9">
      <w:pPr>
        <w:spacing w:after="0" w:line="240" w:lineRule="auto"/>
        <w:jc w:val="both"/>
        <w:rPr>
          <w:rFonts w:ascii="Arial" w:eastAsia="Times New Roman" w:hAnsi="Arial" w:cs="Arial"/>
          <w:bCs/>
          <w:sz w:val="24"/>
          <w:szCs w:val="24"/>
          <w:lang w:val="en-US"/>
        </w:rPr>
      </w:pPr>
    </w:p>
    <w:p w14:paraId="71A11D95" w14:textId="77777777" w:rsidR="00DD6B4E" w:rsidRDefault="00DD6B4E" w:rsidP="0031644A">
      <w:pPr>
        <w:spacing w:after="0" w:line="360" w:lineRule="auto"/>
        <w:jc w:val="both"/>
        <w:rPr>
          <w:rFonts w:ascii="Arial" w:eastAsia="Calibri" w:hAnsi="Arial" w:cs="Arial"/>
          <w:b/>
          <w:sz w:val="24"/>
          <w:szCs w:val="24"/>
        </w:rPr>
      </w:pPr>
    </w:p>
    <w:p w14:paraId="54136866" w14:textId="2CE4D304" w:rsidR="00EA5109" w:rsidRPr="00B236EF" w:rsidRDefault="00175593" w:rsidP="00175593">
      <w:pPr>
        <w:spacing w:line="360" w:lineRule="auto"/>
        <w:jc w:val="center"/>
        <w:rPr>
          <w:rFonts w:ascii="Arial" w:eastAsia="Calibri" w:hAnsi="Arial" w:cs="Arial"/>
          <w:b/>
          <w:bCs/>
          <w:sz w:val="24"/>
          <w:szCs w:val="24"/>
        </w:rPr>
      </w:pPr>
      <w:r>
        <w:rPr>
          <w:rFonts w:ascii="Arial" w:eastAsia="Calibri" w:hAnsi="Arial" w:cs="Arial"/>
          <w:b/>
          <w:sz w:val="24"/>
          <w:szCs w:val="24"/>
        </w:rPr>
        <w:t>-END-</w:t>
      </w:r>
    </w:p>
    <w:sectPr w:rsidR="00EA5109" w:rsidRPr="00B236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DFE8" w14:textId="77777777" w:rsidR="000A67D2" w:rsidRDefault="000A67D2" w:rsidP="006D054B">
      <w:pPr>
        <w:spacing w:after="0" w:line="240" w:lineRule="auto"/>
      </w:pPr>
      <w:r>
        <w:separator/>
      </w:r>
    </w:p>
  </w:endnote>
  <w:endnote w:type="continuationSeparator" w:id="0">
    <w:p w14:paraId="11879487" w14:textId="77777777" w:rsidR="000A67D2" w:rsidRDefault="000A67D2"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21733"/>
      <w:docPartObj>
        <w:docPartGallery w:val="Page Numbers (Bottom of Page)"/>
        <w:docPartUnique/>
      </w:docPartObj>
    </w:sdtPr>
    <w:sdtEndPr>
      <w:rPr>
        <w:noProof/>
      </w:rPr>
    </w:sdtEndPr>
    <w:sdtContent>
      <w:p w14:paraId="662E59F2" w14:textId="4A4389FC" w:rsidR="00C90387" w:rsidRDefault="00C90387">
        <w:pPr>
          <w:pStyle w:val="Footer"/>
          <w:jc w:val="center"/>
        </w:pPr>
        <w:r>
          <w:fldChar w:fldCharType="begin"/>
        </w:r>
        <w:r>
          <w:instrText xml:space="preserve"> PAGE   \* MERGEFORMAT </w:instrText>
        </w:r>
        <w:r>
          <w:fldChar w:fldCharType="separate"/>
        </w:r>
        <w:r w:rsidR="00311403">
          <w:rPr>
            <w:noProof/>
          </w:rPr>
          <w:t>1</w:t>
        </w:r>
        <w:r>
          <w:rPr>
            <w:noProof/>
          </w:rPr>
          <w:fldChar w:fldCharType="end"/>
        </w:r>
      </w:p>
    </w:sdtContent>
  </w:sdt>
  <w:p w14:paraId="1B3D9573" w14:textId="77777777" w:rsidR="00C90387" w:rsidRDefault="00B70823" w:rsidP="00C90387">
    <w:pPr>
      <w:pStyle w:val="Footer"/>
      <w:jc w:val="center"/>
    </w:pPr>
    <w:r>
      <w:t>Parliamentary Question</w:t>
    </w:r>
    <w:r w:rsidR="00D66290">
      <w:t xml:space="preserve">: NA PQ </w:t>
    </w:r>
    <w:r w:rsidR="00353870">
      <w:t>110</w:t>
    </w:r>
    <w:r w:rsidR="00D13244">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A105" w14:textId="77777777" w:rsidR="000A67D2" w:rsidRDefault="000A67D2" w:rsidP="006D054B">
      <w:pPr>
        <w:spacing w:after="0" w:line="240" w:lineRule="auto"/>
      </w:pPr>
      <w:r>
        <w:separator/>
      </w:r>
    </w:p>
  </w:footnote>
  <w:footnote w:type="continuationSeparator" w:id="0">
    <w:p w14:paraId="284E04FB" w14:textId="77777777" w:rsidR="000A67D2" w:rsidRDefault="000A67D2"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3147" w14:textId="77777777" w:rsidR="00C90387" w:rsidRDefault="00C90387" w:rsidP="00B236EF">
    <w:pPr>
      <w:pStyle w:val="Header"/>
    </w:pPr>
  </w:p>
  <w:p w14:paraId="6F522311" w14:textId="77777777"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077EE"/>
    <w:rsid w:val="0003191E"/>
    <w:rsid w:val="00031D1F"/>
    <w:rsid w:val="00041805"/>
    <w:rsid w:val="00046D78"/>
    <w:rsid w:val="0006536D"/>
    <w:rsid w:val="00071E10"/>
    <w:rsid w:val="000A013C"/>
    <w:rsid w:val="000A67D2"/>
    <w:rsid w:val="000B0517"/>
    <w:rsid w:val="000B2DB1"/>
    <w:rsid w:val="000C4638"/>
    <w:rsid w:val="000D3BB4"/>
    <w:rsid w:val="000D608B"/>
    <w:rsid w:val="00130895"/>
    <w:rsid w:val="0016019E"/>
    <w:rsid w:val="001602E3"/>
    <w:rsid w:val="00172E12"/>
    <w:rsid w:val="00175593"/>
    <w:rsid w:val="00176749"/>
    <w:rsid w:val="00182352"/>
    <w:rsid w:val="001877AA"/>
    <w:rsid w:val="0019258D"/>
    <w:rsid w:val="00197D18"/>
    <w:rsid w:val="001A33E4"/>
    <w:rsid w:val="001E2965"/>
    <w:rsid w:val="00212F7F"/>
    <w:rsid w:val="002150F1"/>
    <w:rsid w:val="00226F0C"/>
    <w:rsid w:val="002329A1"/>
    <w:rsid w:val="0023521C"/>
    <w:rsid w:val="0024155F"/>
    <w:rsid w:val="00242E7F"/>
    <w:rsid w:val="002447C0"/>
    <w:rsid w:val="002459C4"/>
    <w:rsid w:val="00251810"/>
    <w:rsid w:val="002534B7"/>
    <w:rsid w:val="00260C67"/>
    <w:rsid w:val="0028153A"/>
    <w:rsid w:val="002855D7"/>
    <w:rsid w:val="0028785A"/>
    <w:rsid w:val="0029231C"/>
    <w:rsid w:val="00294D96"/>
    <w:rsid w:val="002A1D56"/>
    <w:rsid w:val="002A46DB"/>
    <w:rsid w:val="002A5258"/>
    <w:rsid w:val="002A78F7"/>
    <w:rsid w:val="002B0ED2"/>
    <w:rsid w:val="002C1B9E"/>
    <w:rsid w:val="002D0830"/>
    <w:rsid w:val="002D69F4"/>
    <w:rsid w:val="002F30D7"/>
    <w:rsid w:val="00301F58"/>
    <w:rsid w:val="00311403"/>
    <w:rsid w:val="0031644A"/>
    <w:rsid w:val="00332C21"/>
    <w:rsid w:val="00351BDA"/>
    <w:rsid w:val="00353870"/>
    <w:rsid w:val="003632E6"/>
    <w:rsid w:val="00383F6C"/>
    <w:rsid w:val="003849F7"/>
    <w:rsid w:val="00385BF1"/>
    <w:rsid w:val="003A3726"/>
    <w:rsid w:val="003B2450"/>
    <w:rsid w:val="003C5DAD"/>
    <w:rsid w:val="003D6475"/>
    <w:rsid w:val="00402C36"/>
    <w:rsid w:val="00405055"/>
    <w:rsid w:val="00414059"/>
    <w:rsid w:val="00414E30"/>
    <w:rsid w:val="00431C51"/>
    <w:rsid w:val="00432417"/>
    <w:rsid w:val="00437E8B"/>
    <w:rsid w:val="004469F4"/>
    <w:rsid w:val="00484CF4"/>
    <w:rsid w:val="00493614"/>
    <w:rsid w:val="004B2BE0"/>
    <w:rsid w:val="004C432F"/>
    <w:rsid w:val="004C474D"/>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8630C"/>
    <w:rsid w:val="00597203"/>
    <w:rsid w:val="005A5FEE"/>
    <w:rsid w:val="005C3727"/>
    <w:rsid w:val="005D3B6A"/>
    <w:rsid w:val="005E30FD"/>
    <w:rsid w:val="00622A03"/>
    <w:rsid w:val="00640078"/>
    <w:rsid w:val="006420D0"/>
    <w:rsid w:val="006445D1"/>
    <w:rsid w:val="00645F45"/>
    <w:rsid w:val="00676144"/>
    <w:rsid w:val="006847A1"/>
    <w:rsid w:val="006932B2"/>
    <w:rsid w:val="00694349"/>
    <w:rsid w:val="006B0FE2"/>
    <w:rsid w:val="006B1132"/>
    <w:rsid w:val="006C6F31"/>
    <w:rsid w:val="006D054B"/>
    <w:rsid w:val="006E5CFB"/>
    <w:rsid w:val="00707C88"/>
    <w:rsid w:val="0072078E"/>
    <w:rsid w:val="007477F1"/>
    <w:rsid w:val="00761225"/>
    <w:rsid w:val="0078637F"/>
    <w:rsid w:val="00792751"/>
    <w:rsid w:val="007B14C3"/>
    <w:rsid w:val="007B412F"/>
    <w:rsid w:val="007B7DA8"/>
    <w:rsid w:val="007D1596"/>
    <w:rsid w:val="007D1D58"/>
    <w:rsid w:val="007D2A4F"/>
    <w:rsid w:val="007E3CF6"/>
    <w:rsid w:val="007F37C9"/>
    <w:rsid w:val="00803209"/>
    <w:rsid w:val="00833E81"/>
    <w:rsid w:val="00841350"/>
    <w:rsid w:val="008528EA"/>
    <w:rsid w:val="00853BDC"/>
    <w:rsid w:val="00855ABA"/>
    <w:rsid w:val="008634FA"/>
    <w:rsid w:val="00892467"/>
    <w:rsid w:val="00894F69"/>
    <w:rsid w:val="008A796E"/>
    <w:rsid w:val="008D06C0"/>
    <w:rsid w:val="00911828"/>
    <w:rsid w:val="00916351"/>
    <w:rsid w:val="0093226B"/>
    <w:rsid w:val="00936D98"/>
    <w:rsid w:val="009433BE"/>
    <w:rsid w:val="0094388C"/>
    <w:rsid w:val="00962A53"/>
    <w:rsid w:val="009644E4"/>
    <w:rsid w:val="00970287"/>
    <w:rsid w:val="009910BC"/>
    <w:rsid w:val="0099215A"/>
    <w:rsid w:val="009A0FF0"/>
    <w:rsid w:val="009C3E7C"/>
    <w:rsid w:val="009D6756"/>
    <w:rsid w:val="009D6C77"/>
    <w:rsid w:val="009F3102"/>
    <w:rsid w:val="009F4DA1"/>
    <w:rsid w:val="00A01A30"/>
    <w:rsid w:val="00A1169C"/>
    <w:rsid w:val="00A1795F"/>
    <w:rsid w:val="00A21156"/>
    <w:rsid w:val="00A46E81"/>
    <w:rsid w:val="00A557B1"/>
    <w:rsid w:val="00A81AFD"/>
    <w:rsid w:val="00A8329E"/>
    <w:rsid w:val="00A84F6F"/>
    <w:rsid w:val="00A91BC8"/>
    <w:rsid w:val="00A922E1"/>
    <w:rsid w:val="00AB1371"/>
    <w:rsid w:val="00AB27A3"/>
    <w:rsid w:val="00AB6763"/>
    <w:rsid w:val="00AC42AA"/>
    <w:rsid w:val="00AD1369"/>
    <w:rsid w:val="00AD5AE5"/>
    <w:rsid w:val="00AD7FCF"/>
    <w:rsid w:val="00AE418E"/>
    <w:rsid w:val="00AE6F53"/>
    <w:rsid w:val="00AF23A5"/>
    <w:rsid w:val="00AF736F"/>
    <w:rsid w:val="00B04589"/>
    <w:rsid w:val="00B21A58"/>
    <w:rsid w:val="00B2231A"/>
    <w:rsid w:val="00B236EF"/>
    <w:rsid w:val="00B263F6"/>
    <w:rsid w:val="00B37E8A"/>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32BB4"/>
    <w:rsid w:val="00C4613A"/>
    <w:rsid w:val="00C56886"/>
    <w:rsid w:val="00C60F52"/>
    <w:rsid w:val="00C71BF9"/>
    <w:rsid w:val="00C84F7E"/>
    <w:rsid w:val="00C8544C"/>
    <w:rsid w:val="00C85DD8"/>
    <w:rsid w:val="00C90387"/>
    <w:rsid w:val="00C9270E"/>
    <w:rsid w:val="00CC0725"/>
    <w:rsid w:val="00CC7044"/>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D063F"/>
    <w:rsid w:val="00DD6B4E"/>
    <w:rsid w:val="00DE45A5"/>
    <w:rsid w:val="00DE4BB9"/>
    <w:rsid w:val="00E20A44"/>
    <w:rsid w:val="00E44BAD"/>
    <w:rsid w:val="00E554C9"/>
    <w:rsid w:val="00E6096E"/>
    <w:rsid w:val="00E846E6"/>
    <w:rsid w:val="00E900D5"/>
    <w:rsid w:val="00EA2BA8"/>
    <w:rsid w:val="00EA5109"/>
    <w:rsid w:val="00EA6E2E"/>
    <w:rsid w:val="00EE05BB"/>
    <w:rsid w:val="00EE6E0C"/>
    <w:rsid w:val="00EF6351"/>
    <w:rsid w:val="00F04A3B"/>
    <w:rsid w:val="00F065DF"/>
    <w:rsid w:val="00F15796"/>
    <w:rsid w:val="00F32232"/>
    <w:rsid w:val="00F51CB8"/>
    <w:rsid w:val="00F671DD"/>
    <w:rsid w:val="00F716B6"/>
    <w:rsid w:val="00F8074E"/>
    <w:rsid w:val="00F9020F"/>
    <w:rsid w:val="00FB765E"/>
    <w:rsid w:val="00FC3609"/>
    <w:rsid w:val="00FC502E"/>
    <w:rsid w:val="00FD0332"/>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0292F"/>
  <w15:docId w15:val="{51B4BDC8-BCC9-4264-B297-1BFBCA7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22BD-A0F9-4A15-918F-5F0F5169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cp:lastPrinted>2020-03-20T10:31:00Z</cp:lastPrinted>
  <dcterms:created xsi:type="dcterms:W3CDTF">2020-06-22T17:05:00Z</dcterms:created>
  <dcterms:modified xsi:type="dcterms:W3CDTF">2020-06-22T17:05:00Z</dcterms:modified>
</cp:coreProperties>
</file>