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4" w:rsidRPr="00A02F3E" w:rsidRDefault="001B4CC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068FE522" wp14:editId="59560824">
            <wp:simplePos x="0" y="0"/>
            <wp:positionH relativeFrom="column">
              <wp:posOffset>2706370</wp:posOffset>
            </wp:positionH>
            <wp:positionV relativeFrom="paragraph">
              <wp:posOffset>-347345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10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574E2" w:rsidRPr="004574E2" w:rsidRDefault="004574E2" w:rsidP="004574E2">
      <w:pPr>
        <w:jc w:val="center"/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>NATIONAL ASSEMBLY</w:t>
      </w:r>
    </w:p>
    <w:p w:rsidR="004574E2" w:rsidRDefault="004574E2" w:rsidP="004574E2">
      <w:pPr>
        <w:jc w:val="center"/>
        <w:rPr>
          <w:rFonts w:cs="Arial"/>
          <w:b/>
          <w:sz w:val="24"/>
          <w:szCs w:val="24"/>
          <w:lang w:eastAsia="en-US"/>
        </w:rPr>
      </w:pPr>
    </w:p>
    <w:p w:rsidR="004574E2" w:rsidRDefault="004574E2" w:rsidP="004574E2">
      <w:pPr>
        <w:jc w:val="center"/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>WRITTEN REPLY</w:t>
      </w: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 xml:space="preserve">QUESTION NUMBER: </w:t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  <w:t>1090</w:t>
      </w:r>
      <w:r w:rsidR="00B9693E">
        <w:rPr>
          <w:rFonts w:cs="Arial"/>
          <w:b/>
          <w:sz w:val="24"/>
          <w:szCs w:val="24"/>
          <w:lang w:eastAsia="en-US"/>
        </w:rPr>
        <w:t xml:space="preserve"> </w:t>
      </w:r>
      <w:r w:rsidRPr="004574E2">
        <w:rPr>
          <w:rFonts w:cs="Arial"/>
          <w:b/>
          <w:sz w:val="24"/>
          <w:szCs w:val="24"/>
          <w:lang w:eastAsia="en-US"/>
        </w:rPr>
        <w:t>[NW932E]</w:t>
      </w: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>INTERNAL QUESTION PAPER NO.:</w:t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  <w:t>No. 11 of 2016</w:t>
      </w:r>
    </w:p>
    <w:p w:rsid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>DATE OF PU</w:t>
      </w:r>
      <w:r>
        <w:rPr>
          <w:rFonts w:cs="Arial"/>
          <w:b/>
          <w:sz w:val="24"/>
          <w:szCs w:val="24"/>
          <w:lang w:eastAsia="en-US"/>
        </w:rPr>
        <w:t>BLICATION:</w:t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  <w:t>15 APRIL 2016</w:t>
      </w: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DATE OF REPLY:</w:t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>
        <w:rPr>
          <w:rFonts w:cs="Arial"/>
          <w:b/>
          <w:sz w:val="24"/>
          <w:szCs w:val="24"/>
          <w:lang w:eastAsia="en-US"/>
        </w:rPr>
        <w:tab/>
      </w:r>
      <w:r w:rsidR="00B9693E">
        <w:rPr>
          <w:rFonts w:cs="Arial"/>
          <w:b/>
          <w:sz w:val="24"/>
          <w:szCs w:val="24"/>
          <w:lang w:eastAsia="en-US"/>
        </w:rPr>
        <w:t>23 MAY 2016</w:t>
      </w:r>
      <w:r w:rsidRPr="004574E2">
        <w:rPr>
          <w:rFonts w:cs="Arial"/>
          <w:b/>
          <w:sz w:val="24"/>
          <w:szCs w:val="24"/>
          <w:lang w:eastAsia="en-US"/>
        </w:rPr>
        <w:tab/>
      </w:r>
      <w:r w:rsidRPr="004574E2">
        <w:rPr>
          <w:rFonts w:cs="Arial"/>
          <w:b/>
          <w:sz w:val="24"/>
          <w:szCs w:val="24"/>
          <w:lang w:eastAsia="en-US"/>
        </w:rPr>
        <w:tab/>
        <w:t xml:space="preserve"> </w:t>
      </w: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</w:p>
    <w:p w:rsidR="004574E2" w:rsidRP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>Ms D Kohler (DA) asked the Minister of Public Works:</w:t>
      </w: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Pr="004574E2" w:rsidRDefault="00D40965" w:rsidP="004574E2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(1)</w:t>
      </w:r>
      <w:r>
        <w:rPr>
          <w:rFonts w:cs="Arial"/>
          <w:sz w:val="24"/>
          <w:szCs w:val="24"/>
          <w:lang w:eastAsia="en-US"/>
        </w:rPr>
        <w:tab/>
        <w:t>(</w:t>
      </w:r>
      <w:proofErr w:type="gramStart"/>
      <w:r>
        <w:rPr>
          <w:rFonts w:cs="Arial"/>
          <w:sz w:val="24"/>
          <w:szCs w:val="24"/>
          <w:lang w:eastAsia="en-US"/>
        </w:rPr>
        <w:t>a</w:t>
      </w:r>
      <w:proofErr w:type="gramEnd"/>
      <w:r w:rsidR="004574E2" w:rsidRPr="004574E2">
        <w:rPr>
          <w:rFonts w:cs="Arial"/>
          <w:sz w:val="24"/>
          <w:szCs w:val="24"/>
          <w:lang w:eastAsia="en-US"/>
        </w:rPr>
        <w:t>) What number of his department’s properties have been found to be illegally occupied currently and (b) by whom are these properties illegally occupied;</w:t>
      </w: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Default="004574E2" w:rsidP="004574E2">
      <w:pPr>
        <w:pBdr>
          <w:bottom w:val="single" w:sz="12" w:space="1" w:color="auto"/>
        </w:pBdr>
        <w:ind w:left="720" w:hanging="720"/>
        <w:rPr>
          <w:rFonts w:cs="Arial"/>
          <w:b/>
          <w:sz w:val="20"/>
          <w:lang w:eastAsia="en-US"/>
        </w:rPr>
      </w:pPr>
      <w:r w:rsidRPr="004574E2">
        <w:rPr>
          <w:rFonts w:cs="Arial"/>
          <w:sz w:val="24"/>
          <w:szCs w:val="24"/>
          <w:lang w:eastAsia="en-US"/>
        </w:rPr>
        <w:t xml:space="preserve">(2) </w:t>
      </w:r>
      <w:r w:rsidRPr="004574E2">
        <w:rPr>
          <w:rFonts w:cs="Arial"/>
          <w:sz w:val="24"/>
          <w:szCs w:val="24"/>
          <w:lang w:eastAsia="en-US"/>
        </w:rPr>
        <w:tab/>
        <w:t>Have any persons involved persons involved in the illegal occupation of the specified properties been criminally charged; if so, how many persons were criminally charged?</w:t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 w:rsidRPr="004574E2">
        <w:rPr>
          <w:rFonts w:cs="Arial"/>
          <w:b/>
          <w:sz w:val="20"/>
          <w:lang w:eastAsia="en-US"/>
        </w:rPr>
        <w:t>NW1222E</w:t>
      </w:r>
    </w:p>
    <w:p w:rsidR="004574E2" w:rsidRDefault="004574E2" w:rsidP="004574E2">
      <w:pPr>
        <w:pBdr>
          <w:bottom w:val="single" w:sz="12" w:space="1" w:color="auto"/>
        </w:pBdr>
        <w:ind w:left="720" w:hanging="720"/>
        <w:rPr>
          <w:rFonts w:cs="Arial"/>
          <w:sz w:val="24"/>
          <w:szCs w:val="24"/>
          <w:lang w:eastAsia="en-US"/>
        </w:rPr>
      </w:pPr>
    </w:p>
    <w:p w:rsid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4574E2" w:rsidRDefault="004574E2" w:rsidP="004574E2">
      <w:pPr>
        <w:rPr>
          <w:rFonts w:cs="Arial"/>
          <w:b/>
          <w:sz w:val="24"/>
          <w:szCs w:val="24"/>
          <w:lang w:eastAsia="en-US"/>
        </w:rPr>
      </w:pPr>
    </w:p>
    <w:p w:rsidR="004574E2" w:rsidRPr="00EF25FA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4574E2" w:rsidRP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Pr="004574E2" w:rsidRDefault="004574E2" w:rsidP="004574E2">
      <w:pPr>
        <w:numPr>
          <w:ilvl w:val="0"/>
          <w:numId w:val="45"/>
        </w:num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 xml:space="preserve">     </w:t>
      </w:r>
      <w:r w:rsidRPr="004574E2">
        <w:rPr>
          <w:rFonts w:cs="Arial"/>
          <w:sz w:val="24"/>
          <w:szCs w:val="24"/>
          <w:lang w:eastAsia="en-US"/>
        </w:rPr>
        <w:t xml:space="preserve">(a) To date, 1 287 properties have been confirmed as illegally occupied. </w:t>
      </w:r>
    </w:p>
    <w:p w:rsidR="004574E2" w:rsidRDefault="004574E2" w:rsidP="004574E2">
      <w:pPr>
        <w:rPr>
          <w:rFonts w:cs="Arial"/>
          <w:b/>
          <w:sz w:val="24"/>
          <w:szCs w:val="24"/>
          <w:lang w:eastAsia="en-US"/>
        </w:rPr>
      </w:pPr>
      <w:r w:rsidRPr="004574E2">
        <w:rPr>
          <w:rFonts w:cs="Arial"/>
          <w:b/>
          <w:sz w:val="24"/>
          <w:szCs w:val="24"/>
          <w:lang w:eastAsia="en-US"/>
        </w:rPr>
        <w:t xml:space="preserve"> </w:t>
      </w:r>
    </w:p>
    <w:p w:rsidR="004574E2" w:rsidRPr="004574E2" w:rsidRDefault="004574E2" w:rsidP="004574E2">
      <w:pPr>
        <w:rPr>
          <w:rFonts w:cs="Arial"/>
          <w:sz w:val="24"/>
          <w:szCs w:val="24"/>
          <w:lang w:eastAsia="en-US"/>
        </w:rPr>
      </w:pPr>
      <w:r w:rsidRPr="004574E2">
        <w:rPr>
          <w:rFonts w:cs="Arial"/>
          <w:sz w:val="24"/>
          <w:szCs w:val="24"/>
          <w:lang w:eastAsia="en-US"/>
        </w:rPr>
        <w:t>Below is a summary of instances of unlawful occupation:</w:t>
      </w:r>
    </w:p>
    <w:p w:rsidR="004574E2" w:rsidRP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Pr="004574E2" w:rsidRDefault="004574E2" w:rsidP="004574E2">
      <w:pPr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2328"/>
        <w:gridCol w:w="1522"/>
        <w:gridCol w:w="1925"/>
        <w:gridCol w:w="1926"/>
        <w:gridCol w:w="1926"/>
      </w:tblGrid>
      <w:tr w:rsidR="004574E2" w:rsidRPr="004574E2" w:rsidTr="004574E2">
        <w:trPr>
          <w:trHeight w:val="1362"/>
        </w:trPr>
        <w:tc>
          <w:tcPr>
            <w:tcW w:w="2328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Province</w:t>
            </w:r>
          </w:p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Squatters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Mud houses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Private houses/   commercial buildings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4574E2" w:rsidRPr="004574E2" w:rsidRDefault="00B9693E" w:rsidP="00B9693E">
            <w:pPr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 number</w:t>
            </w:r>
            <w:r w:rsidR="004574E2" w:rsidRPr="004574E2">
              <w:rPr>
                <w:rFonts w:cs="Arial"/>
                <w:b/>
                <w:sz w:val="24"/>
                <w:szCs w:val="24"/>
                <w:lang w:eastAsia="en-US"/>
              </w:rPr>
              <w:t xml:space="preserve"> of illegally occupied properties</w:t>
            </w:r>
          </w:p>
        </w:tc>
      </w:tr>
      <w:tr w:rsidR="004574E2" w:rsidRPr="004574E2" w:rsidTr="004574E2">
        <w:trPr>
          <w:trHeight w:val="257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proofErr w:type="spellStart"/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KwaZulu</w:t>
            </w:r>
            <w:proofErr w:type="spellEnd"/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 xml:space="preserve"> Natal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539</w:t>
            </w:r>
          </w:p>
        </w:tc>
      </w:tr>
      <w:tr w:rsidR="004574E2" w:rsidRPr="004574E2" w:rsidTr="004574E2">
        <w:trPr>
          <w:trHeight w:val="277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Eastern Cape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122</w:t>
            </w:r>
          </w:p>
        </w:tc>
      </w:tr>
      <w:tr w:rsidR="004574E2" w:rsidRPr="004574E2" w:rsidTr="004574E2">
        <w:trPr>
          <w:trHeight w:val="251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 xml:space="preserve">Gauteng 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149</w:t>
            </w:r>
          </w:p>
        </w:tc>
      </w:tr>
      <w:tr w:rsidR="004574E2" w:rsidRPr="004574E2" w:rsidTr="004574E2">
        <w:trPr>
          <w:trHeight w:val="241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Limpopo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4574E2" w:rsidRPr="004574E2" w:rsidTr="004574E2">
        <w:trPr>
          <w:trHeight w:val="245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Northern Cape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63</w:t>
            </w:r>
          </w:p>
        </w:tc>
      </w:tr>
      <w:tr w:rsidR="004574E2" w:rsidRPr="004574E2" w:rsidTr="004574E2">
        <w:trPr>
          <w:trHeight w:val="220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Western Cape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127</w:t>
            </w:r>
          </w:p>
        </w:tc>
      </w:tr>
      <w:tr w:rsidR="004574E2" w:rsidRPr="004574E2" w:rsidTr="004574E2">
        <w:trPr>
          <w:trHeight w:val="220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North West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4574E2" w:rsidRPr="004574E2" w:rsidTr="004574E2">
        <w:trPr>
          <w:trHeight w:val="220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lastRenderedPageBreak/>
              <w:t xml:space="preserve">Free State 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4574E2" w:rsidRPr="004574E2" w:rsidTr="004574E2">
        <w:trPr>
          <w:trHeight w:val="285"/>
        </w:trPr>
        <w:tc>
          <w:tcPr>
            <w:tcW w:w="2328" w:type="dxa"/>
          </w:tcPr>
          <w:p w:rsidR="004574E2" w:rsidRPr="004574E2" w:rsidRDefault="004574E2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 xml:space="preserve">Mpumalanga </w:t>
            </w:r>
          </w:p>
        </w:tc>
        <w:tc>
          <w:tcPr>
            <w:tcW w:w="1522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25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26" w:type="dxa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109</w:t>
            </w:r>
          </w:p>
        </w:tc>
      </w:tr>
      <w:tr w:rsidR="004574E2" w:rsidRPr="004574E2" w:rsidTr="004574E2">
        <w:trPr>
          <w:trHeight w:val="1089"/>
        </w:trPr>
        <w:tc>
          <w:tcPr>
            <w:tcW w:w="2328" w:type="dxa"/>
            <w:shd w:val="clear" w:color="auto" w:fill="BFBFBF" w:themeFill="background1" w:themeFillShade="BF"/>
          </w:tcPr>
          <w:p w:rsidR="004574E2" w:rsidRPr="004574E2" w:rsidRDefault="00B9693E" w:rsidP="004574E2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Total number</w:t>
            </w:r>
            <w:r w:rsidR="004574E2" w:rsidRPr="004574E2">
              <w:rPr>
                <w:rFonts w:cs="Arial"/>
                <w:b/>
                <w:sz w:val="24"/>
                <w:szCs w:val="24"/>
                <w:lang w:eastAsia="en-US"/>
              </w:rPr>
              <w:t xml:space="preserve"> of illegally occupied properties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635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:rsidR="004574E2" w:rsidRPr="004574E2" w:rsidRDefault="004574E2" w:rsidP="004574E2">
            <w:pPr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574E2">
              <w:rPr>
                <w:rFonts w:cs="Arial"/>
                <w:b/>
                <w:sz w:val="24"/>
                <w:szCs w:val="24"/>
                <w:lang w:eastAsia="en-US"/>
              </w:rPr>
              <w:t>1 287</w:t>
            </w:r>
          </w:p>
        </w:tc>
      </w:tr>
    </w:tbl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Pr="004574E2" w:rsidRDefault="004574E2" w:rsidP="004574E2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(b)</w:t>
      </w:r>
      <w:r>
        <w:rPr>
          <w:rFonts w:cs="Arial"/>
          <w:sz w:val="24"/>
          <w:szCs w:val="24"/>
          <w:lang w:eastAsia="en-US"/>
        </w:rPr>
        <w:tab/>
      </w:r>
      <w:r w:rsidRPr="004574E2">
        <w:rPr>
          <w:rFonts w:cs="Arial"/>
          <w:sz w:val="24"/>
          <w:szCs w:val="24"/>
          <w:lang w:eastAsia="en-US"/>
        </w:rPr>
        <w:t xml:space="preserve">313 properties are occupied by squatters who have built temporary (squatter camps) residences on the properties. 339 properties are occupied by communities </w:t>
      </w:r>
      <w:r w:rsidR="00B9693E">
        <w:rPr>
          <w:rFonts w:cs="Arial"/>
          <w:sz w:val="24"/>
          <w:szCs w:val="24"/>
          <w:lang w:eastAsia="en-US"/>
        </w:rPr>
        <w:t>that</w:t>
      </w:r>
      <w:r w:rsidRPr="004574E2">
        <w:rPr>
          <w:rFonts w:cs="Arial"/>
          <w:sz w:val="24"/>
          <w:szCs w:val="24"/>
          <w:lang w:eastAsia="en-US"/>
        </w:rPr>
        <w:t xml:space="preserve"> have built mud structures on the land. 635 properties are occupied by private sector commercial businesses and are being used either as private residences or business premises.</w:t>
      </w: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Default="004574E2" w:rsidP="004574E2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 </w:t>
      </w:r>
      <w:r>
        <w:rPr>
          <w:rFonts w:cs="Arial"/>
          <w:sz w:val="24"/>
          <w:szCs w:val="24"/>
          <w:lang w:eastAsia="en-US"/>
        </w:rPr>
        <w:tab/>
      </w:r>
      <w:r w:rsidRPr="004574E2">
        <w:rPr>
          <w:rFonts w:cs="Arial"/>
          <w:sz w:val="24"/>
          <w:szCs w:val="24"/>
          <w:lang w:eastAsia="en-US"/>
        </w:rPr>
        <w:t>To date, none of the above listed matters listed matters have been referred for criminal investigation. The Department of Publi</w:t>
      </w:r>
      <w:r w:rsidR="00B9693E">
        <w:rPr>
          <w:rFonts w:cs="Arial"/>
          <w:sz w:val="24"/>
          <w:szCs w:val="24"/>
          <w:lang w:eastAsia="en-US"/>
        </w:rPr>
        <w:t>c Works is currently following the</w:t>
      </w:r>
      <w:r w:rsidRPr="004574E2">
        <w:rPr>
          <w:rFonts w:cs="Arial"/>
          <w:sz w:val="24"/>
          <w:szCs w:val="24"/>
          <w:lang w:eastAsia="en-US"/>
        </w:rPr>
        <w:t xml:space="preserve"> civil</w:t>
      </w:r>
      <w:r w:rsidR="00B9693E">
        <w:rPr>
          <w:rFonts w:cs="Arial"/>
          <w:sz w:val="24"/>
          <w:szCs w:val="24"/>
          <w:lang w:eastAsia="en-US"/>
        </w:rPr>
        <w:t xml:space="preserve"> route in order to resolve disputes</w:t>
      </w:r>
      <w:r w:rsidRPr="004574E2">
        <w:rPr>
          <w:rFonts w:cs="Arial"/>
          <w:sz w:val="24"/>
          <w:szCs w:val="24"/>
          <w:lang w:eastAsia="en-US"/>
        </w:rPr>
        <w:t>.</w:t>
      </w:r>
    </w:p>
    <w:p w:rsidR="004574E2" w:rsidRDefault="004574E2" w:rsidP="004574E2">
      <w:pPr>
        <w:rPr>
          <w:rFonts w:cs="Arial"/>
          <w:sz w:val="24"/>
          <w:szCs w:val="24"/>
          <w:lang w:eastAsia="en-US"/>
        </w:rPr>
      </w:pPr>
    </w:p>
    <w:p w:rsidR="004574E2" w:rsidRPr="004574E2" w:rsidRDefault="004574E2" w:rsidP="004574E2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________________________________________________________________________</w:t>
      </w:r>
    </w:p>
    <w:p w:rsidR="00876BD0" w:rsidRPr="001B4CC4" w:rsidRDefault="00876BD0" w:rsidP="001B4CC4">
      <w:pPr>
        <w:rPr>
          <w:rFonts w:cs="Arial"/>
          <w:sz w:val="24"/>
          <w:szCs w:val="24"/>
          <w:lang w:eastAsia="en-US"/>
        </w:rPr>
      </w:pPr>
    </w:p>
    <w:sectPr w:rsidR="00876BD0" w:rsidRPr="001B4CC4" w:rsidSect="009776AC">
      <w:headerReference w:type="default" r:id="rId11"/>
      <w:footerReference w:type="default" r:id="rId12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4A" w:rsidRDefault="0077184A" w:rsidP="00B01072">
      <w:r>
        <w:separator/>
      </w:r>
    </w:p>
  </w:endnote>
  <w:endnote w:type="continuationSeparator" w:id="0">
    <w:p w:rsidR="0077184A" w:rsidRDefault="0077184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610BA6">
      <w:rPr>
        <w:rFonts w:eastAsiaTheme="majorEastAsia" w:cs="Arial"/>
        <w:b/>
        <w:sz w:val="18"/>
        <w:szCs w:val="18"/>
      </w:rPr>
      <w:t xml:space="preserve">ION NO. </w:t>
    </w:r>
    <w:r w:rsidR="001E7920">
      <w:rPr>
        <w:rFonts w:cs="Arial"/>
        <w:b/>
        <w:sz w:val="20"/>
        <w:lang w:val="af-ZA" w:eastAsia="en-US"/>
      </w:rPr>
      <w:t>10</w:t>
    </w:r>
    <w:r w:rsidR="008B4E9E">
      <w:rPr>
        <w:rFonts w:cs="Arial"/>
        <w:b/>
        <w:sz w:val="20"/>
        <w:lang w:val="af-ZA" w:eastAsia="en-US"/>
      </w:rPr>
      <w:t>91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DD35DD">
      <w:rPr>
        <w:rFonts w:eastAsiaTheme="majorEastAsia" w:cs="Arial"/>
        <w:b/>
        <w:sz w:val="18"/>
        <w:szCs w:val="18"/>
      </w:rPr>
      <w:t xml:space="preserve">– </w:t>
    </w:r>
    <w:r w:rsidR="000E5E4F" w:rsidRPr="000E5E4F">
      <w:rPr>
        <w:rFonts w:eastAsia="Calibri" w:cs="Arial"/>
        <w:b/>
        <w:sz w:val="20"/>
        <w:lang w:val="af-ZA" w:eastAsia="en-US"/>
      </w:rPr>
      <w:t>Ms D Kohler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551325" w:rsidRPr="00551325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E6D54" w:rsidRPr="000B4F40" w:rsidRDefault="00551325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4A" w:rsidRDefault="0077184A" w:rsidP="00B01072">
      <w:r>
        <w:separator/>
      </w:r>
    </w:p>
  </w:footnote>
  <w:footnote w:type="continuationSeparator" w:id="0">
    <w:p w:rsidR="0077184A" w:rsidRDefault="0077184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26C8"/>
    <w:multiLevelType w:val="hybridMultilevel"/>
    <w:tmpl w:val="6B8656FA"/>
    <w:lvl w:ilvl="0" w:tplc="614ADC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26C7"/>
    <w:multiLevelType w:val="hybridMultilevel"/>
    <w:tmpl w:val="E722AF68"/>
    <w:lvl w:ilvl="0" w:tplc="6F7C5414">
      <w:start w:val="503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2EC31D70"/>
    <w:multiLevelType w:val="hybridMultilevel"/>
    <w:tmpl w:val="B0068CF6"/>
    <w:lvl w:ilvl="0" w:tplc="C9A0B5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811BC0"/>
    <w:multiLevelType w:val="hybridMultilevel"/>
    <w:tmpl w:val="DE108F28"/>
    <w:lvl w:ilvl="0" w:tplc="5E0449E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A37BA"/>
    <w:multiLevelType w:val="hybridMultilevel"/>
    <w:tmpl w:val="D2940B64"/>
    <w:lvl w:ilvl="0" w:tplc="CF92B34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2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1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41"/>
  </w:num>
  <w:num w:numId="5">
    <w:abstractNumId w:val="24"/>
  </w:num>
  <w:num w:numId="6">
    <w:abstractNumId w:val="6"/>
  </w:num>
  <w:num w:numId="7">
    <w:abstractNumId w:val="31"/>
  </w:num>
  <w:num w:numId="8">
    <w:abstractNumId w:val="19"/>
  </w:num>
  <w:num w:numId="9">
    <w:abstractNumId w:val="36"/>
  </w:num>
  <w:num w:numId="10">
    <w:abstractNumId w:val="20"/>
  </w:num>
  <w:num w:numId="11">
    <w:abstractNumId w:val="37"/>
  </w:num>
  <w:num w:numId="12">
    <w:abstractNumId w:val="11"/>
  </w:num>
  <w:num w:numId="13">
    <w:abstractNumId w:val="21"/>
  </w:num>
  <w:num w:numId="14">
    <w:abstractNumId w:val="40"/>
  </w:num>
  <w:num w:numId="15">
    <w:abstractNumId w:val="3"/>
  </w:num>
  <w:num w:numId="16">
    <w:abstractNumId w:val="9"/>
  </w:num>
  <w:num w:numId="17">
    <w:abstractNumId w:val="35"/>
  </w:num>
  <w:num w:numId="18">
    <w:abstractNumId w:val="38"/>
  </w:num>
  <w:num w:numId="19">
    <w:abstractNumId w:val="22"/>
  </w:num>
  <w:num w:numId="20">
    <w:abstractNumId w:val="7"/>
  </w:num>
  <w:num w:numId="21">
    <w:abstractNumId w:val="28"/>
  </w:num>
  <w:num w:numId="22">
    <w:abstractNumId w:val="4"/>
  </w:num>
  <w:num w:numId="23">
    <w:abstractNumId w:val="39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5"/>
  </w:num>
  <w:num w:numId="29">
    <w:abstractNumId w:val="14"/>
  </w:num>
  <w:num w:numId="30">
    <w:abstractNumId w:val="33"/>
  </w:num>
  <w:num w:numId="31">
    <w:abstractNumId w:val="29"/>
  </w:num>
  <w:num w:numId="32">
    <w:abstractNumId w:val="30"/>
  </w:num>
  <w:num w:numId="33">
    <w:abstractNumId w:val="26"/>
  </w:num>
  <w:num w:numId="34">
    <w:abstractNumId w:val="23"/>
  </w:num>
  <w:num w:numId="35">
    <w:abstractNumId w:val="16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2"/>
  </w:num>
  <w:num w:numId="41">
    <w:abstractNumId w:val="17"/>
  </w:num>
  <w:num w:numId="42">
    <w:abstractNumId w:val="18"/>
  </w:num>
  <w:num w:numId="43">
    <w:abstractNumId w:val="8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4"/>
    <w:rsid w:val="000012D9"/>
    <w:rsid w:val="00003014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364D"/>
    <w:rsid w:val="00041696"/>
    <w:rsid w:val="00045D9F"/>
    <w:rsid w:val="000528E1"/>
    <w:rsid w:val="000574C9"/>
    <w:rsid w:val="00063548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107822"/>
    <w:rsid w:val="00110781"/>
    <w:rsid w:val="00111AB1"/>
    <w:rsid w:val="00123E02"/>
    <w:rsid w:val="00125195"/>
    <w:rsid w:val="001251BC"/>
    <w:rsid w:val="00131356"/>
    <w:rsid w:val="001340CE"/>
    <w:rsid w:val="00140E93"/>
    <w:rsid w:val="001449BF"/>
    <w:rsid w:val="00152C01"/>
    <w:rsid w:val="00162A0F"/>
    <w:rsid w:val="001651D8"/>
    <w:rsid w:val="001729E9"/>
    <w:rsid w:val="00173D02"/>
    <w:rsid w:val="00177367"/>
    <w:rsid w:val="001833AC"/>
    <w:rsid w:val="00186B9A"/>
    <w:rsid w:val="001A22C6"/>
    <w:rsid w:val="001B4CC4"/>
    <w:rsid w:val="001B77CD"/>
    <w:rsid w:val="001C2A53"/>
    <w:rsid w:val="001C2B34"/>
    <w:rsid w:val="001C602F"/>
    <w:rsid w:val="001C6CA1"/>
    <w:rsid w:val="001E486F"/>
    <w:rsid w:val="001E7920"/>
    <w:rsid w:val="001F0D11"/>
    <w:rsid w:val="001F1F16"/>
    <w:rsid w:val="00203E0F"/>
    <w:rsid w:val="00206C11"/>
    <w:rsid w:val="00207515"/>
    <w:rsid w:val="002229B7"/>
    <w:rsid w:val="002265CB"/>
    <w:rsid w:val="0023195F"/>
    <w:rsid w:val="00232D48"/>
    <w:rsid w:val="0023448E"/>
    <w:rsid w:val="00243357"/>
    <w:rsid w:val="00270D0B"/>
    <w:rsid w:val="00275F2F"/>
    <w:rsid w:val="00291BC2"/>
    <w:rsid w:val="00294275"/>
    <w:rsid w:val="002A5D13"/>
    <w:rsid w:val="002B2F32"/>
    <w:rsid w:val="002C175C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43207"/>
    <w:rsid w:val="00351A07"/>
    <w:rsid w:val="00352AC2"/>
    <w:rsid w:val="003563FA"/>
    <w:rsid w:val="003647DC"/>
    <w:rsid w:val="003718A9"/>
    <w:rsid w:val="003731CC"/>
    <w:rsid w:val="00382C94"/>
    <w:rsid w:val="00393240"/>
    <w:rsid w:val="003972AB"/>
    <w:rsid w:val="003B0590"/>
    <w:rsid w:val="003D262F"/>
    <w:rsid w:val="003D3867"/>
    <w:rsid w:val="003D7908"/>
    <w:rsid w:val="003E5694"/>
    <w:rsid w:val="003F3ABB"/>
    <w:rsid w:val="003F628A"/>
    <w:rsid w:val="00413C62"/>
    <w:rsid w:val="00426848"/>
    <w:rsid w:val="00432C4E"/>
    <w:rsid w:val="004342FE"/>
    <w:rsid w:val="00435691"/>
    <w:rsid w:val="0044149F"/>
    <w:rsid w:val="00453445"/>
    <w:rsid w:val="004574E2"/>
    <w:rsid w:val="0047042C"/>
    <w:rsid w:val="004739D7"/>
    <w:rsid w:val="00474586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4F111B"/>
    <w:rsid w:val="00501775"/>
    <w:rsid w:val="0052239F"/>
    <w:rsid w:val="005275AD"/>
    <w:rsid w:val="0053382B"/>
    <w:rsid w:val="005449EC"/>
    <w:rsid w:val="00551325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2D86"/>
    <w:rsid w:val="005E535A"/>
    <w:rsid w:val="005E6AF1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CC5"/>
    <w:rsid w:val="006343C2"/>
    <w:rsid w:val="006462D7"/>
    <w:rsid w:val="00670BA5"/>
    <w:rsid w:val="00675570"/>
    <w:rsid w:val="00684BB6"/>
    <w:rsid w:val="00685646"/>
    <w:rsid w:val="006A027A"/>
    <w:rsid w:val="006A05C9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55071"/>
    <w:rsid w:val="00760875"/>
    <w:rsid w:val="0077184A"/>
    <w:rsid w:val="007804BF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6EA6"/>
    <w:rsid w:val="00846C06"/>
    <w:rsid w:val="00850A5D"/>
    <w:rsid w:val="00856388"/>
    <w:rsid w:val="008717E7"/>
    <w:rsid w:val="00873D00"/>
    <w:rsid w:val="00876BD0"/>
    <w:rsid w:val="0088064A"/>
    <w:rsid w:val="00895B01"/>
    <w:rsid w:val="008A7CC3"/>
    <w:rsid w:val="008B3660"/>
    <w:rsid w:val="008B4E9E"/>
    <w:rsid w:val="008C472C"/>
    <w:rsid w:val="008D1384"/>
    <w:rsid w:val="008D1494"/>
    <w:rsid w:val="008D7DB2"/>
    <w:rsid w:val="008F177A"/>
    <w:rsid w:val="009148F7"/>
    <w:rsid w:val="00914A41"/>
    <w:rsid w:val="00916D71"/>
    <w:rsid w:val="00926BCD"/>
    <w:rsid w:val="00940E46"/>
    <w:rsid w:val="00970F77"/>
    <w:rsid w:val="00972EEF"/>
    <w:rsid w:val="00976436"/>
    <w:rsid w:val="009776AC"/>
    <w:rsid w:val="00980BB4"/>
    <w:rsid w:val="00997315"/>
    <w:rsid w:val="009A121F"/>
    <w:rsid w:val="009A34AE"/>
    <w:rsid w:val="009B418A"/>
    <w:rsid w:val="009B7DB2"/>
    <w:rsid w:val="009E27F6"/>
    <w:rsid w:val="009F4EFA"/>
    <w:rsid w:val="00A213AD"/>
    <w:rsid w:val="00A22472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109D3"/>
    <w:rsid w:val="00B32F50"/>
    <w:rsid w:val="00B40287"/>
    <w:rsid w:val="00B44E3D"/>
    <w:rsid w:val="00B5707E"/>
    <w:rsid w:val="00B6462A"/>
    <w:rsid w:val="00B7336E"/>
    <w:rsid w:val="00B76EA0"/>
    <w:rsid w:val="00B7781B"/>
    <w:rsid w:val="00B9693E"/>
    <w:rsid w:val="00BD53C1"/>
    <w:rsid w:val="00BD6CA5"/>
    <w:rsid w:val="00C13BCD"/>
    <w:rsid w:val="00C143AE"/>
    <w:rsid w:val="00C143C0"/>
    <w:rsid w:val="00C16434"/>
    <w:rsid w:val="00C2072D"/>
    <w:rsid w:val="00C25117"/>
    <w:rsid w:val="00C438C9"/>
    <w:rsid w:val="00C55CF0"/>
    <w:rsid w:val="00C5746B"/>
    <w:rsid w:val="00C723F1"/>
    <w:rsid w:val="00C734C8"/>
    <w:rsid w:val="00C94B70"/>
    <w:rsid w:val="00CA1ED8"/>
    <w:rsid w:val="00CC07E1"/>
    <w:rsid w:val="00CC255F"/>
    <w:rsid w:val="00CC2ECC"/>
    <w:rsid w:val="00CC69B7"/>
    <w:rsid w:val="00CE2E81"/>
    <w:rsid w:val="00CE70D6"/>
    <w:rsid w:val="00CF620B"/>
    <w:rsid w:val="00D00A7D"/>
    <w:rsid w:val="00D14B85"/>
    <w:rsid w:val="00D26A6A"/>
    <w:rsid w:val="00D377B6"/>
    <w:rsid w:val="00D40965"/>
    <w:rsid w:val="00D41166"/>
    <w:rsid w:val="00D42FF6"/>
    <w:rsid w:val="00D43797"/>
    <w:rsid w:val="00D51778"/>
    <w:rsid w:val="00D74A2D"/>
    <w:rsid w:val="00D82B08"/>
    <w:rsid w:val="00D97A90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365"/>
    <w:rsid w:val="00E0385B"/>
    <w:rsid w:val="00E123EB"/>
    <w:rsid w:val="00E13DDD"/>
    <w:rsid w:val="00E16F8D"/>
    <w:rsid w:val="00E20D63"/>
    <w:rsid w:val="00E23474"/>
    <w:rsid w:val="00E275CB"/>
    <w:rsid w:val="00E30823"/>
    <w:rsid w:val="00E36049"/>
    <w:rsid w:val="00E3748A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blicworks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D26A-86B8-4F7D-9EA0-DE513607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2016-05-20T15:41:00Z</cp:lastPrinted>
  <dcterms:created xsi:type="dcterms:W3CDTF">2016-05-24T06:53:00Z</dcterms:created>
  <dcterms:modified xsi:type="dcterms:W3CDTF">2016-05-24T06:53:00Z</dcterms:modified>
</cp:coreProperties>
</file>