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0" w:rsidRDefault="00F41F10"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12E57E07">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F41F10" w:rsidRPr="0050424B" w:rsidRDefault="00F41F10" w:rsidP="001B0917">
      <w:pPr>
        <w:tabs>
          <w:tab w:val="left" w:pos="432"/>
          <w:tab w:val="left" w:pos="864"/>
        </w:tabs>
        <w:spacing w:line="276" w:lineRule="auto"/>
        <w:jc w:val="center"/>
        <w:rPr>
          <w:rFonts w:ascii="Arial" w:hAnsi="Arial" w:cs="Arial"/>
          <w:b/>
        </w:rPr>
      </w:pPr>
    </w:p>
    <w:p w:rsidR="00C312EA" w:rsidRPr="0050424B" w:rsidRDefault="00C312EA" w:rsidP="008D1865">
      <w:pPr>
        <w:tabs>
          <w:tab w:val="left" w:pos="432"/>
          <w:tab w:val="left" w:pos="864"/>
        </w:tabs>
        <w:jc w:val="center"/>
        <w:rPr>
          <w:rFonts w:ascii="Arial" w:hAnsi="Arial" w:cs="Arial"/>
          <w:b/>
        </w:rPr>
      </w:pPr>
      <w:r w:rsidRPr="0050424B">
        <w:rPr>
          <w:rFonts w:ascii="Arial" w:hAnsi="Arial" w:cs="Arial"/>
          <w:b/>
        </w:rPr>
        <w:t>NATIONAL ASSEMBLY</w:t>
      </w:r>
    </w:p>
    <w:p w:rsidR="00C312EA" w:rsidRPr="0050424B" w:rsidRDefault="00C312EA" w:rsidP="008D1865">
      <w:pPr>
        <w:tabs>
          <w:tab w:val="left" w:pos="432"/>
          <w:tab w:val="left" w:pos="864"/>
        </w:tabs>
        <w:jc w:val="center"/>
        <w:rPr>
          <w:rFonts w:ascii="Arial" w:hAnsi="Arial" w:cs="Arial"/>
          <w:b/>
        </w:rPr>
      </w:pPr>
      <w:r w:rsidRPr="0050424B">
        <w:rPr>
          <w:rFonts w:ascii="Arial" w:hAnsi="Arial" w:cs="Arial"/>
          <w:b/>
        </w:rPr>
        <w:t>QUESTION FOR WRITTEN REPLY</w:t>
      </w:r>
    </w:p>
    <w:p w:rsidR="00AD00CE" w:rsidRPr="0050424B" w:rsidRDefault="00647EF2" w:rsidP="008D1865">
      <w:pPr>
        <w:tabs>
          <w:tab w:val="left" w:pos="432"/>
          <w:tab w:val="left" w:pos="864"/>
        </w:tabs>
        <w:jc w:val="center"/>
        <w:rPr>
          <w:rFonts w:ascii="Arial" w:hAnsi="Arial" w:cs="Arial"/>
          <w:b/>
        </w:rPr>
      </w:pPr>
      <w:r w:rsidRPr="0050424B">
        <w:rPr>
          <w:rFonts w:ascii="Arial" w:hAnsi="Arial" w:cs="Arial"/>
          <w:b/>
        </w:rPr>
        <w:t>QUESTION NUMBER</w:t>
      </w:r>
      <w:r w:rsidR="001B0917" w:rsidRPr="0050424B">
        <w:rPr>
          <w:rFonts w:ascii="Arial" w:hAnsi="Arial" w:cs="Arial"/>
          <w:b/>
        </w:rPr>
        <w:t>:</w:t>
      </w:r>
      <w:r w:rsidRPr="0050424B">
        <w:rPr>
          <w:rFonts w:ascii="Arial" w:hAnsi="Arial" w:cs="Arial"/>
          <w:b/>
        </w:rPr>
        <w:t xml:space="preserve"> </w:t>
      </w:r>
      <w:r w:rsidR="004900D0" w:rsidRPr="0050424B">
        <w:rPr>
          <w:rFonts w:ascii="Arial" w:hAnsi="Arial" w:cs="Arial"/>
          <w:b/>
        </w:rPr>
        <w:t>1083</w:t>
      </w:r>
      <w:r w:rsidR="00AD00CE" w:rsidRPr="0050424B">
        <w:rPr>
          <w:rFonts w:ascii="Arial" w:hAnsi="Arial" w:cs="Arial"/>
          <w:b/>
        </w:rPr>
        <w:t xml:space="preserve"> [NW</w:t>
      </w:r>
      <w:r w:rsidR="0035646A" w:rsidRPr="0050424B">
        <w:rPr>
          <w:rFonts w:ascii="Arial" w:hAnsi="Arial" w:cs="Arial"/>
          <w:b/>
        </w:rPr>
        <w:t>1</w:t>
      </w:r>
      <w:r w:rsidR="004900D0" w:rsidRPr="0050424B">
        <w:rPr>
          <w:rFonts w:ascii="Arial" w:hAnsi="Arial" w:cs="Arial"/>
          <w:b/>
        </w:rPr>
        <w:t>22</w:t>
      </w:r>
      <w:r w:rsidR="0035646A" w:rsidRPr="0050424B">
        <w:rPr>
          <w:rFonts w:ascii="Arial" w:hAnsi="Arial" w:cs="Arial"/>
          <w:b/>
        </w:rPr>
        <w:t>0</w:t>
      </w:r>
      <w:r w:rsidR="00AD00CE" w:rsidRPr="0050424B">
        <w:rPr>
          <w:rFonts w:ascii="Arial" w:hAnsi="Arial" w:cs="Arial"/>
          <w:b/>
        </w:rPr>
        <w:t>E]</w:t>
      </w:r>
    </w:p>
    <w:p w:rsidR="00C312EA" w:rsidRPr="0050424B" w:rsidRDefault="00BD31C6" w:rsidP="008D1865">
      <w:pPr>
        <w:tabs>
          <w:tab w:val="left" w:pos="432"/>
          <w:tab w:val="left" w:pos="864"/>
        </w:tabs>
        <w:jc w:val="center"/>
        <w:rPr>
          <w:rFonts w:ascii="Arial" w:hAnsi="Arial" w:cs="Arial"/>
          <w:b/>
        </w:rPr>
      </w:pPr>
      <w:r w:rsidRPr="0050424B">
        <w:rPr>
          <w:rFonts w:ascii="Arial" w:hAnsi="Arial" w:cs="Arial"/>
          <w:b/>
        </w:rPr>
        <w:t xml:space="preserve">DATE OF PUBLICATION: </w:t>
      </w:r>
      <w:r w:rsidR="0035646A" w:rsidRPr="0050424B">
        <w:rPr>
          <w:rFonts w:ascii="Arial" w:hAnsi="Arial" w:cs="Arial"/>
          <w:b/>
        </w:rPr>
        <w:t>15 MAY 2017</w:t>
      </w:r>
    </w:p>
    <w:p w:rsidR="0035646A" w:rsidRPr="008D1865" w:rsidRDefault="0035646A" w:rsidP="0050424B">
      <w:pPr>
        <w:spacing w:after="267" w:line="360" w:lineRule="auto"/>
        <w:ind w:left="818" w:hanging="818"/>
        <w:rPr>
          <w:rFonts w:ascii="Arial" w:eastAsia="Calibri" w:hAnsi="Arial" w:cs="Arial"/>
          <w:b/>
          <w:sz w:val="22"/>
          <w:szCs w:val="22"/>
          <w:lang w:val="en-ZA"/>
        </w:rPr>
      </w:pPr>
    </w:p>
    <w:p w:rsidR="004900D0" w:rsidRPr="008D1865" w:rsidRDefault="004900D0" w:rsidP="008D1865">
      <w:pPr>
        <w:ind w:left="818" w:hanging="818"/>
        <w:rPr>
          <w:rFonts w:ascii="Arial" w:eastAsia="Calibri" w:hAnsi="Arial" w:cs="Arial"/>
          <w:b/>
          <w:noProof/>
          <w:sz w:val="22"/>
          <w:szCs w:val="22"/>
          <w:lang w:val="af-ZA"/>
        </w:rPr>
      </w:pPr>
      <w:r w:rsidRPr="008D1865">
        <w:rPr>
          <w:rFonts w:ascii="Arial" w:eastAsia="Calibri" w:hAnsi="Arial" w:cs="Arial"/>
          <w:b/>
          <w:noProof/>
          <w:sz w:val="22"/>
          <w:szCs w:val="22"/>
          <w:lang w:val="af-ZA"/>
        </w:rPr>
        <w:t>1083.</w:t>
      </w:r>
      <w:r w:rsidRPr="008D1865">
        <w:rPr>
          <w:rFonts w:ascii="Arial" w:eastAsia="Calibri" w:hAnsi="Arial" w:cs="Arial"/>
          <w:b/>
          <w:noProof/>
          <w:sz w:val="22"/>
          <w:szCs w:val="22"/>
          <w:lang w:val="af-ZA"/>
        </w:rPr>
        <w:tab/>
        <w:t>Mr N F Shivambu (EFF) to ask the Minister of Finance:</w:t>
      </w:r>
    </w:p>
    <w:p w:rsidR="008D1865" w:rsidRDefault="008D1865" w:rsidP="008D1865">
      <w:pPr>
        <w:ind w:left="810"/>
        <w:jc w:val="both"/>
        <w:outlineLvl w:val="0"/>
        <w:rPr>
          <w:rFonts w:ascii="Arial" w:eastAsia="Calibri" w:hAnsi="Arial" w:cs="Arial"/>
          <w:sz w:val="22"/>
          <w:szCs w:val="22"/>
          <w:lang w:val="en-ZA"/>
        </w:rPr>
      </w:pPr>
    </w:p>
    <w:p w:rsidR="004900D0" w:rsidRPr="008D1865" w:rsidRDefault="004900D0" w:rsidP="008D1865">
      <w:pPr>
        <w:ind w:left="810"/>
        <w:jc w:val="both"/>
        <w:outlineLvl w:val="0"/>
        <w:rPr>
          <w:rFonts w:ascii="Arial" w:eastAsia="Calibri" w:hAnsi="Arial" w:cs="Arial"/>
          <w:sz w:val="22"/>
          <w:szCs w:val="22"/>
          <w:lang w:val="en-ZA"/>
        </w:rPr>
      </w:pPr>
      <w:r w:rsidRPr="008D1865">
        <w:rPr>
          <w:rFonts w:ascii="Arial" w:eastAsia="Calibri" w:hAnsi="Arial" w:cs="Arial"/>
          <w:sz w:val="22"/>
          <w:szCs w:val="22"/>
          <w:lang w:val="en-ZA"/>
        </w:rPr>
        <w:t xml:space="preserve">Whether the National Treasury conducted an investigation into the sale of </w:t>
      </w:r>
      <w:r w:rsidRPr="008D1865">
        <w:rPr>
          <w:rFonts w:ascii="Arial" w:eastAsia="Calibri" w:hAnsi="Arial" w:cs="Arial"/>
          <w:noProof/>
          <w:sz w:val="22"/>
          <w:szCs w:val="22"/>
          <w:lang w:val="af-ZA"/>
        </w:rPr>
        <w:t>strategic</w:t>
      </w:r>
      <w:r w:rsidRPr="008D1865">
        <w:rPr>
          <w:rFonts w:ascii="Arial" w:eastAsia="Calibri" w:hAnsi="Arial" w:cs="Arial"/>
          <w:sz w:val="22"/>
          <w:szCs w:val="22"/>
          <w:lang w:val="en-ZA"/>
        </w:rPr>
        <w:t xml:space="preserve"> oil reserves; if not, why not; if so, on what date (a) was the investigation completed and (b) will he table </w:t>
      </w:r>
      <w:r w:rsidRPr="008D1865">
        <w:rPr>
          <w:rFonts w:ascii="Arial" w:eastAsia="Calibri" w:hAnsi="Arial" w:cs="Arial"/>
          <w:color w:val="000000"/>
          <w:sz w:val="22"/>
          <w:szCs w:val="22"/>
          <w:lang w:val="en" w:eastAsia="en-ZA"/>
        </w:rPr>
        <w:t>the</w:t>
      </w:r>
      <w:r w:rsidRPr="008D1865">
        <w:rPr>
          <w:rFonts w:ascii="Arial" w:eastAsia="Calibri" w:hAnsi="Arial" w:cs="Arial"/>
          <w:sz w:val="22"/>
          <w:szCs w:val="22"/>
          <w:lang w:val="en-ZA"/>
        </w:rPr>
        <w:t xml:space="preserve"> report in the National Assembly?</w:t>
      </w:r>
      <w:r w:rsidRPr="008D1865">
        <w:rPr>
          <w:rFonts w:ascii="Arial" w:eastAsia="Calibri" w:hAnsi="Arial" w:cs="Arial"/>
          <w:sz w:val="22"/>
          <w:szCs w:val="22"/>
          <w:lang w:val="en-ZA"/>
        </w:rPr>
        <w:tab/>
      </w:r>
    </w:p>
    <w:p w:rsidR="008D1865" w:rsidRDefault="008D1865" w:rsidP="008D1865">
      <w:pPr>
        <w:ind w:left="810"/>
        <w:jc w:val="both"/>
        <w:outlineLvl w:val="0"/>
        <w:rPr>
          <w:rFonts w:ascii="Arial" w:eastAsia="Calibri" w:hAnsi="Arial" w:cs="Arial"/>
          <w:sz w:val="22"/>
          <w:szCs w:val="22"/>
          <w:lang w:val="en-ZA"/>
        </w:rPr>
      </w:pPr>
    </w:p>
    <w:p w:rsidR="004900D0" w:rsidRPr="008D1865" w:rsidRDefault="004900D0" w:rsidP="008D1865">
      <w:pPr>
        <w:ind w:left="810"/>
        <w:jc w:val="right"/>
        <w:outlineLvl w:val="0"/>
        <w:rPr>
          <w:rFonts w:ascii="Arial" w:eastAsia="Calibri" w:hAnsi="Arial" w:cs="Arial"/>
          <w:sz w:val="22"/>
          <w:szCs w:val="22"/>
          <w:lang w:val="en-GB"/>
        </w:rPr>
      </w:pPr>
      <w:r w:rsidRPr="008D1865">
        <w:rPr>
          <w:rFonts w:ascii="Arial" w:eastAsia="Calibri" w:hAnsi="Arial" w:cs="Arial"/>
          <w:sz w:val="22"/>
          <w:szCs w:val="22"/>
          <w:lang w:val="en-ZA"/>
        </w:rPr>
        <w:tab/>
      </w:r>
      <w:r w:rsidRPr="008D1865">
        <w:rPr>
          <w:rFonts w:ascii="Arial" w:eastAsia="Calibri" w:hAnsi="Arial" w:cs="Arial"/>
          <w:sz w:val="22"/>
          <w:szCs w:val="22"/>
          <w:lang w:val="en-ZA"/>
        </w:rPr>
        <w:tab/>
      </w:r>
      <w:r w:rsidRPr="008D1865">
        <w:rPr>
          <w:rFonts w:ascii="Arial" w:eastAsia="Calibri" w:hAnsi="Arial" w:cs="Arial"/>
          <w:sz w:val="22"/>
          <w:szCs w:val="22"/>
          <w:lang w:val="en-ZA"/>
        </w:rPr>
        <w:tab/>
      </w:r>
      <w:r w:rsidRPr="008D1865">
        <w:rPr>
          <w:rFonts w:ascii="Arial" w:eastAsia="Calibri" w:hAnsi="Arial" w:cs="Arial"/>
          <w:sz w:val="22"/>
          <w:szCs w:val="22"/>
          <w:lang w:val="en-ZA"/>
        </w:rPr>
        <w:tab/>
      </w:r>
      <w:r w:rsidRPr="008D1865">
        <w:rPr>
          <w:rFonts w:ascii="Arial" w:eastAsia="Calibri" w:hAnsi="Arial" w:cs="Arial"/>
          <w:sz w:val="22"/>
          <w:szCs w:val="22"/>
          <w:lang w:val="en-ZA"/>
        </w:rPr>
        <w:tab/>
      </w:r>
      <w:r w:rsidRPr="008D1865">
        <w:rPr>
          <w:rFonts w:ascii="Arial" w:eastAsia="Calibri" w:hAnsi="Arial" w:cs="Arial"/>
          <w:sz w:val="22"/>
          <w:szCs w:val="22"/>
          <w:lang w:val="en-ZA"/>
        </w:rPr>
        <w:tab/>
      </w:r>
      <w:r w:rsidRPr="008D1865">
        <w:rPr>
          <w:rFonts w:ascii="Arial" w:eastAsia="Calibri" w:hAnsi="Arial" w:cs="Arial"/>
          <w:sz w:val="22"/>
          <w:szCs w:val="22"/>
          <w:lang w:val="en-ZA"/>
        </w:rPr>
        <w:tab/>
      </w:r>
      <w:r w:rsidRPr="008D1865">
        <w:rPr>
          <w:rFonts w:ascii="Arial" w:eastAsia="Calibri" w:hAnsi="Arial" w:cs="Arial"/>
          <w:sz w:val="22"/>
          <w:szCs w:val="22"/>
          <w:lang w:val="en-ZA"/>
        </w:rPr>
        <w:tab/>
      </w:r>
      <w:r w:rsidRPr="008D1865">
        <w:rPr>
          <w:rFonts w:ascii="Arial" w:eastAsia="Calibri" w:hAnsi="Arial" w:cs="Arial"/>
          <w:sz w:val="22"/>
          <w:szCs w:val="22"/>
          <w:lang w:val="en-ZA"/>
        </w:rPr>
        <w:tab/>
        <w:t>NW1220E</w:t>
      </w:r>
    </w:p>
    <w:p w:rsidR="008D1865" w:rsidRDefault="008D1865" w:rsidP="008D1865">
      <w:pPr>
        <w:pStyle w:val="BodyTextIndent"/>
        <w:spacing w:line="240" w:lineRule="auto"/>
        <w:ind w:left="0" w:firstLine="0"/>
        <w:rPr>
          <w:rFonts w:ascii="Arial" w:hAnsi="Arial" w:cs="Arial"/>
          <w:b/>
          <w:sz w:val="22"/>
          <w:szCs w:val="22"/>
        </w:rPr>
      </w:pPr>
    </w:p>
    <w:p w:rsidR="008D1865" w:rsidRDefault="008D1865" w:rsidP="008D1865">
      <w:pPr>
        <w:pStyle w:val="BodyTextIndent"/>
        <w:spacing w:line="240" w:lineRule="auto"/>
        <w:ind w:left="0" w:firstLine="0"/>
        <w:rPr>
          <w:rFonts w:ascii="Arial" w:hAnsi="Arial" w:cs="Arial"/>
          <w:b/>
          <w:sz w:val="22"/>
          <w:szCs w:val="22"/>
        </w:rPr>
      </w:pPr>
    </w:p>
    <w:p w:rsidR="001433AE" w:rsidRPr="008D1865" w:rsidRDefault="001433AE" w:rsidP="008D1865">
      <w:pPr>
        <w:pStyle w:val="BodyTextIndent"/>
        <w:spacing w:line="240" w:lineRule="auto"/>
        <w:ind w:left="0" w:firstLine="0"/>
        <w:rPr>
          <w:rFonts w:ascii="Arial" w:hAnsi="Arial" w:cs="Arial"/>
          <w:b/>
          <w:sz w:val="22"/>
          <w:szCs w:val="22"/>
        </w:rPr>
      </w:pPr>
      <w:r w:rsidRPr="008D1865">
        <w:rPr>
          <w:rFonts w:ascii="Arial" w:hAnsi="Arial" w:cs="Arial"/>
          <w:b/>
          <w:sz w:val="22"/>
          <w:szCs w:val="22"/>
        </w:rPr>
        <w:t>REPLY:</w:t>
      </w:r>
    </w:p>
    <w:p w:rsidR="00FB322F" w:rsidRPr="008D1865" w:rsidRDefault="00FB322F" w:rsidP="008D1865">
      <w:pPr>
        <w:pStyle w:val="BodyTextIndent"/>
        <w:spacing w:line="240" w:lineRule="auto"/>
        <w:ind w:left="0" w:firstLine="0"/>
        <w:rPr>
          <w:rFonts w:ascii="Arial" w:hAnsi="Arial" w:cs="Arial"/>
          <w:b/>
          <w:sz w:val="22"/>
          <w:szCs w:val="22"/>
        </w:rPr>
      </w:pPr>
    </w:p>
    <w:p w:rsidR="000C1EA2" w:rsidRPr="008D1865" w:rsidRDefault="000C1EA2" w:rsidP="008D1865">
      <w:pPr>
        <w:pStyle w:val="BodyTextIndent"/>
        <w:spacing w:line="240" w:lineRule="auto"/>
        <w:ind w:left="0" w:firstLine="0"/>
        <w:jc w:val="both"/>
        <w:rPr>
          <w:rFonts w:ascii="Arial" w:hAnsi="Arial" w:cs="Arial"/>
          <w:sz w:val="22"/>
          <w:szCs w:val="22"/>
        </w:rPr>
      </w:pPr>
      <w:r w:rsidRPr="008D1865">
        <w:rPr>
          <w:rFonts w:ascii="Arial" w:hAnsi="Arial" w:cs="Arial"/>
          <w:sz w:val="22"/>
          <w:szCs w:val="22"/>
        </w:rPr>
        <w:t>In June 2016, the National Treasury met with various officials within the Department of Energy (DoE), the Central Energy Fund (CEF) and the Strategic Fuel Fund (SFF).</w:t>
      </w:r>
      <w:r w:rsidR="008D1865">
        <w:rPr>
          <w:rFonts w:ascii="Arial" w:hAnsi="Arial" w:cs="Arial"/>
          <w:sz w:val="22"/>
          <w:szCs w:val="22"/>
        </w:rPr>
        <w:t xml:space="preserve">  </w:t>
      </w:r>
      <w:r w:rsidRPr="008D1865">
        <w:rPr>
          <w:rFonts w:ascii="Arial" w:hAnsi="Arial" w:cs="Arial"/>
          <w:sz w:val="22"/>
          <w:szCs w:val="22"/>
        </w:rPr>
        <w:t>This meeting was held subsequent to the National Treasury learning of the disposal of the strategic oil reserves by the SFF with a view of understanding the details of what had occurred.</w:t>
      </w:r>
    </w:p>
    <w:p w:rsidR="000C1EA2" w:rsidRPr="008D1865" w:rsidRDefault="008D1865" w:rsidP="008D1865">
      <w:pPr>
        <w:pStyle w:val="BodyTextIndent"/>
        <w:tabs>
          <w:tab w:val="clear" w:pos="432"/>
          <w:tab w:val="clear" w:pos="864"/>
          <w:tab w:val="left" w:pos="2610"/>
        </w:tabs>
        <w:spacing w:line="240" w:lineRule="auto"/>
        <w:ind w:left="0" w:firstLine="0"/>
        <w:jc w:val="both"/>
        <w:rPr>
          <w:rFonts w:ascii="Arial" w:hAnsi="Arial" w:cs="Arial"/>
          <w:sz w:val="22"/>
          <w:szCs w:val="22"/>
        </w:rPr>
      </w:pPr>
      <w:r w:rsidRPr="008D1865">
        <w:rPr>
          <w:rFonts w:ascii="Arial" w:hAnsi="Arial" w:cs="Arial"/>
          <w:sz w:val="22"/>
          <w:szCs w:val="22"/>
        </w:rPr>
        <w:tab/>
      </w:r>
    </w:p>
    <w:p w:rsidR="000C1EA2" w:rsidRPr="008D1865" w:rsidRDefault="000C1EA2" w:rsidP="008D1865">
      <w:pPr>
        <w:pStyle w:val="BodyTextIndent"/>
        <w:spacing w:line="240" w:lineRule="auto"/>
        <w:ind w:left="0" w:firstLine="0"/>
        <w:jc w:val="both"/>
        <w:rPr>
          <w:rFonts w:ascii="Arial" w:hAnsi="Arial" w:cs="Arial"/>
          <w:sz w:val="22"/>
          <w:szCs w:val="22"/>
        </w:rPr>
      </w:pPr>
      <w:r w:rsidRPr="008D1865">
        <w:rPr>
          <w:rFonts w:ascii="Arial" w:hAnsi="Arial" w:cs="Arial"/>
          <w:sz w:val="22"/>
          <w:szCs w:val="22"/>
        </w:rPr>
        <w:t>Following the meeting, the SFF committed to submitting to the National Treasury all documentation relating to the disposal process.</w:t>
      </w:r>
      <w:r w:rsidR="008D1865">
        <w:rPr>
          <w:rFonts w:ascii="Arial" w:hAnsi="Arial" w:cs="Arial"/>
          <w:sz w:val="22"/>
          <w:szCs w:val="22"/>
        </w:rPr>
        <w:t xml:space="preserve">  </w:t>
      </w:r>
      <w:r w:rsidRPr="008D1865">
        <w:rPr>
          <w:rFonts w:ascii="Arial" w:hAnsi="Arial" w:cs="Arial"/>
          <w:sz w:val="22"/>
          <w:szCs w:val="22"/>
        </w:rPr>
        <w:t>The National Treasury reviewed the documentation in order to ascertain the legality of the process followed in accordance with the Public Finance Management Act (PFMA) and the Central Energy Fund Act of 1977.</w:t>
      </w:r>
    </w:p>
    <w:p w:rsidR="000C1EA2" w:rsidRPr="008D1865" w:rsidRDefault="000C1EA2" w:rsidP="008D1865">
      <w:pPr>
        <w:pStyle w:val="BodyTextIndent"/>
        <w:spacing w:line="240" w:lineRule="auto"/>
        <w:ind w:left="0" w:firstLine="0"/>
        <w:jc w:val="both"/>
        <w:rPr>
          <w:rFonts w:ascii="Arial" w:hAnsi="Arial" w:cs="Arial"/>
          <w:sz w:val="22"/>
          <w:szCs w:val="22"/>
        </w:rPr>
      </w:pPr>
    </w:p>
    <w:p w:rsidR="000C1EA2" w:rsidRPr="008D1865" w:rsidRDefault="000C1EA2" w:rsidP="008D1865">
      <w:pPr>
        <w:pStyle w:val="BodyTextIndent"/>
        <w:spacing w:line="240" w:lineRule="auto"/>
        <w:ind w:left="0" w:firstLine="0"/>
        <w:jc w:val="both"/>
        <w:rPr>
          <w:rFonts w:ascii="Arial" w:hAnsi="Arial" w:cs="Arial"/>
          <w:sz w:val="22"/>
          <w:szCs w:val="22"/>
        </w:rPr>
      </w:pPr>
      <w:r w:rsidRPr="008D1865">
        <w:rPr>
          <w:rFonts w:ascii="Arial" w:hAnsi="Arial" w:cs="Arial"/>
          <w:sz w:val="22"/>
          <w:szCs w:val="22"/>
        </w:rPr>
        <w:t>The National Treasury completed its review and reported its findings and recommendations to the former Minister of Energy in August 2016.</w:t>
      </w:r>
      <w:r w:rsidR="008D1865">
        <w:rPr>
          <w:rFonts w:ascii="Arial" w:hAnsi="Arial" w:cs="Arial"/>
          <w:sz w:val="22"/>
          <w:szCs w:val="22"/>
        </w:rPr>
        <w:t xml:space="preserve">  </w:t>
      </w:r>
      <w:r w:rsidRPr="008D1865">
        <w:rPr>
          <w:rFonts w:ascii="Arial" w:hAnsi="Arial" w:cs="Arial"/>
          <w:sz w:val="22"/>
          <w:szCs w:val="22"/>
        </w:rPr>
        <w:t xml:space="preserve">No response has </w:t>
      </w:r>
      <w:r w:rsidR="008D1865">
        <w:rPr>
          <w:rFonts w:ascii="Arial" w:hAnsi="Arial" w:cs="Arial"/>
          <w:sz w:val="22"/>
          <w:szCs w:val="22"/>
        </w:rPr>
        <w:t xml:space="preserve">been received to date.  </w:t>
      </w:r>
      <w:r w:rsidRPr="008D1865">
        <w:rPr>
          <w:rFonts w:ascii="Arial" w:hAnsi="Arial" w:cs="Arial"/>
          <w:sz w:val="22"/>
          <w:szCs w:val="22"/>
        </w:rPr>
        <w:t xml:space="preserve">The former Minister of Energy instituted an investigation into the stock disposal </w:t>
      </w:r>
      <w:proofErr w:type="gramStart"/>
      <w:r w:rsidRPr="008D1865">
        <w:rPr>
          <w:rFonts w:ascii="Arial" w:hAnsi="Arial" w:cs="Arial"/>
          <w:sz w:val="22"/>
          <w:szCs w:val="22"/>
        </w:rPr>
        <w:t>process</w:t>
      </w:r>
      <w:r w:rsidR="008D1865">
        <w:rPr>
          <w:rFonts w:ascii="Arial" w:hAnsi="Arial" w:cs="Arial"/>
          <w:sz w:val="22"/>
          <w:szCs w:val="22"/>
        </w:rPr>
        <w:t>,</w:t>
      </w:r>
      <w:proofErr w:type="gramEnd"/>
      <w:r w:rsidRPr="008D1865">
        <w:rPr>
          <w:rFonts w:ascii="Arial" w:hAnsi="Arial" w:cs="Arial"/>
          <w:sz w:val="22"/>
          <w:szCs w:val="22"/>
        </w:rPr>
        <w:t xml:space="preserve"> however, the findings of the investigation have not been reported to the National Treasury.</w:t>
      </w:r>
    </w:p>
    <w:p w:rsidR="0050424B" w:rsidRPr="008D1865" w:rsidRDefault="0050424B" w:rsidP="008D1865">
      <w:pPr>
        <w:pStyle w:val="BodyTextIndent"/>
        <w:spacing w:line="240" w:lineRule="auto"/>
        <w:ind w:left="0" w:firstLine="0"/>
        <w:jc w:val="both"/>
        <w:rPr>
          <w:rFonts w:ascii="Arial" w:hAnsi="Arial" w:cs="Arial"/>
          <w:b/>
          <w:sz w:val="22"/>
          <w:szCs w:val="22"/>
          <w:lang w:val="en-GB"/>
        </w:rPr>
      </w:pPr>
      <w:bookmarkStart w:id="0" w:name="_GoBack"/>
      <w:bookmarkEnd w:id="0"/>
    </w:p>
    <w:sectPr w:rsidR="0050424B" w:rsidRPr="008D1865" w:rsidSect="008D1865">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E340626"/>
    <w:multiLevelType w:val="hybridMultilevel"/>
    <w:tmpl w:val="F2B259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A"/>
    <w:rsid w:val="00012C14"/>
    <w:rsid w:val="00020C04"/>
    <w:rsid w:val="0004324C"/>
    <w:rsid w:val="000A41F5"/>
    <w:rsid w:val="000C1EA2"/>
    <w:rsid w:val="000C48D8"/>
    <w:rsid w:val="000F3B14"/>
    <w:rsid w:val="001423A7"/>
    <w:rsid w:val="001433AE"/>
    <w:rsid w:val="0015250D"/>
    <w:rsid w:val="0015727B"/>
    <w:rsid w:val="001713D2"/>
    <w:rsid w:val="001B0917"/>
    <w:rsid w:val="001E3FB5"/>
    <w:rsid w:val="001E6902"/>
    <w:rsid w:val="002577F1"/>
    <w:rsid w:val="0029280D"/>
    <w:rsid w:val="002F6E86"/>
    <w:rsid w:val="00312B7B"/>
    <w:rsid w:val="003421BD"/>
    <w:rsid w:val="0035646A"/>
    <w:rsid w:val="00426835"/>
    <w:rsid w:val="004900D0"/>
    <w:rsid w:val="004F53B2"/>
    <w:rsid w:val="0050424B"/>
    <w:rsid w:val="005141B3"/>
    <w:rsid w:val="005217A9"/>
    <w:rsid w:val="00574E19"/>
    <w:rsid w:val="00613FC6"/>
    <w:rsid w:val="006239F1"/>
    <w:rsid w:val="00624D20"/>
    <w:rsid w:val="0062770E"/>
    <w:rsid w:val="0064275F"/>
    <w:rsid w:val="00647EF2"/>
    <w:rsid w:val="00652C37"/>
    <w:rsid w:val="00653A85"/>
    <w:rsid w:val="007118EA"/>
    <w:rsid w:val="00726A9C"/>
    <w:rsid w:val="007359BF"/>
    <w:rsid w:val="007914E0"/>
    <w:rsid w:val="007A32AF"/>
    <w:rsid w:val="007B1BA1"/>
    <w:rsid w:val="007D7D93"/>
    <w:rsid w:val="007F250C"/>
    <w:rsid w:val="007F7F60"/>
    <w:rsid w:val="00891265"/>
    <w:rsid w:val="008C2559"/>
    <w:rsid w:val="008D1865"/>
    <w:rsid w:val="008F472E"/>
    <w:rsid w:val="00911717"/>
    <w:rsid w:val="009163A5"/>
    <w:rsid w:val="00940902"/>
    <w:rsid w:val="00953363"/>
    <w:rsid w:val="0096007E"/>
    <w:rsid w:val="009A18A7"/>
    <w:rsid w:val="00A27751"/>
    <w:rsid w:val="00A525F0"/>
    <w:rsid w:val="00A72B9B"/>
    <w:rsid w:val="00AD00CE"/>
    <w:rsid w:val="00AD5C9B"/>
    <w:rsid w:val="00B447E6"/>
    <w:rsid w:val="00B77F67"/>
    <w:rsid w:val="00BD31C6"/>
    <w:rsid w:val="00C17C41"/>
    <w:rsid w:val="00C25C7E"/>
    <w:rsid w:val="00C312EA"/>
    <w:rsid w:val="00C44C35"/>
    <w:rsid w:val="00C60822"/>
    <w:rsid w:val="00CC2F3E"/>
    <w:rsid w:val="00D354D6"/>
    <w:rsid w:val="00DB2463"/>
    <w:rsid w:val="00DC41DF"/>
    <w:rsid w:val="00DD5296"/>
    <w:rsid w:val="00DD78D2"/>
    <w:rsid w:val="00DF0D26"/>
    <w:rsid w:val="00E77DF6"/>
    <w:rsid w:val="00E8352B"/>
    <w:rsid w:val="00EA6A49"/>
    <w:rsid w:val="00F41F10"/>
    <w:rsid w:val="00F51C17"/>
    <w:rsid w:val="00F5571A"/>
    <w:rsid w:val="00F87EA6"/>
    <w:rsid w:val="00F95094"/>
    <w:rsid w:val="00FB322F"/>
    <w:rsid w:val="00FC2064"/>
    <w:rsid w:val="00FC3C1A"/>
    <w:rsid w:val="00FD24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65A5-E3B6-4F15-8F8D-D740CC31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2017-06-12T06:36:00Z</cp:lastPrinted>
  <dcterms:created xsi:type="dcterms:W3CDTF">2017-06-14T10:28:00Z</dcterms:created>
  <dcterms:modified xsi:type="dcterms:W3CDTF">2017-06-14T10:28:00Z</dcterms:modified>
</cp:coreProperties>
</file>