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D761CB" w:rsidRPr="00D761CB" w:rsidRDefault="00D761CB" w:rsidP="00D761CB">
      <w:pPr>
        <w:tabs>
          <w:tab w:val="center" w:pos="4680"/>
          <w:tab w:val="left" w:pos="8595"/>
        </w:tabs>
        <w:spacing w:before="240" w:after="240" w:line="360" w:lineRule="auto"/>
        <w:jc w:val="center"/>
        <w:rPr>
          <w:rFonts w:ascii="Arial" w:hAnsi="Arial" w:cs="Arial"/>
          <w:b/>
          <w:bCs/>
          <w:lang w:val="en-ZA"/>
        </w:rPr>
      </w:pPr>
      <w:r w:rsidRPr="00D761CB">
        <w:rPr>
          <w:rFonts w:ascii="Arial" w:hAnsi="Arial" w:cs="Arial"/>
          <w:b/>
          <w:bCs/>
          <w:lang w:val="en-ZA"/>
        </w:rPr>
        <w:t>NATIONAL ASSEMBLY</w:t>
      </w:r>
    </w:p>
    <w:p w:rsidR="00D761CB" w:rsidRPr="00D761CB" w:rsidRDefault="00D761CB" w:rsidP="00D761CB">
      <w:pPr>
        <w:spacing w:before="240" w:after="240" w:line="360" w:lineRule="auto"/>
        <w:jc w:val="center"/>
        <w:rPr>
          <w:rFonts w:ascii="Arial" w:hAnsi="Arial" w:cs="Arial"/>
          <w:b/>
          <w:bCs/>
          <w:lang w:val="en-ZA"/>
        </w:rPr>
      </w:pPr>
      <w:r w:rsidRPr="00D761CB">
        <w:rPr>
          <w:rFonts w:ascii="Arial" w:hAnsi="Arial" w:cs="Arial"/>
          <w:b/>
          <w:bCs/>
          <w:lang w:val="en-ZA"/>
        </w:rPr>
        <w:t>FOR WRITTEN REPLY</w:t>
      </w:r>
    </w:p>
    <w:p w:rsidR="00D761CB" w:rsidRPr="00D761CB" w:rsidRDefault="00D761CB" w:rsidP="00D761CB">
      <w:pPr>
        <w:spacing w:before="240" w:after="240" w:line="360" w:lineRule="auto"/>
        <w:jc w:val="center"/>
        <w:rPr>
          <w:rFonts w:ascii="Arial" w:hAnsi="Arial" w:cs="Arial"/>
          <w:b/>
          <w:bCs/>
          <w:lang w:val="en-ZA"/>
        </w:rPr>
      </w:pPr>
      <w:r w:rsidRPr="00D761CB">
        <w:rPr>
          <w:rFonts w:ascii="Arial" w:hAnsi="Arial" w:cs="Arial"/>
          <w:b/>
          <w:bCs/>
          <w:lang w:val="en-ZA"/>
        </w:rPr>
        <w:t>QUESTION 1080</w:t>
      </w:r>
    </w:p>
    <w:p w:rsidR="00D761CB" w:rsidRPr="00D761CB" w:rsidRDefault="00D761CB" w:rsidP="00D761CB">
      <w:pPr>
        <w:spacing w:before="240" w:after="240" w:line="360" w:lineRule="auto"/>
        <w:jc w:val="center"/>
        <w:rPr>
          <w:rFonts w:ascii="Arial" w:hAnsi="Arial" w:cs="Arial"/>
          <w:b/>
          <w:bCs/>
          <w:lang w:val="en-ZA"/>
        </w:rPr>
      </w:pPr>
      <w:r w:rsidRPr="00D761CB">
        <w:rPr>
          <w:rFonts w:ascii="Arial" w:hAnsi="Arial" w:cs="Arial"/>
          <w:b/>
          <w:bCs/>
          <w:lang w:val="en-ZA"/>
        </w:rPr>
        <w:t>DATE OF PUBLICATION OF INTERNAL QUESTION PAPER: 05/06/2020</w:t>
      </w:r>
    </w:p>
    <w:p w:rsidR="00D761CB" w:rsidRPr="00D761CB" w:rsidRDefault="00D761CB" w:rsidP="00D761CB">
      <w:pPr>
        <w:spacing w:before="240" w:after="240" w:line="360" w:lineRule="auto"/>
        <w:jc w:val="center"/>
        <w:rPr>
          <w:rFonts w:ascii="Arial" w:hAnsi="Arial" w:cs="Arial"/>
          <w:b/>
          <w:bCs/>
          <w:lang w:val="en-ZA"/>
        </w:rPr>
      </w:pPr>
      <w:r w:rsidRPr="00D761CB">
        <w:rPr>
          <w:rFonts w:ascii="Arial" w:hAnsi="Arial" w:cs="Arial"/>
          <w:b/>
          <w:bCs/>
          <w:lang w:val="en-ZA"/>
        </w:rPr>
        <w:t>INTERNAL QUESTION PAPER NO 19 OF 2020</w:t>
      </w:r>
    </w:p>
    <w:p w:rsidR="00D761CB" w:rsidRPr="00D761CB" w:rsidRDefault="00D761CB" w:rsidP="00D761CB">
      <w:pPr>
        <w:spacing w:before="240" w:after="240" w:line="360" w:lineRule="auto"/>
        <w:ind w:left="720" w:hanging="720"/>
        <w:jc w:val="both"/>
        <w:outlineLvl w:val="0"/>
        <w:rPr>
          <w:rFonts w:ascii="Arial" w:hAnsi="Arial" w:cs="Arial"/>
          <w:b/>
          <w:lang w:val="en-ZA"/>
        </w:rPr>
      </w:pPr>
      <w:r w:rsidRPr="00D761CB">
        <w:rPr>
          <w:rFonts w:ascii="Arial" w:hAnsi="Arial" w:cs="Arial"/>
          <w:b/>
          <w:lang w:val="en-ZA"/>
        </w:rPr>
        <w:t xml:space="preserve">Prof B Bozzoli (DA) to </w:t>
      </w:r>
      <w:r w:rsidRPr="00D761CB">
        <w:rPr>
          <w:rFonts w:ascii="Arial" w:hAnsi="Arial" w:cs="Arial"/>
          <w:b/>
          <w:bCs/>
          <w:lang w:val="en-ZA"/>
        </w:rPr>
        <w:t>ask</w:t>
      </w:r>
      <w:r w:rsidRPr="00D761CB">
        <w:rPr>
          <w:rFonts w:ascii="Arial" w:hAnsi="Arial" w:cs="Arial"/>
          <w:b/>
          <w:lang w:val="en-ZA"/>
        </w:rPr>
        <w:t xml:space="preserve"> the Minister of Higher Education, Science and Technology</w:t>
      </w:r>
      <w:r w:rsidRPr="00D761CB">
        <w:rPr>
          <w:rFonts w:ascii="Arial" w:hAnsi="Arial" w:cs="Arial"/>
          <w:b/>
          <w:lang w:val="en-ZA"/>
        </w:rPr>
        <w:fldChar w:fldCharType="begin"/>
      </w:r>
      <w:r w:rsidRPr="00D761CB">
        <w:rPr>
          <w:rFonts w:ascii="Arial" w:hAnsi="Arial" w:cs="Arial"/>
          <w:lang w:val="en-ZA"/>
        </w:rPr>
        <w:instrText xml:space="preserve"> XE "</w:instrText>
      </w:r>
      <w:r w:rsidRPr="00D761CB">
        <w:rPr>
          <w:rFonts w:ascii="Arial" w:hAnsi="Arial" w:cs="Arial"/>
          <w:b/>
          <w:lang w:val="en-ZA"/>
        </w:rPr>
        <w:instrText>Higher Education, Science and Technology</w:instrText>
      </w:r>
      <w:r w:rsidRPr="00D761CB">
        <w:rPr>
          <w:rFonts w:ascii="Arial" w:hAnsi="Arial" w:cs="Arial"/>
          <w:lang w:val="en-ZA"/>
        </w:rPr>
        <w:instrText xml:space="preserve">" </w:instrText>
      </w:r>
      <w:r w:rsidRPr="00D761CB">
        <w:rPr>
          <w:rFonts w:ascii="Arial" w:hAnsi="Arial" w:cs="Arial"/>
          <w:b/>
          <w:lang w:val="en-ZA"/>
        </w:rPr>
        <w:fldChar w:fldCharType="end"/>
      </w:r>
      <w:r w:rsidRPr="00D761CB">
        <w:rPr>
          <w:rFonts w:ascii="Arial" w:hAnsi="Arial" w:cs="Arial"/>
          <w:b/>
          <w:lang w:val="en-ZA"/>
        </w:rPr>
        <w:t>:</w:t>
      </w:r>
    </w:p>
    <w:p w:rsidR="00D761CB" w:rsidRPr="00D761CB" w:rsidRDefault="00D761CB" w:rsidP="00D761CB">
      <w:pPr>
        <w:spacing w:before="240" w:after="240" w:line="360" w:lineRule="auto"/>
        <w:ind w:left="720" w:hanging="720"/>
        <w:jc w:val="both"/>
        <w:rPr>
          <w:rFonts w:ascii="Arial" w:hAnsi="Arial" w:cs="Arial"/>
          <w:lang w:val="en-ZA"/>
        </w:rPr>
      </w:pPr>
      <w:r w:rsidRPr="00D761CB">
        <w:rPr>
          <w:rFonts w:ascii="Arial" w:hAnsi="Arial" w:cs="Arial"/>
          <w:lang w:val="en-ZA"/>
        </w:rPr>
        <w:t>(1)</w:t>
      </w:r>
      <w:r w:rsidRPr="00D761CB">
        <w:rPr>
          <w:rFonts w:ascii="Arial" w:hAnsi="Arial" w:cs="Arial"/>
          <w:lang w:val="en-ZA"/>
        </w:rPr>
        <w:tab/>
        <w:t>What is the total expected reduction in his departments’ budget by Treasury in light of Covid-19;</w:t>
      </w:r>
    </w:p>
    <w:p w:rsidR="00D761CB" w:rsidRPr="00D761CB" w:rsidRDefault="00D761CB" w:rsidP="00D761CB">
      <w:pPr>
        <w:spacing w:before="240" w:after="240" w:line="360" w:lineRule="auto"/>
        <w:ind w:left="720" w:hanging="720"/>
        <w:jc w:val="both"/>
        <w:rPr>
          <w:rFonts w:ascii="Arial" w:eastAsia="Times New Roman" w:hAnsi="Arial" w:cs="Arial"/>
          <w:lang w:val="en-US"/>
        </w:rPr>
      </w:pPr>
      <w:r w:rsidRPr="00D761CB">
        <w:rPr>
          <w:rFonts w:ascii="Arial" w:hAnsi="Arial" w:cs="Arial"/>
          <w:lang w:val="en-ZA"/>
        </w:rPr>
        <w:t>(2)</w:t>
      </w:r>
      <w:r w:rsidRPr="00D761CB">
        <w:rPr>
          <w:rFonts w:ascii="Arial" w:hAnsi="Arial" w:cs="Arial"/>
          <w:lang w:val="en-ZA"/>
        </w:rPr>
        <w:tab/>
        <w:t>whether the reduction will be spread evenly throughout his department; if not, (a) why not and (b)(i) how will it be distributed between programmes and entities and (ii) on what principles</w:t>
      </w:r>
      <w:r w:rsidRPr="00D761CB">
        <w:rPr>
          <w:rFonts w:ascii="Arial" w:eastAsia="Times New Roman" w:hAnsi="Arial" w:cs="Arial"/>
          <w:lang w:val="en-US"/>
        </w:rPr>
        <w:t>?</w:t>
      </w:r>
      <w:r w:rsidRPr="00D761CB">
        <w:rPr>
          <w:rFonts w:ascii="Arial" w:eastAsia="Times New Roman" w:hAnsi="Arial" w:cs="Arial"/>
          <w:lang w:val="en-US"/>
        </w:rPr>
        <w:tab/>
      </w:r>
      <w:r w:rsidRPr="00D761CB">
        <w:rPr>
          <w:rFonts w:ascii="Arial" w:eastAsia="Times New Roman" w:hAnsi="Arial" w:cs="Arial"/>
          <w:lang w:val="en-US"/>
        </w:rPr>
        <w:tab/>
      </w:r>
      <w:r w:rsidRPr="00D761CB">
        <w:rPr>
          <w:rFonts w:ascii="Arial" w:eastAsia="Times New Roman" w:hAnsi="Arial" w:cs="Arial"/>
          <w:lang w:val="en-US"/>
        </w:rPr>
        <w:tab/>
      </w:r>
      <w:r w:rsidRPr="00D761CB">
        <w:rPr>
          <w:rFonts w:ascii="Arial" w:eastAsia="Times New Roman" w:hAnsi="Arial" w:cs="Arial"/>
          <w:lang w:val="en-US"/>
        </w:rPr>
        <w:tab/>
      </w:r>
      <w:r w:rsidRPr="00D761CB">
        <w:rPr>
          <w:rFonts w:ascii="Arial" w:eastAsia="Times New Roman" w:hAnsi="Arial" w:cs="Arial"/>
          <w:lang w:val="en-US"/>
        </w:rPr>
        <w:tab/>
      </w:r>
    </w:p>
    <w:p w:rsidR="00D761CB" w:rsidRPr="00D761CB" w:rsidRDefault="00D761CB" w:rsidP="00D761CB">
      <w:pPr>
        <w:spacing w:before="240" w:after="240" w:line="360" w:lineRule="auto"/>
        <w:ind w:left="7200" w:firstLine="720"/>
        <w:jc w:val="both"/>
        <w:rPr>
          <w:rFonts w:ascii="Arial" w:hAnsi="Arial" w:cs="Arial"/>
          <w:b/>
          <w:bCs/>
          <w:lang w:val="en-ZA"/>
        </w:rPr>
      </w:pPr>
      <w:r w:rsidRPr="00D761CB">
        <w:rPr>
          <w:rFonts w:ascii="Arial" w:hAnsi="Arial" w:cs="Arial"/>
          <w:b/>
          <w:lang w:val="en-ZA"/>
        </w:rPr>
        <w:t>NW1376E</w:t>
      </w:r>
    </w:p>
    <w:p w:rsidR="00D761CB" w:rsidRPr="00D761CB" w:rsidRDefault="00D761CB" w:rsidP="00D761CB">
      <w:pPr>
        <w:spacing w:before="240" w:after="240" w:line="360" w:lineRule="auto"/>
        <w:jc w:val="both"/>
        <w:rPr>
          <w:rFonts w:ascii="Arial" w:hAnsi="Arial" w:cs="Arial"/>
          <w:b/>
        </w:rPr>
      </w:pPr>
    </w:p>
    <w:p w:rsidR="00D761CB" w:rsidRPr="00D761CB" w:rsidRDefault="00D761CB" w:rsidP="00D761CB">
      <w:pPr>
        <w:spacing w:before="240" w:after="240" w:line="360" w:lineRule="auto"/>
        <w:jc w:val="both"/>
        <w:rPr>
          <w:rFonts w:ascii="Arial" w:hAnsi="Arial" w:cs="Arial"/>
          <w:b/>
        </w:rPr>
      </w:pPr>
    </w:p>
    <w:p w:rsidR="00D761CB" w:rsidRPr="00D761CB" w:rsidRDefault="00D761CB" w:rsidP="00D761CB">
      <w:pPr>
        <w:spacing w:before="240" w:after="240" w:line="360" w:lineRule="auto"/>
        <w:jc w:val="both"/>
        <w:rPr>
          <w:rFonts w:ascii="Arial" w:hAnsi="Arial" w:cs="Arial"/>
          <w:b/>
        </w:rPr>
      </w:pPr>
    </w:p>
    <w:p w:rsidR="00D761CB" w:rsidRDefault="00D761CB" w:rsidP="00D761CB">
      <w:pPr>
        <w:spacing w:before="240" w:after="240" w:line="360" w:lineRule="auto"/>
        <w:jc w:val="both"/>
        <w:rPr>
          <w:rFonts w:ascii="Arial" w:hAnsi="Arial" w:cs="Arial"/>
          <w:b/>
        </w:rPr>
      </w:pPr>
    </w:p>
    <w:p w:rsidR="00D761CB" w:rsidRDefault="00D761CB" w:rsidP="00D761CB">
      <w:pPr>
        <w:spacing w:before="240" w:after="240" w:line="360" w:lineRule="auto"/>
        <w:jc w:val="both"/>
        <w:rPr>
          <w:rFonts w:ascii="Arial" w:hAnsi="Arial" w:cs="Arial"/>
          <w:b/>
        </w:rPr>
      </w:pPr>
    </w:p>
    <w:p w:rsidR="00D761CB" w:rsidRDefault="00D761CB" w:rsidP="00D761CB">
      <w:pPr>
        <w:spacing w:before="240" w:after="240" w:line="360" w:lineRule="auto"/>
        <w:jc w:val="both"/>
        <w:rPr>
          <w:rFonts w:ascii="Arial" w:hAnsi="Arial" w:cs="Arial"/>
          <w:b/>
        </w:rPr>
      </w:pPr>
    </w:p>
    <w:p w:rsidR="00D761CB" w:rsidRDefault="00D761CB" w:rsidP="00D761CB">
      <w:pPr>
        <w:spacing w:before="240" w:after="240" w:line="360" w:lineRule="auto"/>
        <w:jc w:val="both"/>
        <w:rPr>
          <w:rFonts w:ascii="Arial" w:hAnsi="Arial" w:cs="Arial"/>
          <w:b/>
        </w:rPr>
      </w:pPr>
    </w:p>
    <w:p w:rsidR="00D761CB" w:rsidRDefault="00D761CB" w:rsidP="00D761CB">
      <w:pPr>
        <w:spacing w:before="240" w:after="240" w:line="360" w:lineRule="auto"/>
        <w:jc w:val="both"/>
        <w:rPr>
          <w:rFonts w:ascii="Arial" w:hAnsi="Arial" w:cs="Arial"/>
          <w:b/>
        </w:rPr>
      </w:pPr>
    </w:p>
    <w:p w:rsidR="00D761CB" w:rsidRDefault="00D761CB" w:rsidP="00D761CB">
      <w:pPr>
        <w:spacing w:before="240" w:after="240" w:line="360" w:lineRule="auto"/>
        <w:jc w:val="both"/>
        <w:rPr>
          <w:rFonts w:ascii="Arial" w:hAnsi="Arial" w:cs="Arial"/>
          <w:b/>
        </w:rPr>
      </w:pPr>
    </w:p>
    <w:p w:rsidR="00D761CB" w:rsidRDefault="00D761CB" w:rsidP="00D761CB">
      <w:pPr>
        <w:spacing w:before="240" w:after="240" w:line="360" w:lineRule="auto"/>
        <w:jc w:val="both"/>
        <w:rPr>
          <w:rFonts w:ascii="Arial" w:hAnsi="Arial" w:cs="Arial"/>
          <w:b/>
        </w:rPr>
      </w:pPr>
      <w:r w:rsidRPr="00D761CB">
        <w:rPr>
          <w:rFonts w:ascii="Arial" w:hAnsi="Arial" w:cs="Arial"/>
          <w:b/>
        </w:rPr>
        <w:t>REPLY:</w:t>
      </w:r>
    </w:p>
    <w:p w:rsidR="00D761CB" w:rsidRPr="00D761CB" w:rsidRDefault="00D761CB" w:rsidP="00D761CB">
      <w:pPr>
        <w:spacing w:before="240" w:after="240" w:line="360" w:lineRule="auto"/>
        <w:jc w:val="both"/>
        <w:rPr>
          <w:rFonts w:ascii="Arial" w:hAnsi="Arial" w:cs="Arial"/>
          <w:b/>
        </w:rPr>
      </w:pPr>
      <w:r>
        <w:rPr>
          <w:rFonts w:ascii="Arial" w:hAnsi="Arial" w:cs="Arial"/>
          <w:b/>
        </w:rPr>
        <w:t>DEPARTMENT OF HIGHER EDUCATION AND TRAINING</w:t>
      </w:r>
    </w:p>
    <w:p w:rsidR="00D761CB" w:rsidRPr="00D761CB" w:rsidRDefault="00D761CB" w:rsidP="00D761CB">
      <w:pPr>
        <w:spacing w:before="240" w:after="240" w:line="360" w:lineRule="auto"/>
        <w:ind w:left="810" w:hanging="810"/>
        <w:jc w:val="both"/>
        <w:rPr>
          <w:rFonts w:ascii="Arial" w:hAnsi="Arial" w:cs="Arial"/>
        </w:rPr>
      </w:pPr>
      <w:r w:rsidRPr="00D761CB">
        <w:rPr>
          <w:rFonts w:ascii="Arial" w:hAnsi="Arial" w:cs="Arial"/>
        </w:rPr>
        <w:t xml:space="preserve">(1) </w:t>
      </w:r>
      <w:r w:rsidRPr="00D761CB">
        <w:rPr>
          <w:rFonts w:ascii="Arial" w:hAnsi="Arial" w:cs="Arial"/>
        </w:rPr>
        <w:tab/>
        <w:t xml:space="preserve">The Department did not receive official communication from National Treasury on </w:t>
      </w:r>
      <w:r w:rsidR="00686D2B" w:rsidRPr="00D761CB">
        <w:rPr>
          <w:rFonts w:ascii="Arial" w:hAnsi="Arial" w:cs="Arial"/>
        </w:rPr>
        <w:t>the budget</w:t>
      </w:r>
      <w:r w:rsidRPr="00D761CB">
        <w:rPr>
          <w:rFonts w:ascii="Arial" w:hAnsi="Arial" w:cs="Arial"/>
        </w:rPr>
        <w:t xml:space="preserve"> reductions. The Department is waiting for the announcement to be made by Parliament. </w:t>
      </w:r>
    </w:p>
    <w:p w:rsidR="00D761CB" w:rsidRPr="00D761CB" w:rsidRDefault="00D761CB" w:rsidP="00D761CB">
      <w:pPr>
        <w:spacing w:before="240" w:after="240" w:line="360" w:lineRule="auto"/>
        <w:jc w:val="both"/>
        <w:rPr>
          <w:rFonts w:ascii="Arial" w:hAnsi="Arial" w:cs="Arial"/>
          <w:b/>
          <w:sz w:val="24"/>
          <w:szCs w:val="24"/>
          <w:lang w:val="en-ZA"/>
        </w:rPr>
      </w:pPr>
      <w:r w:rsidRPr="00D761CB">
        <w:rPr>
          <w:rFonts w:ascii="Arial" w:hAnsi="Arial" w:cs="Arial"/>
        </w:rPr>
        <w:t xml:space="preserve">(2) </w:t>
      </w:r>
      <w:r w:rsidRPr="00D761CB">
        <w:rPr>
          <w:rFonts w:ascii="Arial" w:hAnsi="Arial" w:cs="Arial"/>
        </w:rPr>
        <w:tab/>
        <w:t>Not applicable</w:t>
      </w:r>
    </w:p>
    <w:p w:rsidR="008D7358" w:rsidRPr="008D7358" w:rsidRDefault="008D7358" w:rsidP="008D7358">
      <w:pPr>
        <w:spacing w:before="240" w:after="240" w:line="360" w:lineRule="auto"/>
        <w:jc w:val="both"/>
        <w:rPr>
          <w:rFonts w:ascii="Arial" w:hAnsi="Arial" w:cs="Arial"/>
        </w:rPr>
      </w:pPr>
    </w:p>
    <w:p w:rsidR="008E4A54" w:rsidRDefault="00686D2B" w:rsidP="00686D2B">
      <w:pPr>
        <w:spacing w:before="240" w:after="240"/>
        <w:jc w:val="both"/>
        <w:rPr>
          <w:rFonts w:ascii="Arial" w:eastAsia="Times New Roman" w:hAnsi="Arial" w:cs="Arial"/>
          <w:b/>
          <w:color w:val="000000"/>
          <w:spacing w:val="-3"/>
          <w:lang w:val="en-US" w:eastAsia="en-GB"/>
        </w:rPr>
      </w:pPr>
      <w:r w:rsidRPr="00592C8E">
        <w:rPr>
          <w:rFonts w:ascii="Arial" w:eastAsia="Times New Roman" w:hAnsi="Arial" w:cs="Arial"/>
          <w:b/>
          <w:color w:val="000000"/>
          <w:spacing w:val="-3"/>
          <w:lang w:val="en-US" w:eastAsia="en-GB"/>
        </w:rPr>
        <w:t>DEPARTMENT OF SCIENCE AND INNOVATION</w:t>
      </w:r>
    </w:p>
    <w:p w:rsidR="002347C3" w:rsidRPr="002347C3" w:rsidRDefault="002347C3" w:rsidP="002347C3">
      <w:pPr>
        <w:spacing w:line="360" w:lineRule="auto"/>
        <w:jc w:val="both"/>
        <w:rPr>
          <w:rFonts w:ascii="Arial" w:hAnsi="Arial" w:cs="Arial"/>
          <w:bCs/>
          <w:lang w:val="en-US"/>
        </w:rPr>
      </w:pPr>
      <w:r w:rsidRPr="002347C3">
        <w:rPr>
          <w:rFonts w:ascii="Arial" w:hAnsi="Arial" w:cs="Arial"/>
          <w:lang w:val="en-US" w:eastAsia="en-GB"/>
        </w:rPr>
        <w:t>(1</w:t>
      </w:r>
      <w:r>
        <w:rPr>
          <w:rFonts w:ascii="Arial" w:hAnsi="Arial" w:cs="Arial"/>
          <w:lang w:val="en-US" w:eastAsia="en-GB"/>
        </w:rPr>
        <w:t xml:space="preserve">) </w:t>
      </w:r>
      <w:r w:rsidR="00592C8E" w:rsidRPr="002347C3">
        <w:rPr>
          <w:rFonts w:ascii="Arial" w:hAnsi="Arial" w:cs="Arial"/>
          <w:lang w:val="en-US" w:eastAsia="en-GB"/>
        </w:rPr>
        <w:t>R1 759 479 000. This amount is made up of R</w:t>
      </w:r>
      <w:r w:rsidR="00592C8E" w:rsidRPr="002347C3">
        <w:rPr>
          <w:rFonts w:ascii="Arial" w:hAnsi="Arial" w:cs="Arial"/>
          <w:bCs/>
          <w:lang w:val="en-US"/>
        </w:rPr>
        <w:t xml:space="preserve">1 435 304 000 budget cuts and </w:t>
      </w:r>
      <w:r w:rsidR="00592C8E" w:rsidRPr="002347C3">
        <w:rPr>
          <w:rFonts w:ascii="Arial" w:hAnsi="Arial" w:cs="Arial"/>
          <w:lang w:val="en-US" w:eastAsia="en-GB"/>
        </w:rPr>
        <w:t>R324 175 000 for COVI</w:t>
      </w:r>
      <w:r>
        <w:rPr>
          <w:rFonts w:ascii="Arial" w:hAnsi="Arial" w:cs="Arial"/>
          <w:lang w:val="en-US" w:eastAsia="en-GB"/>
        </w:rPr>
        <w:t>D-</w:t>
      </w:r>
      <w:r w:rsidR="00592C8E" w:rsidRPr="002347C3">
        <w:rPr>
          <w:rFonts w:ascii="Arial" w:hAnsi="Arial" w:cs="Arial"/>
          <w:lang w:val="en-US" w:eastAsia="en-GB"/>
        </w:rPr>
        <w:t>19 initiatives.</w:t>
      </w:r>
    </w:p>
    <w:p w:rsidR="00592C8E" w:rsidRPr="00592C8E" w:rsidRDefault="002347C3" w:rsidP="002347C3">
      <w:pPr>
        <w:spacing w:line="360" w:lineRule="auto"/>
        <w:jc w:val="both"/>
        <w:rPr>
          <w:rFonts w:ascii="Arial" w:hAnsi="Arial" w:cs="Arial"/>
          <w:bCs/>
          <w:lang w:val="en-US"/>
        </w:rPr>
      </w:pPr>
      <w:r>
        <w:rPr>
          <w:rFonts w:ascii="Arial" w:hAnsi="Arial" w:cs="Arial"/>
          <w:lang w:val="en-US" w:eastAsia="en-GB"/>
        </w:rPr>
        <w:t xml:space="preserve">(2) </w:t>
      </w:r>
      <w:r w:rsidR="00592C8E" w:rsidRPr="002347C3">
        <w:rPr>
          <w:rFonts w:ascii="Arial" w:hAnsi="Arial" w:cs="Arial"/>
          <w:lang w:val="en-US" w:eastAsia="en-GB"/>
        </w:rPr>
        <w:t>The reduction will not be spread evenly throughout the department.</w:t>
      </w:r>
    </w:p>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2 (a)</w:t>
      </w:r>
      <w:r w:rsidR="002347C3">
        <w:rPr>
          <w:rFonts w:ascii="Arial" w:eastAsia="Times New Roman" w:hAnsi="Arial" w:cs="Arial"/>
          <w:color w:val="000000"/>
          <w:lang w:val="en-US" w:eastAsia="en-GB"/>
        </w:rPr>
        <w:t xml:space="preserve"> </w:t>
      </w:r>
      <w:r w:rsidRPr="00592C8E">
        <w:rPr>
          <w:rFonts w:ascii="Arial" w:eastAsia="Times New Roman" w:hAnsi="Arial" w:cs="Arial"/>
          <w:color w:val="000000"/>
          <w:lang w:val="en-US" w:eastAsia="en-GB"/>
        </w:rPr>
        <w:t>Programmes have different budgets for implementing different initiatives.</w:t>
      </w:r>
    </w:p>
    <w:p w:rsidR="00592C8E" w:rsidRPr="00592C8E" w:rsidRDefault="00592C8E" w:rsidP="00592C8E">
      <w:pPr>
        <w:spacing w:after="0" w:line="360" w:lineRule="auto"/>
        <w:jc w:val="both"/>
        <w:rPr>
          <w:rFonts w:ascii="Arial" w:eastAsia="Times New Roman" w:hAnsi="Arial" w:cs="Arial"/>
          <w:color w:val="000000"/>
          <w:lang w:val="en-US" w:eastAsia="en-GB"/>
        </w:rPr>
      </w:pPr>
    </w:p>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 xml:space="preserve">2b (i)  </w:t>
      </w:r>
      <w:r w:rsidRPr="00592C8E">
        <w:rPr>
          <w:rFonts w:ascii="Arial" w:eastAsia="Times New Roman" w:hAnsi="Arial" w:cs="Arial"/>
          <w:b/>
          <w:color w:val="000000"/>
          <w:lang w:val="en-US" w:eastAsia="en-GB"/>
        </w:rPr>
        <w:tab/>
      </w:r>
    </w:p>
    <w:p w:rsidR="00592C8E" w:rsidRPr="00592C8E" w:rsidRDefault="00592C8E" w:rsidP="00592C8E">
      <w:pPr>
        <w:spacing w:after="0" w:line="360" w:lineRule="auto"/>
        <w:jc w:val="both"/>
        <w:rPr>
          <w:rFonts w:ascii="Arial" w:eastAsia="Times New Roman" w:hAnsi="Arial" w:cs="Arial"/>
          <w:b/>
          <w:color w:val="000000"/>
          <w:lang w:val="en-US" w:eastAsia="en-GB"/>
        </w:rPr>
      </w:pPr>
    </w:p>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 xml:space="preserve"> Budget cuts per programme</w:t>
      </w:r>
    </w:p>
    <w:tbl>
      <w:tblPr>
        <w:tblStyle w:val="TableGrid1"/>
        <w:tblW w:w="10255" w:type="dxa"/>
        <w:tblLayout w:type="fixed"/>
        <w:tblLook w:val="04A0" w:firstRow="1" w:lastRow="0" w:firstColumn="1" w:lastColumn="0" w:noHBand="0" w:noVBand="1"/>
      </w:tblPr>
      <w:tblGrid>
        <w:gridCol w:w="3415"/>
        <w:gridCol w:w="1890"/>
        <w:gridCol w:w="1710"/>
        <w:gridCol w:w="1620"/>
        <w:gridCol w:w="1620"/>
      </w:tblGrid>
      <w:tr w:rsidR="00592C8E" w:rsidRPr="00592C8E" w:rsidTr="001C0380">
        <w:tc>
          <w:tcPr>
            <w:tcW w:w="3415" w:type="dxa"/>
          </w:tcPr>
          <w:p w:rsidR="00592C8E" w:rsidRPr="00592C8E" w:rsidRDefault="00592C8E" w:rsidP="00592C8E">
            <w:pPr>
              <w:spacing w:after="0" w:line="360" w:lineRule="auto"/>
              <w:jc w:val="both"/>
              <w:rPr>
                <w:rFonts w:ascii="Arial" w:eastAsia="Times New Roman" w:hAnsi="Arial" w:cs="Arial"/>
                <w:b/>
                <w:color w:val="000000"/>
                <w:lang w:val="en-US" w:eastAsia="en-GB"/>
              </w:rPr>
            </w:pPr>
          </w:p>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Programme</w:t>
            </w:r>
          </w:p>
        </w:tc>
        <w:tc>
          <w:tcPr>
            <w:tcW w:w="1890"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Compensation of employees R’000</w:t>
            </w:r>
          </w:p>
          <w:p w:rsidR="00592C8E" w:rsidRPr="00592C8E" w:rsidRDefault="00592C8E" w:rsidP="00592C8E">
            <w:pPr>
              <w:spacing w:after="0" w:line="360" w:lineRule="auto"/>
              <w:jc w:val="both"/>
              <w:rPr>
                <w:rFonts w:ascii="Arial" w:eastAsia="Times New Roman" w:hAnsi="Arial" w:cs="Arial"/>
                <w:b/>
                <w:color w:val="000000"/>
                <w:lang w:val="en-US" w:eastAsia="en-GB"/>
              </w:rPr>
            </w:pPr>
          </w:p>
        </w:tc>
        <w:tc>
          <w:tcPr>
            <w:tcW w:w="1710"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Goods and services R’000</w:t>
            </w:r>
          </w:p>
        </w:tc>
        <w:tc>
          <w:tcPr>
            <w:tcW w:w="1620"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Transfers and subsidies</w:t>
            </w:r>
          </w:p>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R’000</w:t>
            </w:r>
          </w:p>
        </w:tc>
        <w:tc>
          <w:tcPr>
            <w:tcW w:w="1620"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Total</w:t>
            </w:r>
          </w:p>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R’000</w:t>
            </w:r>
          </w:p>
        </w:tc>
      </w:tr>
      <w:tr w:rsidR="00592C8E" w:rsidRPr="00592C8E" w:rsidTr="001C0380">
        <w:tc>
          <w:tcPr>
            <w:tcW w:w="3415"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Administration</w:t>
            </w:r>
          </w:p>
        </w:tc>
        <w:tc>
          <w:tcPr>
            <w:tcW w:w="189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18 995</w:t>
            </w:r>
          </w:p>
        </w:tc>
        <w:tc>
          <w:tcPr>
            <w:tcW w:w="171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22 987</w:t>
            </w:r>
          </w:p>
        </w:tc>
        <w:tc>
          <w:tcPr>
            <w:tcW w:w="162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w:t>
            </w:r>
          </w:p>
        </w:tc>
        <w:tc>
          <w:tcPr>
            <w:tcW w:w="1620"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41 982</w:t>
            </w:r>
          </w:p>
        </w:tc>
      </w:tr>
      <w:tr w:rsidR="00592C8E" w:rsidRPr="00592C8E" w:rsidTr="001C0380">
        <w:tc>
          <w:tcPr>
            <w:tcW w:w="3415"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Technology Innovation</w:t>
            </w:r>
          </w:p>
        </w:tc>
        <w:tc>
          <w:tcPr>
            <w:tcW w:w="189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5 769</w:t>
            </w:r>
          </w:p>
        </w:tc>
        <w:tc>
          <w:tcPr>
            <w:tcW w:w="171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9 978</w:t>
            </w:r>
          </w:p>
        </w:tc>
        <w:tc>
          <w:tcPr>
            <w:tcW w:w="162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50 000</w:t>
            </w:r>
          </w:p>
        </w:tc>
        <w:tc>
          <w:tcPr>
            <w:tcW w:w="1620"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65 747</w:t>
            </w:r>
          </w:p>
        </w:tc>
      </w:tr>
      <w:tr w:rsidR="00592C8E" w:rsidRPr="00592C8E" w:rsidTr="001C0380">
        <w:tc>
          <w:tcPr>
            <w:tcW w:w="3415"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International Cooperation and Resources</w:t>
            </w:r>
          </w:p>
        </w:tc>
        <w:tc>
          <w:tcPr>
            <w:tcW w:w="189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5 946</w:t>
            </w:r>
          </w:p>
        </w:tc>
        <w:tc>
          <w:tcPr>
            <w:tcW w:w="171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14 422</w:t>
            </w:r>
          </w:p>
        </w:tc>
        <w:tc>
          <w:tcPr>
            <w:tcW w:w="162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14 925</w:t>
            </w:r>
          </w:p>
        </w:tc>
        <w:tc>
          <w:tcPr>
            <w:tcW w:w="1620"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35 293</w:t>
            </w:r>
          </w:p>
        </w:tc>
      </w:tr>
      <w:tr w:rsidR="00592C8E" w:rsidRPr="00592C8E" w:rsidTr="001C0380">
        <w:tc>
          <w:tcPr>
            <w:tcW w:w="3415"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lastRenderedPageBreak/>
              <w:t>Research Development and Support</w:t>
            </w:r>
          </w:p>
        </w:tc>
        <w:tc>
          <w:tcPr>
            <w:tcW w:w="189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4 339</w:t>
            </w:r>
          </w:p>
        </w:tc>
        <w:tc>
          <w:tcPr>
            <w:tcW w:w="171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6 055</w:t>
            </w:r>
          </w:p>
        </w:tc>
        <w:tc>
          <w:tcPr>
            <w:tcW w:w="162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926 144</w:t>
            </w:r>
          </w:p>
        </w:tc>
        <w:tc>
          <w:tcPr>
            <w:tcW w:w="1620"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936 538</w:t>
            </w:r>
          </w:p>
        </w:tc>
      </w:tr>
      <w:tr w:rsidR="00592C8E" w:rsidRPr="00592C8E" w:rsidTr="001C0380">
        <w:tc>
          <w:tcPr>
            <w:tcW w:w="3415"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Socio-economic Innovation Partnerships</w:t>
            </w:r>
          </w:p>
        </w:tc>
        <w:tc>
          <w:tcPr>
            <w:tcW w:w="189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4 951</w:t>
            </w:r>
          </w:p>
        </w:tc>
        <w:tc>
          <w:tcPr>
            <w:tcW w:w="171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w:t>
            </w:r>
          </w:p>
        </w:tc>
        <w:tc>
          <w:tcPr>
            <w:tcW w:w="162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55 375</w:t>
            </w:r>
          </w:p>
        </w:tc>
        <w:tc>
          <w:tcPr>
            <w:tcW w:w="1620"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60 326</w:t>
            </w:r>
          </w:p>
        </w:tc>
      </w:tr>
      <w:tr w:rsidR="00592C8E" w:rsidRPr="00592C8E" w:rsidTr="001C0380">
        <w:tc>
          <w:tcPr>
            <w:tcW w:w="3415"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Total</w:t>
            </w:r>
          </w:p>
        </w:tc>
        <w:tc>
          <w:tcPr>
            <w:tcW w:w="1890" w:type="dxa"/>
            <w:shd w:val="clear" w:color="auto" w:fill="auto"/>
            <w:vAlign w:val="center"/>
          </w:tcPr>
          <w:p w:rsidR="00592C8E" w:rsidRPr="00592C8E" w:rsidRDefault="00592C8E" w:rsidP="00592C8E">
            <w:pPr>
              <w:spacing w:after="0" w:line="360" w:lineRule="auto"/>
              <w:jc w:val="both"/>
              <w:rPr>
                <w:rFonts w:ascii="Arial" w:eastAsia="Times New Roman" w:hAnsi="Arial" w:cs="Arial"/>
                <w:b/>
                <w:bCs/>
                <w:color w:val="000000"/>
                <w:lang w:val="en-US"/>
              </w:rPr>
            </w:pPr>
            <w:r w:rsidRPr="00592C8E">
              <w:rPr>
                <w:rFonts w:ascii="Arial" w:eastAsia="Times New Roman" w:hAnsi="Arial" w:cs="Arial"/>
                <w:b/>
                <w:bCs/>
                <w:color w:val="000000"/>
                <w:lang w:val="en-US" w:eastAsia="en-GB"/>
              </w:rPr>
              <w:t>40 000</w:t>
            </w:r>
          </w:p>
        </w:tc>
        <w:tc>
          <w:tcPr>
            <w:tcW w:w="1710" w:type="dxa"/>
            <w:shd w:val="clear" w:color="auto" w:fill="auto"/>
            <w:vAlign w:val="center"/>
          </w:tcPr>
          <w:p w:rsidR="00592C8E" w:rsidRPr="00592C8E" w:rsidRDefault="00592C8E" w:rsidP="00592C8E">
            <w:pPr>
              <w:spacing w:after="0" w:line="360" w:lineRule="auto"/>
              <w:jc w:val="both"/>
              <w:rPr>
                <w:rFonts w:ascii="Arial" w:eastAsia="Times New Roman" w:hAnsi="Arial" w:cs="Arial"/>
                <w:b/>
                <w:bCs/>
                <w:color w:val="000000"/>
                <w:lang w:val="en-US" w:eastAsia="en-GB"/>
              </w:rPr>
            </w:pPr>
            <w:r w:rsidRPr="00592C8E">
              <w:rPr>
                <w:rFonts w:ascii="Arial" w:eastAsia="Times New Roman" w:hAnsi="Arial" w:cs="Arial"/>
                <w:b/>
                <w:bCs/>
                <w:color w:val="000000"/>
                <w:lang w:val="en-US" w:eastAsia="en-GB"/>
              </w:rPr>
              <w:t>53 442</w:t>
            </w:r>
          </w:p>
        </w:tc>
        <w:tc>
          <w:tcPr>
            <w:tcW w:w="1620" w:type="dxa"/>
            <w:shd w:val="clear" w:color="auto" w:fill="auto"/>
            <w:vAlign w:val="center"/>
          </w:tcPr>
          <w:p w:rsidR="00592C8E" w:rsidRPr="00592C8E" w:rsidRDefault="00592C8E" w:rsidP="00592C8E">
            <w:pPr>
              <w:spacing w:after="0" w:line="360" w:lineRule="auto"/>
              <w:jc w:val="both"/>
              <w:rPr>
                <w:rFonts w:ascii="Arial" w:eastAsia="Times New Roman" w:hAnsi="Arial" w:cs="Arial"/>
                <w:b/>
                <w:bCs/>
                <w:color w:val="000000"/>
                <w:lang w:val="en-US" w:eastAsia="en-GB"/>
              </w:rPr>
            </w:pPr>
            <w:r w:rsidRPr="00592C8E">
              <w:rPr>
                <w:rFonts w:ascii="Arial" w:eastAsia="Times New Roman" w:hAnsi="Arial" w:cs="Arial"/>
                <w:b/>
                <w:bCs/>
                <w:color w:val="000000"/>
                <w:lang w:val="en-US" w:eastAsia="en-GB"/>
              </w:rPr>
              <w:t>1 046 444</w:t>
            </w:r>
          </w:p>
        </w:tc>
        <w:tc>
          <w:tcPr>
            <w:tcW w:w="1620" w:type="dxa"/>
            <w:shd w:val="clear" w:color="auto" w:fill="auto"/>
            <w:vAlign w:val="center"/>
          </w:tcPr>
          <w:p w:rsidR="00592C8E" w:rsidRPr="00592C8E" w:rsidRDefault="00592C8E" w:rsidP="00592C8E">
            <w:pPr>
              <w:spacing w:after="0" w:line="360" w:lineRule="auto"/>
              <w:jc w:val="both"/>
              <w:rPr>
                <w:rFonts w:ascii="Arial" w:eastAsia="Times New Roman" w:hAnsi="Arial" w:cs="Arial"/>
                <w:b/>
                <w:bCs/>
                <w:color w:val="000000"/>
                <w:lang w:val="en-US" w:eastAsia="en-GB"/>
              </w:rPr>
            </w:pPr>
            <w:r w:rsidRPr="00592C8E">
              <w:rPr>
                <w:rFonts w:ascii="Arial" w:eastAsia="Times New Roman" w:hAnsi="Arial" w:cs="Arial"/>
                <w:b/>
                <w:bCs/>
                <w:color w:val="000000"/>
                <w:lang w:val="en-US" w:eastAsia="en-GB"/>
              </w:rPr>
              <w:t>1 139 886</w:t>
            </w:r>
          </w:p>
        </w:tc>
      </w:tr>
    </w:tbl>
    <w:p w:rsidR="00592C8E" w:rsidRPr="00592C8E" w:rsidRDefault="00592C8E" w:rsidP="00592C8E">
      <w:pPr>
        <w:spacing w:after="0" w:line="360" w:lineRule="auto"/>
        <w:jc w:val="both"/>
        <w:rPr>
          <w:rFonts w:ascii="Arial" w:eastAsia="Times New Roman" w:hAnsi="Arial" w:cs="Arial"/>
          <w:b/>
          <w:color w:val="000000"/>
          <w:lang w:val="en-US" w:eastAsia="en-GB"/>
        </w:rPr>
      </w:pPr>
    </w:p>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Budget cuts per entity (Parliamentary Grants)</w:t>
      </w:r>
    </w:p>
    <w:tbl>
      <w:tblPr>
        <w:tblStyle w:val="TableGrid1"/>
        <w:tblW w:w="10255" w:type="dxa"/>
        <w:tblLook w:val="04A0" w:firstRow="1" w:lastRow="0" w:firstColumn="1" w:lastColumn="0" w:noHBand="0" w:noVBand="1"/>
      </w:tblPr>
      <w:tblGrid>
        <w:gridCol w:w="8635"/>
        <w:gridCol w:w="1620"/>
      </w:tblGrid>
      <w:tr w:rsidR="00592C8E" w:rsidRPr="00592C8E" w:rsidTr="001C0380">
        <w:tc>
          <w:tcPr>
            <w:tcW w:w="8635" w:type="dxa"/>
          </w:tcPr>
          <w:p w:rsidR="00592C8E" w:rsidRPr="00592C8E" w:rsidRDefault="00592C8E" w:rsidP="00592C8E">
            <w:pPr>
              <w:spacing w:after="0" w:line="360" w:lineRule="auto"/>
              <w:jc w:val="both"/>
              <w:rPr>
                <w:rFonts w:ascii="Arial" w:eastAsia="Times New Roman" w:hAnsi="Arial" w:cs="Arial"/>
                <w:b/>
                <w:color w:val="000000"/>
                <w:lang w:val="en-US" w:eastAsia="en-GB"/>
              </w:rPr>
            </w:pPr>
          </w:p>
        </w:tc>
        <w:tc>
          <w:tcPr>
            <w:tcW w:w="1620"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R’000</w:t>
            </w:r>
          </w:p>
        </w:tc>
      </w:tr>
      <w:tr w:rsidR="00592C8E" w:rsidRPr="00592C8E" w:rsidTr="001C0380">
        <w:tc>
          <w:tcPr>
            <w:tcW w:w="8635" w:type="dxa"/>
            <w:tcBorders>
              <w:top w:val="single" w:sz="4" w:space="0" w:color="auto"/>
              <w:left w:val="single" w:sz="4" w:space="0" w:color="auto"/>
              <w:bottom w:val="single" w:sz="4" w:space="0" w:color="auto"/>
              <w:right w:val="single" w:sz="4" w:space="0" w:color="auto"/>
            </w:tcBorders>
            <w:shd w:val="clear" w:color="auto" w:fill="auto"/>
            <w:vAlign w:val="bottom"/>
          </w:tcPr>
          <w:p w:rsidR="00592C8E" w:rsidRPr="00592C8E" w:rsidRDefault="00592C8E" w:rsidP="00592C8E">
            <w:pPr>
              <w:spacing w:after="0" w:line="360" w:lineRule="auto"/>
              <w:jc w:val="both"/>
              <w:rPr>
                <w:rFonts w:ascii="Arial" w:eastAsia="Times New Roman" w:hAnsi="Arial" w:cs="Arial"/>
                <w:color w:val="000000"/>
                <w:lang w:val="en-US"/>
              </w:rPr>
            </w:pPr>
            <w:r w:rsidRPr="00592C8E">
              <w:rPr>
                <w:rFonts w:ascii="Arial" w:eastAsia="Times New Roman" w:hAnsi="Arial" w:cs="Arial"/>
                <w:color w:val="000000"/>
                <w:lang w:val="en-US" w:eastAsia="en-GB"/>
              </w:rPr>
              <w:t>Technology Innovation Agency</w:t>
            </w:r>
          </w:p>
        </w:tc>
        <w:tc>
          <w:tcPr>
            <w:tcW w:w="162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45 586</w:t>
            </w:r>
          </w:p>
        </w:tc>
      </w:tr>
      <w:tr w:rsidR="00592C8E" w:rsidRPr="00592C8E" w:rsidTr="001C0380">
        <w:tc>
          <w:tcPr>
            <w:tcW w:w="8635" w:type="dxa"/>
            <w:tcBorders>
              <w:top w:val="nil"/>
              <w:left w:val="single" w:sz="4" w:space="0" w:color="auto"/>
              <w:bottom w:val="single" w:sz="4" w:space="0" w:color="auto"/>
              <w:right w:val="single" w:sz="4" w:space="0" w:color="auto"/>
            </w:tcBorders>
            <w:shd w:val="clear" w:color="auto" w:fill="auto"/>
            <w:vAlign w:val="bottom"/>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South African National Space Agency</w:t>
            </w:r>
          </w:p>
        </w:tc>
        <w:tc>
          <w:tcPr>
            <w:tcW w:w="162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18 209</w:t>
            </w:r>
          </w:p>
        </w:tc>
      </w:tr>
      <w:tr w:rsidR="00592C8E" w:rsidRPr="00592C8E" w:rsidTr="001C0380">
        <w:tc>
          <w:tcPr>
            <w:tcW w:w="8635" w:type="dxa"/>
            <w:tcBorders>
              <w:top w:val="nil"/>
              <w:left w:val="single" w:sz="4" w:space="0" w:color="auto"/>
              <w:bottom w:val="single" w:sz="4" w:space="0" w:color="auto"/>
              <w:right w:val="single" w:sz="4" w:space="0" w:color="auto"/>
            </w:tcBorders>
            <w:shd w:val="clear" w:color="auto" w:fill="auto"/>
            <w:vAlign w:val="bottom"/>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National Research Foundation</w:t>
            </w:r>
          </w:p>
        </w:tc>
        <w:tc>
          <w:tcPr>
            <w:tcW w:w="162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96 610</w:t>
            </w:r>
          </w:p>
        </w:tc>
      </w:tr>
      <w:tr w:rsidR="00592C8E" w:rsidRPr="00592C8E" w:rsidTr="001C0380">
        <w:tc>
          <w:tcPr>
            <w:tcW w:w="8635" w:type="dxa"/>
            <w:tcBorders>
              <w:top w:val="nil"/>
              <w:left w:val="single" w:sz="4" w:space="0" w:color="auto"/>
              <w:bottom w:val="single" w:sz="4" w:space="0" w:color="auto"/>
              <w:right w:val="single" w:sz="4" w:space="0" w:color="auto"/>
            </w:tcBorders>
            <w:shd w:val="clear" w:color="auto" w:fill="auto"/>
            <w:vAlign w:val="bottom"/>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Council for Science and Industrial Research</w:t>
            </w:r>
          </w:p>
        </w:tc>
        <w:tc>
          <w:tcPr>
            <w:tcW w:w="162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99 765</w:t>
            </w:r>
          </w:p>
        </w:tc>
      </w:tr>
      <w:tr w:rsidR="00592C8E" w:rsidRPr="00592C8E" w:rsidTr="001C0380">
        <w:tc>
          <w:tcPr>
            <w:tcW w:w="8635" w:type="dxa"/>
            <w:tcBorders>
              <w:top w:val="nil"/>
              <w:left w:val="single" w:sz="4" w:space="0" w:color="auto"/>
              <w:bottom w:val="single" w:sz="4" w:space="0" w:color="auto"/>
              <w:right w:val="single" w:sz="4" w:space="0" w:color="auto"/>
            </w:tcBorders>
            <w:shd w:val="clear" w:color="auto" w:fill="auto"/>
            <w:vAlign w:val="bottom"/>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 xml:space="preserve">Academy of Science of South Africa </w:t>
            </w:r>
          </w:p>
        </w:tc>
        <w:tc>
          <w:tcPr>
            <w:tcW w:w="162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2 790</w:t>
            </w:r>
          </w:p>
        </w:tc>
      </w:tr>
      <w:tr w:rsidR="00592C8E" w:rsidRPr="00592C8E" w:rsidTr="001C0380">
        <w:tc>
          <w:tcPr>
            <w:tcW w:w="8635" w:type="dxa"/>
            <w:tcBorders>
              <w:top w:val="nil"/>
              <w:left w:val="single" w:sz="4" w:space="0" w:color="auto"/>
              <w:bottom w:val="nil"/>
              <w:right w:val="single" w:sz="4" w:space="0" w:color="auto"/>
            </w:tcBorders>
            <w:shd w:val="clear" w:color="auto" w:fill="auto"/>
            <w:vAlign w:val="bottom"/>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Human Science Research Council</w:t>
            </w:r>
          </w:p>
        </w:tc>
        <w:tc>
          <w:tcPr>
            <w:tcW w:w="1620" w:type="dxa"/>
          </w:tcPr>
          <w:p w:rsidR="00592C8E" w:rsidRPr="00592C8E" w:rsidRDefault="00592C8E" w:rsidP="00592C8E">
            <w:pPr>
              <w:spacing w:after="0" w:line="360" w:lineRule="auto"/>
              <w:jc w:val="both"/>
              <w:rPr>
                <w:rFonts w:ascii="Arial" w:eastAsia="Times New Roman" w:hAnsi="Arial" w:cs="Arial"/>
                <w:color w:val="000000"/>
                <w:lang w:val="en-US" w:eastAsia="en-GB"/>
              </w:rPr>
            </w:pPr>
            <w:r w:rsidRPr="00592C8E">
              <w:rPr>
                <w:rFonts w:ascii="Arial" w:eastAsia="Times New Roman" w:hAnsi="Arial" w:cs="Arial"/>
                <w:color w:val="000000"/>
                <w:lang w:val="en-US" w:eastAsia="en-GB"/>
              </w:rPr>
              <w:t>32 459</w:t>
            </w:r>
          </w:p>
        </w:tc>
      </w:tr>
      <w:tr w:rsidR="00592C8E" w:rsidRPr="00592C8E" w:rsidTr="001C0380">
        <w:tc>
          <w:tcPr>
            <w:tcW w:w="8635" w:type="dxa"/>
            <w:tcBorders>
              <w:top w:val="nil"/>
              <w:left w:val="single" w:sz="4" w:space="0" w:color="auto"/>
              <w:bottom w:val="single" w:sz="4" w:space="0" w:color="auto"/>
              <w:right w:val="single" w:sz="4" w:space="0" w:color="auto"/>
            </w:tcBorders>
            <w:shd w:val="clear" w:color="auto" w:fill="auto"/>
            <w:vAlign w:val="bottom"/>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Total</w:t>
            </w:r>
          </w:p>
        </w:tc>
        <w:tc>
          <w:tcPr>
            <w:tcW w:w="1620" w:type="dxa"/>
          </w:tcPr>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295 418</w:t>
            </w:r>
          </w:p>
        </w:tc>
      </w:tr>
    </w:tbl>
    <w:p w:rsidR="00592C8E" w:rsidRPr="00592C8E" w:rsidRDefault="00592C8E" w:rsidP="00592C8E">
      <w:pPr>
        <w:spacing w:after="0" w:line="360" w:lineRule="auto"/>
        <w:jc w:val="both"/>
        <w:rPr>
          <w:rFonts w:ascii="Arial" w:eastAsia="Times New Roman" w:hAnsi="Arial" w:cs="Arial"/>
          <w:b/>
          <w:color w:val="000000"/>
          <w:lang w:val="en-US" w:eastAsia="en-GB"/>
        </w:rPr>
      </w:pPr>
    </w:p>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(ii) Principles</w:t>
      </w:r>
    </w:p>
    <w:p w:rsidR="00592C8E" w:rsidRPr="00592C8E" w:rsidRDefault="00592C8E" w:rsidP="00592C8E">
      <w:pPr>
        <w:spacing w:after="0" w:line="360" w:lineRule="auto"/>
        <w:jc w:val="both"/>
        <w:rPr>
          <w:rFonts w:ascii="Arial" w:eastAsia="Times New Roman" w:hAnsi="Arial" w:cs="Arial"/>
          <w:b/>
          <w:color w:val="000000"/>
          <w:lang w:val="en-US" w:eastAsia="en-GB"/>
        </w:rPr>
      </w:pPr>
    </w:p>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t>Programmes</w:t>
      </w:r>
    </w:p>
    <w:p w:rsidR="00592C8E" w:rsidRPr="00592C8E" w:rsidRDefault="00592C8E" w:rsidP="00592C8E">
      <w:pPr>
        <w:numPr>
          <w:ilvl w:val="0"/>
          <w:numId w:val="15"/>
        </w:numPr>
        <w:spacing w:after="0" w:line="360" w:lineRule="auto"/>
        <w:contextualSpacing/>
        <w:jc w:val="both"/>
        <w:rPr>
          <w:rFonts w:ascii="Arial" w:eastAsia="Times New Roman" w:hAnsi="Arial" w:cs="Arial"/>
          <w:bCs/>
          <w:color w:val="000000"/>
          <w:lang w:val="en-US" w:eastAsia="en-GB"/>
        </w:rPr>
      </w:pPr>
      <w:r w:rsidRPr="00592C8E">
        <w:rPr>
          <w:rFonts w:ascii="Arial" w:eastAsia="Times New Roman" w:hAnsi="Arial" w:cs="Arial"/>
          <w:bCs/>
          <w:color w:val="000000"/>
          <w:lang w:val="en-US" w:eastAsia="en-GB"/>
        </w:rPr>
        <w:t>There is an anticipated savings on compensation of employees’ budget as the filling of vacancies will delay due to the pandemic.</w:t>
      </w:r>
    </w:p>
    <w:p w:rsidR="00592C8E" w:rsidRPr="00592C8E" w:rsidRDefault="00592C8E" w:rsidP="00592C8E">
      <w:pPr>
        <w:numPr>
          <w:ilvl w:val="0"/>
          <w:numId w:val="15"/>
        </w:numPr>
        <w:spacing w:after="0" w:line="360" w:lineRule="auto"/>
        <w:contextualSpacing/>
        <w:jc w:val="both"/>
        <w:rPr>
          <w:rFonts w:ascii="Arial" w:eastAsia="Times New Roman" w:hAnsi="Arial" w:cs="Arial"/>
          <w:bCs/>
          <w:color w:val="000000"/>
          <w:lang w:val="en-US" w:eastAsia="en-GB"/>
        </w:rPr>
      </w:pPr>
      <w:r w:rsidRPr="00592C8E">
        <w:rPr>
          <w:rFonts w:ascii="Arial" w:eastAsia="Times New Roman" w:hAnsi="Arial" w:cs="Arial"/>
          <w:bCs/>
          <w:color w:val="000000"/>
          <w:lang w:val="en-US" w:eastAsia="en-GB"/>
        </w:rPr>
        <w:t>Savings to be realized from goods and services budget due to the lockdown, for example: Travel, events, etc.</w:t>
      </w:r>
    </w:p>
    <w:p w:rsidR="00592C8E" w:rsidRPr="00592C8E" w:rsidRDefault="00592C8E" w:rsidP="00592C8E">
      <w:pPr>
        <w:numPr>
          <w:ilvl w:val="0"/>
          <w:numId w:val="15"/>
        </w:numPr>
        <w:spacing w:after="0" w:line="360" w:lineRule="auto"/>
        <w:contextualSpacing/>
        <w:jc w:val="both"/>
        <w:rPr>
          <w:rFonts w:ascii="Arial" w:eastAsia="Times New Roman" w:hAnsi="Arial" w:cs="Arial"/>
          <w:bCs/>
          <w:color w:val="000000"/>
          <w:lang w:val="en-US" w:eastAsia="en-GB"/>
        </w:rPr>
      </w:pPr>
      <w:r w:rsidRPr="00592C8E">
        <w:rPr>
          <w:rFonts w:ascii="Arial" w:eastAsia="Times New Roman" w:hAnsi="Arial" w:cs="Arial"/>
          <w:bCs/>
          <w:color w:val="000000"/>
          <w:lang w:val="en-US" w:eastAsia="en-GB"/>
        </w:rPr>
        <w:t>Various factors were considered under transfers and subsidies budget:</w:t>
      </w:r>
    </w:p>
    <w:p w:rsidR="00592C8E" w:rsidRPr="00592C8E" w:rsidRDefault="00592C8E" w:rsidP="00592C8E">
      <w:pPr>
        <w:numPr>
          <w:ilvl w:val="1"/>
          <w:numId w:val="15"/>
        </w:numPr>
        <w:spacing w:after="0" w:line="360" w:lineRule="auto"/>
        <w:contextualSpacing/>
        <w:jc w:val="both"/>
        <w:rPr>
          <w:rFonts w:ascii="Arial" w:eastAsia="Times New Roman" w:hAnsi="Arial" w:cs="Arial"/>
          <w:bCs/>
          <w:color w:val="000000"/>
          <w:lang w:val="en-US" w:eastAsia="en-GB"/>
        </w:rPr>
      </w:pPr>
      <w:r w:rsidRPr="00592C8E">
        <w:rPr>
          <w:rFonts w:ascii="Arial" w:eastAsia="Times New Roman" w:hAnsi="Arial" w:cs="Arial"/>
          <w:bCs/>
          <w:color w:val="000000"/>
          <w:lang w:val="en-US" w:eastAsia="en-GB"/>
        </w:rPr>
        <w:t>Projects that would not be feasible to implement due to the pandemic, for example: infrastructure, science awareness, etc.</w:t>
      </w:r>
    </w:p>
    <w:p w:rsidR="00592C8E" w:rsidRPr="00592C8E" w:rsidRDefault="00592C8E" w:rsidP="00592C8E">
      <w:pPr>
        <w:numPr>
          <w:ilvl w:val="1"/>
          <w:numId w:val="15"/>
        </w:numPr>
        <w:spacing w:after="0" w:line="360" w:lineRule="auto"/>
        <w:contextualSpacing/>
        <w:jc w:val="both"/>
        <w:rPr>
          <w:rFonts w:ascii="Arial" w:eastAsia="Times New Roman" w:hAnsi="Arial" w:cs="Arial"/>
          <w:bCs/>
          <w:color w:val="000000"/>
          <w:lang w:val="en-US" w:eastAsia="en-GB"/>
        </w:rPr>
      </w:pPr>
      <w:r w:rsidRPr="00592C8E">
        <w:rPr>
          <w:rFonts w:ascii="Arial" w:eastAsia="Times New Roman" w:hAnsi="Arial" w:cs="Arial"/>
          <w:bCs/>
          <w:color w:val="000000"/>
          <w:lang w:val="en-US" w:eastAsia="en-GB"/>
        </w:rPr>
        <w:t>Projects that were allocated funds during the last quarter of the financial year and the prospect of spending the new money (2020/21) were slim.</w:t>
      </w:r>
    </w:p>
    <w:p w:rsidR="00592C8E" w:rsidRPr="00592C8E" w:rsidRDefault="00592C8E" w:rsidP="00592C8E">
      <w:pPr>
        <w:numPr>
          <w:ilvl w:val="0"/>
          <w:numId w:val="15"/>
        </w:numPr>
        <w:spacing w:after="0" w:line="360" w:lineRule="auto"/>
        <w:contextualSpacing/>
        <w:jc w:val="both"/>
        <w:rPr>
          <w:rFonts w:ascii="Arial" w:eastAsia="Times New Roman" w:hAnsi="Arial" w:cs="Arial"/>
          <w:bCs/>
          <w:color w:val="000000"/>
          <w:lang w:val="en-US" w:eastAsia="en-GB"/>
        </w:rPr>
      </w:pPr>
      <w:r w:rsidRPr="00592C8E">
        <w:rPr>
          <w:rFonts w:ascii="Arial" w:eastAsia="Times New Roman" w:hAnsi="Arial" w:cs="Arial"/>
          <w:bCs/>
          <w:color w:val="000000"/>
          <w:lang w:val="en-US" w:eastAsia="en-GB"/>
        </w:rPr>
        <w:t>There are however other areas where the cuts will have a negative impact, these include; the Human Capital Development. The department proposed these cuts in order to reach the 20% stipulated by National Treasury. These challenges were presented by the department to the National Treasury.</w:t>
      </w:r>
    </w:p>
    <w:p w:rsidR="00592C8E" w:rsidRPr="00592C8E" w:rsidRDefault="00592C8E" w:rsidP="00592C8E">
      <w:pPr>
        <w:spacing w:after="0" w:line="360" w:lineRule="auto"/>
        <w:jc w:val="both"/>
        <w:rPr>
          <w:rFonts w:ascii="Arial" w:eastAsia="Times New Roman" w:hAnsi="Arial" w:cs="Arial"/>
          <w:b/>
          <w:color w:val="000000"/>
          <w:lang w:val="en-US" w:eastAsia="en-GB"/>
        </w:rPr>
      </w:pPr>
      <w:r w:rsidRPr="00592C8E">
        <w:rPr>
          <w:rFonts w:ascii="Arial" w:eastAsia="Times New Roman" w:hAnsi="Arial" w:cs="Arial"/>
          <w:b/>
          <w:color w:val="000000"/>
          <w:lang w:val="en-US" w:eastAsia="en-GB"/>
        </w:rPr>
        <w:lastRenderedPageBreak/>
        <w:t>Entities</w:t>
      </w:r>
    </w:p>
    <w:p w:rsidR="00592C8E" w:rsidRPr="00592C8E" w:rsidRDefault="00592C8E" w:rsidP="00592C8E">
      <w:pPr>
        <w:numPr>
          <w:ilvl w:val="0"/>
          <w:numId w:val="16"/>
        </w:numPr>
        <w:spacing w:after="0" w:line="360" w:lineRule="auto"/>
        <w:contextualSpacing/>
        <w:jc w:val="both"/>
        <w:rPr>
          <w:rFonts w:ascii="Arial" w:eastAsia="Times New Roman" w:hAnsi="Arial" w:cs="Arial"/>
          <w:bCs/>
          <w:color w:val="000000"/>
          <w:lang w:val="en-US" w:eastAsia="en-GB"/>
        </w:rPr>
      </w:pPr>
      <w:r w:rsidRPr="00592C8E">
        <w:rPr>
          <w:rFonts w:ascii="Arial" w:eastAsia="Times New Roman" w:hAnsi="Arial" w:cs="Arial"/>
          <w:bCs/>
          <w:color w:val="000000"/>
          <w:lang w:val="en-US" w:eastAsia="en-GB"/>
        </w:rPr>
        <w:t>10% cut was proposed on the entities’ parliamentary grants across the board.</w:t>
      </w:r>
    </w:p>
    <w:p w:rsidR="00592C8E" w:rsidRPr="00592C8E" w:rsidRDefault="00592C8E" w:rsidP="00592C8E">
      <w:pPr>
        <w:numPr>
          <w:ilvl w:val="0"/>
          <w:numId w:val="16"/>
        </w:numPr>
        <w:spacing w:after="0" w:line="360" w:lineRule="auto"/>
        <w:contextualSpacing/>
        <w:jc w:val="both"/>
        <w:rPr>
          <w:rFonts w:ascii="Arial" w:eastAsia="Times New Roman" w:hAnsi="Arial" w:cs="Arial"/>
          <w:bCs/>
          <w:color w:val="000000"/>
          <w:lang w:val="en-US" w:eastAsia="en-GB"/>
        </w:rPr>
      </w:pPr>
      <w:r w:rsidRPr="00592C8E">
        <w:rPr>
          <w:rFonts w:ascii="Arial" w:eastAsia="Times New Roman" w:hAnsi="Arial" w:cs="Arial"/>
          <w:bCs/>
          <w:color w:val="000000"/>
          <w:lang w:val="en-US" w:eastAsia="en-GB"/>
        </w:rPr>
        <w:t>A lesser percentage (as opposed to 20% requested by National Treasury) was proposed in order to minimize the impact of the cuts to entities.</w:t>
      </w:r>
    </w:p>
    <w:p w:rsidR="00592C8E" w:rsidRPr="00592C8E" w:rsidRDefault="00592C8E" w:rsidP="00592C8E">
      <w:pPr>
        <w:numPr>
          <w:ilvl w:val="0"/>
          <w:numId w:val="16"/>
        </w:numPr>
        <w:spacing w:after="0" w:line="360" w:lineRule="auto"/>
        <w:contextualSpacing/>
        <w:jc w:val="both"/>
        <w:rPr>
          <w:rFonts w:ascii="Arial" w:eastAsia="Times New Roman" w:hAnsi="Arial" w:cs="Arial"/>
          <w:bCs/>
          <w:color w:val="000000"/>
          <w:lang w:val="en-US" w:eastAsia="en-GB"/>
        </w:rPr>
      </w:pPr>
      <w:r w:rsidRPr="00592C8E">
        <w:rPr>
          <w:rFonts w:ascii="Arial" w:eastAsia="Times New Roman" w:hAnsi="Arial" w:cs="Arial"/>
          <w:bCs/>
          <w:color w:val="000000"/>
          <w:lang w:val="en-US" w:eastAsia="en-GB"/>
        </w:rPr>
        <w:t>Entities are also expected to make some savings on areas where there will be no or minimal activities during the lockdown.</w:t>
      </w:r>
    </w:p>
    <w:p w:rsidR="002347C3" w:rsidRDefault="00592C8E" w:rsidP="002347C3">
      <w:pPr>
        <w:numPr>
          <w:ilvl w:val="0"/>
          <w:numId w:val="16"/>
        </w:numPr>
        <w:spacing w:after="0" w:line="360" w:lineRule="auto"/>
        <w:contextualSpacing/>
        <w:jc w:val="both"/>
        <w:rPr>
          <w:rFonts w:ascii="Arial" w:eastAsia="Times New Roman" w:hAnsi="Arial" w:cs="Arial"/>
          <w:bCs/>
          <w:color w:val="000000"/>
          <w:lang w:val="en-US" w:eastAsia="en-GB"/>
        </w:rPr>
      </w:pPr>
      <w:r w:rsidRPr="00592C8E">
        <w:rPr>
          <w:rFonts w:ascii="Arial" w:eastAsia="Times New Roman" w:hAnsi="Arial" w:cs="Arial"/>
          <w:bCs/>
          <w:color w:val="000000"/>
          <w:lang w:val="en-US" w:eastAsia="en-GB"/>
        </w:rPr>
        <w:t xml:space="preserve">Based on the above, the department is satisfied that the proposal is fair, however it was noted that entities which rely on external revenue might be negatively impacted as the revenue has declined substantially due to the prevailing conditions. </w:t>
      </w:r>
    </w:p>
    <w:p w:rsidR="00592C8E" w:rsidRPr="002347C3" w:rsidRDefault="00592C8E" w:rsidP="002347C3">
      <w:pPr>
        <w:numPr>
          <w:ilvl w:val="0"/>
          <w:numId w:val="16"/>
        </w:numPr>
        <w:spacing w:after="0" w:line="360" w:lineRule="auto"/>
        <w:contextualSpacing/>
        <w:jc w:val="both"/>
        <w:rPr>
          <w:rFonts w:ascii="Arial" w:eastAsia="Times New Roman" w:hAnsi="Arial" w:cs="Arial"/>
          <w:bCs/>
          <w:color w:val="000000"/>
          <w:lang w:val="en-US" w:eastAsia="en-GB"/>
        </w:rPr>
      </w:pPr>
      <w:r w:rsidRPr="002347C3">
        <w:rPr>
          <w:rFonts w:ascii="Arial" w:eastAsia="Times New Roman" w:hAnsi="Arial" w:cs="Arial"/>
          <w:bCs/>
          <w:color w:val="000000"/>
          <w:lang w:val="en-US" w:eastAsia="en-GB"/>
        </w:rPr>
        <w:t>The department has discussed the entities that are affected by decline of external revenue with the National Treasury for possible amnesty.</w:t>
      </w:r>
    </w:p>
    <w:sectPr w:rsidR="00592C8E" w:rsidRPr="002347C3" w:rsidSect="002347C3">
      <w:headerReference w:type="default" r:id="rId7"/>
      <w:footerReference w:type="default" r:id="rId8"/>
      <w:pgSz w:w="12240" w:h="15840"/>
      <w:pgMar w:top="1440" w:right="1440" w:bottom="1440" w:left="1440" w:header="1471" w:footer="1039"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AB" w:rsidRDefault="002C0BAB">
      <w:pPr>
        <w:spacing w:after="0" w:line="240" w:lineRule="auto"/>
      </w:pPr>
      <w:r>
        <w:separator/>
      </w:r>
    </w:p>
  </w:endnote>
  <w:endnote w:type="continuationSeparator" w:id="0">
    <w:p w:rsidR="002C0BAB" w:rsidRDefault="002C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2C0BAB">
    <w:pPr>
      <w:pStyle w:val="Footer"/>
      <w:jc w:val="center"/>
      <w:rPr>
        <w:rFonts w:ascii="Arial" w:hAnsi="Arial" w:cs="Arial"/>
        <w:sz w:val="24"/>
        <w:szCs w:val="24"/>
      </w:rPr>
    </w:pPr>
  </w:p>
  <w:p w:rsidR="004721B3" w:rsidRDefault="002C0B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AB" w:rsidRDefault="002C0BAB">
      <w:pPr>
        <w:spacing w:after="0" w:line="240" w:lineRule="auto"/>
      </w:pPr>
      <w:r>
        <w:separator/>
      </w:r>
    </w:p>
  </w:footnote>
  <w:footnote w:type="continuationSeparator" w:id="0">
    <w:p w:rsidR="002C0BAB" w:rsidRDefault="002C0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DF06F1">
          <w:rPr>
            <w:rFonts w:ascii="Arial" w:hAnsi="Arial" w:cs="Arial"/>
            <w:noProof/>
            <w:sz w:val="24"/>
            <w:szCs w:val="24"/>
          </w:rPr>
          <w:t>1</w:t>
        </w:r>
        <w:r w:rsidRPr="00C7359A">
          <w:rPr>
            <w:rFonts w:ascii="Arial" w:hAnsi="Arial" w:cs="Arial"/>
            <w:noProof/>
            <w:sz w:val="24"/>
            <w:szCs w:val="24"/>
          </w:rPr>
          <w:fldChar w:fldCharType="end"/>
        </w:r>
      </w:p>
    </w:sdtContent>
  </w:sdt>
  <w:p w:rsidR="004721B3" w:rsidRDefault="002C0B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5F4"/>
    <w:multiLevelType w:val="hybridMultilevel"/>
    <w:tmpl w:val="BC5A7B1C"/>
    <w:lvl w:ilvl="0" w:tplc="4FC003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918BE"/>
    <w:multiLevelType w:val="hybridMultilevel"/>
    <w:tmpl w:val="106A1F9E"/>
    <w:lvl w:ilvl="0" w:tplc="C94C0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6" w15:restartNumberingAfterBreak="0">
    <w:nsid w:val="174850C4"/>
    <w:multiLevelType w:val="hybridMultilevel"/>
    <w:tmpl w:val="77902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890DD6"/>
    <w:multiLevelType w:val="hybridMultilevel"/>
    <w:tmpl w:val="0FA6D5D0"/>
    <w:lvl w:ilvl="0" w:tplc="D7D8F8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3D1EFB"/>
    <w:multiLevelType w:val="hybridMultilevel"/>
    <w:tmpl w:val="1CCADBE8"/>
    <w:lvl w:ilvl="0" w:tplc="29DADD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6120AA"/>
    <w:multiLevelType w:val="hybridMultilevel"/>
    <w:tmpl w:val="335A8C2C"/>
    <w:lvl w:ilvl="0" w:tplc="C332ED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31596"/>
    <w:multiLevelType w:val="hybridMultilevel"/>
    <w:tmpl w:val="84EA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F17B1"/>
    <w:multiLevelType w:val="hybridMultilevel"/>
    <w:tmpl w:val="2618D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0A16F8"/>
    <w:multiLevelType w:val="hybridMultilevel"/>
    <w:tmpl w:val="FCDC1A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3DF38AE"/>
    <w:multiLevelType w:val="hybridMultilevel"/>
    <w:tmpl w:val="1470557C"/>
    <w:lvl w:ilvl="0" w:tplc="7736E3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0BD41F1"/>
    <w:multiLevelType w:val="hybridMultilevel"/>
    <w:tmpl w:val="6F905AFA"/>
    <w:lvl w:ilvl="0" w:tplc="5BE4D0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5"/>
  </w:num>
  <w:num w:numId="3">
    <w:abstractNumId w:val="13"/>
  </w:num>
  <w:num w:numId="4">
    <w:abstractNumId w:val="2"/>
  </w:num>
  <w:num w:numId="5">
    <w:abstractNumId w:val="12"/>
  </w:num>
  <w:num w:numId="6">
    <w:abstractNumId w:val="16"/>
  </w:num>
  <w:num w:numId="7">
    <w:abstractNumId w:val="8"/>
  </w:num>
  <w:num w:numId="8">
    <w:abstractNumId w:val="4"/>
  </w:num>
  <w:num w:numId="9">
    <w:abstractNumId w:val="7"/>
  </w:num>
  <w:num w:numId="10">
    <w:abstractNumId w:val="3"/>
  </w:num>
  <w:num w:numId="11">
    <w:abstractNumId w:val="6"/>
  </w:num>
  <w:num w:numId="12">
    <w:abstractNumId w:val="1"/>
  </w:num>
  <w:num w:numId="13">
    <w:abstractNumId w:val="18"/>
  </w:num>
  <w:num w:numId="14">
    <w:abstractNumId w:val="0"/>
  </w:num>
  <w:num w:numId="15">
    <w:abstractNumId w:val="15"/>
  </w:num>
  <w:num w:numId="16">
    <w:abstractNumId w:val="14"/>
  </w:num>
  <w:num w:numId="17">
    <w:abstractNumId w:val="11"/>
  </w:num>
  <w:num w:numId="18">
    <w:abstractNumId w:val="17"/>
  </w:num>
  <w:num w:numId="19">
    <w:abstractNumId w:val="19"/>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C2338"/>
    <w:rsid w:val="000E638A"/>
    <w:rsid w:val="00102593"/>
    <w:rsid w:val="0014455D"/>
    <w:rsid w:val="00164BCC"/>
    <w:rsid w:val="001C75E4"/>
    <w:rsid w:val="001E7552"/>
    <w:rsid w:val="001F3777"/>
    <w:rsid w:val="002347C3"/>
    <w:rsid w:val="00242B88"/>
    <w:rsid w:val="00252F46"/>
    <w:rsid w:val="002B1BB2"/>
    <w:rsid w:val="002C0BAB"/>
    <w:rsid w:val="002C0CA5"/>
    <w:rsid w:val="002D0289"/>
    <w:rsid w:val="002E0597"/>
    <w:rsid w:val="00304AAF"/>
    <w:rsid w:val="00334F6C"/>
    <w:rsid w:val="00355E4B"/>
    <w:rsid w:val="00396A2E"/>
    <w:rsid w:val="003E1C4D"/>
    <w:rsid w:val="003E5FB5"/>
    <w:rsid w:val="003E7DF4"/>
    <w:rsid w:val="00414571"/>
    <w:rsid w:val="004201AE"/>
    <w:rsid w:val="00431AEB"/>
    <w:rsid w:val="004575D5"/>
    <w:rsid w:val="00493E08"/>
    <w:rsid w:val="004A3A6B"/>
    <w:rsid w:val="004A4FF8"/>
    <w:rsid w:val="004C0336"/>
    <w:rsid w:val="004C139A"/>
    <w:rsid w:val="004C2600"/>
    <w:rsid w:val="004E41CF"/>
    <w:rsid w:val="0053356F"/>
    <w:rsid w:val="00592C8E"/>
    <w:rsid w:val="005B69E5"/>
    <w:rsid w:val="005C492F"/>
    <w:rsid w:val="005E2763"/>
    <w:rsid w:val="005E3618"/>
    <w:rsid w:val="00607F4B"/>
    <w:rsid w:val="00617578"/>
    <w:rsid w:val="00626A6E"/>
    <w:rsid w:val="00637860"/>
    <w:rsid w:val="00686D2B"/>
    <w:rsid w:val="0069690D"/>
    <w:rsid w:val="007D3F06"/>
    <w:rsid w:val="008439E4"/>
    <w:rsid w:val="00870E60"/>
    <w:rsid w:val="00892509"/>
    <w:rsid w:val="008C2DEA"/>
    <w:rsid w:val="008D7358"/>
    <w:rsid w:val="008E4A54"/>
    <w:rsid w:val="00967D49"/>
    <w:rsid w:val="00971486"/>
    <w:rsid w:val="009A53FD"/>
    <w:rsid w:val="009A6DEF"/>
    <w:rsid w:val="009F1D2C"/>
    <w:rsid w:val="00A0203F"/>
    <w:rsid w:val="00A171A9"/>
    <w:rsid w:val="00A54F54"/>
    <w:rsid w:val="00A80C64"/>
    <w:rsid w:val="00A96F31"/>
    <w:rsid w:val="00AF0B8D"/>
    <w:rsid w:val="00B04738"/>
    <w:rsid w:val="00B41ACB"/>
    <w:rsid w:val="00B42CEB"/>
    <w:rsid w:val="00B50624"/>
    <w:rsid w:val="00B76C8C"/>
    <w:rsid w:val="00B76E0F"/>
    <w:rsid w:val="00B90DB3"/>
    <w:rsid w:val="00BA1D82"/>
    <w:rsid w:val="00BF517C"/>
    <w:rsid w:val="00C102B8"/>
    <w:rsid w:val="00C21ACD"/>
    <w:rsid w:val="00C46EE5"/>
    <w:rsid w:val="00C838D4"/>
    <w:rsid w:val="00C85D75"/>
    <w:rsid w:val="00C871EE"/>
    <w:rsid w:val="00D055CE"/>
    <w:rsid w:val="00D44ED0"/>
    <w:rsid w:val="00D703EC"/>
    <w:rsid w:val="00D73705"/>
    <w:rsid w:val="00D761CB"/>
    <w:rsid w:val="00D9761E"/>
    <w:rsid w:val="00D977A4"/>
    <w:rsid w:val="00DA5658"/>
    <w:rsid w:val="00DB6803"/>
    <w:rsid w:val="00DC4A4F"/>
    <w:rsid w:val="00DE221F"/>
    <w:rsid w:val="00DE51AD"/>
    <w:rsid w:val="00DF06F1"/>
    <w:rsid w:val="00E34181"/>
    <w:rsid w:val="00E35CA2"/>
    <w:rsid w:val="00ED6D44"/>
    <w:rsid w:val="00F0730C"/>
    <w:rsid w:val="00F22F50"/>
    <w:rsid w:val="00F83293"/>
    <w:rsid w:val="00FD5A0F"/>
    <w:rsid w:val="00FD7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 w:type="numbering" w:customStyle="1" w:styleId="NoList1">
    <w:name w:val="No List1"/>
    <w:next w:val="NoList"/>
    <w:uiPriority w:val="99"/>
    <w:semiHidden/>
    <w:unhideWhenUsed/>
    <w:rsid w:val="00592C8E"/>
  </w:style>
  <w:style w:type="table" w:customStyle="1" w:styleId="TableGrid1">
    <w:name w:val="Table Grid1"/>
    <w:basedOn w:val="TableNormal"/>
    <w:next w:val="TableGrid"/>
    <w:uiPriority w:val="39"/>
    <w:rsid w:val="00592C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2020-06-22T16:58:00Z</dcterms:created>
  <dcterms:modified xsi:type="dcterms:W3CDTF">2020-06-22T16:58:00Z</dcterms:modified>
</cp:coreProperties>
</file>