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1A790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1073</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1A7908">
        <w:rPr>
          <w:rFonts w:ascii="Arial" w:eastAsia="Arial Unicode MS" w:hAnsi="Arial" w:cs="Arial"/>
          <w:b/>
          <w:bCs/>
          <w:bdr w:val="nil"/>
          <w:lang w:val="en-US"/>
        </w:rPr>
        <w:t>25</w:t>
      </w:r>
      <w:r w:rsidR="000F4913">
        <w:rPr>
          <w:rFonts w:ascii="Arial" w:eastAsia="Arial Unicode MS" w:hAnsi="Arial" w:cs="Arial"/>
          <w:b/>
          <w:bCs/>
          <w:bdr w:val="nil"/>
          <w:lang w:val="en-US"/>
        </w:rPr>
        <w:t xml:space="preserve"> March</w:t>
      </w:r>
      <w:r w:rsidR="005F1119">
        <w:rPr>
          <w:rFonts w:ascii="Arial" w:eastAsia="Arial Unicode MS" w:hAnsi="Arial" w:cs="Arial"/>
          <w:b/>
          <w:bCs/>
          <w:bdr w:val="nil"/>
          <w:lang w:val="en-US"/>
        </w:rPr>
        <w:t xml:space="preserve"> 2022</w:t>
      </w:r>
    </w:p>
    <w:p w:rsidR="00DB6BD3" w:rsidRPr="00DB6BD3" w:rsidRDefault="001A7908"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12</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3B0B24">
        <w:rPr>
          <w:rFonts w:ascii="Arial" w:eastAsia="Arial Unicode MS" w:hAnsi="Arial" w:cs="Arial"/>
          <w:b/>
          <w:bCs/>
          <w:bdr w:val="nil"/>
          <w:lang w:val="en-US"/>
        </w:rPr>
        <w:tab/>
        <w:t>20 April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214499" w:rsidRDefault="001A7908" w:rsidP="00214499">
      <w:pPr>
        <w:pBdr>
          <w:top w:val="nil"/>
          <w:left w:val="nil"/>
          <w:bottom w:val="nil"/>
          <w:right w:val="nil"/>
          <w:between w:val="nil"/>
          <w:bar w:val="nil"/>
        </w:pBdr>
        <w:spacing w:after="0" w:line="360" w:lineRule="auto"/>
        <w:jc w:val="both"/>
        <w:rPr>
          <w:rFonts w:ascii="Arial" w:eastAsia="Arial Unicode MS" w:hAnsi="Arial" w:cs="Arial"/>
          <w:bCs/>
          <w:bdr w:val="nil"/>
          <w:lang w:val="en-US"/>
        </w:rPr>
      </w:pPr>
      <w:r w:rsidRPr="001A7908">
        <w:rPr>
          <w:rFonts w:ascii="Arial" w:eastAsia="Arial Unicode MS" w:hAnsi="Arial" w:cs="Arial"/>
          <w:bCs/>
          <w:bdr w:val="nil"/>
          <w:lang w:val="en-US"/>
        </w:rPr>
        <w:t>With reference to the SA National Parks and the training of tour guides (a) in the past three financial years and (b) since 1 April 2021, what (</w:t>
      </w:r>
      <w:proofErr w:type="spellStart"/>
      <w:r w:rsidRPr="001A7908">
        <w:rPr>
          <w:rFonts w:ascii="Arial" w:eastAsia="Arial Unicode MS" w:hAnsi="Arial" w:cs="Arial"/>
          <w:bCs/>
          <w:bdr w:val="nil"/>
          <w:lang w:val="en-US"/>
        </w:rPr>
        <w:t>i</w:t>
      </w:r>
      <w:proofErr w:type="spellEnd"/>
      <w:r w:rsidRPr="001A7908">
        <w:rPr>
          <w:rFonts w:ascii="Arial" w:eastAsia="Arial Unicode MS" w:hAnsi="Arial" w:cs="Arial"/>
          <w:bCs/>
          <w:bdr w:val="nil"/>
          <w:lang w:val="en-US"/>
        </w:rPr>
        <w:t>) mechanisms and/or processes are used to measure the success of (aa) the training and (bb) tour guides and (ii)(aa) successes and (bb) failures have been identified and (cc) steps are being taken by her department in this regard going forward?</w:t>
      </w:r>
      <w:r w:rsidR="00214499" w:rsidRPr="00214499">
        <w:rPr>
          <w:rFonts w:ascii="Arial" w:eastAsia="Arial Unicode MS" w:hAnsi="Arial" w:cs="Arial"/>
          <w:bCs/>
          <w:bdr w:val="nil"/>
          <w:lang w:val="en-US"/>
        </w:rPr>
        <w:t xml:space="preserve"> </w:t>
      </w:r>
    </w:p>
    <w:p w:rsidR="00DA6EE7" w:rsidRDefault="001A7908" w:rsidP="00214499">
      <w:pPr>
        <w:pBdr>
          <w:top w:val="nil"/>
          <w:left w:val="nil"/>
          <w:bottom w:val="nil"/>
          <w:right w:val="nil"/>
          <w:between w:val="nil"/>
          <w:bar w:val="nil"/>
        </w:pBdr>
        <w:spacing w:after="0" w:line="360" w:lineRule="auto"/>
        <w:ind w:left="7200" w:firstLine="720"/>
        <w:jc w:val="both"/>
        <w:rPr>
          <w:rFonts w:ascii="Arial" w:eastAsia="Arial Unicode MS" w:hAnsi="Arial" w:cs="Arial"/>
          <w:bCs/>
          <w:bdr w:val="nil"/>
          <w:lang w:val="en-US"/>
        </w:rPr>
      </w:pPr>
      <w:r>
        <w:rPr>
          <w:rFonts w:ascii="Arial" w:eastAsia="Arial Unicode MS" w:hAnsi="Arial" w:cs="Arial"/>
          <w:bCs/>
          <w:bdr w:val="nil"/>
          <w:lang w:val="en-US"/>
        </w:rPr>
        <w:t>NW1317</w:t>
      </w:r>
      <w:r w:rsidR="00214499" w:rsidRPr="00214499">
        <w:rPr>
          <w:rFonts w:ascii="Arial" w:eastAsia="Arial Unicode MS" w:hAnsi="Arial" w:cs="Arial"/>
          <w:bCs/>
          <w:bdr w:val="nil"/>
          <w:lang w:val="en-US"/>
        </w:rPr>
        <w:t>E</w:t>
      </w:r>
    </w:p>
    <w:p w:rsidR="00214499" w:rsidRPr="00214499" w:rsidRDefault="00214499" w:rsidP="00214499">
      <w:pPr>
        <w:pBdr>
          <w:top w:val="nil"/>
          <w:left w:val="nil"/>
          <w:bottom w:val="nil"/>
          <w:right w:val="nil"/>
          <w:between w:val="nil"/>
          <w:bar w:val="nil"/>
        </w:pBdr>
        <w:spacing w:after="0" w:line="360" w:lineRule="auto"/>
        <w:ind w:left="7200" w:firstLine="720"/>
        <w:jc w:val="both"/>
        <w:rPr>
          <w:rFonts w:ascii="Arial" w:eastAsia="Arial Unicode MS" w:hAnsi="Arial" w:cs="Arial"/>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5D12A6" w:rsidRPr="002B230A" w:rsidRDefault="005D12A6" w:rsidP="002B230A">
      <w:pPr>
        <w:pBdr>
          <w:top w:val="nil"/>
          <w:left w:val="nil"/>
          <w:bottom w:val="nil"/>
          <w:right w:val="nil"/>
          <w:between w:val="nil"/>
          <w:bar w:val="nil"/>
        </w:pBdr>
        <w:spacing w:after="0" w:line="360" w:lineRule="auto"/>
        <w:rPr>
          <w:rFonts w:ascii="Arial" w:eastAsia="Calibri" w:hAnsi="Arial" w:cs="Arial"/>
          <w:color w:val="FF0000"/>
          <w:lang w:val="en-GB"/>
        </w:rPr>
      </w:pPr>
    </w:p>
    <w:p w:rsidR="005D12A6" w:rsidRPr="005D12A6" w:rsidRDefault="005D12A6" w:rsidP="005D12A6">
      <w:pPr>
        <w:pStyle w:val="ListParagraph"/>
        <w:pBdr>
          <w:top w:val="nil"/>
          <w:left w:val="nil"/>
          <w:bottom w:val="nil"/>
          <w:right w:val="nil"/>
          <w:between w:val="nil"/>
          <w:bar w:val="nil"/>
        </w:pBdr>
        <w:spacing w:after="0" w:line="360" w:lineRule="auto"/>
        <w:ind w:left="360"/>
        <w:rPr>
          <w:rFonts w:ascii="Arial" w:eastAsia="Calibri" w:hAnsi="Arial" w:cs="Arial"/>
          <w:color w:val="FF0000"/>
          <w:lang w:val="en-GB"/>
        </w:rPr>
      </w:pPr>
    </w:p>
    <w:tbl>
      <w:tblPr>
        <w:tblStyle w:val="TableGrid"/>
        <w:tblW w:w="9786" w:type="dxa"/>
        <w:tblInd w:w="-147" w:type="dxa"/>
        <w:tblLook w:val="04A0"/>
      </w:tblPr>
      <w:tblGrid>
        <w:gridCol w:w="4116"/>
        <w:gridCol w:w="5670"/>
      </w:tblGrid>
      <w:tr w:rsidR="00391AC3" w:rsidTr="00391AC3">
        <w:trPr>
          <w:tblHeader/>
        </w:trPr>
        <w:tc>
          <w:tcPr>
            <w:tcW w:w="4116" w:type="dxa"/>
            <w:tcBorders>
              <w:top w:val="nil"/>
              <w:left w:val="nil"/>
              <w:bottom w:val="single" w:sz="4" w:space="0" w:color="auto"/>
              <w:right w:val="single" w:sz="4" w:space="0" w:color="auto"/>
            </w:tcBorders>
          </w:tcPr>
          <w:p w:rsidR="00391AC3" w:rsidRDefault="00391AC3" w:rsidP="0061457C">
            <w:pPr>
              <w:spacing w:line="360" w:lineRule="auto"/>
              <w:rPr>
                <w:rFonts w:ascii="Arial" w:eastAsia="Calibri" w:hAnsi="Arial" w:cs="Arial"/>
                <w:lang w:val="en-GB"/>
              </w:rPr>
            </w:pPr>
          </w:p>
        </w:tc>
        <w:tc>
          <w:tcPr>
            <w:tcW w:w="5670" w:type="dxa"/>
            <w:tcBorders>
              <w:left w:val="single" w:sz="4" w:space="0" w:color="auto"/>
            </w:tcBorders>
          </w:tcPr>
          <w:p w:rsidR="00391AC3" w:rsidRDefault="00391AC3" w:rsidP="0061457C">
            <w:pPr>
              <w:spacing w:line="360" w:lineRule="auto"/>
              <w:rPr>
                <w:rFonts w:ascii="Arial" w:eastAsia="Calibri" w:hAnsi="Arial" w:cs="Arial"/>
                <w:lang w:val="en-GB"/>
              </w:rPr>
            </w:pPr>
            <w:r>
              <w:rPr>
                <w:rFonts w:ascii="Arial" w:eastAsia="Calibri" w:hAnsi="Arial" w:cs="Arial"/>
                <w:lang w:val="en-GB"/>
              </w:rPr>
              <w:t>(a)  2018-2019</w:t>
            </w:r>
          </w:p>
        </w:tc>
      </w:tr>
      <w:tr w:rsidR="00391AC3" w:rsidTr="00391AC3">
        <w:tc>
          <w:tcPr>
            <w:tcW w:w="4116" w:type="dxa"/>
            <w:tcBorders>
              <w:top w:val="single" w:sz="4" w:space="0" w:color="auto"/>
            </w:tcBorders>
          </w:tcPr>
          <w:p w:rsidR="00391AC3" w:rsidRPr="00447EC9" w:rsidRDefault="00391AC3" w:rsidP="005D12A6">
            <w:pPr>
              <w:pStyle w:val="ListParagraph"/>
              <w:numPr>
                <w:ilvl w:val="0"/>
                <w:numId w:val="19"/>
              </w:numPr>
              <w:spacing w:line="360" w:lineRule="auto"/>
              <w:ind w:left="330" w:hanging="330"/>
              <w:rPr>
                <w:rFonts w:ascii="Arial" w:eastAsia="Calibri" w:hAnsi="Arial" w:cs="Arial"/>
                <w:lang w:val="en-GB"/>
              </w:rPr>
            </w:pPr>
            <w:r>
              <w:rPr>
                <w:rFonts w:ascii="Arial" w:eastAsia="Calibri" w:hAnsi="Arial" w:cs="Arial"/>
                <w:lang w:val="en-GB"/>
              </w:rPr>
              <w:t xml:space="preserve">(aa) </w:t>
            </w:r>
            <w:r w:rsidRPr="00EF5A52">
              <w:rPr>
                <w:rFonts w:ascii="Arial" w:eastAsia="Calibri" w:hAnsi="Arial" w:cs="Arial"/>
                <w:lang w:val="en-GB"/>
              </w:rPr>
              <w:t xml:space="preserve">What </w:t>
            </w:r>
            <w:r w:rsidRPr="004B711A">
              <w:rPr>
                <w:rFonts w:ascii="Arial" w:eastAsia="Calibri" w:hAnsi="Arial" w:cs="Arial"/>
                <w:lang w:val="en-GB"/>
              </w:rPr>
              <w:t>mechanisms and/or processes are used</w:t>
            </w:r>
            <w:r>
              <w:rPr>
                <w:rFonts w:ascii="Arial" w:eastAsia="Calibri" w:hAnsi="Arial" w:cs="Arial"/>
                <w:lang w:val="en-GB"/>
              </w:rPr>
              <w:t xml:space="preserve"> to measure the success of </w:t>
            </w:r>
            <w:r w:rsidRPr="004B711A">
              <w:rPr>
                <w:rFonts w:ascii="Arial" w:eastAsia="Calibri" w:hAnsi="Arial" w:cs="Arial"/>
                <w:lang w:val="en-GB"/>
              </w:rPr>
              <w:t>the training</w:t>
            </w:r>
            <w:r>
              <w:rPr>
                <w:rFonts w:ascii="Arial" w:eastAsia="Calibri" w:hAnsi="Arial" w:cs="Arial"/>
                <w:lang w:val="en-GB"/>
              </w:rPr>
              <w:t xml:space="preserve">. </w:t>
            </w:r>
          </w:p>
        </w:tc>
        <w:tc>
          <w:tcPr>
            <w:tcW w:w="5670" w:type="dxa"/>
          </w:tcPr>
          <w:p w:rsidR="00391AC3" w:rsidRDefault="002B230A" w:rsidP="0061457C">
            <w:pPr>
              <w:spacing w:line="360" w:lineRule="auto"/>
              <w:rPr>
                <w:rFonts w:ascii="Arial" w:eastAsia="Calibri" w:hAnsi="Arial" w:cs="Arial"/>
                <w:lang w:val="en-GB"/>
              </w:rPr>
            </w:pPr>
            <w:r>
              <w:rPr>
                <w:rFonts w:ascii="Arial" w:eastAsia="Calibri" w:hAnsi="Arial" w:cs="Arial"/>
                <w:lang w:val="en-GB"/>
              </w:rPr>
              <w:t xml:space="preserve">The completion rate based on the passing of the assignment that tests for guides’ success regarding the training </w:t>
            </w:r>
            <w:r w:rsidR="004C423B">
              <w:rPr>
                <w:rFonts w:ascii="Arial" w:eastAsia="Calibri" w:hAnsi="Arial" w:cs="Arial"/>
                <w:lang w:val="en-GB"/>
              </w:rPr>
              <w:t>competencies.</w:t>
            </w:r>
            <w:r w:rsidR="00B32D4E">
              <w:rPr>
                <w:rFonts w:ascii="Arial" w:eastAsia="Calibri" w:hAnsi="Arial" w:cs="Arial"/>
                <w:lang w:val="en-GB"/>
              </w:rPr>
              <w:t xml:space="preserve"> </w:t>
            </w:r>
          </w:p>
        </w:tc>
      </w:tr>
      <w:tr w:rsidR="00391AC3" w:rsidTr="00391AC3">
        <w:tc>
          <w:tcPr>
            <w:tcW w:w="4116" w:type="dxa"/>
          </w:tcPr>
          <w:p w:rsidR="00391AC3" w:rsidRPr="005F0BD9" w:rsidRDefault="00391AC3" w:rsidP="005F0BD9">
            <w:pPr>
              <w:pStyle w:val="ListParagraph"/>
              <w:numPr>
                <w:ilvl w:val="0"/>
                <w:numId w:val="20"/>
              </w:numPr>
              <w:spacing w:line="360" w:lineRule="auto"/>
              <w:ind w:left="330" w:hanging="330"/>
              <w:rPr>
                <w:rFonts w:ascii="Arial" w:eastAsia="Calibri" w:hAnsi="Arial" w:cs="Arial"/>
              </w:rPr>
            </w:pPr>
            <w:r>
              <w:rPr>
                <w:rFonts w:ascii="Arial" w:eastAsia="Calibri" w:hAnsi="Arial" w:cs="Arial"/>
              </w:rPr>
              <w:t xml:space="preserve">(bb) What </w:t>
            </w:r>
            <w:r w:rsidRPr="004B711A">
              <w:rPr>
                <w:rFonts w:ascii="Arial" w:eastAsia="Calibri" w:hAnsi="Arial" w:cs="Arial"/>
              </w:rPr>
              <w:t xml:space="preserve">mechanisms and/or processes are used to measure the success of </w:t>
            </w:r>
            <w:r>
              <w:rPr>
                <w:rFonts w:ascii="Arial" w:eastAsia="Calibri" w:hAnsi="Arial" w:cs="Arial"/>
              </w:rPr>
              <w:t>tour guides.</w:t>
            </w:r>
          </w:p>
        </w:tc>
        <w:tc>
          <w:tcPr>
            <w:tcW w:w="5670" w:type="dxa"/>
          </w:tcPr>
          <w:p w:rsidR="00391AC3" w:rsidRDefault="00DA7A86" w:rsidP="004E1ECA">
            <w:pPr>
              <w:spacing w:line="360" w:lineRule="auto"/>
              <w:jc w:val="both"/>
              <w:rPr>
                <w:rFonts w:ascii="Arial" w:eastAsia="Calibri" w:hAnsi="Arial" w:cs="Arial"/>
                <w:lang w:val="en-GB"/>
              </w:rPr>
            </w:pPr>
            <w:r w:rsidRPr="00DA7A86">
              <w:rPr>
                <w:rFonts w:ascii="Arial" w:eastAsia="Calibri" w:hAnsi="Arial" w:cs="Arial"/>
                <w:lang w:val="en-GB"/>
              </w:rPr>
              <w:t xml:space="preserve">After attending the </w:t>
            </w:r>
            <w:r w:rsidR="004E1ECA">
              <w:rPr>
                <w:rFonts w:ascii="Arial" w:eastAsia="Calibri" w:hAnsi="Arial" w:cs="Arial"/>
                <w:lang w:val="en-GB"/>
              </w:rPr>
              <w:t>Kruger National Park Orientation</w:t>
            </w:r>
            <w:r w:rsidRPr="00DA7A86">
              <w:rPr>
                <w:rFonts w:ascii="Arial" w:eastAsia="Calibri" w:hAnsi="Arial" w:cs="Arial"/>
                <w:lang w:val="en-GB"/>
              </w:rPr>
              <w:t>,</w:t>
            </w:r>
            <w:r w:rsidR="004C47A0">
              <w:rPr>
                <w:rFonts w:ascii="Arial" w:eastAsia="Calibri" w:hAnsi="Arial" w:cs="Arial"/>
                <w:lang w:val="en-GB"/>
              </w:rPr>
              <w:t xml:space="preserve"> guides submitted</w:t>
            </w:r>
            <w:r w:rsidRPr="00DA7A86">
              <w:rPr>
                <w:rFonts w:ascii="Arial" w:eastAsia="Calibri" w:hAnsi="Arial" w:cs="Arial"/>
                <w:lang w:val="en-GB"/>
              </w:rPr>
              <w:t xml:space="preserve"> an assignment </w:t>
            </w:r>
            <w:r w:rsidR="002B230A">
              <w:rPr>
                <w:rFonts w:ascii="Arial" w:eastAsia="Calibri" w:hAnsi="Arial" w:cs="Arial"/>
                <w:lang w:val="en-GB"/>
              </w:rPr>
              <w:t xml:space="preserve">and </w:t>
            </w:r>
            <w:r>
              <w:rPr>
                <w:rFonts w:ascii="Arial" w:eastAsia="Calibri" w:hAnsi="Arial" w:cs="Arial"/>
                <w:lang w:val="en-GB"/>
              </w:rPr>
              <w:t>h</w:t>
            </w:r>
            <w:r w:rsidR="004C47A0">
              <w:rPr>
                <w:rFonts w:ascii="Arial" w:eastAsia="Calibri" w:hAnsi="Arial" w:cs="Arial"/>
                <w:lang w:val="en-GB"/>
              </w:rPr>
              <w:t>ad to attain</w:t>
            </w:r>
            <w:r w:rsidR="004E1ECA">
              <w:rPr>
                <w:rFonts w:ascii="Arial" w:eastAsia="Calibri" w:hAnsi="Arial" w:cs="Arial"/>
                <w:lang w:val="en-GB"/>
              </w:rPr>
              <w:t xml:space="preserve"> a</w:t>
            </w:r>
            <w:r w:rsidRPr="00DA7A86">
              <w:rPr>
                <w:rFonts w:ascii="Arial" w:eastAsia="Calibri" w:hAnsi="Arial" w:cs="Arial"/>
                <w:lang w:val="en-GB"/>
              </w:rPr>
              <w:t xml:space="preserve"> pass mark of 65%</w:t>
            </w:r>
            <w:r w:rsidR="004E1ECA">
              <w:rPr>
                <w:rFonts w:ascii="Arial" w:eastAsia="Calibri" w:hAnsi="Arial" w:cs="Arial"/>
                <w:lang w:val="en-GB"/>
              </w:rPr>
              <w:t xml:space="preserve">. </w:t>
            </w:r>
          </w:p>
        </w:tc>
      </w:tr>
      <w:tr w:rsidR="00391AC3" w:rsidTr="00391AC3">
        <w:tc>
          <w:tcPr>
            <w:tcW w:w="4116" w:type="dxa"/>
          </w:tcPr>
          <w:p w:rsidR="00391AC3" w:rsidRPr="004B711A" w:rsidRDefault="00391AC3" w:rsidP="004B711A">
            <w:pPr>
              <w:pStyle w:val="ListParagraph"/>
              <w:numPr>
                <w:ilvl w:val="0"/>
                <w:numId w:val="20"/>
              </w:numPr>
              <w:spacing w:line="360" w:lineRule="auto"/>
              <w:ind w:left="330" w:hanging="330"/>
              <w:rPr>
                <w:rFonts w:ascii="Arial" w:eastAsia="Calibri" w:hAnsi="Arial" w:cs="Arial"/>
                <w:lang w:val="en-GB"/>
              </w:rPr>
            </w:pPr>
            <w:r>
              <w:rPr>
                <w:rFonts w:ascii="Arial" w:eastAsia="Calibri" w:hAnsi="Arial" w:cs="Arial"/>
              </w:rPr>
              <w:t xml:space="preserve">(aa) </w:t>
            </w:r>
            <w:r w:rsidRPr="00EF5A52">
              <w:rPr>
                <w:rFonts w:ascii="Arial" w:eastAsia="Calibri" w:hAnsi="Arial" w:cs="Arial"/>
              </w:rPr>
              <w:t xml:space="preserve">What </w:t>
            </w:r>
            <w:r>
              <w:rPr>
                <w:rFonts w:ascii="Arial" w:eastAsia="Arial Unicode MS" w:hAnsi="Arial" w:cs="Arial"/>
                <w:bCs/>
                <w:bdr w:val="nil"/>
                <w:lang w:val="en-US"/>
              </w:rPr>
              <w:t>successes have been identified.</w:t>
            </w:r>
          </w:p>
          <w:p w:rsidR="00391AC3" w:rsidRPr="00EF5A52" w:rsidRDefault="00391AC3" w:rsidP="004B711A">
            <w:pPr>
              <w:pStyle w:val="ListParagraph"/>
              <w:spacing w:line="360" w:lineRule="auto"/>
              <w:ind w:left="330"/>
              <w:rPr>
                <w:rFonts w:ascii="Arial" w:eastAsia="Calibri" w:hAnsi="Arial" w:cs="Arial"/>
                <w:lang w:val="en-GB"/>
              </w:rPr>
            </w:pPr>
          </w:p>
        </w:tc>
        <w:tc>
          <w:tcPr>
            <w:tcW w:w="5670" w:type="dxa"/>
          </w:tcPr>
          <w:p w:rsidR="00391AC3" w:rsidRDefault="004E1ECA" w:rsidP="00094B7B">
            <w:pPr>
              <w:spacing w:line="360" w:lineRule="auto"/>
              <w:jc w:val="both"/>
              <w:rPr>
                <w:rFonts w:ascii="Arial" w:eastAsia="Calibri" w:hAnsi="Arial" w:cs="Arial"/>
                <w:lang w:val="en-GB"/>
              </w:rPr>
            </w:pPr>
            <w:r>
              <w:rPr>
                <w:rFonts w:ascii="Arial" w:eastAsia="Calibri" w:hAnsi="Arial" w:cs="Arial"/>
                <w:lang w:val="en-GB"/>
              </w:rPr>
              <w:t xml:space="preserve">At the time, </w:t>
            </w:r>
            <w:proofErr w:type="spellStart"/>
            <w:r w:rsidR="00876983">
              <w:rPr>
                <w:rFonts w:ascii="Arial" w:eastAsia="Calibri" w:hAnsi="Arial" w:cs="Arial"/>
                <w:lang w:val="en-GB"/>
              </w:rPr>
              <w:t>SAN</w:t>
            </w:r>
            <w:r>
              <w:rPr>
                <w:rFonts w:ascii="Arial" w:eastAsia="Calibri" w:hAnsi="Arial" w:cs="Arial"/>
                <w:lang w:val="en-GB"/>
              </w:rPr>
              <w:t>Parks</w:t>
            </w:r>
            <w:proofErr w:type="spellEnd"/>
            <w:r w:rsidR="00876983">
              <w:rPr>
                <w:rFonts w:ascii="Arial" w:eastAsia="Calibri" w:hAnsi="Arial" w:cs="Arial"/>
                <w:lang w:val="en-GB"/>
              </w:rPr>
              <w:t xml:space="preserve"> reported that </w:t>
            </w:r>
            <w:r w:rsidR="00C16D0F">
              <w:rPr>
                <w:rFonts w:ascii="Arial" w:eastAsia="Calibri" w:hAnsi="Arial" w:cs="Arial"/>
                <w:lang w:val="en-GB"/>
              </w:rPr>
              <w:t>t</w:t>
            </w:r>
            <w:r w:rsidR="00876983" w:rsidRPr="00876983">
              <w:rPr>
                <w:rFonts w:ascii="Arial" w:eastAsia="Calibri" w:hAnsi="Arial" w:cs="Arial"/>
                <w:lang w:val="en-GB"/>
              </w:rPr>
              <w:t xml:space="preserve">he </w:t>
            </w:r>
            <w:r w:rsidR="00C16D0F">
              <w:rPr>
                <w:rFonts w:ascii="Arial" w:eastAsia="Calibri" w:hAnsi="Arial" w:cs="Arial"/>
                <w:lang w:val="en-GB"/>
              </w:rPr>
              <w:t xml:space="preserve">implementation of the </w:t>
            </w:r>
            <w:r w:rsidR="00876983" w:rsidRPr="00876983">
              <w:rPr>
                <w:rFonts w:ascii="Arial" w:eastAsia="Calibri" w:hAnsi="Arial" w:cs="Arial"/>
                <w:lang w:val="en-GB"/>
              </w:rPr>
              <w:t>KNP</w:t>
            </w:r>
            <w:r w:rsidR="00C16D0F">
              <w:rPr>
                <w:rFonts w:ascii="Arial" w:eastAsia="Calibri" w:hAnsi="Arial" w:cs="Arial"/>
                <w:lang w:val="en-GB"/>
              </w:rPr>
              <w:t xml:space="preserve"> </w:t>
            </w:r>
            <w:r>
              <w:rPr>
                <w:rFonts w:ascii="Arial" w:eastAsia="Calibri" w:hAnsi="Arial" w:cs="Arial"/>
                <w:lang w:val="en-GB"/>
              </w:rPr>
              <w:t>O</w:t>
            </w:r>
            <w:r w:rsidR="00C16D0F">
              <w:rPr>
                <w:rFonts w:ascii="Arial" w:eastAsia="Calibri" w:hAnsi="Arial" w:cs="Arial"/>
                <w:lang w:val="en-GB"/>
              </w:rPr>
              <w:t>rientation</w:t>
            </w:r>
            <w:r w:rsidR="00876983" w:rsidRPr="00876983">
              <w:rPr>
                <w:rFonts w:ascii="Arial" w:eastAsia="Calibri" w:hAnsi="Arial" w:cs="Arial"/>
                <w:lang w:val="en-GB"/>
              </w:rPr>
              <w:t xml:space="preserve"> </w:t>
            </w:r>
            <w:r w:rsidR="00094B7B">
              <w:rPr>
                <w:rFonts w:ascii="Arial" w:eastAsia="Calibri" w:hAnsi="Arial" w:cs="Arial"/>
                <w:lang w:val="en-GB"/>
              </w:rPr>
              <w:t xml:space="preserve">received </w:t>
            </w:r>
            <w:r>
              <w:rPr>
                <w:rFonts w:ascii="Arial" w:eastAsia="Calibri" w:hAnsi="Arial" w:cs="Arial"/>
                <w:lang w:val="en-GB"/>
              </w:rPr>
              <w:t>a lot of</w:t>
            </w:r>
            <w:r w:rsidR="00094B7B">
              <w:rPr>
                <w:rFonts w:ascii="Arial" w:eastAsia="Calibri" w:hAnsi="Arial" w:cs="Arial"/>
                <w:lang w:val="en-GB"/>
              </w:rPr>
              <w:t xml:space="preserve"> </w:t>
            </w:r>
            <w:r w:rsidR="00876983" w:rsidRPr="00876983">
              <w:rPr>
                <w:rFonts w:ascii="Arial" w:eastAsia="Calibri" w:hAnsi="Arial" w:cs="Arial"/>
                <w:lang w:val="en-GB"/>
              </w:rPr>
              <w:t>positive</w:t>
            </w:r>
            <w:r w:rsidR="00FB7D53">
              <w:rPr>
                <w:rFonts w:ascii="Arial" w:eastAsia="Calibri" w:hAnsi="Arial" w:cs="Arial"/>
                <w:lang w:val="en-GB"/>
              </w:rPr>
              <w:t xml:space="preserve"> f</w:t>
            </w:r>
            <w:r w:rsidR="00876983" w:rsidRPr="00876983">
              <w:rPr>
                <w:rFonts w:ascii="Arial" w:eastAsia="Calibri" w:hAnsi="Arial" w:cs="Arial"/>
                <w:lang w:val="en-GB"/>
              </w:rPr>
              <w:t xml:space="preserve">eedback </w:t>
            </w:r>
            <w:r w:rsidR="00094B7B">
              <w:rPr>
                <w:rFonts w:ascii="Arial" w:eastAsia="Calibri" w:hAnsi="Arial" w:cs="Arial"/>
                <w:lang w:val="en-GB"/>
              </w:rPr>
              <w:t xml:space="preserve">and they </w:t>
            </w:r>
            <w:r w:rsidR="008E505F">
              <w:rPr>
                <w:rFonts w:ascii="Arial" w:eastAsia="Calibri" w:hAnsi="Arial" w:cs="Arial"/>
                <w:lang w:val="en-GB"/>
              </w:rPr>
              <w:t>were already seeing an</w:t>
            </w:r>
            <w:r w:rsidR="0084297B">
              <w:rPr>
                <w:rFonts w:ascii="Arial" w:eastAsia="Calibri" w:hAnsi="Arial" w:cs="Arial"/>
                <w:lang w:val="en-GB"/>
              </w:rPr>
              <w:t xml:space="preserve"> </w:t>
            </w:r>
            <w:r w:rsidR="00876983" w:rsidRPr="00876983">
              <w:rPr>
                <w:rFonts w:ascii="Arial" w:eastAsia="Calibri" w:hAnsi="Arial" w:cs="Arial"/>
                <w:lang w:val="en-GB"/>
              </w:rPr>
              <w:t>increase</w:t>
            </w:r>
            <w:r w:rsidR="00094B7B">
              <w:rPr>
                <w:rFonts w:ascii="Arial" w:eastAsia="Calibri" w:hAnsi="Arial" w:cs="Arial"/>
                <w:lang w:val="en-GB"/>
              </w:rPr>
              <w:t xml:space="preserve"> in</w:t>
            </w:r>
            <w:r w:rsidR="00E04AC3">
              <w:rPr>
                <w:rFonts w:ascii="Arial" w:eastAsia="Calibri" w:hAnsi="Arial" w:cs="Arial"/>
                <w:lang w:val="en-GB"/>
              </w:rPr>
              <w:t xml:space="preserve"> </w:t>
            </w:r>
            <w:r w:rsidR="00876983" w:rsidRPr="00876983">
              <w:rPr>
                <w:rFonts w:ascii="Arial" w:eastAsia="Calibri" w:hAnsi="Arial" w:cs="Arial"/>
                <w:lang w:val="en-GB"/>
              </w:rPr>
              <w:t xml:space="preserve">bookings from </w:t>
            </w:r>
            <w:r w:rsidR="00FB7D53">
              <w:rPr>
                <w:rFonts w:ascii="Arial" w:eastAsia="Calibri" w:hAnsi="Arial" w:cs="Arial"/>
                <w:lang w:val="en-GB"/>
              </w:rPr>
              <w:t xml:space="preserve">tourist </w:t>
            </w:r>
            <w:r w:rsidR="00094B7B">
              <w:rPr>
                <w:rFonts w:ascii="Arial" w:eastAsia="Calibri" w:hAnsi="Arial" w:cs="Arial"/>
                <w:lang w:val="en-GB"/>
              </w:rPr>
              <w:t>g</w:t>
            </w:r>
            <w:r w:rsidR="00876983" w:rsidRPr="00876983">
              <w:rPr>
                <w:rFonts w:ascii="Arial" w:eastAsia="Calibri" w:hAnsi="Arial" w:cs="Arial"/>
                <w:lang w:val="en-GB"/>
              </w:rPr>
              <w:t>uides</w:t>
            </w:r>
            <w:r w:rsidR="004C47A0">
              <w:rPr>
                <w:rFonts w:ascii="Arial" w:eastAsia="Calibri" w:hAnsi="Arial" w:cs="Arial"/>
                <w:lang w:val="en-GB"/>
              </w:rPr>
              <w:t>.</w:t>
            </w:r>
          </w:p>
        </w:tc>
      </w:tr>
      <w:tr w:rsidR="00391AC3" w:rsidTr="00391AC3">
        <w:tc>
          <w:tcPr>
            <w:tcW w:w="4116" w:type="dxa"/>
          </w:tcPr>
          <w:p w:rsidR="00391AC3" w:rsidRPr="004B711A" w:rsidRDefault="00391AC3" w:rsidP="004B711A">
            <w:pPr>
              <w:spacing w:line="360" w:lineRule="auto"/>
              <w:ind w:left="330" w:hanging="330"/>
              <w:rPr>
                <w:rFonts w:ascii="Arial" w:eastAsia="Calibri" w:hAnsi="Arial" w:cs="Arial"/>
              </w:rPr>
            </w:pPr>
            <w:r>
              <w:rPr>
                <w:rFonts w:ascii="Arial" w:eastAsia="Calibri" w:hAnsi="Arial" w:cs="Arial"/>
              </w:rPr>
              <w:t xml:space="preserve">(ii) </w:t>
            </w:r>
            <w:r w:rsidRPr="004B711A">
              <w:rPr>
                <w:rFonts w:ascii="Arial" w:eastAsia="Calibri" w:hAnsi="Arial" w:cs="Arial"/>
              </w:rPr>
              <w:t>(bb) What failures have been identified.</w:t>
            </w:r>
          </w:p>
          <w:p w:rsidR="00391AC3" w:rsidRPr="004B711A" w:rsidRDefault="00391AC3" w:rsidP="004B711A">
            <w:pPr>
              <w:pStyle w:val="ListParagraph"/>
              <w:spacing w:line="360" w:lineRule="auto"/>
              <w:ind w:left="1080"/>
              <w:rPr>
                <w:rFonts w:ascii="Arial" w:eastAsia="Calibri" w:hAnsi="Arial" w:cs="Arial"/>
              </w:rPr>
            </w:pPr>
          </w:p>
        </w:tc>
        <w:tc>
          <w:tcPr>
            <w:tcW w:w="5670" w:type="dxa"/>
          </w:tcPr>
          <w:p w:rsidR="00391AC3" w:rsidRDefault="004E1ECA" w:rsidP="004E1ECA">
            <w:pPr>
              <w:spacing w:line="360" w:lineRule="auto"/>
              <w:jc w:val="both"/>
              <w:rPr>
                <w:rFonts w:ascii="Arial" w:eastAsia="Calibri" w:hAnsi="Arial" w:cs="Arial"/>
                <w:lang w:val="en-GB"/>
              </w:rPr>
            </w:pPr>
            <w:r>
              <w:rPr>
                <w:rFonts w:ascii="Arial" w:eastAsia="Calibri" w:hAnsi="Arial" w:cs="Arial"/>
                <w:lang w:val="en-GB"/>
              </w:rPr>
              <w:lastRenderedPageBreak/>
              <w:t xml:space="preserve">For this specific training, the challenge that the Department experienced was drop-outs from at least </w:t>
            </w:r>
            <w:r>
              <w:rPr>
                <w:rFonts w:ascii="Arial" w:eastAsia="Calibri" w:hAnsi="Arial" w:cs="Arial"/>
                <w:lang w:val="en-GB"/>
              </w:rPr>
              <w:lastRenderedPageBreak/>
              <w:t>five (5) tourist guides who had confirmed participation in the training but then did not attend. The challenge when implementing up-skilling initiatives</w:t>
            </w:r>
            <w:r w:rsidR="00DF47C6">
              <w:rPr>
                <w:rFonts w:ascii="Arial" w:eastAsia="Calibri" w:hAnsi="Arial" w:cs="Arial"/>
                <w:lang w:val="en-GB"/>
              </w:rPr>
              <w:t xml:space="preserve"> in general</w:t>
            </w:r>
            <w:r>
              <w:rPr>
                <w:rFonts w:ascii="Arial" w:eastAsia="Calibri" w:hAnsi="Arial" w:cs="Arial"/>
                <w:lang w:val="en-GB"/>
              </w:rPr>
              <w:t xml:space="preserve"> for existing tourist guides is that work opportunities </w:t>
            </w:r>
            <w:r w:rsidR="00DF47C6">
              <w:rPr>
                <w:rFonts w:ascii="Arial" w:eastAsia="Calibri" w:hAnsi="Arial" w:cs="Arial"/>
                <w:lang w:val="en-GB"/>
              </w:rPr>
              <w:t>usually take preference especially for those operating on a freelance basis who rely on work opportunities to earn a living.</w:t>
            </w:r>
          </w:p>
        </w:tc>
      </w:tr>
      <w:tr w:rsidR="00391AC3" w:rsidTr="00391AC3">
        <w:tc>
          <w:tcPr>
            <w:tcW w:w="4116" w:type="dxa"/>
          </w:tcPr>
          <w:p w:rsidR="00391AC3" w:rsidRDefault="00391AC3" w:rsidP="004B711A">
            <w:pPr>
              <w:spacing w:line="360" w:lineRule="auto"/>
              <w:ind w:left="330" w:hanging="330"/>
              <w:rPr>
                <w:rFonts w:ascii="Arial" w:eastAsia="Calibri" w:hAnsi="Arial" w:cs="Arial"/>
              </w:rPr>
            </w:pPr>
            <w:r>
              <w:rPr>
                <w:rFonts w:ascii="Arial" w:eastAsia="Calibri" w:hAnsi="Arial" w:cs="Arial"/>
              </w:rPr>
              <w:lastRenderedPageBreak/>
              <w:t>(ii) (cc) What steps are being taken by her department in this regard going forward.</w:t>
            </w:r>
          </w:p>
          <w:p w:rsidR="00391AC3" w:rsidRPr="00861CEC" w:rsidRDefault="00391AC3" w:rsidP="004B711A">
            <w:pPr>
              <w:spacing w:line="360" w:lineRule="auto"/>
              <w:ind w:left="330" w:hanging="330"/>
              <w:rPr>
                <w:rFonts w:ascii="Arial" w:eastAsia="Calibri" w:hAnsi="Arial" w:cs="Arial"/>
              </w:rPr>
            </w:pPr>
          </w:p>
        </w:tc>
        <w:tc>
          <w:tcPr>
            <w:tcW w:w="5670" w:type="dxa"/>
          </w:tcPr>
          <w:p w:rsidR="00DF47C6" w:rsidRDefault="00DF47C6" w:rsidP="00CD23A9">
            <w:pPr>
              <w:spacing w:line="360" w:lineRule="auto"/>
              <w:jc w:val="both"/>
              <w:rPr>
                <w:rFonts w:ascii="Arial" w:eastAsia="Calibri" w:hAnsi="Arial" w:cs="Arial"/>
                <w:lang w:val="en-GB"/>
              </w:rPr>
            </w:pPr>
            <w:r>
              <w:rPr>
                <w:rFonts w:ascii="Arial" w:eastAsia="Calibri" w:hAnsi="Arial" w:cs="Arial"/>
                <w:lang w:val="en-GB"/>
              </w:rPr>
              <w:t xml:space="preserve">To mitigate the risk of drop-outs, for </w:t>
            </w:r>
            <w:r w:rsidR="00CD23A9">
              <w:rPr>
                <w:rFonts w:ascii="Arial" w:eastAsia="Calibri" w:hAnsi="Arial" w:cs="Arial"/>
                <w:lang w:val="en-GB"/>
              </w:rPr>
              <w:t>the</w:t>
            </w:r>
            <w:r>
              <w:rPr>
                <w:rFonts w:ascii="Arial" w:eastAsia="Calibri" w:hAnsi="Arial" w:cs="Arial"/>
                <w:lang w:val="en-GB"/>
              </w:rPr>
              <w:t xml:space="preserve"> training programmes that</w:t>
            </w:r>
            <w:r w:rsidR="005D12A6">
              <w:rPr>
                <w:rFonts w:ascii="Arial" w:eastAsia="Calibri" w:hAnsi="Arial" w:cs="Arial"/>
                <w:lang w:val="en-GB"/>
              </w:rPr>
              <w:t xml:space="preserve"> the</w:t>
            </w:r>
            <w:r>
              <w:rPr>
                <w:rFonts w:ascii="Arial" w:eastAsia="Calibri" w:hAnsi="Arial" w:cs="Arial"/>
                <w:lang w:val="en-GB"/>
              </w:rPr>
              <w:t xml:space="preserve"> </w:t>
            </w:r>
            <w:r w:rsidR="00CD23A9">
              <w:rPr>
                <w:rFonts w:ascii="Arial" w:eastAsia="Calibri" w:hAnsi="Arial" w:cs="Arial"/>
                <w:lang w:val="en-GB"/>
              </w:rPr>
              <w:t xml:space="preserve">Department subsequently </w:t>
            </w:r>
            <w:r>
              <w:rPr>
                <w:rFonts w:ascii="Arial" w:eastAsia="Calibri" w:hAnsi="Arial" w:cs="Arial"/>
                <w:lang w:val="en-GB"/>
              </w:rPr>
              <w:t>implemente</w:t>
            </w:r>
            <w:r w:rsidR="00CD23A9">
              <w:rPr>
                <w:rFonts w:ascii="Arial" w:eastAsia="Calibri" w:hAnsi="Arial" w:cs="Arial"/>
                <w:lang w:val="en-GB"/>
              </w:rPr>
              <w:t>d</w:t>
            </w:r>
            <w:r>
              <w:rPr>
                <w:rFonts w:ascii="Arial" w:eastAsia="Calibri" w:hAnsi="Arial" w:cs="Arial"/>
                <w:lang w:val="en-GB"/>
              </w:rPr>
              <w:t xml:space="preserve">, guides who committed </w:t>
            </w:r>
            <w:r w:rsidR="005D12A6">
              <w:rPr>
                <w:rFonts w:ascii="Arial" w:eastAsia="Calibri" w:hAnsi="Arial" w:cs="Arial"/>
                <w:lang w:val="en-GB"/>
              </w:rPr>
              <w:t>to attend</w:t>
            </w:r>
            <w:r w:rsidR="00CD23A9">
              <w:rPr>
                <w:rFonts w:ascii="Arial" w:eastAsia="Calibri" w:hAnsi="Arial" w:cs="Arial"/>
                <w:lang w:val="en-GB"/>
              </w:rPr>
              <w:t xml:space="preserve"> a</w:t>
            </w:r>
            <w:r>
              <w:rPr>
                <w:rFonts w:ascii="Arial" w:eastAsia="Calibri" w:hAnsi="Arial" w:cs="Arial"/>
                <w:lang w:val="en-GB"/>
              </w:rPr>
              <w:t xml:space="preserve"> training</w:t>
            </w:r>
            <w:r w:rsidR="00CD23A9">
              <w:rPr>
                <w:rFonts w:ascii="Arial" w:eastAsia="Calibri" w:hAnsi="Arial" w:cs="Arial"/>
                <w:lang w:val="en-GB"/>
              </w:rPr>
              <w:t xml:space="preserve"> programme were also expected to</w:t>
            </w:r>
            <w:r>
              <w:rPr>
                <w:rFonts w:ascii="Arial" w:eastAsia="Calibri" w:hAnsi="Arial" w:cs="Arial"/>
                <w:lang w:val="en-GB"/>
              </w:rPr>
              <w:t xml:space="preserve"> enter into contracts with the Department which</w:t>
            </w:r>
            <w:r w:rsidR="00CD23A9">
              <w:rPr>
                <w:rFonts w:ascii="Arial" w:eastAsia="Calibri" w:hAnsi="Arial" w:cs="Arial"/>
                <w:lang w:val="en-GB"/>
              </w:rPr>
              <w:t xml:space="preserve"> allows the Department to recover any costs incurred should a learner/guide drop off the programme.</w:t>
            </w:r>
            <w:r>
              <w:rPr>
                <w:rFonts w:ascii="Arial" w:eastAsia="Calibri" w:hAnsi="Arial" w:cs="Arial"/>
                <w:lang w:val="en-GB"/>
              </w:rPr>
              <w:t xml:space="preserve"> </w:t>
            </w:r>
            <w:r w:rsidR="00CD23A9">
              <w:rPr>
                <w:rFonts w:ascii="Arial" w:eastAsia="Calibri" w:hAnsi="Arial" w:cs="Arial"/>
                <w:lang w:val="en-GB"/>
              </w:rPr>
              <w:t xml:space="preserve">The Department has noted that this has minimised drop-outs significantly. </w:t>
            </w:r>
          </w:p>
        </w:tc>
      </w:tr>
    </w:tbl>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7E59F9" w:rsidRDefault="007E59F9" w:rsidP="007E59F9">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No training of tourist guides was </w:t>
      </w:r>
      <w:r w:rsidR="004C423B" w:rsidRPr="004C423B">
        <w:rPr>
          <w:rFonts w:ascii="Arial" w:eastAsia="Calibri" w:hAnsi="Arial" w:cs="Arial"/>
          <w:lang w:val="en-GB"/>
        </w:rPr>
        <w:t>done in</w:t>
      </w:r>
      <w:r w:rsidR="004C423B" w:rsidRPr="004C423B">
        <w:rPr>
          <w:rFonts w:ascii="Arial" w:eastAsia="Calibri" w:hAnsi="Arial" w:cs="Arial"/>
          <w:color w:val="1A1A1A" w:themeColor="background1" w:themeShade="1A"/>
          <w:lang w:val="en-GB"/>
        </w:rPr>
        <w:t xml:space="preserve"> partnerships </w:t>
      </w:r>
      <w:r w:rsidR="003B0B24" w:rsidRPr="004C423B">
        <w:rPr>
          <w:rFonts w:ascii="Arial" w:eastAsia="Calibri" w:hAnsi="Arial" w:cs="Arial"/>
          <w:color w:val="1A1A1A" w:themeColor="background1" w:themeShade="1A"/>
          <w:lang w:val="en-GB"/>
        </w:rPr>
        <w:t>with</w:t>
      </w:r>
      <w:r w:rsidR="003B0B24" w:rsidRPr="005D12A6">
        <w:rPr>
          <w:rFonts w:ascii="Arial" w:eastAsia="Calibri" w:hAnsi="Arial" w:cs="Arial"/>
          <w:color w:val="FF0000"/>
          <w:lang w:val="en-GB"/>
        </w:rPr>
        <w:t xml:space="preserve"> </w:t>
      </w:r>
      <w:proofErr w:type="spellStart"/>
      <w:r w:rsidR="003B0B24" w:rsidRPr="003B0B24">
        <w:rPr>
          <w:rFonts w:ascii="Arial" w:eastAsia="Calibri" w:hAnsi="Arial" w:cs="Arial"/>
          <w:lang w:val="en-GB"/>
        </w:rPr>
        <w:t>SANParks</w:t>
      </w:r>
      <w:proofErr w:type="spellEnd"/>
      <w:r>
        <w:rPr>
          <w:rFonts w:ascii="Arial" w:eastAsia="Calibri" w:hAnsi="Arial" w:cs="Arial"/>
          <w:lang w:val="en-GB"/>
        </w:rPr>
        <w:t xml:space="preserve"> in the Financial Years of (a) 2019- 2020, 2020- 2021 and (b) since 1 January 2022 to date.</w:t>
      </w: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71" w:rsidRDefault="00785371">
      <w:pPr>
        <w:spacing w:after="0" w:line="240" w:lineRule="auto"/>
      </w:pPr>
      <w:r>
        <w:separator/>
      </w:r>
    </w:p>
  </w:endnote>
  <w:endnote w:type="continuationSeparator" w:id="0">
    <w:p w:rsidR="00785371" w:rsidRDefault="0078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4B711A">
          <w:rPr>
            <w:rFonts w:ascii="Arial Narrow" w:hAnsi="Arial Narrow"/>
            <w:sz w:val="18"/>
            <w:szCs w:val="18"/>
          </w:rPr>
          <w:t>1073</w:t>
        </w:r>
        <w:r w:rsidRPr="00504917">
          <w:rPr>
            <w:rFonts w:ascii="Arial Narrow" w:hAnsi="Arial Narrow"/>
            <w:sz w:val="18"/>
            <w:szCs w:val="18"/>
          </w:rPr>
          <w:t xml:space="preserve"> (NW</w:t>
        </w:r>
        <w:r w:rsidR="004B711A">
          <w:rPr>
            <w:rFonts w:ascii="Arial Narrow" w:hAnsi="Arial Narrow"/>
            <w:sz w:val="18"/>
            <w:szCs w:val="18"/>
          </w:rPr>
          <w:t>1317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7048DD" w:rsidRPr="00013AC6">
          <w:rPr>
            <w:rFonts w:ascii="Arial Narrow" w:hAnsi="Arial Narrow"/>
          </w:rPr>
          <w:fldChar w:fldCharType="begin"/>
        </w:r>
        <w:r w:rsidRPr="00013AC6">
          <w:rPr>
            <w:rFonts w:ascii="Arial Narrow" w:hAnsi="Arial Narrow"/>
          </w:rPr>
          <w:instrText xml:space="preserve"> PAGE   \* MERGEFORMAT </w:instrText>
        </w:r>
        <w:r w:rsidR="007048DD" w:rsidRPr="00013AC6">
          <w:rPr>
            <w:rFonts w:ascii="Arial Narrow" w:hAnsi="Arial Narrow"/>
          </w:rPr>
          <w:fldChar w:fldCharType="separate"/>
        </w:r>
        <w:r w:rsidR="002738C6">
          <w:rPr>
            <w:rFonts w:ascii="Arial Narrow" w:hAnsi="Arial Narrow"/>
            <w:noProof/>
          </w:rPr>
          <w:t>2</w:t>
        </w:r>
        <w:r w:rsidR="007048DD"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78537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85371">
    <w:pPr>
      <w:pStyle w:val="Footer1"/>
      <w:jc w:val="right"/>
    </w:pPr>
  </w:p>
  <w:p w:rsidR="001656DE" w:rsidRPr="006016C0" w:rsidRDefault="004B711A" w:rsidP="006016C0">
    <w:pPr>
      <w:pStyle w:val="HeaderFooter"/>
      <w:jc w:val="center"/>
      <w:rPr>
        <w:rFonts w:ascii="Arial Narrow" w:hAnsi="Arial Narrow"/>
        <w:sz w:val="18"/>
        <w:szCs w:val="18"/>
      </w:rPr>
    </w:pPr>
    <w:r>
      <w:rPr>
        <w:rFonts w:ascii="Arial Narrow" w:hAnsi="Arial Narrow"/>
        <w:sz w:val="18"/>
        <w:szCs w:val="18"/>
      </w:rPr>
      <w:t>1073 (NW1317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71" w:rsidRDefault="00785371">
      <w:pPr>
        <w:spacing w:after="0" w:line="240" w:lineRule="auto"/>
      </w:pPr>
      <w:r>
        <w:separator/>
      </w:r>
    </w:p>
  </w:footnote>
  <w:footnote w:type="continuationSeparator" w:id="0">
    <w:p w:rsidR="00785371" w:rsidRDefault="00785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BF4411"/>
    <w:multiLevelType w:val="hybridMultilevel"/>
    <w:tmpl w:val="E766DA84"/>
    <w:lvl w:ilvl="0" w:tplc="0726B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9A3D28"/>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80434B"/>
    <w:multiLevelType w:val="hybridMultilevel"/>
    <w:tmpl w:val="65EC6B40"/>
    <w:lvl w:ilvl="0" w:tplc="C596B8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3239F7"/>
    <w:multiLevelType w:val="hybridMultilevel"/>
    <w:tmpl w:val="A6F81EFC"/>
    <w:lvl w:ilvl="0" w:tplc="DDA0FA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7">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495D12"/>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11"/>
  </w:num>
  <w:num w:numId="5">
    <w:abstractNumId w:val="15"/>
  </w:num>
  <w:num w:numId="6">
    <w:abstractNumId w:val="9"/>
  </w:num>
  <w:num w:numId="7">
    <w:abstractNumId w:val="16"/>
  </w:num>
  <w:num w:numId="8">
    <w:abstractNumId w:val="10"/>
  </w:num>
  <w:num w:numId="9">
    <w:abstractNumId w:val="12"/>
  </w:num>
  <w:num w:numId="10">
    <w:abstractNumId w:val="18"/>
  </w:num>
  <w:num w:numId="11">
    <w:abstractNumId w:val="3"/>
  </w:num>
  <w:num w:numId="12">
    <w:abstractNumId w:val="20"/>
  </w:num>
  <w:num w:numId="13">
    <w:abstractNumId w:val="7"/>
  </w:num>
  <w:num w:numId="14">
    <w:abstractNumId w:val="0"/>
  </w:num>
  <w:num w:numId="15">
    <w:abstractNumId w:val="14"/>
  </w:num>
  <w:num w:numId="16">
    <w:abstractNumId w:val="2"/>
  </w:num>
  <w:num w:numId="17">
    <w:abstractNumId w:val="5"/>
  </w:num>
  <w:num w:numId="18">
    <w:abstractNumId w:val="13"/>
  </w:num>
  <w:num w:numId="19">
    <w:abstractNumId w:val="8"/>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57D8"/>
    <w:rsid w:val="00094B7B"/>
    <w:rsid w:val="000E3E94"/>
    <w:rsid w:val="000F1151"/>
    <w:rsid w:val="000F38AD"/>
    <w:rsid w:val="000F4913"/>
    <w:rsid w:val="001059FF"/>
    <w:rsid w:val="00107884"/>
    <w:rsid w:val="00127A7C"/>
    <w:rsid w:val="00141A6F"/>
    <w:rsid w:val="00151D19"/>
    <w:rsid w:val="0017462D"/>
    <w:rsid w:val="00193F9C"/>
    <w:rsid w:val="001A7908"/>
    <w:rsid w:val="001B2BE2"/>
    <w:rsid w:val="001C7E21"/>
    <w:rsid w:val="00214499"/>
    <w:rsid w:val="002245E3"/>
    <w:rsid w:val="002738C6"/>
    <w:rsid w:val="002B230A"/>
    <w:rsid w:val="002C461C"/>
    <w:rsid w:val="002D3423"/>
    <w:rsid w:val="003032AF"/>
    <w:rsid w:val="00322830"/>
    <w:rsid w:val="0035411E"/>
    <w:rsid w:val="00391AC3"/>
    <w:rsid w:val="003B0B24"/>
    <w:rsid w:val="003B3F96"/>
    <w:rsid w:val="003D4147"/>
    <w:rsid w:val="003D7F28"/>
    <w:rsid w:val="00425581"/>
    <w:rsid w:val="00472D12"/>
    <w:rsid w:val="00490A93"/>
    <w:rsid w:val="004A5358"/>
    <w:rsid w:val="004B711A"/>
    <w:rsid w:val="004C4166"/>
    <w:rsid w:val="004C423B"/>
    <w:rsid w:val="004C47A0"/>
    <w:rsid w:val="004E1ECA"/>
    <w:rsid w:val="004F2C4A"/>
    <w:rsid w:val="004F54C9"/>
    <w:rsid w:val="00501495"/>
    <w:rsid w:val="005D12A6"/>
    <w:rsid w:val="005F0BD9"/>
    <w:rsid w:val="005F1119"/>
    <w:rsid w:val="006010A3"/>
    <w:rsid w:val="006016D0"/>
    <w:rsid w:val="00605D05"/>
    <w:rsid w:val="00615126"/>
    <w:rsid w:val="0061799C"/>
    <w:rsid w:val="006335F8"/>
    <w:rsid w:val="006A6231"/>
    <w:rsid w:val="006B20E2"/>
    <w:rsid w:val="007048DD"/>
    <w:rsid w:val="007345DF"/>
    <w:rsid w:val="00765093"/>
    <w:rsid w:val="00777955"/>
    <w:rsid w:val="00785371"/>
    <w:rsid w:val="007916A9"/>
    <w:rsid w:val="00793B61"/>
    <w:rsid w:val="007A257C"/>
    <w:rsid w:val="007C5329"/>
    <w:rsid w:val="007E59F9"/>
    <w:rsid w:val="00807DBA"/>
    <w:rsid w:val="00810D60"/>
    <w:rsid w:val="008137D4"/>
    <w:rsid w:val="0084297B"/>
    <w:rsid w:val="00857718"/>
    <w:rsid w:val="00876983"/>
    <w:rsid w:val="00881030"/>
    <w:rsid w:val="008A1044"/>
    <w:rsid w:val="008C442B"/>
    <w:rsid w:val="008E0CE2"/>
    <w:rsid w:val="008E505F"/>
    <w:rsid w:val="009413A3"/>
    <w:rsid w:val="00950663"/>
    <w:rsid w:val="00977B49"/>
    <w:rsid w:val="009849DC"/>
    <w:rsid w:val="009863F2"/>
    <w:rsid w:val="009945BD"/>
    <w:rsid w:val="00A7551E"/>
    <w:rsid w:val="00A96F2D"/>
    <w:rsid w:val="00AA5F57"/>
    <w:rsid w:val="00AB63E7"/>
    <w:rsid w:val="00B070E5"/>
    <w:rsid w:val="00B24E20"/>
    <w:rsid w:val="00B32D4E"/>
    <w:rsid w:val="00B504AC"/>
    <w:rsid w:val="00BA7422"/>
    <w:rsid w:val="00BD2AFE"/>
    <w:rsid w:val="00BF20FC"/>
    <w:rsid w:val="00C03FFF"/>
    <w:rsid w:val="00C16D0F"/>
    <w:rsid w:val="00C4370A"/>
    <w:rsid w:val="00C809F5"/>
    <w:rsid w:val="00CC6616"/>
    <w:rsid w:val="00CD23A9"/>
    <w:rsid w:val="00CE0094"/>
    <w:rsid w:val="00CE1CD0"/>
    <w:rsid w:val="00CE637C"/>
    <w:rsid w:val="00D319C1"/>
    <w:rsid w:val="00D350AE"/>
    <w:rsid w:val="00D44311"/>
    <w:rsid w:val="00D47B6A"/>
    <w:rsid w:val="00D627D0"/>
    <w:rsid w:val="00D9442B"/>
    <w:rsid w:val="00DA6EE7"/>
    <w:rsid w:val="00DA7A86"/>
    <w:rsid w:val="00DB6BD3"/>
    <w:rsid w:val="00DC1973"/>
    <w:rsid w:val="00DD3F26"/>
    <w:rsid w:val="00DE4655"/>
    <w:rsid w:val="00DF47C6"/>
    <w:rsid w:val="00E03CDF"/>
    <w:rsid w:val="00E04AC3"/>
    <w:rsid w:val="00E06905"/>
    <w:rsid w:val="00E23119"/>
    <w:rsid w:val="00E57333"/>
    <w:rsid w:val="00E665D2"/>
    <w:rsid w:val="00F05571"/>
    <w:rsid w:val="00F30415"/>
    <w:rsid w:val="00F37A82"/>
    <w:rsid w:val="00F51F48"/>
    <w:rsid w:val="00FB7D5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2022-04-22T13:38:00Z</dcterms:created>
  <dcterms:modified xsi:type="dcterms:W3CDTF">2022-04-22T13:38:00Z</dcterms:modified>
</cp:coreProperties>
</file>