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12246F" w:rsidRDefault="00BE5AF9">
      <w:pPr>
        <w:pStyle w:val="Heading1"/>
        <w:jc w:val="center"/>
        <w:rPr>
          <w:sz w:val="24"/>
          <w:u w:val="single"/>
        </w:rPr>
      </w:pPr>
      <w:r w:rsidRPr="0012246F">
        <w:rPr>
          <w:sz w:val="24"/>
          <w:u w:val="single"/>
        </w:rPr>
        <w:t>N</w:t>
      </w:r>
      <w:r w:rsidR="007E6896" w:rsidRPr="0012246F">
        <w:rPr>
          <w:sz w:val="24"/>
          <w:u w:val="single"/>
        </w:rPr>
        <w:t>ATIONAL ASSEMBLY</w:t>
      </w:r>
    </w:p>
    <w:p w:rsidR="00E238C2" w:rsidRPr="0012246F" w:rsidRDefault="00E238C2">
      <w:pPr>
        <w:jc w:val="both"/>
        <w:rPr>
          <w:b/>
          <w:sz w:val="24"/>
          <w:u w:val="single"/>
        </w:rPr>
      </w:pPr>
    </w:p>
    <w:p w:rsidR="00E238C2" w:rsidRPr="0012246F" w:rsidRDefault="00E238C2">
      <w:pPr>
        <w:pStyle w:val="BodyText"/>
        <w:rPr>
          <w:b/>
          <w:bCs/>
          <w:sz w:val="24"/>
          <w:u w:val="single"/>
        </w:rPr>
      </w:pPr>
      <w:r w:rsidRPr="0012246F">
        <w:rPr>
          <w:b/>
          <w:bCs/>
          <w:sz w:val="24"/>
          <w:u w:val="single"/>
        </w:rPr>
        <w:t xml:space="preserve">FOR </w:t>
      </w:r>
      <w:r w:rsidR="00A4066B" w:rsidRPr="0012246F">
        <w:rPr>
          <w:b/>
          <w:bCs/>
          <w:sz w:val="24"/>
          <w:u w:val="single"/>
        </w:rPr>
        <w:t>WRITTEN</w:t>
      </w:r>
      <w:r w:rsidR="003548B4" w:rsidRPr="0012246F">
        <w:rPr>
          <w:b/>
          <w:bCs/>
          <w:sz w:val="24"/>
          <w:u w:val="single"/>
        </w:rPr>
        <w:t xml:space="preserve"> </w:t>
      </w:r>
      <w:r w:rsidRPr="0012246F">
        <w:rPr>
          <w:b/>
          <w:bCs/>
          <w:sz w:val="24"/>
          <w:u w:val="single"/>
        </w:rPr>
        <w:t>REPLY</w:t>
      </w:r>
    </w:p>
    <w:p w:rsidR="00E238C2" w:rsidRPr="0012246F" w:rsidRDefault="00E238C2">
      <w:pPr>
        <w:pStyle w:val="BodyText"/>
        <w:rPr>
          <w:b/>
          <w:bCs/>
          <w:sz w:val="24"/>
          <w:u w:val="single"/>
        </w:rPr>
      </w:pPr>
    </w:p>
    <w:p w:rsidR="00E238C2" w:rsidRPr="0012246F" w:rsidRDefault="005E1FBC">
      <w:pPr>
        <w:pStyle w:val="BodyText"/>
        <w:rPr>
          <w:b/>
          <w:bCs/>
          <w:sz w:val="24"/>
          <w:u w:val="single"/>
        </w:rPr>
      </w:pPr>
      <w:r w:rsidRPr="0012246F">
        <w:rPr>
          <w:b/>
          <w:bCs/>
          <w:sz w:val="24"/>
          <w:u w:val="single"/>
        </w:rPr>
        <w:t xml:space="preserve">QUESTION NO. </w:t>
      </w:r>
      <w:r w:rsidR="008D6990" w:rsidRPr="0012246F">
        <w:rPr>
          <w:b/>
          <w:bCs/>
          <w:sz w:val="24"/>
          <w:u w:val="single"/>
        </w:rPr>
        <w:t>10</w:t>
      </w:r>
      <w:r w:rsidR="0022542B" w:rsidRPr="0012246F">
        <w:rPr>
          <w:b/>
          <w:bCs/>
          <w:sz w:val="24"/>
          <w:u w:val="single"/>
        </w:rPr>
        <w:t>73</w:t>
      </w:r>
    </w:p>
    <w:p w:rsidR="003548B4" w:rsidRPr="0012246F" w:rsidRDefault="003548B4">
      <w:pPr>
        <w:pStyle w:val="BodyText"/>
        <w:rPr>
          <w:b/>
          <w:bCs/>
          <w:sz w:val="24"/>
          <w:u w:val="single"/>
        </w:rPr>
      </w:pPr>
    </w:p>
    <w:p w:rsidR="00E238C2" w:rsidRPr="0012246F" w:rsidRDefault="00E238C2">
      <w:pPr>
        <w:pStyle w:val="BodyText"/>
        <w:rPr>
          <w:b/>
          <w:bCs/>
          <w:sz w:val="24"/>
          <w:u w:val="single"/>
        </w:rPr>
      </w:pPr>
      <w:r w:rsidRPr="0012246F">
        <w:rPr>
          <w:b/>
          <w:bCs/>
          <w:sz w:val="24"/>
          <w:u w:val="single"/>
        </w:rPr>
        <w:t xml:space="preserve">DATE OF PUBLICATION IN INTERNAL QUESTION PAPER: </w:t>
      </w:r>
      <w:r w:rsidR="008D6990" w:rsidRPr="0012246F">
        <w:rPr>
          <w:b/>
          <w:bCs/>
          <w:sz w:val="24"/>
          <w:u w:val="single"/>
        </w:rPr>
        <w:t>05 MAY</w:t>
      </w:r>
      <w:r w:rsidR="00096CD4" w:rsidRPr="0012246F">
        <w:rPr>
          <w:b/>
          <w:bCs/>
          <w:sz w:val="24"/>
          <w:u w:val="single"/>
        </w:rPr>
        <w:t xml:space="preserve"> </w:t>
      </w:r>
      <w:r w:rsidRPr="0012246F">
        <w:rPr>
          <w:b/>
          <w:bCs/>
          <w:sz w:val="24"/>
          <w:u w:val="single"/>
        </w:rPr>
        <w:t>20</w:t>
      </w:r>
      <w:r w:rsidR="005E1FBC" w:rsidRPr="0012246F">
        <w:rPr>
          <w:b/>
          <w:bCs/>
          <w:sz w:val="24"/>
          <w:u w:val="single"/>
        </w:rPr>
        <w:t>1</w:t>
      </w:r>
      <w:r w:rsidR="009D7850" w:rsidRPr="0012246F">
        <w:rPr>
          <w:b/>
          <w:bCs/>
          <w:sz w:val="24"/>
          <w:u w:val="single"/>
        </w:rPr>
        <w:t>7</w:t>
      </w:r>
      <w:r w:rsidRPr="0012246F">
        <w:rPr>
          <w:b/>
          <w:bCs/>
          <w:sz w:val="24"/>
          <w:u w:val="single"/>
        </w:rPr>
        <w:t xml:space="preserve">   </w:t>
      </w:r>
    </w:p>
    <w:p w:rsidR="00E238C2" w:rsidRPr="0012246F" w:rsidRDefault="00E238C2" w:rsidP="006664AE">
      <w:pPr>
        <w:spacing w:after="240"/>
        <w:rPr>
          <w:b/>
          <w:bCs/>
          <w:sz w:val="24"/>
          <w:u w:val="single"/>
        </w:rPr>
      </w:pPr>
      <w:r w:rsidRPr="0012246F">
        <w:rPr>
          <w:b/>
          <w:bCs/>
          <w:sz w:val="24"/>
          <w:u w:val="single"/>
        </w:rPr>
        <w:t xml:space="preserve">(INTERNAL QUESTION PAPER NO. </w:t>
      </w:r>
      <w:r w:rsidR="0089583E" w:rsidRPr="0012246F">
        <w:rPr>
          <w:b/>
          <w:bCs/>
          <w:sz w:val="24"/>
          <w:u w:val="single"/>
        </w:rPr>
        <w:t>1</w:t>
      </w:r>
      <w:r w:rsidR="008D6990" w:rsidRPr="0012246F">
        <w:rPr>
          <w:b/>
          <w:bCs/>
          <w:sz w:val="24"/>
          <w:u w:val="single"/>
        </w:rPr>
        <w:t>5</w:t>
      </w:r>
      <w:r w:rsidRPr="0012246F">
        <w:rPr>
          <w:b/>
          <w:bCs/>
          <w:sz w:val="24"/>
          <w:u w:val="single"/>
        </w:rPr>
        <w:t>)</w:t>
      </w:r>
    </w:p>
    <w:p w:rsidR="0022542B" w:rsidRPr="0012246F" w:rsidRDefault="0022542B" w:rsidP="0022542B">
      <w:pPr>
        <w:spacing w:after="267" w:line="249" w:lineRule="auto"/>
        <w:ind w:left="818" w:hanging="818"/>
        <w:rPr>
          <w:b/>
          <w:sz w:val="24"/>
          <w:u w:val="single"/>
        </w:rPr>
      </w:pPr>
      <w:r w:rsidRPr="0012246F">
        <w:rPr>
          <w:b/>
          <w:sz w:val="24"/>
          <w:u w:val="single"/>
        </w:rPr>
        <w:t>Mr S Mokgalapa (DA) to ask the Minister of Health:</w:t>
      </w:r>
    </w:p>
    <w:p w:rsidR="00431756" w:rsidRPr="0012246F" w:rsidRDefault="0022542B" w:rsidP="0022542B">
      <w:pPr>
        <w:spacing w:before="100" w:beforeAutospacing="1" w:after="100" w:afterAutospacing="1"/>
        <w:jc w:val="both"/>
        <w:outlineLvl w:val="0"/>
        <w:rPr>
          <w:noProof/>
          <w:sz w:val="24"/>
          <w:lang w:val="af-ZA"/>
        </w:rPr>
      </w:pPr>
      <w:r w:rsidRPr="0012246F">
        <w:rPr>
          <w:sz w:val="24"/>
        </w:rPr>
        <w:t>With reference to his reply to question 406 on 27 March 2017, are there any patients being accommodated in correctional services facilities due to inadequate mental health facilities in any other province; if so, (a) what is the total number of patients who are currently being accommodated, (b) in which prisons and (c) for how long?</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3A0226">
        <w:rPr>
          <w:color w:val="000000"/>
        </w:rPr>
        <w:t>2</w:t>
      </w:r>
      <w:r w:rsidR="0022542B">
        <w:rPr>
          <w:color w:val="000000"/>
        </w:rPr>
        <w:t>10</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12246F" w:rsidRDefault="0012246F" w:rsidP="0012246F">
      <w:pPr>
        <w:pStyle w:val="BodyText"/>
        <w:tabs>
          <w:tab w:val="left" w:pos="709"/>
        </w:tabs>
        <w:ind w:left="1418" w:hanging="1418"/>
        <w:rPr>
          <w:bCs/>
          <w:sz w:val="24"/>
        </w:rPr>
      </w:pPr>
      <w:r w:rsidRPr="0012246F">
        <w:rPr>
          <w:bCs/>
          <w:sz w:val="24"/>
        </w:rPr>
        <w:t>Yes.</w:t>
      </w:r>
    </w:p>
    <w:p w:rsidR="0012246F" w:rsidRPr="0012246F" w:rsidRDefault="0012246F" w:rsidP="0012246F">
      <w:pPr>
        <w:pStyle w:val="BodyText"/>
        <w:tabs>
          <w:tab w:val="left" w:pos="709"/>
        </w:tabs>
        <w:ind w:left="1418" w:hanging="1418"/>
        <w:rPr>
          <w:bCs/>
          <w:sz w:val="24"/>
        </w:rPr>
      </w:pPr>
    </w:p>
    <w:p w:rsidR="0012246F" w:rsidRDefault="0012246F" w:rsidP="0012246F">
      <w:pPr>
        <w:pStyle w:val="BodyText"/>
        <w:tabs>
          <w:tab w:val="left" w:pos="709"/>
        </w:tabs>
        <w:ind w:left="1418" w:hanging="1418"/>
        <w:rPr>
          <w:bCs/>
          <w:sz w:val="24"/>
        </w:rPr>
      </w:pPr>
      <w:r w:rsidRPr="0012246F">
        <w:rPr>
          <w:bCs/>
          <w:sz w:val="24"/>
        </w:rPr>
        <w:t>Detailed answers to questions (a), (b) and (c) are as follows:</w:t>
      </w:r>
    </w:p>
    <w:p w:rsidR="0012246F" w:rsidRPr="0012246F" w:rsidRDefault="0012246F" w:rsidP="0012246F">
      <w:pPr>
        <w:pStyle w:val="BodyText"/>
        <w:tabs>
          <w:tab w:val="left" w:pos="709"/>
        </w:tabs>
        <w:ind w:left="1418" w:hanging="1418"/>
        <w:rPr>
          <w:bCs/>
          <w:sz w:val="24"/>
        </w:rPr>
      </w:pPr>
    </w:p>
    <w:tbl>
      <w:tblPr>
        <w:tblStyle w:val="TableGrid"/>
        <w:tblW w:w="10206" w:type="dxa"/>
        <w:tblInd w:w="108" w:type="dxa"/>
        <w:tblLook w:val="04A0"/>
      </w:tblPr>
      <w:tblGrid>
        <w:gridCol w:w="1684"/>
        <w:gridCol w:w="3215"/>
        <w:gridCol w:w="2523"/>
        <w:gridCol w:w="2784"/>
      </w:tblGrid>
      <w:tr w:rsidR="0012246F" w:rsidRPr="0012246F" w:rsidTr="0012246F">
        <w:tc>
          <w:tcPr>
            <w:tcW w:w="1575" w:type="dxa"/>
            <w:shd w:val="clear" w:color="auto" w:fill="DBE5F1" w:themeFill="accent1" w:themeFillTint="33"/>
          </w:tcPr>
          <w:p w:rsidR="0012246F" w:rsidRPr="0012246F" w:rsidRDefault="0012246F" w:rsidP="0012246F">
            <w:pPr>
              <w:pStyle w:val="BodyText"/>
              <w:tabs>
                <w:tab w:val="left" w:pos="709"/>
              </w:tabs>
              <w:ind w:left="1418" w:hanging="1418"/>
              <w:rPr>
                <w:b/>
                <w:bCs/>
                <w:sz w:val="24"/>
              </w:rPr>
            </w:pPr>
            <w:r w:rsidRPr="0012246F">
              <w:rPr>
                <w:b/>
                <w:bCs/>
                <w:sz w:val="24"/>
              </w:rPr>
              <w:t>Province</w:t>
            </w:r>
          </w:p>
        </w:tc>
        <w:tc>
          <w:tcPr>
            <w:tcW w:w="3245" w:type="dxa"/>
            <w:shd w:val="clear" w:color="auto" w:fill="DBE5F1" w:themeFill="accent1" w:themeFillTint="33"/>
          </w:tcPr>
          <w:p w:rsidR="0012246F" w:rsidRPr="0012246F" w:rsidRDefault="0012246F" w:rsidP="0012246F">
            <w:pPr>
              <w:pStyle w:val="BodyText"/>
              <w:numPr>
                <w:ilvl w:val="0"/>
                <w:numId w:val="49"/>
              </w:numPr>
              <w:tabs>
                <w:tab w:val="left" w:pos="709"/>
              </w:tabs>
              <w:rPr>
                <w:b/>
                <w:bCs/>
                <w:sz w:val="24"/>
              </w:rPr>
            </w:pPr>
            <w:r w:rsidRPr="0012246F">
              <w:rPr>
                <w:b/>
                <w:bCs/>
                <w:sz w:val="24"/>
              </w:rPr>
              <w:t>Number of patients accommodated</w:t>
            </w:r>
          </w:p>
        </w:tc>
        <w:tc>
          <w:tcPr>
            <w:tcW w:w="2551" w:type="dxa"/>
            <w:shd w:val="clear" w:color="auto" w:fill="DBE5F1" w:themeFill="accent1" w:themeFillTint="33"/>
          </w:tcPr>
          <w:p w:rsidR="0012246F" w:rsidRPr="0012246F" w:rsidRDefault="0012246F" w:rsidP="0012246F">
            <w:pPr>
              <w:pStyle w:val="BodyText"/>
              <w:tabs>
                <w:tab w:val="left" w:pos="709"/>
              </w:tabs>
              <w:ind w:left="1418" w:hanging="1418"/>
              <w:rPr>
                <w:b/>
                <w:bCs/>
                <w:sz w:val="24"/>
              </w:rPr>
            </w:pPr>
            <w:r w:rsidRPr="0012246F">
              <w:rPr>
                <w:b/>
                <w:bCs/>
                <w:sz w:val="24"/>
              </w:rPr>
              <w:t xml:space="preserve">(b) Prison facilities </w:t>
            </w:r>
          </w:p>
        </w:tc>
        <w:tc>
          <w:tcPr>
            <w:tcW w:w="2835" w:type="dxa"/>
            <w:shd w:val="clear" w:color="auto" w:fill="DBE5F1" w:themeFill="accent1" w:themeFillTint="33"/>
          </w:tcPr>
          <w:p w:rsidR="0012246F" w:rsidRPr="0012246F" w:rsidRDefault="0012246F" w:rsidP="0012246F">
            <w:pPr>
              <w:pStyle w:val="BodyText"/>
              <w:numPr>
                <w:ilvl w:val="0"/>
                <w:numId w:val="50"/>
              </w:numPr>
              <w:tabs>
                <w:tab w:val="left" w:pos="709"/>
              </w:tabs>
              <w:rPr>
                <w:b/>
                <w:bCs/>
                <w:sz w:val="24"/>
              </w:rPr>
            </w:pPr>
            <w:r w:rsidRPr="0012246F">
              <w:rPr>
                <w:b/>
                <w:bCs/>
                <w:sz w:val="24"/>
              </w:rPr>
              <w:t xml:space="preserve"> For how long</w:t>
            </w:r>
          </w:p>
        </w:tc>
      </w:tr>
      <w:tr w:rsidR="0012246F" w:rsidRPr="0012246F" w:rsidTr="0012246F">
        <w:tc>
          <w:tcPr>
            <w:tcW w:w="1575" w:type="dxa"/>
            <w:vMerge w:val="restart"/>
          </w:tcPr>
          <w:p w:rsidR="0012246F" w:rsidRPr="0012246F" w:rsidRDefault="0012246F" w:rsidP="0012246F">
            <w:pPr>
              <w:pStyle w:val="BodyText"/>
              <w:ind w:left="34" w:hanging="34"/>
              <w:rPr>
                <w:b/>
                <w:bCs/>
                <w:sz w:val="24"/>
              </w:rPr>
            </w:pPr>
            <w:r w:rsidRPr="0012246F">
              <w:rPr>
                <w:b/>
                <w:bCs/>
                <w:sz w:val="24"/>
              </w:rPr>
              <w:t>Eastern Cape</w:t>
            </w: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14</w:t>
            </w:r>
          </w:p>
        </w:tc>
        <w:tc>
          <w:tcPr>
            <w:tcW w:w="2551" w:type="dxa"/>
          </w:tcPr>
          <w:p w:rsidR="0012246F" w:rsidRPr="0012246F" w:rsidRDefault="0012246F" w:rsidP="0012246F">
            <w:pPr>
              <w:pStyle w:val="BodyText"/>
              <w:tabs>
                <w:tab w:val="left" w:pos="709"/>
              </w:tabs>
              <w:ind w:left="1418" w:hanging="1418"/>
              <w:rPr>
                <w:bCs/>
                <w:sz w:val="24"/>
              </w:rPr>
            </w:pPr>
            <w:r w:rsidRPr="0012246F">
              <w:rPr>
                <w:sz w:val="24"/>
              </w:rPr>
              <w:t xml:space="preserve">St. Albans </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8-22 months</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14</w:t>
            </w:r>
          </w:p>
        </w:tc>
        <w:tc>
          <w:tcPr>
            <w:tcW w:w="2551" w:type="dxa"/>
          </w:tcPr>
          <w:p w:rsidR="0012246F" w:rsidRPr="0012246F" w:rsidRDefault="0012246F" w:rsidP="0012246F">
            <w:pPr>
              <w:pStyle w:val="BodyText"/>
              <w:tabs>
                <w:tab w:val="left" w:pos="709"/>
              </w:tabs>
              <w:ind w:left="1418" w:hanging="1418"/>
              <w:rPr>
                <w:bCs/>
                <w:sz w:val="24"/>
              </w:rPr>
            </w:pPr>
            <w:r w:rsidRPr="0012246F">
              <w:rPr>
                <w:bCs/>
                <w:sz w:val="24"/>
              </w:rPr>
              <w:t>Grahamstown</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6-19 months</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43</w:t>
            </w:r>
          </w:p>
        </w:tc>
        <w:tc>
          <w:tcPr>
            <w:tcW w:w="2551" w:type="dxa"/>
          </w:tcPr>
          <w:p w:rsidR="0012246F" w:rsidRPr="0012246F" w:rsidRDefault="0012246F" w:rsidP="0012246F">
            <w:pPr>
              <w:pStyle w:val="BodyText"/>
              <w:tabs>
                <w:tab w:val="left" w:pos="709"/>
              </w:tabs>
              <w:ind w:left="1418" w:hanging="1418"/>
              <w:rPr>
                <w:bCs/>
                <w:sz w:val="24"/>
              </w:rPr>
            </w:pPr>
            <w:r w:rsidRPr="0012246F">
              <w:rPr>
                <w:bCs/>
                <w:sz w:val="24"/>
              </w:rPr>
              <w:t>East London</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1-22 months</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1</w:t>
            </w:r>
          </w:p>
        </w:tc>
        <w:tc>
          <w:tcPr>
            <w:tcW w:w="2551" w:type="dxa"/>
          </w:tcPr>
          <w:p w:rsidR="0012246F" w:rsidRPr="0012246F" w:rsidRDefault="0012246F" w:rsidP="0012246F">
            <w:pPr>
              <w:pStyle w:val="BodyText"/>
              <w:tabs>
                <w:tab w:val="left" w:pos="709"/>
              </w:tabs>
              <w:ind w:left="1418" w:hanging="1418"/>
              <w:rPr>
                <w:bCs/>
                <w:sz w:val="24"/>
              </w:rPr>
            </w:pPr>
            <w:r w:rsidRPr="0012246F">
              <w:rPr>
                <w:bCs/>
                <w:sz w:val="24"/>
              </w:rPr>
              <w:t>Wellington</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1month</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13</w:t>
            </w:r>
          </w:p>
        </w:tc>
        <w:tc>
          <w:tcPr>
            <w:tcW w:w="2551" w:type="dxa"/>
          </w:tcPr>
          <w:p w:rsidR="0012246F" w:rsidRPr="0012246F" w:rsidRDefault="0012246F" w:rsidP="0012246F">
            <w:pPr>
              <w:pStyle w:val="BodyText"/>
              <w:tabs>
                <w:tab w:val="left" w:pos="709"/>
              </w:tabs>
              <w:ind w:left="1418" w:hanging="1418"/>
              <w:rPr>
                <w:bCs/>
                <w:sz w:val="24"/>
              </w:rPr>
            </w:pPr>
            <w:r w:rsidRPr="0012246F">
              <w:rPr>
                <w:bCs/>
                <w:sz w:val="24"/>
              </w:rPr>
              <w:t>King Williams Town</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1-11 months</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11</w:t>
            </w:r>
          </w:p>
        </w:tc>
        <w:tc>
          <w:tcPr>
            <w:tcW w:w="2551" w:type="dxa"/>
          </w:tcPr>
          <w:p w:rsidR="0012246F" w:rsidRPr="0012246F" w:rsidRDefault="0012246F" w:rsidP="0012246F">
            <w:pPr>
              <w:pStyle w:val="BodyText"/>
              <w:tabs>
                <w:tab w:val="left" w:pos="709"/>
              </w:tabs>
              <w:ind w:left="1418" w:hanging="1418"/>
              <w:rPr>
                <w:bCs/>
                <w:sz w:val="24"/>
              </w:rPr>
            </w:pPr>
            <w:r w:rsidRPr="0012246F">
              <w:rPr>
                <w:bCs/>
                <w:sz w:val="24"/>
              </w:rPr>
              <w:t>Fort Beaufort</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10-18 months</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3</w:t>
            </w:r>
          </w:p>
        </w:tc>
        <w:tc>
          <w:tcPr>
            <w:tcW w:w="2551" w:type="dxa"/>
          </w:tcPr>
          <w:p w:rsidR="0012246F" w:rsidRPr="0012246F" w:rsidRDefault="0012246F" w:rsidP="0012246F">
            <w:pPr>
              <w:pStyle w:val="BodyText"/>
              <w:tabs>
                <w:tab w:val="left" w:pos="709"/>
              </w:tabs>
              <w:ind w:left="1418" w:hanging="1418"/>
              <w:rPr>
                <w:bCs/>
                <w:sz w:val="24"/>
              </w:rPr>
            </w:pPr>
            <w:r w:rsidRPr="0012246F">
              <w:rPr>
                <w:bCs/>
                <w:sz w:val="24"/>
              </w:rPr>
              <w:t xml:space="preserve">Cradock </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14-21 months</w:t>
            </w:r>
          </w:p>
        </w:tc>
      </w:tr>
      <w:tr w:rsidR="0012246F" w:rsidRPr="0012246F" w:rsidTr="0012246F">
        <w:tc>
          <w:tcPr>
            <w:tcW w:w="1575" w:type="dxa"/>
            <w:shd w:val="clear" w:color="auto" w:fill="DBE5F1" w:themeFill="accent1" w:themeFillTint="33"/>
          </w:tcPr>
          <w:p w:rsidR="0012246F" w:rsidRPr="0012246F" w:rsidRDefault="0012246F" w:rsidP="0012246F">
            <w:pPr>
              <w:pStyle w:val="BodyText"/>
              <w:tabs>
                <w:tab w:val="left" w:pos="709"/>
              </w:tabs>
              <w:ind w:left="1418" w:hanging="1418"/>
              <w:rPr>
                <w:b/>
                <w:bCs/>
                <w:sz w:val="24"/>
              </w:rPr>
            </w:pPr>
            <w:r w:rsidRPr="0012246F">
              <w:rPr>
                <w:b/>
                <w:bCs/>
                <w:sz w:val="24"/>
              </w:rPr>
              <w:t xml:space="preserve">Sub-total </w:t>
            </w:r>
          </w:p>
        </w:tc>
        <w:tc>
          <w:tcPr>
            <w:tcW w:w="8631" w:type="dxa"/>
            <w:gridSpan w:val="3"/>
            <w:shd w:val="clear" w:color="auto" w:fill="DBE5F1" w:themeFill="accent1" w:themeFillTint="33"/>
          </w:tcPr>
          <w:p w:rsidR="0012246F" w:rsidRPr="0012246F" w:rsidRDefault="0012246F" w:rsidP="0012246F">
            <w:pPr>
              <w:pStyle w:val="BodyText"/>
              <w:tabs>
                <w:tab w:val="left" w:pos="709"/>
              </w:tabs>
              <w:ind w:left="1418" w:hanging="1418"/>
              <w:rPr>
                <w:bCs/>
                <w:sz w:val="24"/>
              </w:rPr>
            </w:pPr>
            <w:r w:rsidRPr="0012246F">
              <w:rPr>
                <w:b/>
                <w:bCs/>
                <w:sz w:val="24"/>
              </w:rPr>
              <w:t xml:space="preserve">              99</w:t>
            </w:r>
          </w:p>
        </w:tc>
      </w:tr>
      <w:tr w:rsidR="0012246F" w:rsidRPr="0012246F" w:rsidTr="0012246F">
        <w:tc>
          <w:tcPr>
            <w:tcW w:w="1575" w:type="dxa"/>
            <w:vMerge w:val="restart"/>
          </w:tcPr>
          <w:p w:rsidR="0012246F" w:rsidRPr="0012246F" w:rsidRDefault="0012246F" w:rsidP="0012246F">
            <w:pPr>
              <w:pStyle w:val="BodyText"/>
              <w:tabs>
                <w:tab w:val="left" w:pos="709"/>
              </w:tabs>
              <w:ind w:left="1418" w:hanging="1418"/>
              <w:rPr>
                <w:b/>
                <w:bCs/>
                <w:sz w:val="24"/>
              </w:rPr>
            </w:pPr>
            <w:r w:rsidRPr="0012246F">
              <w:rPr>
                <w:b/>
                <w:bCs/>
                <w:sz w:val="24"/>
              </w:rPr>
              <w:t>Mpumalanga</w:t>
            </w: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2</w:t>
            </w:r>
          </w:p>
        </w:tc>
        <w:tc>
          <w:tcPr>
            <w:tcW w:w="2551" w:type="dxa"/>
          </w:tcPr>
          <w:p w:rsidR="0012246F" w:rsidRPr="0012246F" w:rsidRDefault="0012246F" w:rsidP="0012246F">
            <w:pPr>
              <w:pStyle w:val="BodyText"/>
              <w:tabs>
                <w:tab w:val="left" w:pos="709"/>
              </w:tabs>
              <w:ind w:left="1418" w:hanging="1418"/>
              <w:rPr>
                <w:bCs/>
                <w:sz w:val="24"/>
              </w:rPr>
            </w:pPr>
            <w:r w:rsidRPr="0012246F">
              <w:rPr>
                <w:bCs/>
                <w:sz w:val="24"/>
                <w:lang w:val="en-ZA"/>
              </w:rPr>
              <w:t xml:space="preserve">Witbank </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84 months</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6</w:t>
            </w:r>
          </w:p>
        </w:tc>
        <w:tc>
          <w:tcPr>
            <w:tcW w:w="2551" w:type="dxa"/>
          </w:tcPr>
          <w:p w:rsidR="0012246F" w:rsidRPr="0012246F" w:rsidRDefault="0012246F" w:rsidP="0012246F">
            <w:pPr>
              <w:pStyle w:val="BodyText"/>
              <w:tabs>
                <w:tab w:val="left" w:pos="709"/>
              </w:tabs>
              <w:ind w:left="1418" w:hanging="1418"/>
              <w:rPr>
                <w:bCs/>
                <w:sz w:val="24"/>
                <w:lang w:val="en-ZA"/>
              </w:rPr>
            </w:pPr>
            <w:r w:rsidRPr="0012246F">
              <w:rPr>
                <w:bCs/>
                <w:sz w:val="24"/>
                <w:lang w:val="en-ZA"/>
              </w:rPr>
              <w:t xml:space="preserve">Nelspruit </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12-36 months</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1</w:t>
            </w:r>
          </w:p>
        </w:tc>
        <w:tc>
          <w:tcPr>
            <w:tcW w:w="2551" w:type="dxa"/>
          </w:tcPr>
          <w:p w:rsidR="0012246F" w:rsidRPr="0012246F" w:rsidRDefault="0012246F" w:rsidP="0012246F">
            <w:pPr>
              <w:pStyle w:val="BodyText"/>
              <w:tabs>
                <w:tab w:val="left" w:pos="709"/>
              </w:tabs>
              <w:ind w:left="1418" w:hanging="1418"/>
              <w:rPr>
                <w:b/>
                <w:bCs/>
                <w:sz w:val="24"/>
                <w:lang w:val="en-ZA"/>
              </w:rPr>
            </w:pPr>
            <w:r w:rsidRPr="0012246F">
              <w:rPr>
                <w:bCs/>
                <w:sz w:val="24"/>
                <w:lang w:val="en-ZA"/>
              </w:rPr>
              <w:t>Middelburg</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 xml:space="preserve">12 months </w:t>
            </w:r>
          </w:p>
        </w:tc>
      </w:tr>
      <w:tr w:rsidR="0012246F" w:rsidRPr="0012246F" w:rsidTr="0012246F">
        <w:tc>
          <w:tcPr>
            <w:tcW w:w="1575" w:type="dxa"/>
            <w:vMerge/>
          </w:tcPr>
          <w:p w:rsidR="0012246F" w:rsidRPr="0012246F" w:rsidRDefault="0012246F" w:rsidP="0012246F">
            <w:pPr>
              <w:pStyle w:val="BodyText"/>
              <w:tabs>
                <w:tab w:val="left" w:pos="709"/>
              </w:tabs>
              <w:ind w:left="1418" w:hanging="1418"/>
              <w:rPr>
                <w:bCs/>
                <w:sz w:val="24"/>
              </w:rPr>
            </w:pPr>
          </w:p>
        </w:tc>
        <w:tc>
          <w:tcPr>
            <w:tcW w:w="3245" w:type="dxa"/>
          </w:tcPr>
          <w:p w:rsidR="0012246F" w:rsidRPr="0012246F" w:rsidRDefault="0012246F" w:rsidP="0012246F">
            <w:pPr>
              <w:pStyle w:val="BodyText"/>
              <w:tabs>
                <w:tab w:val="left" w:pos="709"/>
              </w:tabs>
              <w:ind w:left="1418" w:hanging="1418"/>
              <w:rPr>
                <w:bCs/>
                <w:sz w:val="24"/>
              </w:rPr>
            </w:pPr>
            <w:r w:rsidRPr="0012246F">
              <w:rPr>
                <w:bCs/>
                <w:sz w:val="24"/>
              </w:rPr>
              <w:t>6</w:t>
            </w:r>
          </w:p>
        </w:tc>
        <w:tc>
          <w:tcPr>
            <w:tcW w:w="2551" w:type="dxa"/>
          </w:tcPr>
          <w:p w:rsidR="0012246F" w:rsidRPr="0012246F" w:rsidRDefault="0012246F" w:rsidP="0012246F">
            <w:pPr>
              <w:pStyle w:val="BodyText"/>
              <w:tabs>
                <w:tab w:val="left" w:pos="709"/>
              </w:tabs>
              <w:ind w:left="1418" w:hanging="1418"/>
              <w:rPr>
                <w:bCs/>
                <w:sz w:val="24"/>
                <w:lang w:val="en-ZA"/>
              </w:rPr>
            </w:pPr>
            <w:r w:rsidRPr="0012246F">
              <w:rPr>
                <w:bCs/>
                <w:sz w:val="24"/>
                <w:lang w:val="en-ZA"/>
              </w:rPr>
              <w:t>Ermelo</w:t>
            </w:r>
          </w:p>
        </w:tc>
        <w:tc>
          <w:tcPr>
            <w:tcW w:w="2835" w:type="dxa"/>
          </w:tcPr>
          <w:p w:rsidR="0012246F" w:rsidRPr="0012246F" w:rsidRDefault="0012246F" w:rsidP="0012246F">
            <w:pPr>
              <w:pStyle w:val="BodyText"/>
              <w:tabs>
                <w:tab w:val="left" w:pos="709"/>
              </w:tabs>
              <w:ind w:left="1418" w:hanging="1418"/>
              <w:rPr>
                <w:bCs/>
                <w:sz w:val="24"/>
              </w:rPr>
            </w:pPr>
            <w:r w:rsidRPr="0012246F">
              <w:rPr>
                <w:bCs/>
                <w:sz w:val="24"/>
              </w:rPr>
              <w:t>1-48 months</w:t>
            </w:r>
          </w:p>
        </w:tc>
      </w:tr>
      <w:tr w:rsidR="0012246F" w:rsidRPr="0012246F" w:rsidTr="0012246F">
        <w:tc>
          <w:tcPr>
            <w:tcW w:w="1575" w:type="dxa"/>
            <w:shd w:val="clear" w:color="auto" w:fill="DBE5F1" w:themeFill="accent1" w:themeFillTint="33"/>
          </w:tcPr>
          <w:p w:rsidR="0012246F" w:rsidRPr="0012246F" w:rsidRDefault="0012246F" w:rsidP="0012246F">
            <w:pPr>
              <w:pStyle w:val="BodyText"/>
              <w:tabs>
                <w:tab w:val="left" w:pos="709"/>
              </w:tabs>
              <w:ind w:left="1418" w:hanging="1418"/>
              <w:rPr>
                <w:b/>
                <w:bCs/>
                <w:sz w:val="24"/>
              </w:rPr>
            </w:pPr>
            <w:r w:rsidRPr="0012246F">
              <w:rPr>
                <w:b/>
                <w:bCs/>
                <w:sz w:val="24"/>
              </w:rPr>
              <w:t xml:space="preserve">Sub-total </w:t>
            </w:r>
          </w:p>
        </w:tc>
        <w:tc>
          <w:tcPr>
            <w:tcW w:w="8631" w:type="dxa"/>
            <w:gridSpan w:val="3"/>
            <w:shd w:val="clear" w:color="auto" w:fill="DBE5F1" w:themeFill="accent1" w:themeFillTint="33"/>
          </w:tcPr>
          <w:p w:rsidR="0012246F" w:rsidRPr="0012246F" w:rsidRDefault="0012246F" w:rsidP="0012246F">
            <w:pPr>
              <w:pStyle w:val="BodyText"/>
              <w:tabs>
                <w:tab w:val="left" w:pos="709"/>
              </w:tabs>
              <w:ind w:left="1418" w:hanging="1418"/>
              <w:rPr>
                <w:bCs/>
                <w:sz w:val="24"/>
              </w:rPr>
            </w:pPr>
            <w:r w:rsidRPr="0012246F">
              <w:rPr>
                <w:b/>
                <w:bCs/>
                <w:sz w:val="24"/>
              </w:rPr>
              <w:t xml:space="preserve">             15 </w:t>
            </w:r>
          </w:p>
        </w:tc>
      </w:tr>
      <w:tr w:rsidR="0012246F" w:rsidRPr="0012246F" w:rsidTr="0012246F">
        <w:tc>
          <w:tcPr>
            <w:tcW w:w="1575" w:type="dxa"/>
          </w:tcPr>
          <w:p w:rsidR="0012246F" w:rsidRPr="0012246F" w:rsidRDefault="0012246F" w:rsidP="0012246F">
            <w:pPr>
              <w:pStyle w:val="BodyText"/>
              <w:tabs>
                <w:tab w:val="left" w:pos="709"/>
              </w:tabs>
              <w:ind w:left="1418" w:hanging="1418"/>
              <w:rPr>
                <w:b/>
                <w:bCs/>
                <w:sz w:val="24"/>
              </w:rPr>
            </w:pPr>
            <w:r w:rsidRPr="0012246F">
              <w:rPr>
                <w:b/>
                <w:bCs/>
                <w:sz w:val="24"/>
              </w:rPr>
              <w:t xml:space="preserve">Total </w:t>
            </w:r>
          </w:p>
        </w:tc>
        <w:tc>
          <w:tcPr>
            <w:tcW w:w="8631" w:type="dxa"/>
            <w:gridSpan w:val="3"/>
          </w:tcPr>
          <w:p w:rsidR="0012246F" w:rsidRPr="0012246F" w:rsidRDefault="0012246F" w:rsidP="0012246F">
            <w:pPr>
              <w:pStyle w:val="BodyText"/>
              <w:tabs>
                <w:tab w:val="left" w:pos="709"/>
              </w:tabs>
              <w:ind w:left="1418" w:hanging="1418"/>
              <w:rPr>
                <w:bCs/>
                <w:sz w:val="24"/>
              </w:rPr>
            </w:pPr>
            <w:r w:rsidRPr="0012246F">
              <w:rPr>
                <w:b/>
                <w:bCs/>
                <w:sz w:val="24"/>
              </w:rPr>
              <w:t xml:space="preserve">             114</w:t>
            </w:r>
          </w:p>
        </w:tc>
      </w:tr>
    </w:tbl>
    <w:p w:rsidR="0012246F" w:rsidRPr="0012246F" w:rsidRDefault="0012246F" w:rsidP="0012246F">
      <w:pPr>
        <w:pStyle w:val="BodyText"/>
        <w:tabs>
          <w:tab w:val="left" w:pos="709"/>
        </w:tabs>
        <w:ind w:left="1418" w:hanging="1418"/>
        <w:rPr>
          <w:bCs/>
          <w:sz w:val="24"/>
        </w:rPr>
      </w:pPr>
    </w:p>
    <w:p w:rsidR="0012246F" w:rsidRPr="0012246F" w:rsidRDefault="0012246F" w:rsidP="0012246F">
      <w:pPr>
        <w:pStyle w:val="BodyText"/>
        <w:rPr>
          <w:bCs/>
          <w:sz w:val="24"/>
        </w:rPr>
      </w:pPr>
      <w:r w:rsidRPr="0012246F">
        <w:rPr>
          <w:bCs/>
          <w:sz w:val="24"/>
        </w:rPr>
        <w:t xml:space="preserve">The waiting list of patients in prison facilities in Mpumalanga province is due to the lack of a specialised psychiatric hospital to render this service. Plans are underway to build a hospital, and currently patients are referred to Weskoppies Hospital in Gauteng Province, when a bed becomes available. </w:t>
      </w:r>
    </w:p>
    <w:p w:rsidR="00F3445E" w:rsidRDefault="00F3445E" w:rsidP="003318B5">
      <w:pPr>
        <w:pStyle w:val="BodyText"/>
        <w:tabs>
          <w:tab w:val="left" w:pos="709"/>
        </w:tabs>
        <w:ind w:left="1418" w:hanging="1418"/>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481" w:rsidRDefault="00CD5481">
      <w:r>
        <w:separator/>
      </w:r>
    </w:p>
  </w:endnote>
  <w:endnote w:type="continuationSeparator" w:id="1">
    <w:p w:rsidR="00CD5481" w:rsidRDefault="00CD5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95DF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95DF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2246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481" w:rsidRDefault="00CD5481">
      <w:r>
        <w:separator/>
      </w:r>
    </w:p>
  </w:footnote>
  <w:footnote w:type="continuationSeparator" w:id="1">
    <w:p w:rsidR="00CD5481" w:rsidRDefault="00CD5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FB463F"/>
    <w:multiLevelType w:val="hybridMultilevel"/>
    <w:tmpl w:val="AF62DC1A"/>
    <w:lvl w:ilvl="0" w:tplc="D9C4D8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94BE2"/>
    <w:multiLevelType w:val="hybridMultilevel"/>
    <w:tmpl w:val="32BA5018"/>
    <w:lvl w:ilvl="0" w:tplc="6A04849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3"/>
  </w:num>
  <w:num w:numId="8">
    <w:abstractNumId w:val="12"/>
  </w:num>
  <w:num w:numId="9">
    <w:abstractNumId w:val="5"/>
  </w:num>
  <w:num w:numId="10">
    <w:abstractNumId w:val="22"/>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5"/>
  </w:num>
  <w:num w:numId="26">
    <w:abstractNumId w:val="19"/>
  </w:num>
  <w:num w:numId="27">
    <w:abstractNumId w:val="42"/>
  </w:num>
  <w:num w:numId="28">
    <w:abstractNumId w:val="3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4"/>
  </w:num>
  <w:num w:numId="33">
    <w:abstractNumId w:val="15"/>
  </w:num>
  <w:num w:numId="34">
    <w:abstractNumId w:val="17"/>
  </w:num>
  <w:num w:numId="35">
    <w:abstractNumId w:val="37"/>
  </w:num>
  <w:num w:numId="36">
    <w:abstractNumId w:val="6"/>
  </w:num>
  <w:num w:numId="37">
    <w:abstractNumId w:val="26"/>
  </w:num>
  <w:num w:numId="38">
    <w:abstractNumId w:val="16"/>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2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2246F"/>
    <w:rsid w:val="001338AB"/>
    <w:rsid w:val="00134634"/>
    <w:rsid w:val="00136BF0"/>
    <w:rsid w:val="00140B2C"/>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4705D"/>
    <w:rsid w:val="003548B4"/>
    <w:rsid w:val="00355BB7"/>
    <w:rsid w:val="00357A10"/>
    <w:rsid w:val="00366B08"/>
    <w:rsid w:val="00366E06"/>
    <w:rsid w:val="00382D92"/>
    <w:rsid w:val="0039184B"/>
    <w:rsid w:val="00395DF7"/>
    <w:rsid w:val="003A0226"/>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54D37"/>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34A9B"/>
    <w:rsid w:val="00C41194"/>
    <w:rsid w:val="00C4585E"/>
    <w:rsid w:val="00C461AD"/>
    <w:rsid w:val="00C50944"/>
    <w:rsid w:val="00C52573"/>
    <w:rsid w:val="00C61949"/>
    <w:rsid w:val="00C66BFF"/>
    <w:rsid w:val="00C71939"/>
    <w:rsid w:val="00C723FE"/>
    <w:rsid w:val="00C82762"/>
    <w:rsid w:val="00C91D4D"/>
    <w:rsid w:val="00CA0E36"/>
    <w:rsid w:val="00CB41D7"/>
    <w:rsid w:val="00CB7B23"/>
    <w:rsid w:val="00CD5481"/>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2017-05-16T12:57:00Z</dcterms:created>
  <dcterms:modified xsi:type="dcterms:W3CDTF">2017-06-04T11:20:00Z</dcterms:modified>
</cp:coreProperties>
</file>