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0046F" w:rsidRPr="00DC6183" w:rsidRDefault="00F0046F" w:rsidP="00F0046F">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F0046F" w:rsidRPr="00DC6183" w:rsidRDefault="00F0046F" w:rsidP="00F0046F">
      <w:pPr>
        <w:jc w:val="center"/>
        <w:rPr>
          <w:rFonts w:ascii="Arial" w:hAnsi="Arial" w:cs="Arial"/>
          <w:b/>
          <w:bCs/>
          <w:lang w:val="en-ZA"/>
        </w:rPr>
      </w:pPr>
      <w:r w:rsidRPr="00DC6183">
        <w:rPr>
          <w:rFonts w:ascii="Arial" w:hAnsi="Arial" w:cs="Arial"/>
          <w:b/>
          <w:bCs/>
          <w:lang w:val="en-ZA"/>
        </w:rPr>
        <w:t>FOR WRITTEN REPLY</w:t>
      </w:r>
    </w:p>
    <w:p w:rsidR="00F0046F" w:rsidRPr="00DC6183" w:rsidRDefault="00F0046F" w:rsidP="00F0046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1069</w:t>
      </w:r>
    </w:p>
    <w:p w:rsidR="00F0046F" w:rsidRPr="00DC6183" w:rsidRDefault="00F0046F" w:rsidP="00F0046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F0046F" w:rsidRPr="00FF2AAB" w:rsidRDefault="00F0046F" w:rsidP="00F0046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21</w:t>
      </w:r>
    </w:p>
    <w:p w:rsidR="00F0046F" w:rsidRPr="009F6CB3" w:rsidRDefault="00F0046F" w:rsidP="00F0046F">
      <w:pPr>
        <w:spacing w:before="100" w:beforeAutospacing="1" w:after="100" w:afterAutospacing="1" w:line="360" w:lineRule="auto"/>
        <w:ind w:left="720" w:hanging="720"/>
        <w:jc w:val="both"/>
        <w:outlineLvl w:val="0"/>
        <w:rPr>
          <w:rFonts w:ascii="Arial" w:hAnsi="Arial" w:cs="Arial"/>
          <w:b/>
          <w:lang w:val="en-ZA"/>
        </w:rPr>
      </w:pPr>
      <w:r w:rsidRPr="009F6CB3">
        <w:rPr>
          <w:rFonts w:ascii="Arial" w:hAnsi="Arial" w:cs="Arial"/>
          <w:b/>
          <w:lang w:val="en-ZA"/>
        </w:rPr>
        <w:t>Ms C V King (DA) to ask the Minister of Higher Education, Science and Innovation</w:t>
      </w:r>
      <w:r w:rsidR="00A201D3" w:rsidRPr="009F6CB3">
        <w:rPr>
          <w:rFonts w:ascii="Arial" w:hAnsi="Arial" w:cs="Arial"/>
          <w:b/>
          <w:lang w:val="en-ZA"/>
        </w:rPr>
        <w:fldChar w:fldCharType="begin"/>
      </w:r>
      <w:r w:rsidRPr="009F6CB3">
        <w:rPr>
          <w:rFonts w:ascii="Arial" w:hAnsi="Arial" w:cs="Arial"/>
          <w:lang w:val="en-ZA"/>
        </w:rPr>
        <w:instrText xml:space="preserve"> XE "</w:instrText>
      </w:r>
      <w:r w:rsidRPr="009F6CB3">
        <w:rPr>
          <w:rFonts w:ascii="Arial" w:hAnsi="Arial" w:cs="Arial"/>
          <w:b/>
        </w:rPr>
        <w:instrText>Higher Education, Science and Innovation</w:instrText>
      </w:r>
      <w:r w:rsidRPr="009F6CB3">
        <w:rPr>
          <w:rFonts w:ascii="Arial" w:hAnsi="Arial" w:cs="Arial"/>
          <w:lang w:val="en-ZA"/>
        </w:rPr>
        <w:instrText xml:space="preserve">" </w:instrText>
      </w:r>
      <w:r w:rsidR="00A201D3" w:rsidRPr="009F6CB3">
        <w:rPr>
          <w:rFonts w:ascii="Arial" w:hAnsi="Arial" w:cs="Arial"/>
          <w:b/>
          <w:lang w:val="en-ZA"/>
        </w:rPr>
        <w:fldChar w:fldCharType="end"/>
      </w:r>
      <w:r w:rsidRPr="009F6CB3">
        <w:rPr>
          <w:rFonts w:ascii="Arial" w:hAnsi="Arial" w:cs="Arial"/>
          <w:b/>
          <w:lang w:val="en-ZA"/>
        </w:rPr>
        <w:t>:</w:t>
      </w:r>
    </w:p>
    <w:p w:rsidR="00F0046F" w:rsidRDefault="00F0046F" w:rsidP="00F0046F">
      <w:pPr>
        <w:spacing w:before="100" w:beforeAutospacing="1" w:after="100" w:afterAutospacing="1" w:line="360" w:lineRule="auto"/>
        <w:ind w:left="720"/>
        <w:jc w:val="both"/>
        <w:outlineLvl w:val="0"/>
        <w:rPr>
          <w:rFonts w:ascii="Arial" w:hAnsi="Arial" w:cs="Arial"/>
          <w:lang w:val="en-ZA"/>
        </w:rPr>
      </w:pPr>
      <w:r w:rsidRPr="009F6CB3">
        <w:rPr>
          <w:rFonts w:ascii="Arial" w:hAnsi="Arial" w:cs="Arial"/>
          <w:lang w:val="en-ZA"/>
        </w:rPr>
        <w:t>What are the reasons and explanation of how over-enrolments occurred in (a) 2019, (b) 2020 and (c) 2021?</w:t>
      </w:r>
      <w:r w:rsidRPr="009F6CB3">
        <w:rPr>
          <w:rFonts w:ascii="Arial" w:hAnsi="Arial" w:cs="Arial"/>
          <w:lang w:val="en-ZA"/>
        </w:rPr>
        <w:tab/>
      </w:r>
      <w:r w:rsidRPr="009F6CB3">
        <w:rPr>
          <w:rFonts w:ascii="Arial" w:hAnsi="Arial" w:cs="Arial"/>
          <w:lang w:val="en-ZA"/>
        </w:rPr>
        <w:tab/>
      </w:r>
      <w:r w:rsidRPr="009F6CB3">
        <w:rPr>
          <w:rFonts w:ascii="Arial" w:hAnsi="Arial" w:cs="Arial"/>
          <w:lang w:val="en-ZA"/>
        </w:rPr>
        <w:tab/>
      </w:r>
      <w:r w:rsidRPr="009F6CB3">
        <w:rPr>
          <w:rFonts w:ascii="Arial" w:hAnsi="Arial" w:cs="Arial"/>
          <w:lang w:val="en-ZA"/>
        </w:rPr>
        <w:tab/>
      </w:r>
      <w:r w:rsidRPr="009F6CB3">
        <w:rPr>
          <w:rFonts w:ascii="Arial" w:hAnsi="Arial" w:cs="Arial"/>
          <w:lang w:val="en-ZA"/>
        </w:rPr>
        <w:tab/>
      </w:r>
      <w:r w:rsidRPr="009F6CB3">
        <w:rPr>
          <w:rFonts w:ascii="Arial" w:hAnsi="Arial" w:cs="Arial"/>
          <w:lang w:val="en-ZA"/>
        </w:rPr>
        <w:tab/>
      </w:r>
      <w:r w:rsidRPr="009F6CB3">
        <w:rPr>
          <w:rFonts w:ascii="Arial" w:hAnsi="Arial" w:cs="Arial"/>
          <w:lang w:val="en-ZA"/>
        </w:rPr>
        <w:tab/>
      </w:r>
      <w:r w:rsidRPr="009F6CB3">
        <w:rPr>
          <w:rFonts w:ascii="Arial" w:hAnsi="Arial" w:cs="Arial"/>
          <w:lang w:val="en-ZA"/>
        </w:rPr>
        <w:tab/>
      </w:r>
    </w:p>
    <w:p w:rsidR="00F0046F" w:rsidRPr="009F6CB3" w:rsidRDefault="00F0046F" w:rsidP="00F0046F">
      <w:pPr>
        <w:spacing w:before="100" w:beforeAutospacing="1" w:after="100" w:afterAutospacing="1" w:line="360" w:lineRule="auto"/>
        <w:ind w:left="7920"/>
        <w:jc w:val="both"/>
        <w:outlineLvl w:val="0"/>
        <w:rPr>
          <w:rFonts w:ascii="Times New Roman" w:hAnsi="Times New Roman" w:cs="Times New Roman"/>
          <w:b/>
          <w:sz w:val="24"/>
          <w:szCs w:val="24"/>
          <w:lang w:val="en-ZA"/>
        </w:rPr>
      </w:pPr>
      <w:r w:rsidRPr="009F6CB3">
        <w:rPr>
          <w:rFonts w:ascii="Arial" w:hAnsi="Arial" w:cs="Arial"/>
          <w:b/>
          <w:lang w:val="en-ZA"/>
        </w:rPr>
        <w:t>NW1256E</w:t>
      </w:r>
    </w:p>
    <w:p w:rsidR="00F0046F" w:rsidRDefault="00F0046F" w:rsidP="00F0046F">
      <w:pPr>
        <w:spacing w:before="100" w:beforeAutospacing="1" w:after="100" w:afterAutospacing="1" w:line="360" w:lineRule="auto"/>
        <w:ind w:left="1440" w:hanging="720"/>
        <w:jc w:val="both"/>
        <w:outlineLvl w:val="0"/>
        <w:rPr>
          <w:rFonts w:ascii="Arial" w:hAnsi="Arial" w:cs="Arial"/>
          <w:b/>
        </w:rPr>
      </w:pPr>
    </w:p>
    <w:p w:rsidR="00F0046F" w:rsidRDefault="00F0046F" w:rsidP="00F0046F">
      <w:pPr>
        <w:spacing w:before="100" w:beforeAutospacing="1" w:after="100" w:afterAutospacing="1" w:line="360" w:lineRule="auto"/>
        <w:ind w:left="1440" w:hanging="720"/>
        <w:jc w:val="both"/>
        <w:outlineLvl w:val="0"/>
        <w:rPr>
          <w:rFonts w:ascii="Arial" w:hAnsi="Arial" w:cs="Arial"/>
          <w:b/>
        </w:rPr>
      </w:pPr>
    </w:p>
    <w:p w:rsidR="00F0046F" w:rsidRDefault="00F0046F" w:rsidP="00F0046F">
      <w:pPr>
        <w:spacing w:before="100" w:beforeAutospacing="1" w:after="100" w:afterAutospacing="1" w:line="360" w:lineRule="auto"/>
        <w:ind w:left="1440" w:hanging="720"/>
        <w:jc w:val="both"/>
        <w:outlineLvl w:val="0"/>
        <w:rPr>
          <w:rFonts w:ascii="Arial" w:hAnsi="Arial" w:cs="Arial"/>
          <w:b/>
        </w:rPr>
      </w:pPr>
    </w:p>
    <w:p w:rsidR="00F0046F" w:rsidRDefault="00F0046F" w:rsidP="00F0046F">
      <w:pPr>
        <w:spacing w:before="100" w:beforeAutospacing="1" w:after="100" w:afterAutospacing="1" w:line="360" w:lineRule="auto"/>
        <w:ind w:left="1440" w:hanging="720"/>
        <w:jc w:val="both"/>
        <w:outlineLvl w:val="0"/>
        <w:rPr>
          <w:rFonts w:ascii="Arial" w:hAnsi="Arial" w:cs="Arial"/>
          <w:b/>
        </w:rPr>
      </w:pPr>
    </w:p>
    <w:p w:rsidR="00F0046F" w:rsidRDefault="00F0046F" w:rsidP="00F0046F">
      <w:pPr>
        <w:spacing w:before="100" w:beforeAutospacing="1" w:after="100" w:afterAutospacing="1" w:line="360" w:lineRule="auto"/>
        <w:ind w:left="1440" w:hanging="720"/>
        <w:jc w:val="both"/>
        <w:outlineLvl w:val="0"/>
        <w:rPr>
          <w:rFonts w:ascii="Arial" w:hAnsi="Arial" w:cs="Arial"/>
          <w:b/>
        </w:rPr>
      </w:pPr>
    </w:p>
    <w:p w:rsidR="00332A32" w:rsidRDefault="00332A32" w:rsidP="00F0046F">
      <w:pPr>
        <w:spacing w:before="100" w:beforeAutospacing="1" w:after="100" w:afterAutospacing="1" w:line="360" w:lineRule="auto"/>
        <w:jc w:val="both"/>
        <w:outlineLvl w:val="0"/>
        <w:rPr>
          <w:rFonts w:ascii="Arial" w:hAnsi="Arial" w:cs="Arial"/>
          <w:b/>
        </w:rPr>
      </w:pPr>
    </w:p>
    <w:p w:rsidR="00332A32" w:rsidRDefault="00332A32" w:rsidP="00F0046F">
      <w:pPr>
        <w:spacing w:before="100" w:beforeAutospacing="1" w:after="100" w:afterAutospacing="1" w:line="360" w:lineRule="auto"/>
        <w:jc w:val="both"/>
        <w:outlineLvl w:val="0"/>
        <w:rPr>
          <w:rFonts w:ascii="Arial" w:hAnsi="Arial" w:cs="Arial"/>
          <w:b/>
        </w:rPr>
      </w:pPr>
    </w:p>
    <w:p w:rsidR="00332A32" w:rsidRDefault="00332A32" w:rsidP="00F0046F">
      <w:pPr>
        <w:spacing w:before="100" w:beforeAutospacing="1" w:after="100" w:afterAutospacing="1" w:line="360" w:lineRule="auto"/>
        <w:jc w:val="both"/>
        <w:outlineLvl w:val="0"/>
        <w:rPr>
          <w:rFonts w:ascii="Arial" w:hAnsi="Arial" w:cs="Arial"/>
          <w:b/>
        </w:rPr>
      </w:pPr>
    </w:p>
    <w:p w:rsidR="00332A32" w:rsidRDefault="00332A32" w:rsidP="00F0046F">
      <w:pPr>
        <w:spacing w:before="100" w:beforeAutospacing="1" w:after="100" w:afterAutospacing="1" w:line="360" w:lineRule="auto"/>
        <w:jc w:val="both"/>
        <w:outlineLvl w:val="0"/>
        <w:rPr>
          <w:rFonts w:ascii="Arial" w:hAnsi="Arial" w:cs="Arial"/>
          <w:b/>
        </w:rPr>
      </w:pPr>
    </w:p>
    <w:p w:rsidR="00332A32" w:rsidRDefault="00332A32" w:rsidP="00F0046F">
      <w:pPr>
        <w:spacing w:before="100" w:beforeAutospacing="1" w:after="100" w:afterAutospacing="1" w:line="360" w:lineRule="auto"/>
        <w:jc w:val="both"/>
        <w:outlineLvl w:val="0"/>
        <w:rPr>
          <w:rFonts w:ascii="Arial" w:hAnsi="Arial" w:cs="Arial"/>
          <w:b/>
        </w:rPr>
      </w:pPr>
    </w:p>
    <w:p w:rsidR="00332A32" w:rsidRDefault="00332A32" w:rsidP="00F0046F">
      <w:pPr>
        <w:spacing w:before="100" w:beforeAutospacing="1" w:after="100" w:afterAutospacing="1" w:line="360" w:lineRule="auto"/>
        <w:jc w:val="both"/>
        <w:outlineLvl w:val="0"/>
        <w:rPr>
          <w:rFonts w:ascii="Arial" w:hAnsi="Arial" w:cs="Arial"/>
          <w:b/>
        </w:rPr>
      </w:pPr>
    </w:p>
    <w:p w:rsidR="00F0046F" w:rsidRPr="00FD745A" w:rsidRDefault="00F0046F" w:rsidP="00F0046F">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F0046F" w:rsidRPr="008707B9" w:rsidRDefault="00F0046F" w:rsidP="00F0046F">
      <w:pPr>
        <w:pStyle w:val="NormalWeb"/>
        <w:spacing w:line="360" w:lineRule="auto"/>
        <w:ind w:left="450"/>
        <w:jc w:val="both"/>
        <w:rPr>
          <w:rFonts w:ascii="Arial" w:hAnsi="Arial" w:cs="Arial"/>
          <w:sz w:val="22"/>
          <w:szCs w:val="22"/>
        </w:rPr>
      </w:pPr>
      <w:r w:rsidRPr="008707B9">
        <w:rPr>
          <w:rFonts w:ascii="Arial" w:hAnsi="Arial" w:cs="Arial"/>
          <w:sz w:val="22"/>
          <w:szCs w:val="22"/>
        </w:rPr>
        <w:t>(a)  The audited data for 2019 indicates that 1 074 912 headcount students were enrolled, representing an under-enrolment of -6 178 headcounts in relation to the projected target of 1 081 090 set for 2019. This represents a -0.57% deviation from the 2019 target. Universities are permitted to move within a 2% band of their planned targets.</w:t>
      </w:r>
    </w:p>
    <w:p w:rsidR="00F0046F" w:rsidRPr="008707B9" w:rsidRDefault="00F0046F" w:rsidP="00F0046F">
      <w:pPr>
        <w:pStyle w:val="NormalWeb"/>
        <w:spacing w:line="360" w:lineRule="auto"/>
        <w:ind w:left="450"/>
        <w:jc w:val="both"/>
        <w:rPr>
          <w:rFonts w:ascii="Arial" w:hAnsi="Arial" w:cs="Arial"/>
          <w:sz w:val="22"/>
          <w:szCs w:val="22"/>
        </w:rPr>
      </w:pPr>
      <w:r w:rsidRPr="008707B9">
        <w:rPr>
          <w:rFonts w:ascii="Arial" w:hAnsi="Arial" w:cs="Arial"/>
          <w:sz w:val="22"/>
          <w:szCs w:val="22"/>
        </w:rPr>
        <w:t>(b)  The Department has not yet received the 2020 final audited data from universities. This is only due at the end of July 2021 once they have finalised their graduate numbers and their external auditors have undertaken the audit of the data to be submitted to the Department. Thereafter the Department can undertake the comparison between the 2020 enrolment planning targets and the actual 2020 enrolments. However, UNISA did signal to the Department last year that they had over-enrolled in 2020. The Department has had a number of discussions with UNISA on over-enrolments both in 2018 and in 2020. </w:t>
      </w:r>
    </w:p>
    <w:p w:rsidR="00F0046F" w:rsidRPr="008707B9" w:rsidRDefault="00F0046F" w:rsidP="00F0046F">
      <w:pPr>
        <w:pStyle w:val="NormalWeb"/>
        <w:spacing w:line="360" w:lineRule="auto"/>
        <w:ind w:left="450"/>
        <w:jc w:val="both"/>
        <w:rPr>
          <w:rFonts w:ascii="Arial" w:hAnsi="Arial" w:cs="Arial"/>
          <w:sz w:val="22"/>
          <w:szCs w:val="22"/>
        </w:rPr>
      </w:pPr>
      <w:r w:rsidRPr="008707B9">
        <w:rPr>
          <w:rFonts w:ascii="Arial" w:hAnsi="Arial" w:cs="Arial"/>
          <w:sz w:val="22"/>
          <w:szCs w:val="22"/>
        </w:rPr>
        <w:t xml:space="preserve">(c)  The Department has not yet received data for the 2021 academic year, as universities will still </w:t>
      </w:r>
      <w:proofErr w:type="spellStart"/>
      <w:r w:rsidRPr="008707B9">
        <w:rPr>
          <w:rFonts w:ascii="Arial" w:hAnsi="Arial" w:cs="Arial"/>
          <w:sz w:val="22"/>
          <w:szCs w:val="22"/>
        </w:rPr>
        <w:t>enroll</w:t>
      </w:r>
      <w:proofErr w:type="spellEnd"/>
      <w:r w:rsidRPr="008707B9">
        <w:rPr>
          <w:rFonts w:ascii="Arial" w:hAnsi="Arial" w:cs="Arial"/>
          <w:sz w:val="22"/>
          <w:szCs w:val="22"/>
        </w:rPr>
        <w:t> students in the second semester. The 2021 audited data will only be received at the end of July 2022.</w:t>
      </w:r>
    </w:p>
    <w:p w:rsidR="00D40A71" w:rsidRPr="00451911" w:rsidRDefault="00D40A71" w:rsidP="00D40A71">
      <w:pPr>
        <w:spacing w:before="100" w:beforeAutospacing="1" w:after="100" w:afterAutospacing="1" w:line="360" w:lineRule="auto"/>
        <w:ind w:left="900"/>
        <w:jc w:val="both"/>
        <w:rPr>
          <w:rFonts w:ascii="Times New Roman" w:eastAsia="Times New Roman" w:hAnsi="Times New Roman" w:cs="Times New Roman"/>
          <w:sz w:val="24"/>
          <w:szCs w:val="24"/>
          <w:lang w:val="en-ZA" w:eastAsia="en-ZA"/>
        </w:rPr>
      </w:pP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3"/>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1"/>
  </w:num>
  <w:num w:numId="17">
    <w:abstractNumId w:val="33"/>
  </w:num>
  <w:num w:numId="18">
    <w:abstractNumId w:val="42"/>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 w:numId="44">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2A32"/>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6A0"/>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01D3"/>
    <w:rsid w:val="00A22634"/>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46F"/>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B6D4B"/>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E017-30E6-45FD-88DC-BF5B5909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2021-05-24T09:34:00Z</dcterms:created>
  <dcterms:modified xsi:type="dcterms:W3CDTF">2021-05-24T09:34:00Z</dcterms:modified>
</cp:coreProperties>
</file>