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A53FA">
        <w:rPr>
          <w:rFonts w:cs="Arial"/>
          <w:b/>
          <w:sz w:val="24"/>
          <w:szCs w:val="24"/>
          <w:lang w:val="en-US" w:eastAsia="en-US"/>
        </w:rPr>
        <w:t>1063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BA53FA" w:rsidRPr="00BA53FA">
        <w:rPr>
          <w:rFonts w:eastAsia="Calibri" w:cs="Arial"/>
          <w:b/>
          <w:sz w:val="24"/>
          <w:szCs w:val="24"/>
          <w:lang w:eastAsia="en-US"/>
        </w:rPr>
        <w:t>NW2221E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  <w:lang w:val="en-US" w:eastAsia="en-US"/>
        </w:rPr>
        <w:t>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</w:rPr>
        <w:t>11</w:t>
      </w:r>
      <w:r w:rsidR="00E501BF">
        <w:rPr>
          <w:rFonts w:cs="Arial"/>
          <w:b/>
          <w:sz w:val="24"/>
          <w:szCs w:val="24"/>
        </w:rPr>
        <w:t xml:space="preserve"> </w:t>
      </w:r>
      <w:r w:rsidR="007713CC">
        <w:rPr>
          <w:rFonts w:cs="Arial"/>
          <w:b/>
          <w:sz w:val="24"/>
          <w:szCs w:val="24"/>
        </w:rPr>
        <w:t>OCTO</w:t>
      </w:r>
      <w:r w:rsidR="000E1AD0">
        <w:rPr>
          <w:rFonts w:cs="Arial"/>
          <w:b/>
          <w:sz w:val="24"/>
          <w:szCs w:val="24"/>
        </w:rPr>
        <w:t>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</w:t>
      </w:r>
      <w:r w:rsidR="00CC5791">
        <w:rPr>
          <w:rFonts w:cs="Arial"/>
          <w:b/>
          <w:sz w:val="24"/>
          <w:szCs w:val="24"/>
          <w:lang w:val="en-US" w:eastAsia="en-US"/>
        </w:rPr>
        <w:t xml:space="preserve"> 28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7713CC">
        <w:rPr>
          <w:rFonts w:cs="Arial"/>
          <w:b/>
          <w:sz w:val="24"/>
          <w:szCs w:val="24"/>
          <w:lang w:val="en-US" w:eastAsia="en-US"/>
        </w:rPr>
        <w:t>OCTO</w:t>
      </w:r>
      <w:r w:rsidR="000E1AD0">
        <w:rPr>
          <w:rFonts w:cs="Arial"/>
          <w:b/>
          <w:sz w:val="24"/>
          <w:szCs w:val="24"/>
          <w:lang w:val="en-US" w:eastAsia="en-US"/>
        </w:rPr>
        <w:t>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A53FA" w:rsidRDefault="00BA53FA" w:rsidP="00BA53FA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1063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440446" w:rsidRPr="00440446">
        <w:rPr>
          <w:rFonts w:cs="Arial"/>
          <w:b/>
          <w:sz w:val="24"/>
          <w:szCs w:val="24"/>
          <w:lang w:val="en-US" w:eastAsia="en-US"/>
        </w:rPr>
        <w:t xml:space="preserve">Mr P Van </w:t>
      </w:r>
      <w:proofErr w:type="spellStart"/>
      <w:r w:rsidR="00440446" w:rsidRPr="00440446">
        <w:rPr>
          <w:rFonts w:cs="Arial"/>
          <w:b/>
          <w:sz w:val="24"/>
          <w:szCs w:val="24"/>
          <w:lang w:val="en-US" w:eastAsia="en-US"/>
        </w:rPr>
        <w:t>Staden</w:t>
      </w:r>
      <w:proofErr w:type="spellEnd"/>
      <w:r w:rsidR="00440446" w:rsidRPr="00440446">
        <w:rPr>
          <w:rFonts w:cs="Arial"/>
          <w:b/>
          <w:sz w:val="24"/>
          <w:szCs w:val="24"/>
          <w:lang w:val="en-US" w:eastAsia="en-US"/>
        </w:rPr>
        <w:t xml:space="preserve"> (FF Plus)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BA53FA" w:rsidRDefault="00BA53FA" w:rsidP="00BA53FA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(1)</w:t>
      </w: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What (a) is the total number of buildings owned by the State, (b) number </w:t>
      </w:r>
      <w:proofErr w:type="gramStart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of  the</w:t>
      </w:r>
      <w:proofErr w:type="gramEnd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specified buildings are unoccupied and (c) are the reasons for </w:t>
      </w:r>
      <w:proofErr w:type="spellStart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nonoccupation</w:t>
      </w:r>
      <w:proofErr w:type="spellEnd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; </w:t>
      </w:r>
    </w:p>
    <w:p w:rsidR="00BA53FA" w:rsidRDefault="00BA53FA" w:rsidP="00BA53FA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(2)</w:t>
      </w: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what</w:t>
      </w:r>
      <w:proofErr w:type="gramEnd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were the total amounts paid for property rates of (a) occupied and (b) unoccupied buildings in the (</w:t>
      </w:r>
      <w:proofErr w:type="spellStart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i</w:t>
      </w:r>
      <w:proofErr w:type="spellEnd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) 2018-19 and (ii) 2019-20 financial years;</w:t>
      </w:r>
    </w:p>
    <w:p w:rsidR="00BA53FA" w:rsidRDefault="00BA53FA" w:rsidP="00BA53FA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(3)</w:t>
      </w: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what</w:t>
      </w:r>
      <w:proofErr w:type="gramEnd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is the (a) total number of State buildings that have a maintenance backlog and (b) estimated cost of the maintenance backlog;</w:t>
      </w: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</w:p>
    <w:p w:rsidR="00BA53FA" w:rsidRPr="00BA53FA" w:rsidRDefault="00BA53FA" w:rsidP="00BA53FA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(4)</w:t>
      </w: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how</w:t>
      </w:r>
      <w:proofErr w:type="gramEnd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long will it take to eradicate the backlog on maintenance;</w:t>
      </w:r>
    </w:p>
    <w:p w:rsidR="00CB3BBC" w:rsidRPr="00CB3BBC" w:rsidRDefault="00BA53FA" w:rsidP="00BA53FA">
      <w:pPr>
        <w:ind w:right="-14" w:firstLine="72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(5)</w:t>
      </w: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>whether</w:t>
      </w:r>
      <w:proofErr w:type="gramEnd"/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she will make a statement on the matter? 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       </w:t>
      </w:r>
      <w:r w:rsidRPr="00BA53FA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NW2221E</w:t>
      </w:r>
    </w:p>
    <w:p w:rsidR="00A966FC" w:rsidRPr="00743527" w:rsidRDefault="004D2F24" w:rsidP="00CB3BBC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743527" w:rsidRDefault="00743527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950FBA" w:rsidRDefault="00950FBA" w:rsidP="00950FBA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  <w:r>
        <w:rPr>
          <w:rFonts w:eastAsia="Calibri" w:cs="Arial"/>
          <w:color w:val="000000" w:themeColor="text1"/>
          <w:sz w:val="24"/>
          <w:szCs w:val="24"/>
          <w:lang w:eastAsia="en-US"/>
        </w:rPr>
        <w:t>(a)</w:t>
      </w:r>
      <w:r w:rsidRPr="00950FB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</w:t>
      </w:r>
      <w:r w:rsidR="00CC5791">
        <w:rPr>
          <w:rFonts w:eastAsia="Calibri" w:cs="Arial"/>
          <w:color w:val="000000" w:themeColor="text1"/>
          <w:sz w:val="24"/>
          <w:szCs w:val="24"/>
          <w:lang w:eastAsia="en-US"/>
        </w:rPr>
        <w:t>The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</w:t>
      </w:r>
      <w:r w:rsidR="00CC5791">
        <w:rPr>
          <w:rFonts w:eastAsia="Calibri" w:cs="Arial"/>
          <w:color w:val="000000" w:themeColor="text1"/>
          <w:sz w:val="24"/>
          <w:szCs w:val="24"/>
          <w:lang w:eastAsia="en-US"/>
        </w:rPr>
        <w:t>D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epartment of Public Works and Infrastructure (DPWI) has 81 575 </w:t>
      </w:r>
      <w:r w:rsidR="00C72A34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   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>buildings under its custodianship.</w:t>
      </w:r>
    </w:p>
    <w:p w:rsidR="00C72A34" w:rsidRPr="00950FBA" w:rsidRDefault="00C72A34" w:rsidP="00C72A34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</w:p>
    <w:p w:rsidR="000014A1" w:rsidRDefault="00950FBA" w:rsidP="000014A1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  <w:r>
        <w:rPr>
          <w:rFonts w:eastAsia="Calibri" w:cs="Arial"/>
          <w:color w:val="000000" w:themeColor="text1"/>
          <w:sz w:val="24"/>
          <w:szCs w:val="24"/>
          <w:lang w:eastAsia="en-US"/>
        </w:rPr>
        <w:t>(b) 703 of the specified buildings are un</w:t>
      </w:r>
      <w:r w:rsidR="00D022F3">
        <w:rPr>
          <w:rFonts w:eastAsia="Calibri" w:cs="Arial"/>
          <w:color w:val="000000" w:themeColor="text1"/>
          <w:sz w:val="24"/>
          <w:szCs w:val="24"/>
          <w:lang w:eastAsia="en-US"/>
        </w:rPr>
        <w:t>occupied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. </w:t>
      </w:r>
    </w:p>
    <w:p w:rsidR="000014A1" w:rsidRDefault="000014A1" w:rsidP="000014A1">
      <w:pPr>
        <w:pStyle w:val="ListParagraph"/>
        <w:spacing w:before="100" w:beforeAutospacing="1" w:after="100" w:afterAutospacing="1"/>
        <w:ind w:left="1560" w:hanging="4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color w:val="000000" w:themeColor="text1"/>
          <w:sz w:val="24"/>
          <w:szCs w:val="24"/>
          <w:lang w:eastAsia="en-US"/>
        </w:rPr>
        <w:lastRenderedPageBreak/>
        <w:t xml:space="preserve">(c)   In anticipation of future and urgent user requirements, </w:t>
      </w:r>
      <w:r>
        <w:rPr>
          <w:rFonts w:eastAsia="Calibri" w:cs="Arial"/>
          <w:sz w:val="24"/>
          <w:szCs w:val="24"/>
          <w:lang w:eastAsia="en-US"/>
        </w:rPr>
        <w:t>t</w:t>
      </w:r>
      <w:r w:rsidRPr="000014A1">
        <w:rPr>
          <w:rFonts w:eastAsia="Calibri" w:cs="Arial"/>
          <w:sz w:val="24"/>
          <w:szCs w:val="24"/>
          <w:lang w:eastAsia="en-US"/>
        </w:rPr>
        <w:t>he state cannot allow all its property to be occupied</w:t>
      </w:r>
      <w:r>
        <w:rPr>
          <w:rFonts w:eastAsia="Calibri" w:cs="Arial"/>
          <w:sz w:val="24"/>
          <w:szCs w:val="24"/>
          <w:lang w:eastAsia="en-US"/>
        </w:rPr>
        <w:t>. In addition, state</w:t>
      </w:r>
      <w:r w:rsidR="00CC5791">
        <w:rPr>
          <w:rFonts w:eastAsia="Calibri" w:cs="Arial"/>
          <w:sz w:val="24"/>
          <w:szCs w:val="24"/>
          <w:lang w:eastAsia="en-US"/>
        </w:rPr>
        <w:t>-</w:t>
      </w:r>
      <w:r>
        <w:rPr>
          <w:rFonts w:eastAsia="Calibri" w:cs="Arial"/>
          <w:sz w:val="24"/>
          <w:szCs w:val="24"/>
          <w:lang w:eastAsia="en-US"/>
        </w:rPr>
        <w:t xml:space="preserve">owned properties under the custodianship of the Department may be earmarked for allocation to other departments or spheres of government for </w:t>
      </w:r>
      <w:r w:rsidRPr="000014A1">
        <w:rPr>
          <w:rFonts w:eastAsia="Calibri" w:cs="Arial"/>
          <w:sz w:val="24"/>
          <w:szCs w:val="24"/>
          <w:lang w:eastAsia="en-US"/>
        </w:rPr>
        <w:t>restitution and land reform, human settlements</w:t>
      </w:r>
      <w:r>
        <w:rPr>
          <w:rFonts w:eastAsia="Calibri" w:cs="Arial"/>
          <w:sz w:val="24"/>
          <w:szCs w:val="24"/>
          <w:lang w:eastAsia="en-US"/>
        </w:rPr>
        <w:t xml:space="preserve">. In cases where there is no immediate need for the properties the department avails identified properties to the public for letting. </w:t>
      </w:r>
    </w:p>
    <w:p w:rsidR="003C41FE" w:rsidRPr="00950FBA" w:rsidRDefault="003C41FE" w:rsidP="00950FBA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b/>
          <w:color w:val="FF0000"/>
          <w:sz w:val="24"/>
          <w:szCs w:val="24"/>
          <w:lang w:eastAsia="en-US"/>
        </w:rPr>
      </w:pPr>
    </w:p>
    <w:p w:rsidR="00950FBA" w:rsidRDefault="00950FBA" w:rsidP="00950FBA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</w:p>
    <w:p w:rsidR="00ED23A8" w:rsidRPr="00ED23A8" w:rsidRDefault="00D022F3" w:rsidP="00ED23A8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eastAsia="Calibri" w:cs="Arial"/>
          <w:color w:val="000000" w:themeColor="text1"/>
          <w:sz w:val="24"/>
          <w:szCs w:val="24"/>
          <w:lang w:eastAsia="en-US"/>
        </w:rPr>
        <w:t>(a)  and (b)</w:t>
      </w:r>
    </w:p>
    <w:p w:rsidR="00D022F3" w:rsidRDefault="00D022F3" w:rsidP="00ED23A8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</w:p>
    <w:p w:rsidR="00950FBA" w:rsidRPr="00ED23A8" w:rsidRDefault="007E53CE" w:rsidP="00ED23A8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ED23A8">
        <w:rPr>
          <w:rFonts w:eastAsia="Calibri" w:cs="Arial"/>
          <w:color w:val="000000" w:themeColor="text1"/>
          <w:sz w:val="24"/>
          <w:szCs w:val="24"/>
          <w:lang w:eastAsia="en-US"/>
        </w:rPr>
        <w:t>T</w:t>
      </w:r>
      <w:r w:rsidR="00CC5791">
        <w:rPr>
          <w:rFonts w:eastAsia="Calibri" w:cs="Arial"/>
          <w:color w:val="000000" w:themeColor="text1"/>
          <w:sz w:val="24"/>
          <w:szCs w:val="24"/>
          <w:lang w:eastAsia="en-US"/>
        </w:rPr>
        <w:t>he t</w:t>
      </w:r>
      <w:r w:rsidRPr="00ED23A8">
        <w:rPr>
          <w:rFonts w:eastAsia="Calibri" w:cs="Arial"/>
          <w:color w:val="000000" w:themeColor="text1"/>
          <w:sz w:val="24"/>
          <w:szCs w:val="24"/>
          <w:lang w:eastAsia="en-US"/>
        </w:rPr>
        <w:t>otal amount paid for property rates on occupied</w:t>
      </w:r>
      <w:r w:rsidR="00D022F3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and unoccupied </w:t>
      </w:r>
      <w:r w:rsidR="00D022F3" w:rsidRPr="00ED23A8">
        <w:rPr>
          <w:rFonts w:eastAsia="Calibri" w:cs="Arial"/>
          <w:color w:val="000000" w:themeColor="text1"/>
          <w:sz w:val="24"/>
          <w:szCs w:val="24"/>
          <w:lang w:eastAsia="en-US"/>
        </w:rPr>
        <w:t>buildings</w:t>
      </w:r>
      <w:r w:rsidR="00D022F3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–1 April 2018 – 31 March 2019.</w:t>
      </w:r>
    </w:p>
    <w:tbl>
      <w:tblPr>
        <w:tblpPr w:leftFromText="180" w:rightFromText="180" w:vertAnchor="text" w:horzAnchor="margin" w:tblpXSpec="center" w:tblpY="33"/>
        <w:tblW w:w="7340" w:type="dxa"/>
        <w:tblLook w:val="04A0"/>
      </w:tblPr>
      <w:tblGrid>
        <w:gridCol w:w="2080"/>
        <w:gridCol w:w="2730"/>
        <w:gridCol w:w="2530"/>
      </w:tblGrid>
      <w:tr w:rsidR="00D022F3" w:rsidRPr="007E53CE" w:rsidTr="00D022F3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5B9BD5"/>
            <w:noWrap/>
            <w:vAlign w:val="bottom"/>
            <w:hideMark/>
          </w:tcPr>
          <w:p w:rsidR="00D022F3" w:rsidRPr="007E53CE" w:rsidRDefault="00D022F3" w:rsidP="00D022F3">
            <w:pPr>
              <w:jc w:val="left"/>
              <w:rPr>
                <w:rFonts w:cs="Arial"/>
                <w:b/>
                <w:bCs/>
                <w:color w:val="FFFFFF"/>
                <w:szCs w:val="22"/>
                <w:lang w:eastAsia="en-ZA"/>
              </w:rPr>
            </w:pPr>
            <w:r w:rsidRPr="007E53CE">
              <w:rPr>
                <w:rFonts w:cs="Arial"/>
                <w:b/>
                <w:bCs/>
                <w:color w:val="FFFFFF"/>
                <w:szCs w:val="22"/>
                <w:lang w:eastAsia="en-ZA"/>
              </w:rPr>
              <w:t xml:space="preserve">Year 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5B9BD5"/>
            <w:noWrap/>
            <w:vAlign w:val="bottom"/>
            <w:hideMark/>
          </w:tcPr>
          <w:p w:rsidR="00D022F3" w:rsidRPr="007E53CE" w:rsidRDefault="00D022F3" w:rsidP="00D022F3">
            <w:pPr>
              <w:jc w:val="left"/>
              <w:rPr>
                <w:rFonts w:cs="Arial"/>
                <w:b/>
                <w:bCs/>
                <w:color w:val="FFFFFF"/>
                <w:szCs w:val="22"/>
                <w:lang w:eastAsia="en-ZA"/>
              </w:rPr>
            </w:pPr>
            <w:r w:rsidRPr="007E53CE">
              <w:rPr>
                <w:rFonts w:cs="Arial"/>
                <w:b/>
                <w:bCs/>
                <w:color w:val="FFFFFF"/>
                <w:szCs w:val="22"/>
                <w:lang w:eastAsia="en-ZA"/>
              </w:rPr>
              <w:t xml:space="preserve">Occupied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5B9BD5"/>
            <w:noWrap/>
            <w:vAlign w:val="bottom"/>
            <w:hideMark/>
          </w:tcPr>
          <w:p w:rsidR="00D022F3" w:rsidRPr="007E53CE" w:rsidRDefault="00D022F3" w:rsidP="00D022F3">
            <w:pPr>
              <w:jc w:val="left"/>
              <w:rPr>
                <w:rFonts w:cs="Arial"/>
                <w:b/>
                <w:bCs/>
                <w:color w:val="FFFFFF"/>
                <w:szCs w:val="22"/>
                <w:lang w:eastAsia="en-ZA"/>
              </w:rPr>
            </w:pPr>
            <w:r w:rsidRPr="007E53CE">
              <w:rPr>
                <w:rFonts w:cs="Arial"/>
                <w:b/>
                <w:bCs/>
                <w:color w:val="FFFFFF"/>
                <w:szCs w:val="22"/>
                <w:lang w:eastAsia="en-ZA"/>
              </w:rPr>
              <w:t>Unoccupied</w:t>
            </w:r>
          </w:p>
        </w:tc>
      </w:tr>
      <w:tr w:rsidR="00D022F3" w:rsidRPr="007E53CE" w:rsidTr="00D022F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022F3" w:rsidRPr="007E53CE" w:rsidRDefault="00D022F3" w:rsidP="00D022F3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r w:rsidRPr="007E53CE">
              <w:rPr>
                <w:rFonts w:cs="Arial"/>
                <w:color w:val="000000"/>
                <w:szCs w:val="22"/>
                <w:lang w:eastAsia="en-ZA"/>
              </w:rPr>
              <w:t>2018 - 19</w:t>
            </w:r>
          </w:p>
        </w:tc>
        <w:tc>
          <w:tcPr>
            <w:tcW w:w="273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022F3" w:rsidRPr="007E53CE" w:rsidRDefault="00D022F3" w:rsidP="00D022F3">
            <w:pPr>
              <w:jc w:val="center"/>
              <w:rPr>
                <w:rFonts w:cs="Arial"/>
                <w:color w:val="000000"/>
                <w:szCs w:val="22"/>
                <w:lang w:eastAsia="en-ZA"/>
              </w:rPr>
            </w:pPr>
            <w:r w:rsidRPr="007E53CE">
              <w:rPr>
                <w:rFonts w:cs="Arial"/>
                <w:color w:val="000000"/>
                <w:szCs w:val="22"/>
                <w:lang w:eastAsia="en-ZA"/>
              </w:rPr>
              <w:t>R1 089 178 346</w:t>
            </w:r>
          </w:p>
        </w:tc>
        <w:tc>
          <w:tcPr>
            <w:tcW w:w="253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:rsidR="00D022F3" w:rsidRPr="007E53CE" w:rsidRDefault="00D022F3" w:rsidP="00D022F3">
            <w:pPr>
              <w:jc w:val="center"/>
              <w:rPr>
                <w:rFonts w:cs="Arial"/>
                <w:color w:val="000000"/>
                <w:szCs w:val="22"/>
                <w:lang w:eastAsia="en-ZA"/>
              </w:rPr>
            </w:pPr>
            <w:r w:rsidRPr="00ED23A8">
              <w:rPr>
                <w:rFonts w:cs="Arial"/>
                <w:color w:val="000000"/>
                <w:szCs w:val="22"/>
                <w:lang w:eastAsia="en-ZA"/>
              </w:rPr>
              <w:t>R36 597 824</w:t>
            </w:r>
          </w:p>
        </w:tc>
      </w:tr>
    </w:tbl>
    <w:p w:rsidR="007E53CE" w:rsidRPr="00ED23A8" w:rsidRDefault="007E53CE" w:rsidP="00ED23A8">
      <w:pPr>
        <w:spacing w:before="100" w:beforeAutospacing="1" w:after="100" w:afterAutospacing="1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</w:p>
    <w:p w:rsidR="00ED23A8" w:rsidRPr="00ED23A8" w:rsidRDefault="00ED23A8" w:rsidP="00ED23A8">
      <w:pPr>
        <w:spacing w:before="100" w:beforeAutospacing="1" w:after="100" w:afterAutospacing="1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</w:p>
    <w:p w:rsidR="007E53CE" w:rsidRDefault="007E53CE" w:rsidP="007E53CE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  <w:r>
        <w:rPr>
          <w:rFonts w:eastAsia="Calibri" w:cs="Arial"/>
          <w:color w:val="000000" w:themeColor="text1"/>
          <w:sz w:val="24"/>
          <w:szCs w:val="24"/>
          <w:lang w:eastAsia="en-US"/>
        </w:rPr>
        <w:t>T</w:t>
      </w:r>
      <w:r w:rsidR="00CC5791">
        <w:rPr>
          <w:rFonts w:eastAsia="Calibri" w:cs="Arial"/>
          <w:color w:val="000000" w:themeColor="text1"/>
          <w:sz w:val="24"/>
          <w:szCs w:val="24"/>
          <w:lang w:eastAsia="en-US"/>
        </w:rPr>
        <w:t>he t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>otal amount paid for property rates on</w:t>
      </w:r>
      <w:r w:rsidRPr="00BA53F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occupied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</w:t>
      </w:r>
      <w:r w:rsidR="00D022F3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and unoccupied 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>buildings</w:t>
      </w:r>
      <w:r w:rsidR="00D022F3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from </w:t>
      </w:r>
      <w:r w:rsidR="001E41C4">
        <w:rPr>
          <w:rFonts w:eastAsia="Calibri" w:cs="Arial"/>
          <w:color w:val="000000" w:themeColor="text1"/>
          <w:sz w:val="24"/>
          <w:szCs w:val="24"/>
          <w:lang w:eastAsia="en-US"/>
        </w:rPr>
        <w:t>1 April 2019 – 30 September 2019</w:t>
      </w:r>
    </w:p>
    <w:tbl>
      <w:tblPr>
        <w:tblpPr w:leftFromText="180" w:rightFromText="180" w:vertAnchor="text" w:horzAnchor="margin" w:tblpXSpec="center" w:tblpY="-41"/>
        <w:tblW w:w="7327" w:type="dxa"/>
        <w:tblLook w:val="04A0"/>
      </w:tblPr>
      <w:tblGrid>
        <w:gridCol w:w="2127"/>
        <w:gridCol w:w="2692"/>
        <w:gridCol w:w="2508"/>
      </w:tblGrid>
      <w:tr w:rsidR="00D022F3" w:rsidRPr="00ED23A8" w:rsidTr="00D022F3">
        <w:trPr>
          <w:trHeight w:val="27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022F3" w:rsidRPr="0030708C" w:rsidRDefault="00D022F3" w:rsidP="00D022F3">
            <w:pPr>
              <w:jc w:val="left"/>
              <w:rPr>
                <w:rFonts w:cs="Arial"/>
                <w:b/>
                <w:bCs/>
                <w:color w:val="FFFFFF"/>
                <w:szCs w:val="22"/>
                <w:lang w:eastAsia="en-ZA"/>
              </w:rPr>
            </w:pPr>
            <w:r w:rsidRPr="0030708C">
              <w:rPr>
                <w:rFonts w:cs="Arial"/>
                <w:b/>
                <w:bCs/>
                <w:color w:val="FFFFFF"/>
                <w:szCs w:val="22"/>
                <w:lang w:eastAsia="en-ZA"/>
              </w:rPr>
              <w:t xml:space="preserve">Year 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022F3" w:rsidRPr="0030708C" w:rsidRDefault="00D022F3" w:rsidP="00D022F3">
            <w:pPr>
              <w:jc w:val="left"/>
              <w:rPr>
                <w:rFonts w:cs="Arial"/>
                <w:b/>
                <w:bCs/>
                <w:color w:val="FFFFFF"/>
                <w:szCs w:val="22"/>
                <w:lang w:eastAsia="en-ZA"/>
              </w:rPr>
            </w:pPr>
            <w:r w:rsidRPr="0030708C">
              <w:rPr>
                <w:rFonts w:cs="Arial"/>
                <w:b/>
                <w:bCs/>
                <w:color w:val="FFFFFF"/>
                <w:szCs w:val="22"/>
                <w:lang w:eastAsia="en-ZA"/>
              </w:rPr>
              <w:t xml:space="preserve">Occupied 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5B9BD5" w:fill="5B9BD5"/>
            <w:noWrap/>
            <w:vAlign w:val="bottom"/>
            <w:hideMark/>
          </w:tcPr>
          <w:p w:rsidR="00D022F3" w:rsidRPr="0030708C" w:rsidRDefault="00D022F3" w:rsidP="00D022F3">
            <w:pPr>
              <w:jc w:val="left"/>
              <w:rPr>
                <w:rFonts w:cs="Arial"/>
                <w:b/>
                <w:bCs/>
                <w:color w:val="FFFFFF"/>
                <w:szCs w:val="22"/>
                <w:lang w:eastAsia="en-ZA"/>
              </w:rPr>
            </w:pPr>
            <w:r w:rsidRPr="0030708C">
              <w:rPr>
                <w:rFonts w:cs="Arial"/>
                <w:b/>
                <w:bCs/>
                <w:color w:val="FFFFFF"/>
                <w:szCs w:val="22"/>
                <w:lang w:eastAsia="en-ZA"/>
              </w:rPr>
              <w:t>Unoccupied</w:t>
            </w:r>
          </w:p>
        </w:tc>
      </w:tr>
      <w:tr w:rsidR="00D022F3" w:rsidRPr="00ED23A8" w:rsidTr="00D022F3">
        <w:trPr>
          <w:trHeight w:val="2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022F3" w:rsidRPr="0030708C" w:rsidRDefault="00D022F3" w:rsidP="00D022F3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r w:rsidRPr="0030708C">
              <w:rPr>
                <w:rFonts w:cs="Arial"/>
                <w:color w:val="000000"/>
                <w:szCs w:val="22"/>
                <w:lang w:eastAsia="en-ZA"/>
              </w:rPr>
              <w:t>2019 - 20</w:t>
            </w:r>
          </w:p>
        </w:tc>
        <w:tc>
          <w:tcPr>
            <w:tcW w:w="2692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022F3" w:rsidRPr="0030708C" w:rsidRDefault="00D022F3" w:rsidP="00D022F3">
            <w:pPr>
              <w:jc w:val="center"/>
              <w:rPr>
                <w:rFonts w:cs="Arial"/>
                <w:color w:val="000000"/>
                <w:szCs w:val="22"/>
                <w:lang w:eastAsia="en-ZA"/>
              </w:rPr>
            </w:pPr>
            <w:r w:rsidRPr="0030708C">
              <w:rPr>
                <w:rFonts w:cs="Arial"/>
                <w:color w:val="000000"/>
                <w:szCs w:val="22"/>
                <w:lang w:eastAsia="en-ZA"/>
              </w:rPr>
              <w:t>R157 171 773</w:t>
            </w:r>
          </w:p>
        </w:tc>
        <w:tc>
          <w:tcPr>
            <w:tcW w:w="2508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:rsidR="00D022F3" w:rsidRPr="0030708C" w:rsidRDefault="00D022F3" w:rsidP="00D022F3">
            <w:pPr>
              <w:jc w:val="center"/>
              <w:rPr>
                <w:rFonts w:cs="Arial"/>
                <w:color w:val="000000"/>
                <w:szCs w:val="22"/>
                <w:lang w:eastAsia="en-ZA"/>
              </w:rPr>
            </w:pPr>
            <w:r w:rsidRPr="00ED23A8">
              <w:rPr>
                <w:rFonts w:cs="Arial"/>
                <w:color w:val="000000"/>
                <w:szCs w:val="22"/>
                <w:lang w:eastAsia="en-ZA"/>
              </w:rPr>
              <w:t>R139 783</w:t>
            </w:r>
          </w:p>
        </w:tc>
      </w:tr>
    </w:tbl>
    <w:p w:rsidR="0030708C" w:rsidRDefault="0030708C" w:rsidP="007E53CE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</w:p>
    <w:p w:rsidR="0030708C" w:rsidRPr="00F042ED" w:rsidRDefault="0030708C" w:rsidP="00F042ED">
      <w:pPr>
        <w:spacing w:before="100" w:beforeAutospacing="1" w:after="100" w:afterAutospacing="1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</w:p>
    <w:p w:rsidR="00F31F20" w:rsidRPr="00F31F20" w:rsidRDefault="00F31F20" w:rsidP="00F31F20">
      <w:pPr>
        <w:ind w:left="567"/>
        <w:rPr>
          <w:rFonts w:cs="Arial"/>
          <w:sz w:val="24"/>
          <w:szCs w:val="24"/>
          <w:lang w:eastAsia="en-US"/>
        </w:rPr>
      </w:pPr>
      <w:r w:rsidRPr="00F31F20">
        <w:rPr>
          <w:rFonts w:cs="Arial"/>
          <w:sz w:val="24"/>
          <w:szCs w:val="24"/>
          <w:lang w:eastAsia="en-US"/>
        </w:rPr>
        <w:t>3)</w:t>
      </w:r>
    </w:p>
    <w:p w:rsidR="00F31F20" w:rsidRPr="00F31F20" w:rsidRDefault="00F31F20" w:rsidP="00F31F20">
      <w:pPr>
        <w:pStyle w:val="ListParagraph"/>
        <w:numPr>
          <w:ilvl w:val="0"/>
          <w:numId w:val="11"/>
        </w:numPr>
        <w:ind w:left="1134"/>
        <w:rPr>
          <w:rFonts w:cs="Arial"/>
          <w:sz w:val="24"/>
          <w:szCs w:val="24"/>
          <w:lang w:eastAsia="en-US"/>
        </w:rPr>
      </w:pPr>
      <w:r w:rsidRPr="00F31F20">
        <w:rPr>
          <w:rFonts w:cs="Arial"/>
          <w:sz w:val="24"/>
          <w:szCs w:val="24"/>
          <w:lang w:eastAsia="en-US"/>
        </w:rPr>
        <w:t xml:space="preserve">The entire population of 81 575 buildings under the custodianship of </w:t>
      </w:r>
      <w:r w:rsidR="00F042ED">
        <w:rPr>
          <w:rFonts w:cs="Arial"/>
          <w:sz w:val="24"/>
          <w:szCs w:val="24"/>
          <w:lang w:eastAsia="en-US"/>
        </w:rPr>
        <w:t>DPWI have maintenance backlog to</w:t>
      </w:r>
      <w:r w:rsidRPr="00F31F20">
        <w:rPr>
          <w:rFonts w:cs="Arial"/>
          <w:sz w:val="24"/>
          <w:szCs w:val="24"/>
          <w:lang w:eastAsia="en-US"/>
        </w:rPr>
        <w:t xml:space="preserve"> varying degrees</w:t>
      </w:r>
      <w:r w:rsidR="00F042ED">
        <w:rPr>
          <w:rFonts w:cs="Arial"/>
          <w:sz w:val="24"/>
          <w:szCs w:val="24"/>
          <w:lang w:eastAsia="en-US"/>
        </w:rPr>
        <w:t>.</w:t>
      </w:r>
    </w:p>
    <w:p w:rsidR="00F31F20" w:rsidRPr="00F31F20" w:rsidRDefault="00F31F20" w:rsidP="00F31F20">
      <w:pPr>
        <w:pStyle w:val="ListParagraph"/>
        <w:rPr>
          <w:rFonts w:cs="Arial"/>
          <w:sz w:val="24"/>
          <w:szCs w:val="24"/>
          <w:lang w:eastAsia="en-US"/>
        </w:rPr>
      </w:pPr>
    </w:p>
    <w:p w:rsidR="00F31F20" w:rsidRPr="00F31F20" w:rsidRDefault="00F31F20" w:rsidP="00F31F20">
      <w:pPr>
        <w:pStyle w:val="ListParagraph"/>
        <w:numPr>
          <w:ilvl w:val="0"/>
          <w:numId w:val="11"/>
        </w:numPr>
        <w:ind w:left="1276" w:hanging="490"/>
        <w:rPr>
          <w:rFonts w:cs="Arial"/>
          <w:sz w:val="24"/>
          <w:szCs w:val="24"/>
          <w:lang w:eastAsia="en-US"/>
        </w:rPr>
      </w:pPr>
      <w:r w:rsidRPr="00F31F20">
        <w:rPr>
          <w:rFonts w:cs="Arial"/>
          <w:sz w:val="24"/>
          <w:szCs w:val="24"/>
          <w:lang w:eastAsia="en-US"/>
        </w:rPr>
        <w:t>The maintenance backlog is estimated at R74 b</w:t>
      </w:r>
      <w:r>
        <w:rPr>
          <w:rFonts w:cs="Arial"/>
          <w:sz w:val="24"/>
          <w:szCs w:val="24"/>
          <w:lang w:eastAsia="en-US"/>
        </w:rPr>
        <w:t>illio</w:t>
      </w:r>
      <w:r w:rsidRPr="00F31F20">
        <w:rPr>
          <w:rFonts w:cs="Arial"/>
          <w:sz w:val="24"/>
          <w:szCs w:val="24"/>
          <w:lang w:eastAsia="en-US"/>
        </w:rPr>
        <w:t>n and the actual cost could be confirmed once a full conditions assessmen</w:t>
      </w:r>
      <w:r w:rsidR="00F042ED">
        <w:rPr>
          <w:rFonts w:cs="Arial"/>
          <w:sz w:val="24"/>
          <w:szCs w:val="24"/>
          <w:lang w:eastAsia="en-US"/>
        </w:rPr>
        <w:t>t of each building is conducted.</w:t>
      </w:r>
    </w:p>
    <w:p w:rsidR="00F31F20" w:rsidRPr="00F31F20" w:rsidRDefault="00F31F20" w:rsidP="00F31F20">
      <w:pPr>
        <w:pStyle w:val="ListParagraph"/>
        <w:rPr>
          <w:rFonts w:cs="Arial"/>
          <w:sz w:val="24"/>
          <w:szCs w:val="24"/>
          <w:lang w:eastAsia="en-US"/>
        </w:rPr>
      </w:pPr>
    </w:p>
    <w:p w:rsidR="00F31F20" w:rsidRDefault="00F31F20" w:rsidP="00F042ED">
      <w:pPr>
        <w:ind w:left="851" w:hanging="284"/>
        <w:rPr>
          <w:rFonts w:cs="Arial"/>
          <w:sz w:val="24"/>
          <w:szCs w:val="24"/>
          <w:lang w:eastAsia="en-US"/>
        </w:rPr>
      </w:pPr>
      <w:r w:rsidRPr="00F31F20">
        <w:rPr>
          <w:rFonts w:cs="Arial"/>
          <w:sz w:val="24"/>
          <w:szCs w:val="24"/>
          <w:lang w:eastAsia="en-US"/>
        </w:rPr>
        <w:t xml:space="preserve">4) Due to budget constraints </w:t>
      </w:r>
      <w:r>
        <w:rPr>
          <w:rFonts w:cs="Arial"/>
          <w:sz w:val="24"/>
          <w:szCs w:val="24"/>
          <w:lang w:eastAsia="en-US"/>
        </w:rPr>
        <w:t xml:space="preserve">and limited budget allocated for maintenance </w:t>
      </w:r>
      <w:r w:rsidRPr="00F31F20">
        <w:rPr>
          <w:rFonts w:cs="Arial"/>
          <w:sz w:val="24"/>
          <w:szCs w:val="24"/>
          <w:lang w:eastAsia="en-US"/>
        </w:rPr>
        <w:t xml:space="preserve">of </w:t>
      </w:r>
      <w:r>
        <w:rPr>
          <w:rFonts w:cs="Arial"/>
          <w:sz w:val="24"/>
          <w:szCs w:val="24"/>
          <w:lang w:eastAsia="en-US"/>
        </w:rPr>
        <w:t xml:space="preserve">national </w:t>
      </w:r>
      <w:r w:rsidRPr="00F31F20">
        <w:rPr>
          <w:rFonts w:cs="Arial"/>
          <w:sz w:val="24"/>
          <w:szCs w:val="24"/>
          <w:lang w:eastAsia="en-US"/>
        </w:rPr>
        <w:t xml:space="preserve">government </w:t>
      </w:r>
      <w:r w:rsidR="00F042ED">
        <w:rPr>
          <w:rFonts w:cs="Arial"/>
          <w:sz w:val="24"/>
          <w:szCs w:val="24"/>
          <w:lang w:eastAsia="en-US"/>
        </w:rPr>
        <w:t xml:space="preserve">buildings, </w:t>
      </w:r>
      <w:r>
        <w:rPr>
          <w:rFonts w:cs="Arial"/>
          <w:sz w:val="24"/>
          <w:szCs w:val="24"/>
          <w:lang w:eastAsia="en-US"/>
        </w:rPr>
        <w:t xml:space="preserve">various funding partnerships and focused plans </w:t>
      </w:r>
      <w:r w:rsidR="00F042ED">
        <w:rPr>
          <w:rFonts w:cs="Arial"/>
          <w:sz w:val="24"/>
          <w:szCs w:val="24"/>
          <w:lang w:eastAsia="en-US"/>
        </w:rPr>
        <w:t xml:space="preserve">would be required </w:t>
      </w:r>
      <w:r>
        <w:rPr>
          <w:rFonts w:cs="Arial"/>
          <w:sz w:val="24"/>
          <w:szCs w:val="24"/>
          <w:lang w:eastAsia="en-US"/>
        </w:rPr>
        <w:t>to</w:t>
      </w:r>
      <w:r w:rsidRPr="00F31F20">
        <w:rPr>
          <w:rFonts w:cs="Arial"/>
          <w:sz w:val="24"/>
          <w:szCs w:val="24"/>
          <w:lang w:eastAsia="en-US"/>
        </w:rPr>
        <w:t xml:space="preserve"> eradicate the backlog on maintenance.</w:t>
      </w:r>
    </w:p>
    <w:p w:rsidR="00F31F20" w:rsidRPr="00CC5791" w:rsidRDefault="00F31F20" w:rsidP="00F042ED">
      <w:pPr>
        <w:rPr>
          <w:rFonts w:cs="Arial"/>
          <w:sz w:val="24"/>
          <w:szCs w:val="24"/>
          <w:lang w:eastAsia="en-US"/>
        </w:rPr>
      </w:pPr>
    </w:p>
    <w:p w:rsidR="00F31F20" w:rsidRPr="00F042ED" w:rsidRDefault="00F31F20" w:rsidP="00F31F20">
      <w:pPr>
        <w:ind w:left="567"/>
        <w:rPr>
          <w:rFonts w:cs="Arial"/>
          <w:b/>
          <w:sz w:val="24"/>
          <w:szCs w:val="24"/>
          <w:lang w:eastAsia="en-US"/>
        </w:rPr>
      </w:pPr>
      <w:r w:rsidRPr="00CC5791">
        <w:rPr>
          <w:rFonts w:cs="Arial"/>
          <w:sz w:val="24"/>
          <w:szCs w:val="24"/>
          <w:lang w:eastAsia="en-US"/>
        </w:rPr>
        <w:t>5)</w:t>
      </w:r>
      <w:r w:rsidRPr="00F042ED">
        <w:rPr>
          <w:rFonts w:cs="Arial"/>
          <w:b/>
          <w:sz w:val="24"/>
          <w:szCs w:val="24"/>
          <w:lang w:eastAsia="en-US"/>
        </w:rPr>
        <w:t xml:space="preserve"> </w:t>
      </w:r>
      <w:r w:rsidR="00CC5791">
        <w:rPr>
          <w:rFonts w:cs="Arial"/>
          <w:sz w:val="24"/>
          <w:szCs w:val="24"/>
          <w:lang w:eastAsia="en-US"/>
        </w:rPr>
        <w:t>DPWI is considering public-private partnerships to assist the departm</w:t>
      </w:r>
      <w:r w:rsidR="0034517C">
        <w:rPr>
          <w:rFonts w:cs="Arial"/>
          <w:sz w:val="24"/>
          <w:szCs w:val="24"/>
          <w:lang w:eastAsia="en-US"/>
        </w:rPr>
        <w:t xml:space="preserve">ent with repair and maintenance. </w:t>
      </w:r>
      <w:bookmarkStart w:id="0" w:name="_GoBack"/>
      <w:bookmarkEnd w:id="0"/>
    </w:p>
    <w:p w:rsidR="0030708C" w:rsidRPr="00950FBA" w:rsidRDefault="0030708C" w:rsidP="00950FBA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US"/>
        </w:rPr>
      </w:pPr>
    </w:p>
    <w:sectPr w:rsidR="0030708C" w:rsidRPr="00950FBA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B5" w:rsidRDefault="00BD1EB5" w:rsidP="00B01072">
      <w:r>
        <w:separator/>
      </w:r>
    </w:p>
  </w:endnote>
  <w:endnote w:type="continuationSeparator" w:id="0">
    <w:p w:rsidR="00BD1EB5" w:rsidRDefault="00BD1EB5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E" w:rsidRPr="000B4F40" w:rsidRDefault="003C41F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1063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7713CC">
      <w:rPr>
        <w:rFonts w:eastAsia="Calibri" w:cs="Arial"/>
        <w:b/>
        <w:bCs/>
        <w:sz w:val="18"/>
        <w:szCs w:val="18"/>
        <w:lang w:val="af-ZA" w:eastAsia="en-US"/>
      </w:rPr>
      <w:t xml:space="preserve">Mr P Van Staden (FF Plus)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4160CF" w:rsidRPr="004160CF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4160CF" w:rsidRPr="004160CF">
      <w:rPr>
        <w:rFonts w:eastAsiaTheme="minorEastAsia" w:cs="Arial"/>
        <w:b/>
        <w:sz w:val="18"/>
        <w:szCs w:val="18"/>
      </w:rPr>
      <w:fldChar w:fldCharType="separate"/>
    </w:r>
    <w:r w:rsidR="004C6BFF" w:rsidRPr="004C6BFF">
      <w:rPr>
        <w:rFonts w:eastAsiaTheme="majorEastAsia" w:cs="Arial"/>
        <w:b/>
        <w:noProof/>
        <w:sz w:val="18"/>
        <w:szCs w:val="18"/>
      </w:rPr>
      <w:t>1</w:t>
    </w:r>
    <w:r w:rsidR="004160CF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3C41FE" w:rsidRPr="000B4F40" w:rsidRDefault="003C41F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B5" w:rsidRDefault="00BD1EB5" w:rsidP="00B01072">
      <w:r>
        <w:separator/>
      </w:r>
    </w:p>
  </w:footnote>
  <w:footnote w:type="continuationSeparator" w:id="0">
    <w:p w:rsidR="00BD1EB5" w:rsidRDefault="00BD1EB5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E" w:rsidRDefault="003C41FE">
    <w:pPr>
      <w:pStyle w:val="Header"/>
      <w:jc w:val="right"/>
    </w:pPr>
  </w:p>
  <w:p w:rsidR="003C41FE" w:rsidRDefault="003C4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342120"/>
    <w:multiLevelType w:val="hybridMultilevel"/>
    <w:tmpl w:val="C5782214"/>
    <w:lvl w:ilvl="0" w:tplc="55200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E380D"/>
    <w:multiLevelType w:val="hybridMultilevel"/>
    <w:tmpl w:val="38962E32"/>
    <w:lvl w:ilvl="0" w:tplc="E80CCA4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5AFE"/>
    <w:multiLevelType w:val="multilevel"/>
    <w:tmpl w:val="1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>
    <w:nsid w:val="689E342D"/>
    <w:multiLevelType w:val="multilevel"/>
    <w:tmpl w:val="FC8C3A7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MxMDK2MDcztjQ2NzJQ0lEKTi0uzszPAykwqQUAYYp62iwAAAA="/>
  </w:docVars>
  <w:rsids>
    <w:rsidRoot w:val="004D2F24"/>
    <w:rsid w:val="000014A1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63A7"/>
    <w:rsid w:val="00106D04"/>
    <w:rsid w:val="00107822"/>
    <w:rsid w:val="00110781"/>
    <w:rsid w:val="00111AB1"/>
    <w:rsid w:val="00116CCB"/>
    <w:rsid w:val="00122317"/>
    <w:rsid w:val="00123E02"/>
    <w:rsid w:val="0012628A"/>
    <w:rsid w:val="00126A48"/>
    <w:rsid w:val="00131017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3ADD"/>
    <w:rsid w:val="00155F06"/>
    <w:rsid w:val="001602D9"/>
    <w:rsid w:val="00162A0F"/>
    <w:rsid w:val="00166FD7"/>
    <w:rsid w:val="00167634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A5213"/>
    <w:rsid w:val="001B177D"/>
    <w:rsid w:val="001C2A53"/>
    <w:rsid w:val="001C2B34"/>
    <w:rsid w:val="001C3FDF"/>
    <w:rsid w:val="001C4269"/>
    <w:rsid w:val="001C602F"/>
    <w:rsid w:val="001C6CA1"/>
    <w:rsid w:val="001E41C4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0575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08C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4517C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B1FAF"/>
    <w:rsid w:val="003B3F50"/>
    <w:rsid w:val="003C41FE"/>
    <w:rsid w:val="003D262F"/>
    <w:rsid w:val="003D3567"/>
    <w:rsid w:val="003D3867"/>
    <w:rsid w:val="003E21E3"/>
    <w:rsid w:val="003E2910"/>
    <w:rsid w:val="003E5694"/>
    <w:rsid w:val="003F3ABB"/>
    <w:rsid w:val="003F628A"/>
    <w:rsid w:val="003F6C7B"/>
    <w:rsid w:val="004079CA"/>
    <w:rsid w:val="00413C62"/>
    <w:rsid w:val="004160CF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1EA1"/>
    <w:rsid w:val="004B1769"/>
    <w:rsid w:val="004B327A"/>
    <w:rsid w:val="004B4593"/>
    <w:rsid w:val="004B70B1"/>
    <w:rsid w:val="004B74FC"/>
    <w:rsid w:val="004B7D65"/>
    <w:rsid w:val="004B7D74"/>
    <w:rsid w:val="004C1BE3"/>
    <w:rsid w:val="004C2610"/>
    <w:rsid w:val="004C3C1E"/>
    <w:rsid w:val="004C5597"/>
    <w:rsid w:val="004C6BFF"/>
    <w:rsid w:val="004C6EB7"/>
    <w:rsid w:val="004D2249"/>
    <w:rsid w:val="004D2F24"/>
    <w:rsid w:val="004D48E8"/>
    <w:rsid w:val="004E27A5"/>
    <w:rsid w:val="004E32E3"/>
    <w:rsid w:val="004E5E0B"/>
    <w:rsid w:val="004F329B"/>
    <w:rsid w:val="004F4F0B"/>
    <w:rsid w:val="004F5925"/>
    <w:rsid w:val="004F61F7"/>
    <w:rsid w:val="00513712"/>
    <w:rsid w:val="00514455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7577"/>
    <w:rsid w:val="00560E8F"/>
    <w:rsid w:val="00563D73"/>
    <w:rsid w:val="00570B4C"/>
    <w:rsid w:val="005716E6"/>
    <w:rsid w:val="00574AE0"/>
    <w:rsid w:val="0057746F"/>
    <w:rsid w:val="005776E5"/>
    <w:rsid w:val="00584647"/>
    <w:rsid w:val="00591850"/>
    <w:rsid w:val="005940D1"/>
    <w:rsid w:val="00594D86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D7C71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E21"/>
    <w:rsid w:val="0061156B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63533"/>
    <w:rsid w:val="00670BA5"/>
    <w:rsid w:val="00675570"/>
    <w:rsid w:val="00675938"/>
    <w:rsid w:val="00675C68"/>
    <w:rsid w:val="006805FF"/>
    <w:rsid w:val="00683024"/>
    <w:rsid w:val="00684BB6"/>
    <w:rsid w:val="00685646"/>
    <w:rsid w:val="006914FB"/>
    <w:rsid w:val="00694DF7"/>
    <w:rsid w:val="00696C93"/>
    <w:rsid w:val="006A027A"/>
    <w:rsid w:val="006A05C9"/>
    <w:rsid w:val="006B1166"/>
    <w:rsid w:val="006B79CB"/>
    <w:rsid w:val="006C1F95"/>
    <w:rsid w:val="006C3E5B"/>
    <w:rsid w:val="006D0841"/>
    <w:rsid w:val="006D1A51"/>
    <w:rsid w:val="006D2963"/>
    <w:rsid w:val="006D4597"/>
    <w:rsid w:val="006D4C8A"/>
    <w:rsid w:val="006E1C1F"/>
    <w:rsid w:val="006E54EA"/>
    <w:rsid w:val="006E6EDC"/>
    <w:rsid w:val="006F2930"/>
    <w:rsid w:val="006F36F8"/>
    <w:rsid w:val="006F6CCD"/>
    <w:rsid w:val="0070166E"/>
    <w:rsid w:val="00705DD0"/>
    <w:rsid w:val="00713D62"/>
    <w:rsid w:val="007144AF"/>
    <w:rsid w:val="00725A4A"/>
    <w:rsid w:val="0073270F"/>
    <w:rsid w:val="00737327"/>
    <w:rsid w:val="00741804"/>
    <w:rsid w:val="007422B3"/>
    <w:rsid w:val="00743527"/>
    <w:rsid w:val="00751EBF"/>
    <w:rsid w:val="00755DEC"/>
    <w:rsid w:val="0075656E"/>
    <w:rsid w:val="00760875"/>
    <w:rsid w:val="007625B5"/>
    <w:rsid w:val="007713CC"/>
    <w:rsid w:val="0077480B"/>
    <w:rsid w:val="00781562"/>
    <w:rsid w:val="00794233"/>
    <w:rsid w:val="007950DA"/>
    <w:rsid w:val="00795939"/>
    <w:rsid w:val="007A03D5"/>
    <w:rsid w:val="007A7318"/>
    <w:rsid w:val="007C4AFA"/>
    <w:rsid w:val="007C7A46"/>
    <w:rsid w:val="007E0072"/>
    <w:rsid w:val="007E3B7C"/>
    <w:rsid w:val="007E4E3E"/>
    <w:rsid w:val="007E53CE"/>
    <w:rsid w:val="007E63B3"/>
    <w:rsid w:val="007F2807"/>
    <w:rsid w:val="007F44E3"/>
    <w:rsid w:val="007F5165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6679B"/>
    <w:rsid w:val="00870CEE"/>
    <w:rsid w:val="008717E7"/>
    <w:rsid w:val="00873D00"/>
    <w:rsid w:val="00873D6D"/>
    <w:rsid w:val="0088064A"/>
    <w:rsid w:val="00881332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1370"/>
    <w:rsid w:val="009335B8"/>
    <w:rsid w:val="00940E46"/>
    <w:rsid w:val="00950999"/>
    <w:rsid w:val="00950FBA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0FFC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3B3"/>
    <w:rsid w:val="00A9155C"/>
    <w:rsid w:val="00A91F96"/>
    <w:rsid w:val="00A9401F"/>
    <w:rsid w:val="00A95EB6"/>
    <w:rsid w:val="00A966FC"/>
    <w:rsid w:val="00A97FD7"/>
    <w:rsid w:val="00AA0441"/>
    <w:rsid w:val="00AA0455"/>
    <w:rsid w:val="00AB4213"/>
    <w:rsid w:val="00AB5C12"/>
    <w:rsid w:val="00AB67C6"/>
    <w:rsid w:val="00AB6C4C"/>
    <w:rsid w:val="00AC1539"/>
    <w:rsid w:val="00AC379B"/>
    <w:rsid w:val="00AC42D9"/>
    <w:rsid w:val="00AC58FE"/>
    <w:rsid w:val="00AD0F40"/>
    <w:rsid w:val="00AD22F6"/>
    <w:rsid w:val="00AD36D1"/>
    <w:rsid w:val="00AE3D8F"/>
    <w:rsid w:val="00AE7C16"/>
    <w:rsid w:val="00AF0D67"/>
    <w:rsid w:val="00AF1A17"/>
    <w:rsid w:val="00AF47A6"/>
    <w:rsid w:val="00AF4FA3"/>
    <w:rsid w:val="00AF7F16"/>
    <w:rsid w:val="00B0000D"/>
    <w:rsid w:val="00B01072"/>
    <w:rsid w:val="00B016B6"/>
    <w:rsid w:val="00B05253"/>
    <w:rsid w:val="00B10C2F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2EF8"/>
    <w:rsid w:val="00B5512C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53FA"/>
    <w:rsid w:val="00BA5896"/>
    <w:rsid w:val="00BB5559"/>
    <w:rsid w:val="00BC3F53"/>
    <w:rsid w:val="00BC5C94"/>
    <w:rsid w:val="00BC6AE1"/>
    <w:rsid w:val="00BD1E79"/>
    <w:rsid w:val="00BD1EB5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1778"/>
    <w:rsid w:val="00C33545"/>
    <w:rsid w:val="00C438C9"/>
    <w:rsid w:val="00C45CDF"/>
    <w:rsid w:val="00C55CF0"/>
    <w:rsid w:val="00C61078"/>
    <w:rsid w:val="00C72A34"/>
    <w:rsid w:val="00C72E84"/>
    <w:rsid w:val="00C734C8"/>
    <w:rsid w:val="00C94B70"/>
    <w:rsid w:val="00CA025E"/>
    <w:rsid w:val="00CA550E"/>
    <w:rsid w:val="00CB3BBC"/>
    <w:rsid w:val="00CC07E1"/>
    <w:rsid w:val="00CC255F"/>
    <w:rsid w:val="00CC2ECC"/>
    <w:rsid w:val="00CC5791"/>
    <w:rsid w:val="00CC69B7"/>
    <w:rsid w:val="00CC7AF7"/>
    <w:rsid w:val="00CD0F90"/>
    <w:rsid w:val="00CE70D6"/>
    <w:rsid w:val="00CE74B8"/>
    <w:rsid w:val="00CF5EDF"/>
    <w:rsid w:val="00D022F3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0C26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7CB5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5D46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3A8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42ED"/>
    <w:rsid w:val="00F067FB"/>
    <w:rsid w:val="00F07CC1"/>
    <w:rsid w:val="00F121A7"/>
    <w:rsid w:val="00F16197"/>
    <w:rsid w:val="00F26CF4"/>
    <w:rsid w:val="00F26E1D"/>
    <w:rsid w:val="00F318FF"/>
    <w:rsid w:val="00F31F20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34CC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0A3D-EE8B-4165-A9F2-CA159F7D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2019-10-24T14:01:00Z</cp:lastPrinted>
  <dcterms:created xsi:type="dcterms:W3CDTF">2019-11-04T11:16:00Z</dcterms:created>
  <dcterms:modified xsi:type="dcterms:W3CDTF">2019-11-04T11:16:00Z</dcterms:modified>
</cp:coreProperties>
</file>