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CB3BBC">
        <w:rPr>
          <w:rFonts w:cs="Arial"/>
          <w:b/>
          <w:sz w:val="24"/>
          <w:szCs w:val="24"/>
          <w:lang w:val="en-US" w:eastAsia="en-US"/>
        </w:rPr>
        <w:t>1062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7713CC" w:rsidRPr="007713CC">
        <w:rPr>
          <w:rFonts w:eastAsia="Calibri" w:cs="Arial"/>
          <w:b/>
          <w:sz w:val="24"/>
          <w:szCs w:val="24"/>
          <w:lang w:eastAsia="en-US"/>
        </w:rPr>
        <w:t>NW2219E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713CC">
        <w:rPr>
          <w:rFonts w:cs="Arial"/>
          <w:b/>
          <w:sz w:val="24"/>
          <w:szCs w:val="24"/>
          <w:lang w:val="en-US" w:eastAsia="en-US"/>
        </w:rPr>
        <w:t>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713CC">
        <w:rPr>
          <w:rFonts w:cs="Arial"/>
          <w:b/>
          <w:sz w:val="24"/>
          <w:szCs w:val="24"/>
        </w:rPr>
        <w:t>11</w:t>
      </w:r>
      <w:r w:rsidR="00E501BF">
        <w:rPr>
          <w:rFonts w:cs="Arial"/>
          <w:b/>
          <w:sz w:val="24"/>
          <w:szCs w:val="24"/>
        </w:rPr>
        <w:t xml:space="preserve"> </w:t>
      </w:r>
      <w:r w:rsidR="007713CC">
        <w:rPr>
          <w:rFonts w:cs="Arial"/>
          <w:b/>
          <w:sz w:val="24"/>
          <w:szCs w:val="24"/>
        </w:rPr>
        <w:t>OCTO</w:t>
      </w:r>
      <w:r w:rsidR="000E1AD0">
        <w:rPr>
          <w:rFonts w:cs="Arial"/>
          <w:b/>
          <w:sz w:val="24"/>
          <w:szCs w:val="24"/>
        </w:rPr>
        <w:t>BER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D55E3F">
        <w:rPr>
          <w:rFonts w:cs="Arial"/>
          <w:b/>
          <w:sz w:val="24"/>
          <w:szCs w:val="24"/>
          <w:lang w:val="en-US" w:eastAsia="en-US"/>
        </w:rPr>
        <w:t xml:space="preserve">  28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7713CC">
        <w:rPr>
          <w:rFonts w:cs="Arial"/>
          <w:b/>
          <w:sz w:val="24"/>
          <w:szCs w:val="24"/>
          <w:lang w:val="en-US" w:eastAsia="en-US"/>
        </w:rPr>
        <w:t>OCTO</w:t>
      </w:r>
      <w:r w:rsidR="000E1AD0">
        <w:rPr>
          <w:rFonts w:cs="Arial"/>
          <w:b/>
          <w:sz w:val="24"/>
          <w:szCs w:val="24"/>
          <w:lang w:val="en-US" w:eastAsia="en-US"/>
        </w:rPr>
        <w:t>BER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D3269F" w:rsidRDefault="00CB3BBC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1062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9D55BB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440446" w:rsidRPr="00440446">
        <w:rPr>
          <w:rFonts w:cs="Arial"/>
          <w:b/>
          <w:sz w:val="24"/>
          <w:szCs w:val="24"/>
          <w:lang w:val="en-US" w:eastAsia="en-US"/>
        </w:rPr>
        <w:t xml:space="preserve">Mr P Van </w:t>
      </w:r>
      <w:proofErr w:type="spellStart"/>
      <w:r w:rsidR="00440446" w:rsidRPr="00440446">
        <w:rPr>
          <w:rFonts w:cs="Arial"/>
          <w:b/>
          <w:sz w:val="24"/>
          <w:szCs w:val="24"/>
          <w:lang w:val="en-US" w:eastAsia="en-US"/>
        </w:rPr>
        <w:t>Staden</w:t>
      </w:r>
      <w:proofErr w:type="spellEnd"/>
      <w:r w:rsidR="00440446" w:rsidRPr="00440446">
        <w:rPr>
          <w:rFonts w:cs="Arial"/>
          <w:b/>
          <w:sz w:val="24"/>
          <w:szCs w:val="24"/>
          <w:lang w:val="en-US" w:eastAsia="en-US"/>
        </w:rPr>
        <w:t xml:space="preserve"> (FF Plus) 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9D55BB"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CB3BBC" w:rsidRPr="00CB3BBC" w:rsidRDefault="00CB3BBC" w:rsidP="00CB3BBC">
      <w:pPr>
        <w:spacing w:before="100" w:beforeAutospacing="1" w:after="100" w:afterAutospacing="1" w:line="259" w:lineRule="auto"/>
        <w:ind w:left="1440" w:hanging="720"/>
        <w:rPr>
          <w:rFonts w:eastAsia="Calibri" w:cs="Arial"/>
          <w:color w:val="000000" w:themeColor="text1"/>
          <w:sz w:val="24"/>
          <w:szCs w:val="24"/>
          <w:lang w:eastAsia="en-US"/>
        </w:rPr>
      </w:pPr>
      <w:r w:rsidRPr="00CB3BBC">
        <w:rPr>
          <w:rFonts w:eastAsia="Calibri" w:cs="Arial"/>
          <w:color w:val="000000" w:themeColor="text1"/>
          <w:sz w:val="24"/>
          <w:szCs w:val="24"/>
          <w:lang w:eastAsia="en-US"/>
        </w:rPr>
        <w:t>(1)</w:t>
      </w:r>
      <w:r w:rsidRPr="00CB3BBC">
        <w:rPr>
          <w:rFonts w:eastAsia="Calibri" w:cs="Arial"/>
          <w:color w:val="000000" w:themeColor="text1"/>
          <w:sz w:val="24"/>
          <w:szCs w:val="24"/>
          <w:lang w:eastAsia="en-US"/>
        </w:rPr>
        <w:tab/>
        <w:t>Whether there are any Government  departments that have outstanding rental payments for accommodation provided by her department; if so, (a) what is the total outstanding amount of rent owed by each department and (b) for what period has the rent been outstanding;</w:t>
      </w:r>
    </w:p>
    <w:p w:rsidR="00CB3BBC" w:rsidRPr="00CB3BBC" w:rsidRDefault="00CB3BBC" w:rsidP="00CB3BBC">
      <w:pPr>
        <w:spacing w:before="100" w:beforeAutospacing="1" w:after="100" w:afterAutospacing="1" w:line="259" w:lineRule="auto"/>
        <w:ind w:left="1440" w:hanging="720"/>
        <w:rPr>
          <w:rFonts w:eastAsia="Calibri" w:cs="Arial"/>
          <w:color w:val="000000" w:themeColor="text1"/>
          <w:sz w:val="24"/>
          <w:szCs w:val="24"/>
          <w:lang w:eastAsia="en-US"/>
        </w:rPr>
      </w:pPr>
      <w:r w:rsidRPr="00CB3BBC">
        <w:rPr>
          <w:rFonts w:eastAsia="Calibri" w:cs="Arial"/>
          <w:color w:val="000000" w:themeColor="text1"/>
          <w:sz w:val="24"/>
          <w:szCs w:val="24"/>
          <w:lang w:eastAsia="en-US"/>
        </w:rPr>
        <w:t>(2)</w:t>
      </w:r>
      <w:r w:rsidRPr="00CB3BBC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proofErr w:type="gramStart"/>
      <w:r w:rsidRPr="00CB3BBC">
        <w:rPr>
          <w:rFonts w:eastAsia="Calibri" w:cs="Arial"/>
          <w:color w:val="000000" w:themeColor="text1"/>
          <w:sz w:val="24"/>
          <w:szCs w:val="24"/>
          <w:lang w:eastAsia="en-US"/>
        </w:rPr>
        <w:t>what</w:t>
      </w:r>
      <w:proofErr w:type="gramEnd"/>
      <w:r w:rsidRPr="00CB3BBC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measures has she and/or her department put in place to collect the outstanding debt from the specified departments that are in arrears;</w:t>
      </w:r>
    </w:p>
    <w:p w:rsidR="00CB3BBC" w:rsidRPr="00CB3BBC" w:rsidRDefault="00CB3BBC" w:rsidP="00CB3BBC">
      <w:pPr>
        <w:spacing w:before="100" w:beforeAutospacing="1" w:after="100" w:afterAutospacing="1" w:line="259" w:lineRule="auto"/>
        <w:ind w:left="1440" w:hanging="720"/>
        <w:rPr>
          <w:rFonts w:eastAsia="Calibri" w:cs="Arial"/>
          <w:color w:val="000000" w:themeColor="text1"/>
          <w:sz w:val="24"/>
          <w:szCs w:val="24"/>
          <w:lang w:eastAsia="en-US"/>
        </w:rPr>
      </w:pPr>
      <w:r w:rsidRPr="00CB3BBC">
        <w:rPr>
          <w:rFonts w:eastAsia="Calibri" w:cs="Arial"/>
          <w:color w:val="000000" w:themeColor="text1"/>
          <w:sz w:val="24"/>
          <w:szCs w:val="24"/>
          <w:lang w:eastAsia="en-US"/>
        </w:rPr>
        <w:t>(3)</w:t>
      </w:r>
      <w:r w:rsidRPr="00CB3BBC"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proofErr w:type="gramStart"/>
      <w:r w:rsidRPr="00CB3BBC">
        <w:rPr>
          <w:rFonts w:eastAsia="Calibri" w:cs="Arial"/>
          <w:color w:val="000000" w:themeColor="text1"/>
          <w:sz w:val="24"/>
          <w:szCs w:val="24"/>
          <w:lang w:eastAsia="en-US"/>
        </w:rPr>
        <w:t>what</w:t>
      </w:r>
      <w:proofErr w:type="gramEnd"/>
      <w:r w:rsidRPr="00CB3BBC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steps will she and/or her department take if the specified departments do not adhere to the specified measures;</w:t>
      </w:r>
    </w:p>
    <w:p w:rsidR="00CB3BBC" w:rsidRPr="00CB3BBC" w:rsidRDefault="00CB3BBC" w:rsidP="00CB3BBC">
      <w:pPr>
        <w:ind w:right="-14" w:firstLine="720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 w:rsidRPr="00CB3BBC">
        <w:rPr>
          <w:rFonts w:eastAsia="Calibri" w:cs="Arial"/>
          <w:color w:val="000000" w:themeColor="text1"/>
          <w:sz w:val="24"/>
          <w:szCs w:val="24"/>
          <w:lang w:eastAsia="en-US"/>
        </w:rPr>
        <w:t>(4)</w:t>
      </w:r>
      <w:r w:rsidRPr="00CB3BBC">
        <w:rPr>
          <w:rFonts w:eastAsia="Calibri" w:cs="Arial"/>
          <w:color w:val="000000" w:themeColor="text1"/>
          <w:sz w:val="24"/>
          <w:szCs w:val="24"/>
          <w:lang w:eastAsia="en-US"/>
        </w:rPr>
        <w:tab/>
        <w:t xml:space="preserve"> </w:t>
      </w:r>
      <w:proofErr w:type="gramStart"/>
      <w:r w:rsidRPr="00CB3BBC">
        <w:rPr>
          <w:rFonts w:eastAsia="Calibri" w:cs="Arial"/>
          <w:color w:val="000000" w:themeColor="text1"/>
          <w:sz w:val="24"/>
          <w:szCs w:val="24"/>
          <w:lang w:eastAsia="en-US"/>
        </w:rPr>
        <w:t>whether</w:t>
      </w:r>
      <w:proofErr w:type="gramEnd"/>
      <w:r w:rsidRPr="00CB3BBC">
        <w:rPr>
          <w:rFonts w:eastAsia="Calibri" w:cs="Arial"/>
          <w:color w:val="000000" w:themeColor="text1"/>
          <w:sz w:val="24"/>
          <w:szCs w:val="24"/>
          <w:lang w:eastAsia="en-US"/>
        </w:rPr>
        <w:t xml:space="preserve"> she will make a statement on the matter? </w:t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eastAsia="en-US"/>
        </w:rPr>
        <w:tab/>
        <w:t xml:space="preserve">       </w:t>
      </w:r>
      <w:r w:rsidRPr="00CB3BBC">
        <w:rPr>
          <w:rFonts w:eastAsia="Calibri" w:cs="Arial"/>
          <w:b/>
          <w:color w:val="000000" w:themeColor="text1"/>
          <w:sz w:val="24"/>
          <w:szCs w:val="24"/>
          <w:lang w:eastAsia="en-US"/>
        </w:rPr>
        <w:t>NW2220E</w:t>
      </w:r>
    </w:p>
    <w:p w:rsidR="00A966FC" w:rsidRPr="00743527" w:rsidRDefault="004D2F24" w:rsidP="00CB3BBC">
      <w:pPr>
        <w:ind w:right="-14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 w:val="24"/>
          <w:szCs w:val="24"/>
          <w:lang w:eastAsia="en-US"/>
        </w:rPr>
        <w:t>__</w:t>
      </w:r>
      <w:r w:rsidR="00440446">
        <w:rPr>
          <w:rFonts w:cs="Arial"/>
          <w:b/>
          <w:sz w:val="24"/>
          <w:szCs w:val="24"/>
          <w:lang w:eastAsia="en-US"/>
        </w:rPr>
        <w:t>_</w:t>
      </w:r>
    </w:p>
    <w:p w:rsidR="00743527" w:rsidRDefault="00743527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524D71" w:rsidRDefault="009D55BB" w:rsidP="00AC7137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BE5798" w:rsidRDefault="00BE5798" w:rsidP="00AC7137">
      <w:pPr>
        <w:spacing w:line="276" w:lineRule="auto"/>
        <w:rPr>
          <w:b/>
          <w:bCs/>
          <w:sz w:val="24"/>
          <w:szCs w:val="24"/>
        </w:rPr>
      </w:pPr>
    </w:p>
    <w:p w:rsidR="00BE5798" w:rsidRDefault="009F0E7E" w:rsidP="00BE5798">
      <w:pPr>
        <w:pStyle w:val="ListParagraph"/>
        <w:numPr>
          <w:ilvl w:val="0"/>
          <w:numId w:val="17"/>
        </w:numPr>
        <w:spacing w:line="276" w:lineRule="auto"/>
        <w:ind w:left="450" w:hanging="450"/>
        <w:rPr>
          <w:bCs/>
          <w:sz w:val="24"/>
          <w:szCs w:val="24"/>
        </w:rPr>
      </w:pPr>
      <w:r w:rsidRPr="00BE5798">
        <w:rPr>
          <w:bCs/>
          <w:sz w:val="24"/>
          <w:szCs w:val="24"/>
        </w:rPr>
        <w:t>Yes, i</w:t>
      </w:r>
      <w:r w:rsidR="001B3094" w:rsidRPr="00BE5798">
        <w:rPr>
          <w:bCs/>
          <w:sz w:val="24"/>
          <w:szCs w:val="24"/>
        </w:rPr>
        <w:t>n the course of its operations, and given its operating model as approved by National Treasury of incurring expenditure and claiming it from client departments, t</w:t>
      </w:r>
      <w:r w:rsidR="00311916" w:rsidRPr="00BE5798">
        <w:rPr>
          <w:bCs/>
          <w:sz w:val="24"/>
          <w:szCs w:val="24"/>
        </w:rPr>
        <w:t xml:space="preserve">here are government departments that have outstanding rental payments for accommodation provided by the </w:t>
      </w:r>
      <w:r w:rsidR="001B3094" w:rsidRPr="00BE5798">
        <w:rPr>
          <w:bCs/>
          <w:sz w:val="24"/>
          <w:szCs w:val="24"/>
        </w:rPr>
        <w:t>Department</w:t>
      </w:r>
      <w:r w:rsidR="00311916" w:rsidRPr="00BE5798">
        <w:rPr>
          <w:bCs/>
          <w:sz w:val="24"/>
          <w:szCs w:val="24"/>
        </w:rPr>
        <w:t>.</w:t>
      </w:r>
      <w:r w:rsidR="00AD29D7" w:rsidRPr="00BE5798">
        <w:rPr>
          <w:bCs/>
          <w:sz w:val="24"/>
          <w:szCs w:val="24"/>
        </w:rPr>
        <w:t xml:space="preserve"> </w:t>
      </w:r>
      <w:r w:rsidR="00083038" w:rsidRPr="00BE5798">
        <w:rPr>
          <w:bCs/>
          <w:sz w:val="24"/>
          <w:szCs w:val="24"/>
        </w:rPr>
        <w:t xml:space="preserve">See attached </w:t>
      </w:r>
      <w:r w:rsidR="000D3E85" w:rsidRPr="00BE5798">
        <w:rPr>
          <w:b/>
          <w:bCs/>
          <w:sz w:val="24"/>
          <w:szCs w:val="24"/>
        </w:rPr>
        <w:t>Annexure A</w:t>
      </w:r>
      <w:r w:rsidR="000D3E85" w:rsidRPr="00BE5798">
        <w:rPr>
          <w:bCs/>
          <w:sz w:val="24"/>
          <w:szCs w:val="24"/>
        </w:rPr>
        <w:t xml:space="preserve"> </w:t>
      </w:r>
      <w:r w:rsidR="00083038" w:rsidRPr="00BE5798">
        <w:rPr>
          <w:bCs/>
          <w:sz w:val="24"/>
          <w:szCs w:val="24"/>
        </w:rPr>
        <w:t xml:space="preserve">herewith </w:t>
      </w:r>
      <w:r w:rsidR="00083038" w:rsidRPr="00BE5798">
        <w:rPr>
          <w:bCs/>
          <w:sz w:val="24"/>
          <w:szCs w:val="24"/>
        </w:rPr>
        <w:lastRenderedPageBreak/>
        <w:t xml:space="preserve">which </w:t>
      </w:r>
      <w:r w:rsidR="001B3094" w:rsidRPr="00BE5798">
        <w:rPr>
          <w:bCs/>
          <w:sz w:val="24"/>
          <w:szCs w:val="24"/>
        </w:rPr>
        <w:t>provides details with regard</w:t>
      </w:r>
      <w:r w:rsidR="00AD29D7" w:rsidRPr="00BE5798">
        <w:rPr>
          <w:bCs/>
          <w:sz w:val="24"/>
          <w:szCs w:val="24"/>
        </w:rPr>
        <w:t xml:space="preserve"> to (a) </w:t>
      </w:r>
      <w:r w:rsidR="00083038" w:rsidRPr="00BE5798">
        <w:rPr>
          <w:bCs/>
          <w:sz w:val="24"/>
          <w:szCs w:val="24"/>
        </w:rPr>
        <w:t xml:space="preserve">detailed information on total outstanding per government department </w:t>
      </w:r>
      <w:r w:rsidR="00AD29D7" w:rsidRPr="00BE5798">
        <w:rPr>
          <w:bCs/>
          <w:sz w:val="24"/>
          <w:szCs w:val="24"/>
        </w:rPr>
        <w:t xml:space="preserve">and (b) </w:t>
      </w:r>
      <w:r w:rsidR="00083038" w:rsidRPr="00BE5798">
        <w:rPr>
          <w:bCs/>
          <w:sz w:val="24"/>
          <w:szCs w:val="24"/>
        </w:rPr>
        <w:t>the period the rental has been outstanding</w:t>
      </w:r>
      <w:r w:rsidR="000D3E85" w:rsidRPr="00BE5798">
        <w:rPr>
          <w:bCs/>
          <w:sz w:val="24"/>
          <w:szCs w:val="24"/>
        </w:rPr>
        <w:t>.</w:t>
      </w:r>
    </w:p>
    <w:p w:rsidR="00BE5798" w:rsidRDefault="00BE5798" w:rsidP="00BE5798">
      <w:pPr>
        <w:pStyle w:val="ListParagraph"/>
        <w:spacing w:line="276" w:lineRule="auto"/>
        <w:ind w:left="450"/>
        <w:rPr>
          <w:bCs/>
          <w:sz w:val="24"/>
          <w:szCs w:val="24"/>
        </w:rPr>
      </w:pPr>
    </w:p>
    <w:p w:rsidR="00311916" w:rsidRDefault="00311916" w:rsidP="00BE5798">
      <w:pPr>
        <w:pStyle w:val="ListParagraph"/>
        <w:numPr>
          <w:ilvl w:val="0"/>
          <w:numId w:val="17"/>
        </w:numPr>
        <w:spacing w:line="276" w:lineRule="auto"/>
        <w:ind w:left="450" w:hanging="450"/>
        <w:rPr>
          <w:bCs/>
          <w:sz w:val="24"/>
          <w:szCs w:val="24"/>
        </w:rPr>
      </w:pPr>
      <w:r w:rsidRPr="00BE5798">
        <w:rPr>
          <w:bCs/>
          <w:sz w:val="24"/>
          <w:szCs w:val="24"/>
        </w:rPr>
        <w:t>The DPWI has intensified its debt recovery management through the following actions:</w:t>
      </w:r>
    </w:p>
    <w:p w:rsidR="00311916" w:rsidRPr="00311916" w:rsidRDefault="00311916" w:rsidP="00BE5798">
      <w:pPr>
        <w:pStyle w:val="ListParagraph"/>
        <w:numPr>
          <w:ilvl w:val="0"/>
          <w:numId w:val="18"/>
        </w:numPr>
        <w:spacing w:line="276" w:lineRule="auto"/>
        <w:ind w:left="990" w:hanging="540"/>
        <w:rPr>
          <w:bCs/>
          <w:sz w:val="24"/>
          <w:szCs w:val="24"/>
        </w:rPr>
      </w:pPr>
      <w:r w:rsidRPr="00311916">
        <w:rPr>
          <w:bCs/>
          <w:sz w:val="24"/>
          <w:szCs w:val="24"/>
        </w:rPr>
        <w:t xml:space="preserve">Meetings with </w:t>
      </w:r>
      <w:r w:rsidR="00AD29D7">
        <w:rPr>
          <w:bCs/>
          <w:sz w:val="24"/>
          <w:szCs w:val="24"/>
        </w:rPr>
        <w:t>government departments</w:t>
      </w:r>
      <w:r w:rsidRPr="00311916">
        <w:rPr>
          <w:bCs/>
          <w:sz w:val="24"/>
          <w:szCs w:val="24"/>
        </w:rPr>
        <w:t xml:space="preserve"> are ongoing to resolve all </w:t>
      </w:r>
      <w:r w:rsidR="00AD29D7">
        <w:rPr>
          <w:bCs/>
          <w:sz w:val="24"/>
          <w:szCs w:val="24"/>
        </w:rPr>
        <w:t>outstanding balances;</w:t>
      </w:r>
    </w:p>
    <w:p w:rsidR="00311916" w:rsidRDefault="00311916" w:rsidP="00BE5798">
      <w:pPr>
        <w:pStyle w:val="ListParagraph"/>
        <w:numPr>
          <w:ilvl w:val="0"/>
          <w:numId w:val="18"/>
        </w:numPr>
        <w:spacing w:line="276" w:lineRule="auto"/>
        <w:ind w:left="990" w:hanging="540"/>
        <w:rPr>
          <w:bCs/>
          <w:sz w:val="24"/>
          <w:szCs w:val="24"/>
        </w:rPr>
      </w:pPr>
      <w:r w:rsidRPr="00311916">
        <w:rPr>
          <w:bCs/>
          <w:sz w:val="24"/>
          <w:szCs w:val="24"/>
        </w:rPr>
        <w:t xml:space="preserve">Letters of demand are </w:t>
      </w:r>
      <w:r w:rsidR="00083038">
        <w:rPr>
          <w:bCs/>
          <w:sz w:val="24"/>
          <w:szCs w:val="24"/>
        </w:rPr>
        <w:t>issued to defaulting departments</w:t>
      </w:r>
      <w:r w:rsidRPr="00311916">
        <w:rPr>
          <w:bCs/>
          <w:sz w:val="24"/>
          <w:szCs w:val="24"/>
        </w:rPr>
        <w:t xml:space="preserve"> on </w:t>
      </w:r>
      <w:r w:rsidR="00083038">
        <w:rPr>
          <w:bCs/>
          <w:sz w:val="24"/>
          <w:szCs w:val="24"/>
        </w:rPr>
        <w:t xml:space="preserve">a </w:t>
      </w:r>
      <w:r w:rsidRPr="00311916">
        <w:rPr>
          <w:bCs/>
          <w:sz w:val="24"/>
          <w:szCs w:val="24"/>
        </w:rPr>
        <w:t>monthly basis</w:t>
      </w:r>
      <w:r w:rsidR="001B3094">
        <w:rPr>
          <w:bCs/>
          <w:sz w:val="24"/>
          <w:szCs w:val="24"/>
        </w:rPr>
        <w:t>;</w:t>
      </w:r>
    </w:p>
    <w:p w:rsidR="00311916" w:rsidRDefault="001B3094" w:rsidP="00BE5798">
      <w:pPr>
        <w:pStyle w:val="ListParagraph"/>
        <w:numPr>
          <w:ilvl w:val="0"/>
          <w:numId w:val="18"/>
        </w:numPr>
        <w:spacing w:line="276" w:lineRule="auto"/>
        <w:ind w:left="99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Letters were issued </w:t>
      </w:r>
      <w:r w:rsidR="00083038">
        <w:rPr>
          <w:bCs/>
          <w:sz w:val="24"/>
          <w:szCs w:val="24"/>
        </w:rPr>
        <w:t xml:space="preserve">by the Minister </w:t>
      </w:r>
      <w:r>
        <w:rPr>
          <w:bCs/>
          <w:sz w:val="24"/>
          <w:szCs w:val="24"/>
        </w:rPr>
        <w:t xml:space="preserve">to the </w:t>
      </w:r>
      <w:r w:rsidR="00311916">
        <w:rPr>
          <w:bCs/>
          <w:sz w:val="24"/>
          <w:szCs w:val="24"/>
        </w:rPr>
        <w:t>Minister</w:t>
      </w:r>
      <w:r>
        <w:rPr>
          <w:bCs/>
          <w:sz w:val="24"/>
          <w:szCs w:val="24"/>
        </w:rPr>
        <w:t>s</w:t>
      </w:r>
      <w:r w:rsidR="00311916">
        <w:rPr>
          <w:bCs/>
          <w:sz w:val="24"/>
          <w:szCs w:val="24"/>
        </w:rPr>
        <w:t xml:space="preserve"> </w:t>
      </w:r>
      <w:r w:rsidR="00083038">
        <w:rPr>
          <w:bCs/>
          <w:sz w:val="24"/>
          <w:szCs w:val="24"/>
        </w:rPr>
        <w:t>whose departments have outstanding balances;</w:t>
      </w:r>
    </w:p>
    <w:p w:rsidR="00BE5798" w:rsidRDefault="00AC7137" w:rsidP="00BE5798">
      <w:pPr>
        <w:pStyle w:val="ListParagraph"/>
        <w:numPr>
          <w:ilvl w:val="0"/>
          <w:numId w:val="18"/>
        </w:numPr>
        <w:spacing w:line="276" w:lineRule="auto"/>
        <w:ind w:left="990" w:hanging="540"/>
        <w:rPr>
          <w:bCs/>
          <w:sz w:val="24"/>
          <w:szCs w:val="24"/>
        </w:rPr>
      </w:pPr>
      <w:r w:rsidRPr="00AC7137">
        <w:rPr>
          <w:bCs/>
          <w:sz w:val="24"/>
          <w:szCs w:val="24"/>
        </w:rPr>
        <w:t>The Billing Agreement has been developed to address billing in advance, recovery within 3</w:t>
      </w:r>
      <w:r w:rsidR="00BE5798">
        <w:rPr>
          <w:bCs/>
          <w:sz w:val="24"/>
          <w:szCs w:val="24"/>
        </w:rPr>
        <w:t>0 days and dispute resolution.</w:t>
      </w:r>
    </w:p>
    <w:p w:rsidR="00BE5798" w:rsidRDefault="00BE5798" w:rsidP="00BE5798">
      <w:pPr>
        <w:pStyle w:val="ListParagraph"/>
        <w:spacing w:line="276" w:lineRule="auto"/>
        <w:ind w:left="990"/>
        <w:rPr>
          <w:bCs/>
          <w:sz w:val="24"/>
          <w:szCs w:val="24"/>
        </w:rPr>
      </w:pPr>
    </w:p>
    <w:p w:rsidR="000D3E85" w:rsidRPr="00BE5798" w:rsidRDefault="000D3E85" w:rsidP="00BE5798">
      <w:pPr>
        <w:pStyle w:val="ListParagraph"/>
        <w:numPr>
          <w:ilvl w:val="0"/>
          <w:numId w:val="17"/>
        </w:numPr>
        <w:spacing w:line="276" w:lineRule="auto"/>
        <w:ind w:left="450" w:hanging="450"/>
        <w:rPr>
          <w:bCs/>
          <w:sz w:val="24"/>
          <w:szCs w:val="24"/>
        </w:rPr>
      </w:pPr>
      <w:r w:rsidRPr="00BE5798">
        <w:rPr>
          <w:bCs/>
          <w:sz w:val="24"/>
          <w:szCs w:val="24"/>
        </w:rPr>
        <w:t xml:space="preserve">The following </w:t>
      </w:r>
      <w:r w:rsidR="009F0E7E" w:rsidRPr="00BE5798">
        <w:rPr>
          <w:bCs/>
          <w:sz w:val="24"/>
          <w:szCs w:val="24"/>
        </w:rPr>
        <w:t xml:space="preserve">are the </w:t>
      </w:r>
      <w:r w:rsidRPr="00BE5798">
        <w:rPr>
          <w:bCs/>
          <w:sz w:val="24"/>
          <w:szCs w:val="24"/>
        </w:rPr>
        <w:t xml:space="preserve">steps </w:t>
      </w:r>
      <w:r w:rsidR="009F0E7E" w:rsidRPr="00BE5798">
        <w:rPr>
          <w:bCs/>
          <w:sz w:val="24"/>
          <w:szCs w:val="24"/>
        </w:rPr>
        <w:t xml:space="preserve">that the </w:t>
      </w:r>
      <w:r w:rsidRPr="00BE5798">
        <w:rPr>
          <w:bCs/>
          <w:sz w:val="24"/>
          <w:szCs w:val="24"/>
        </w:rPr>
        <w:t>department take</w:t>
      </w:r>
      <w:r w:rsidR="009F0E7E" w:rsidRPr="00BE5798">
        <w:rPr>
          <w:bCs/>
          <w:sz w:val="24"/>
          <w:szCs w:val="24"/>
        </w:rPr>
        <w:t>s</w:t>
      </w:r>
      <w:r w:rsidRPr="00BE5798">
        <w:rPr>
          <w:bCs/>
          <w:sz w:val="24"/>
          <w:szCs w:val="24"/>
        </w:rPr>
        <w:t xml:space="preserve"> if the specified departments do not a</w:t>
      </w:r>
      <w:r w:rsidR="009F0E7E" w:rsidRPr="00BE5798">
        <w:rPr>
          <w:bCs/>
          <w:sz w:val="24"/>
          <w:szCs w:val="24"/>
        </w:rPr>
        <w:t>dhere to the specified measures:</w:t>
      </w:r>
    </w:p>
    <w:p w:rsidR="000D3E85" w:rsidRDefault="000D3E85" w:rsidP="00BE5798">
      <w:pPr>
        <w:pStyle w:val="ListParagraph"/>
        <w:numPr>
          <w:ilvl w:val="0"/>
          <w:numId w:val="19"/>
        </w:numPr>
        <w:spacing w:line="276" w:lineRule="auto"/>
        <w:ind w:left="990" w:hanging="540"/>
        <w:rPr>
          <w:bCs/>
          <w:sz w:val="24"/>
          <w:szCs w:val="24"/>
        </w:rPr>
      </w:pPr>
      <w:r w:rsidRPr="000D3E85">
        <w:rPr>
          <w:bCs/>
          <w:sz w:val="24"/>
          <w:szCs w:val="24"/>
        </w:rPr>
        <w:t>Interest is charged on all outstanding debts</w:t>
      </w:r>
      <w:r w:rsidR="00083038">
        <w:rPr>
          <w:bCs/>
          <w:sz w:val="24"/>
          <w:szCs w:val="24"/>
        </w:rPr>
        <w:t>;</w:t>
      </w:r>
    </w:p>
    <w:p w:rsidR="000D3E85" w:rsidRDefault="000D3E85" w:rsidP="00BE5798">
      <w:pPr>
        <w:pStyle w:val="ListParagraph"/>
        <w:numPr>
          <w:ilvl w:val="0"/>
          <w:numId w:val="19"/>
        </w:numPr>
        <w:spacing w:line="276" w:lineRule="auto"/>
        <w:ind w:left="99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National Treasury intervention </w:t>
      </w:r>
      <w:r w:rsidR="00961F99">
        <w:rPr>
          <w:bCs/>
          <w:sz w:val="24"/>
          <w:szCs w:val="24"/>
        </w:rPr>
        <w:t>is requested</w:t>
      </w:r>
      <w:r w:rsidR="00A92C86">
        <w:rPr>
          <w:bCs/>
          <w:sz w:val="24"/>
          <w:szCs w:val="24"/>
        </w:rPr>
        <w:t xml:space="preserve">. </w:t>
      </w:r>
    </w:p>
    <w:p w:rsidR="00BE5798" w:rsidRDefault="009F0E7E" w:rsidP="00BE5798">
      <w:pPr>
        <w:pStyle w:val="ListParagraph"/>
        <w:numPr>
          <w:ilvl w:val="0"/>
          <w:numId w:val="19"/>
        </w:numPr>
        <w:spacing w:line="276" w:lineRule="auto"/>
        <w:ind w:left="99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Department will request </w:t>
      </w:r>
      <w:r w:rsidR="00A92C86">
        <w:rPr>
          <w:bCs/>
          <w:sz w:val="24"/>
          <w:szCs w:val="24"/>
        </w:rPr>
        <w:t>National Treasury to withhold allocation of funds for those defaulting departments</w:t>
      </w:r>
      <w:r>
        <w:rPr>
          <w:bCs/>
          <w:sz w:val="24"/>
          <w:szCs w:val="24"/>
        </w:rPr>
        <w:t xml:space="preserve"> after all recovery efforts have been exhausted</w:t>
      </w:r>
      <w:r w:rsidR="00A92C86">
        <w:rPr>
          <w:bCs/>
          <w:sz w:val="24"/>
          <w:szCs w:val="24"/>
        </w:rPr>
        <w:t>;</w:t>
      </w:r>
    </w:p>
    <w:p w:rsidR="00BE5798" w:rsidRDefault="00BE5798" w:rsidP="00BE5798">
      <w:pPr>
        <w:pStyle w:val="ListParagraph"/>
        <w:spacing w:line="276" w:lineRule="auto"/>
        <w:ind w:left="990"/>
        <w:rPr>
          <w:bCs/>
          <w:sz w:val="24"/>
          <w:szCs w:val="24"/>
        </w:rPr>
      </w:pPr>
    </w:p>
    <w:p w:rsidR="002B7034" w:rsidRDefault="00D46DD1" w:rsidP="00BE5798">
      <w:pPr>
        <w:pStyle w:val="ListParagraph"/>
        <w:numPr>
          <w:ilvl w:val="0"/>
          <w:numId w:val="17"/>
        </w:numPr>
        <w:tabs>
          <w:tab w:val="left" w:pos="990"/>
          <w:tab w:val="left" w:pos="1170"/>
        </w:tabs>
        <w:spacing w:line="276" w:lineRule="auto"/>
        <w:ind w:left="45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want to appeal to all government departments and entities to pay timeously, because it’s causing cash flow problems for DPWI. If we want communities to pay their bills then </w:t>
      </w:r>
      <w:bookmarkStart w:id="0" w:name="_GoBack"/>
      <w:bookmarkEnd w:id="0"/>
      <w:r>
        <w:rPr>
          <w:bCs/>
          <w:sz w:val="24"/>
          <w:szCs w:val="24"/>
        </w:rPr>
        <w:t>government must lead by example.</w:t>
      </w: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  <w:sectPr w:rsidR="00D46DD1" w:rsidSect="00847567">
          <w:footerReference w:type="default" r:id="rId10"/>
          <w:pgSz w:w="12240" w:h="15840"/>
          <w:pgMar w:top="851" w:right="1183" w:bottom="907" w:left="1531" w:header="397" w:footer="624" w:gutter="0"/>
          <w:cols w:space="720"/>
          <w:docGrid w:linePitch="360"/>
        </w:sect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/>
          <w:bCs/>
          <w:sz w:val="24"/>
          <w:szCs w:val="24"/>
        </w:rPr>
      </w:pPr>
      <w:r w:rsidRPr="00D46DD1">
        <w:rPr>
          <w:b/>
          <w:bCs/>
          <w:sz w:val="24"/>
          <w:szCs w:val="24"/>
        </w:rPr>
        <w:t>ANNEXURE A:</w:t>
      </w: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/>
          <w:bCs/>
          <w:sz w:val="24"/>
          <w:szCs w:val="24"/>
        </w:rPr>
      </w:pPr>
    </w:p>
    <w:p w:rsidR="00D46DD1" w:rsidRPr="00D46DD1" w:rsidRDefault="00D46DD1" w:rsidP="00D46DD1">
      <w:pPr>
        <w:tabs>
          <w:tab w:val="left" w:pos="990"/>
          <w:tab w:val="left" w:pos="1170"/>
        </w:tabs>
        <w:spacing w:line="276" w:lineRule="auto"/>
        <w:rPr>
          <w:b/>
          <w:bCs/>
          <w:sz w:val="24"/>
          <w:szCs w:val="24"/>
        </w:rPr>
      </w:pPr>
      <w:r w:rsidRPr="00D46DD1">
        <w:rPr>
          <w:b/>
          <w:bCs/>
          <w:sz w:val="24"/>
          <w:szCs w:val="24"/>
        </w:rPr>
        <w:t>Private Leases</w:t>
      </w:r>
    </w:p>
    <w:tbl>
      <w:tblPr>
        <w:tblW w:w="16225" w:type="dxa"/>
        <w:tblInd w:w="-75" w:type="dxa"/>
        <w:tblLook w:val="04A0"/>
      </w:tblPr>
      <w:tblGrid>
        <w:gridCol w:w="2982"/>
        <w:gridCol w:w="1423"/>
        <w:gridCol w:w="1280"/>
        <w:gridCol w:w="1281"/>
        <w:gridCol w:w="1281"/>
        <w:gridCol w:w="1281"/>
        <w:gridCol w:w="1437"/>
        <w:gridCol w:w="1423"/>
        <w:gridCol w:w="1716"/>
        <w:gridCol w:w="2121"/>
      </w:tblGrid>
      <w:tr w:rsidR="00D46DD1" w:rsidRPr="00D46DD1" w:rsidTr="00D46DD1">
        <w:trPr>
          <w:trHeight w:val="86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46DD1" w:rsidRPr="00D46DD1" w:rsidRDefault="00D46DD1" w:rsidP="00D46DD1">
            <w:pPr>
              <w:jc w:val="center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Name of debtor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Current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30days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 xml:space="preserve"> 60days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90days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&lt;1year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1 to 3 years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3 to 5 years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&gt; 5 Years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TOTAL</w:t>
            </w:r>
          </w:p>
        </w:tc>
      </w:tr>
      <w:tr w:rsidR="00D46DD1" w:rsidRPr="00D46DD1" w:rsidTr="00D46DD1">
        <w:trPr>
          <w:trHeight w:val="283"/>
        </w:trPr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National Treasury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5 203 307,35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5 042 053,79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1 768 296,61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1 768 296,61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16 894 133,40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18 251 417,73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39 844 083,59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38 279 043,78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127 050 632,86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proofErr w:type="spellStart"/>
            <w:r w:rsidRPr="00D46DD1">
              <w:rPr>
                <w:rFonts w:ascii="Arial Narrow" w:hAnsi="Arial Narrow" w:cs="Calibri"/>
                <w:sz w:val="20"/>
                <w:lang w:eastAsia="en-ZA"/>
              </w:rPr>
              <w:t>Ind</w:t>
            </w:r>
            <w:proofErr w:type="spellEnd"/>
            <w:r w:rsidRPr="00D46DD1">
              <w:rPr>
                <w:rFonts w:ascii="Arial Narrow" w:hAnsi="Arial Narrow" w:cs="Calibri"/>
                <w:sz w:val="20"/>
                <w:lang w:eastAsia="en-ZA"/>
              </w:rPr>
              <w:t xml:space="preserve"> Police Investigative </w:t>
            </w:r>
            <w:proofErr w:type="spellStart"/>
            <w:r w:rsidRPr="00D46DD1">
              <w:rPr>
                <w:rFonts w:ascii="Arial Narrow" w:hAnsi="Arial Narrow" w:cs="Calibri"/>
                <w:sz w:val="20"/>
                <w:lang w:eastAsia="en-ZA"/>
              </w:rPr>
              <w:t>Directorat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3 740 051,08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2 805 726,16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2 112 079,17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2 285 152,44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14 987 638,85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19 949 276,58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23 091 492,95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49 910 121,39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118 881 538,62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Defence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46 991 158,92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33 248 522,14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80 239 681,06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Statistics SA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7 029 898,00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2 626 947,27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365 112,49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359 252,91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2 155 274,03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41 934 260,49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24 213 290,98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78 684 036,17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South African Police Services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64 354 663,18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64 354 663,18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Transport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6 952 865,51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7 675 243,60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6 605 394,64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41 750 203,32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62 983 707,07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Human Settlements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4 109 416,47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1 972 498,24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4 379 303,17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4 217 578,72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37 274 985,38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51 953 781,98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Home Affairs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26 519 446,84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5 008 475,87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31 527 922,71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International Relations &amp; Coop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8 305 842,25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6 836 622,41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14 034 644,94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29 177 109,60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Environmental Affairs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4 474 820,84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541 132,80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16 461,45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658 563,52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1 285 916,02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19 172 898,25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26 149 792,88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Energy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3 599 606,47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3 481 992,57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3 637 362,97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3 330 281,94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4 134 147,51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5 410 049,50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251 483,65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2 017 576,39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25 862 501,00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Agriculture, Forestry and Fisheries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9 359 813,31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250 419,09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292 990,65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12 396 886,89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22 300 109,94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Sport And Recreation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1 106 825,20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937 678,97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883 940,46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572 689,18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2 179 371,32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3 104 207,56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11 161 640,62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19 946 353,31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Rural Development and Land Reform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14 283 688,41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14 283 688,41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proofErr w:type="spellStart"/>
            <w:r w:rsidRPr="00D46DD1">
              <w:rPr>
                <w:rFonts w:ascii="Arial Narrow" w:hAnsi="Arial Narrow" w:cs="Calibri"/>
                <w:sz w:val="20"/>
                <w:lang w:eastAsia="en-ZA"/>
              </w:rPr>
              <w:t>Planning,Monitoring</w:t>
            </w:r>
            <w:proofErr w:type="spellEnd"/>
            <w:r w:rsidRPr="00D46DD1">
              <w:rPr>
                <w:rFonts w:ascii="Arial Narrow" w:hAnsi="Arial Narrow" w:cs="Calibri"/>
                <w:sz w:val="20"/>
                <w:lang w:eastAsia="en-ZA"/>
              </w:rPr>
              <w:t xml:space="preserve"> and Evaluation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1 371 108,35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1 269 533,80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1 353 704,78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1 287 070,40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7 161 782,72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209 835,36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12 653 035,41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Correctional Services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10 427 656,50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10 427 656,50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Financial and Fiscal Commission (FFC)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160 246,44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382 471,00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191 056,31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191 056,31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844 669,97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114 263,25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1 000 050,88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5 677 623,04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8 561 437,20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 xml:space="preserve">Justice &amp; Constitutional </w:t>
            </w:r>
            <w:proofErr w:type="spellStart"/>
            <w:r w:rsidRPr="00D46DD1">
              <w:rPr>
                <w:rFonts w:ascii="Arial Narrow" w:hAnsi="Arial Narrow" w:cs="Calibri"/>
                <w:sz w:val="20"/>
                <w:lang w:eastAsia="en-ZA"/>
              </w:rPr>
              <w:t>Developmen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8 097 328,28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8 097 328,28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042525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S</w:t>
            </w:r>
            <w:r w:rsidR="00042525">
              <w:rPr>
                <w:rFonts w:ascii="Arial Narrow" w:hAnsi="Arial Narrow" w:cs="Calibri"/>
                <w:sz w:val="20"/>
                <w:lang w:eastAsia="en-ZA"/>
              </w:rPr>
              <w:t>A</w:t>
            </w:r>
            <w:r w:rsidRPr="00D46DD1">
              <w:rPr>
                <w:rFonts w:ascii="Arial Narrow" w:hAnsi="Arial Narrow" w:cs="Calibri"/>
                <w:sz w:val="20"/>
                <w:lang w:eastAsia="en-ZA"/>
              </w:rPr>
              <w:t xml:space="preserve"> Social Security Agency - JHB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314 111,05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1 659 758,97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5 878 906,36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7 852 776,38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Science &amp; Technology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53 637,04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1 004 294,78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4 180 531,36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1 438 934,00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6 677 397,18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Public Service And Administration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677 294,47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5 655 521,05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6 332 815,52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Arts and Culture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2 646 261,67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37 317,68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9 585,49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3 466 602,98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6 159 767,82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National Prosecuting Authority  SA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1 184 918,26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106 762,20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85 947,62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254 643,83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3 825 738,37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5 458 010,28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Tourism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3 468 336,98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14 501,32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1 115 936,29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4 598 774,59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Office Of The Public Service Commis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1 400 909,87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1 575 587,39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1 512 873,34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4 489 370,60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Women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1 108 147,21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78 380,85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97 871,92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2 960 893,05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4 245 293,03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Public Enterprises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1 010 589,13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57 295,08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2 046 956,50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75 849,02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113 100,56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3 303 790,29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Cooperative Governance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3 078 564,97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171 661,28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3 250 226,25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Telecommunications and Postal Services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2 214 421,85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233 518,30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2 447 940,15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Office of the Public Protector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1 750 167,46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5 335,51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1 755 502,97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Film and Publication Board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1 719 969,52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180,66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1 720 150,18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Higher Education and Training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1 578 539,70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1 578 539,70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Public Works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1 529 035,66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1 529 035,66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Parliament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41 642,19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30 023,11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30 023,11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28 392,44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85 584,48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39 776,19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38 960,07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1 183 896,24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1 478 297,83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GCIS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513 071,87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22 995,26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33 214,01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22 565,27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670 456,54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1 262 302,95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Mineral  Resources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1 227 773,17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1 227 773,17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Sa Social Security Agency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1 202 331,48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1 202 331,48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Military Veterans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935 583,12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7 441,90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21 735,86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148 727,70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1 113 488,58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NPA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1 105 740,11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1 105 740,11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Small Business Development Entity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1 066 669,72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1 066 669,72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lastRenderedPageBreak/>
              <w:t>Sa Social Security Agency - KIM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53 032,50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936 404,72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989 437,22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 xml:space="preserve">National School of Government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740 084,42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740 084,42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Sa Social Security Agency - DBN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25 511,05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612 265,51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637 776,56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Sa Social Security Agency - PLK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12 248,45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71 777,90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222 184,63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306 210,98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Government Pension Admin Agency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108 488,77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126 303,88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1 283,50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236 076,15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Arts and Culture (National Library2)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69 882,48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69 882,48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Companies &amp; Intellectual Property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68 842,08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280,03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69 122,11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Sa Social Security Agency - NSP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21 161,99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29 119,97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50 281,96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 xml:space="preserve">Arts &amp; Culture ( </w:t>
            </w:r>
            <w:proofErr w:type="spellStart"/>
            <w:r w:rsidRPr="00D46DD1">
              <w:rPr>
                <w:rFonts w:ascii="Arial Narrow" w:hAnsi="Arial Narrow" w:cs="Calibri"/>
                <w:sz w:val="20"/>
                <w:lang w:eastAsia="en-ZA"/>
              </w:rPr>
              <w:t>Historium</w:t>
            </w:r>
            <w:proofErr w:type="spellEnd"/>
            <w:r w:rsidRPr="00D46DD1">
              <w:rPr>
                <w:rFonts w:ascii="Arial Narrow" w:hAnsi="Arial Narrow" w:cs="Calibri"/>
                <w:sz w:val="20"/>
                <w:lang w:eastAsia="en-ZA"/>
              </w:rPr>
              <w:t>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30 682,58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3 335,31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34 017,89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 xml:space="preserve">Centre </w:t>
            </w:r>
            <w:proofErr w:type="spellStart"/>
            <w:r w:rsidRPr="00D46DD1">
              <w:rPr>
                <w:rFonts w:ascii="Arial Narrow" w:hAnsi="Arial Narrow" w:cs="Calibri"/>
                <w:sz w:val="20"/>
                <w:lang w:eastAsia="en-ZA"/>
              </w:rPr>
              <w:t>fo</w:t>
            </w:r>
            <w:proofErr w:type="spellEnd"/>
            <w:r w:rsidRPr="00D46DD1">
              <w:rPr>
                <w:rFonts w:ascii="Arial Narrow" w:hAnsi="Arial Narrow" w:cs="Calibri"/>
                <w:sz w:val="20"/>
                <w:lang w:eastAsia="en-ZA"/>
              </w:rPr>
              <w:t xml:space="preserve"> Public Service Innovation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20 024,27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20 024,27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Health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18 066,96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513,00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18 579,96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Arts and Culture (</w:t>
            </w:r>
            <w:proofErr w:type="spellStart"/>
            <w:r w:rsidRPr="00D46DD1">
              <w:rPr>
                <w:rFonts w:ascii="Arial Narrow" w:hAnsi="Arial Narrow" w:cs="Calibri"/>
                <w:sz w:val="20"/>
                <w:lang w:eastAsia="en-ZA"/>
              </w:rPr>
              <w:t>Iziko</w:t>
            </w:r>
            <w:proofErr w:type="spellEnd"/>
            <w:r w:rsidRPr="00D46DD1">
              <w:rPr>
                <w:rFonts w:ascii="Arial Narrow" w:hAnsi="Arial Narrow" w:cs="Calibri"/>
                <w:sz w:val="20"/>
                <w:lang w:eastAsia="en-ZA"/>
              </w:rPr>
              <w:t xml:space="preserve"> Museum)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11 001,32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11 001,32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Arts and Culture (</w:t>
            </w:r>
            <w:proofErr w:type="spellStart"/>
            <w:r w:rsidRPr="00D46DD1">
              <w:rPr>
                <w:rFonts w:ascii="Arial Narrow" w:hAnsi="Arial Narrow" w:cs="Calibri"/>
                <w:sz w:val="20"/>
                <w:lang w:eastAsia="en-ZA"/>
              </w:rPr>
              <w:t>Robben</w:t>
            </w:r>
            <w:proofErr w:type="spellEnd"/>
            <w:r w:rsidRPr="00D46DD1">
              <w:rPr>
                <w:rFonts w:ascii="Arial Narrow" w:hAnsi="Arial Narrow" w:cs="Calibri"/>
                <w:sz w:val="20"/>
                <w:lang w:eastAsia="en-ZA"/>
              </w:rPr>
              <w:t xml:space="preserve"> Island Museum)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8 266,77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8 266,77</w:t>
            </w:r>
          </w:p>
        </w:tc>
      </w:tr>
      <w:tr w:rsidR="00D46DD1" w:rsidRPr="00D46DD1" w:rsidTr="00D46DD1">
        <w:trPr>
          <w:trHeight w:val="28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 xml:space="preserve">Arts &amp; Culture ( </w:t>
            </w:r>
            <w:proofErr w:type="spellStart"/>
            <w:r w:rsidRPr="00D46DD1">
              <w:rPr>
                <w:rFonts w:ascii="Arial Narrow" w:hAnsi="Arial Narrow" w:cs="Calibri"/>
                <w:sz w:val="20"/>
                <w:lang w:eastAsia="en-ZA"/>
              </w:rPr>
              <w:t>Robben</w:t>
            </w:r>
            <w:proofErr w:type="spellEnd"/>
            <w:r w:rsidRPr="00D46DD1">
              <w:rPr>
                <w:rFonts w:ascii="Arial Narrow" w:hAnsi="Arial Narrow" w:cs="Calibri"/>
                <w:sz w:val="20"/>
                <w:lang w:eastAsia="en-ZA"/>
              </w:rPr>
              <w:t xml:space="preserve"> Island)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1 359,54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sz w:val="20"/>
                <w:lang w:eastAsia="en-ZA"/>
              </w:rPr>
              <w:t>1 359,54</w:t>
            </w:r>
          </w:p>
        </w:tc>
      </w:tr>
      <w:tr w:rsidR="00D46DD1" w:rsidRPr="00D46DD1" w:rsidTr="00D46DD1">
        <w:trPr>
          <w:trHeight w:val="290"/>
        </w:trPr>
        <w:tc>
          <w:tcPr>
            <w:tcW w:w="29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Totals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255 537 717,01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74 302 271,96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17 015 801,47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9 397 996,39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52 605 048,95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59 658 413,06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117 034 167,52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280 631 733,40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866 183 092,26</w:t>
            </w:r>
          </w:p>
        </w:tc>
      </w:tr>
    </w:tbl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State-Owned Accommodation</w:t>
      </w: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tbl>
      <w:tblPr>
        <w:tblW w:w="19640" w:type="dxa"/>
        <w:tblInd w:w="-5" w:type="dxa"/>
        <w:tblLook w:val="04A0"/>
      </w:tblPr>
      <w:tblGrid>
        <w:gridCol w:w="3800"/>
        <w:gridCol w:w="1940"/>
        <w:gridCol w:w="1740"/>
        <w:gridCol w:w="1720"/>
        <w:gridCol w:w="1740"/>
        <w:gridCol w:w="1520"/>
        <w:gridCol w:w="1700"/>
        <w:gridCol w:w="1820"/>
        <w:gridCol w:w="1740"/>
        <w:gridCol w:w="1920"/>
      </w:tblGrid>
      <w:tr w:rsidR="00D46DD1" w:rsidRPr="00D46DD1" w:rsidTr="00D46DD1">
        <w:trPr>
          <w:trHeight w:val="31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D46DD1" w:rsidRPr="00D46DD1" w:rsidRDefault="00D46DD1" w:rsidP="00D46DD1">
            <w:pPr>
              <w:jc w:val="center"/>
              <w:rPr>
                <w:rFonts w:ascii="Gill Sans MT" w:hAnsi="Gill Sans MT" w:cs="Calibri"/>
                <w:b/>
                <w:bCs/>
                <w:szCs w:val="22"/>
                <w:lang w:eastAsia="en-ZA"/>
              </w:rPr>
            </w:pPr>
            <w:r w:rsidRPr="00D46DD1">
              <w:rPr>
                <w:rFonts w:ascii="Gill Sans MT" w:hAnsi="Gill Sans MT" w:cs="Calibri"/>
                <w:b/>
                <w:bCs/>
                <w:szCs w:val="22"/>
                <w:lang w:eastAsia="en-ZA"/>
              </w:rPr>
              <w:t>State</w:t>
            </w:r>
            <w:r>
              <w:rPr>
                <w:rFonts w:ascii="Gill Sans MT" w:hAnsi="Gill Sans MT" w:cs="Calibri"/>
                <w:b/>
                <w:bCs/>
                <w:szCs w:val="22"/>
                <w:lang w:eastAsia="en-ZA"/>
              </w:rPr>
              <w:t>-</w:t>
            </w:r>
            <w:r w:rsidRPr="00D46DD1">
              <w:rPr>
                <w:rFonts w:ascii="Gill Sans MT" w:hAnsi="Gill Sans MT" w:cs="Calibri"/>
                <w:b/>
                <w:bCs/>
                <w:szCs w:val="22"/>
                <w:lang w:eastAsia="en-ZA"/>
              </w:rPr>
              <w:t>Owned Accommodation</w:t>
            </w:r>
          </w:p>
        </w:tc>
        <w:tc>
          <w:tcPr>
            <w:tcW w:w="15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ascii="Gill Sans MT" w:hAnsi="Gill Sans MT" w:cs="Calibri"/>
                <w:b/>
                <w:bCs/>
                <w:szCs w:val="22"/>
                <w:lang w:eastAsia="en-ZA"/>
              </w:rPr>
            </w:pPr>
            <w:r w:rsidRPr="00D46DD1">
              <w:rPr>
                <w:rFonts w:ascii="Gill Sans MT" w:hAnsi="Gill Sans MT" w:cs="Calibri"/>
                <w:b/>
                <w:bCs/>
                <w:szCs w:val="22"/>
                <w:lang w:eastAsia="en-ZA"/>
              </w:rPr>
              <w:t>Ageing</w:t>
            </w:r>
          </w:p>
        </w:tc>
      </w:tr>
      <w:tr w:rsidR="00D46DD1" w:rsidRPr="00D46DD1" w:rsidTr="00D46DD1">
        <w:trPr>
          <w:trHeight w:val="86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46DD1" w:rsidRPr="00D46DD1" w:rsidRDefault="00D46DD1" w:rsidP="00D46DD1">
            <w:pPr>
              <w:jc w:val="center"/>
              <w:rPr>
                <w:rFonts w:ascii="Gill Sans MT" w:hAnsi="Gill Sans MT" w:cs="Calibri"/>
                <w:b/>
                <w:bCs/>
                <w:szCs w:val="22"/>
                <w:lang w:eastAsia="en-ZA"/>
              </w:rPr>
            </w:pPr>
            <w:r w:rsidRPr="00D46DD1">
              <w:rPr>
                <w:rFonts w:ascii="Gill Sans MT" w:hAnsi="Gill Sans MT" w:cs="Calibri"/>
                <w:b/>
                <w:bCs/>
                <w:szCs w:val="22"/>
                <w:lang w:eastAsia="en-ZA"/>
              </w:rPr>
              <w:t>Name of debtor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ascii="Gill Sans MT" w:hAnsi="Gill Sans MT" w:cs="Calibri"/>
                <w:b/>
                <w:bCs/>
                <w:szCs w:val="22"/>
                <w:lang w:eastAsia="en-ZA"/>
              </w:rPr>
            </w:pPr>
            <w:r w:rsidRPr="00D46DD1">
              <w:rPr>
                <w:rFonts w:ascii="Gill Sans MT" w:hAnsi="Gill Sans MT" w:cs="Calibri"/>
                <w:b/>
                <w:bCs/>
                <w:szCs w:val="22"/>
                <w:lang w:eastAsia="en-ZA"/>
              </w:rPr>
              <w:t>Current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ascii="Gill Sans MT" w:hAnsi="Gill Sans MT" w:cs="Calibri"/>
                <w:b/>
                <w:bCs/>
                <w:szCs w:val="22"/>
                <w:lang w:eastAsia="en-ZA"/>
              </w:rPr>
            </w:pPr>
            <w:r w:rsidRPr="00D46DD1">
              <w:rPr>
                <w:rFonts w:ascii="Gill Sans MT" w:hAnsi="Gill Sans MT" w:cs="Calibri"/>
                <w:b/>
                <w:bCs/>
                <w:szCs w:val="22"/>
                <w:lang w:eastAsia="en-ZA"/>
              </w:rPr>
              <w:t>30days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ascii="Gill Sans MT" w:hAnsi="Gill Sans MT" w:cs="Calibri"/>
                <w:b/>
                <w:bCs/>
                <w:szCs w:val="22"/>
                <w:lang w:eastAsia="en-ZA"/>
              </w:rPr>
            </w:pPr>
            <w:r w:rsidRPr="00D46DD1">
              <w:rPr>
                <w:rFonts w:ascii="Gill Sans MT" w:hAnsi="Gill Sans MT" w:cs="Calibri"/>
                <w:b/>
                <w:bCs/>
                <w:szCs w:val="22"/>
                <w:lang w:eastAsia="en-ZA"/>
              </w:rPr>
              <w:t xml:space="preserve"> 60days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ascii="Gill Sans MT" w:hAnsi="Gill Sans MT" w:cs="Calibri"/>
                <w:b/>
                <w:bCs/>
                <w:szCs w:val="22"/>
                <w:lang w:eastAsia="en-ZA"/>
              </w:rPr>
            </w:pPr>
            <w:r w:rsidRPr="00D46DD1">
              <w:rPr>
                <w:rFonts w:ascii="Gill Sans MT" w:hAnsi="Gill Sans MT" w:cs="Calibri"/>
                <w:b/>
                <w:bCs/>
                <w:szCs w:val="22"/>
                <w:lang w:eastAsia="en-ZA"/>
              </w:rPr>
              <w:t>90days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ascii="Gill Sans MT" w:hAnsi="Gill Sans MT" w:cs="Calibri"/>
                <w:b/>
                <w:bCs/>
                <w:szCs w:val="22"/>
                <w:lang w:eastAsia="en-ZA"/>
              </w:rPr>
            </w:pPr>
            <w:r w:rsidRPr="00D46DD1">
              <w:rPr>
                <w:rFonts w:ascii="Gill Sans MT" w:hAnsi="Gill Sans MT" w:cs="Calibri"/>
                <w:b/>
                <w:bCs/>
                <w:szCs w:val="22"/>
                <w:lang w:eastAsia="en-ZA"/>
              </w:rPr>
              <w:t>&lt;1year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ZA"/>
              </w:rPr>
            </w:pPr>
            <w:r w:rsidRPr="00D46DD1">
              <w:rPr>
                <w:rFonts w:cs="Arial"/>
                <w:b/>
                <w:bCs/>
                <w:sz w:val="18"/>
                <w:szCs w:val="18"/>
                <w:lang w:eastAsia="en-ZA"/>
              </w:rPr>
              <w:t>1 to 3 years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ZA"/>
              </w:rPr>
            </w:pPr>
            <w:r w:rsidRPr="00D46DD1">
              <w:rPr>
                <w:rFonts w:cs="Arial"/>
                <w:b/>
                <w:bCs/>
                <w:sz w:val="18"/>
                <w:szCs w:val="18"/>
                <w:lang w:eastAsia="en-ZA"/>
              </w:rPr>
              <w:t>3 to 5 years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ZA"/>
              </w:rPr>
            </w:pPr>
            <w:r w:rsidRPr="00D46DD1">
              <w:rPr>
                <w:rFonts w:cs="Arial"/>
                <w:b/>
                <w:bCs/>
                <w:sz w:val="18"/>
                <w:szCs w:val="18"/>
                <w:lang w:eastAsia="en-ZA"/>
              </w:rPr>
              <w:t>&gt; 5 Years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6DD1" w:rsidRPr="00D46DD1" w:rsidRDefault="00D46DD1" w:rsidP="00D46DD1">
            <w:pPr>
              <w:jc w:val="center"/>
              <w:rPr>
                <w:rFonts w:ascii="Gill Sans MT" w:hAnsi="Gill Sans MT" w:cs="Calibri"/>
                <w:b/>
                <w:bCs/>
                <w:szCs w:val="22"/>
                <w:lang w:eastAsia="en-ZA"/>
              </w:rPr>
            </w:pPr>
            <w:r w:rsidRPr="00D46DD1">
              <w:rPr>
                <w:rFonts w:ascii="Gill Sans MT" w:hAnsi="Gill Sans MT" w:cs="Calibri"/>
                <w:b/>
                <w:bCs/>
                <w:szCs w:val="22"/>
                <w:lang w:eastAsia="en-ZA"/>
              </w:rPr>
              <w:t>Total</w:t>
            </w:r>
          </w:p>
        </w:tc>
      </w:tr>
      <w:tr w:rsidR="00D46DD1" w:rsidRPr="00D46DD1" w:rsidTr="00D46DD1">
        <w:trPr>
          <w:trHeight w:val="290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Correctional Services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8 202 218,34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13 624 543,72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155 889 000,00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155 889 000,00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205 708 723,40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539 313 485,46</w:t>
            </w:r>
          </w:p>
        </w:tc>
      </w:tr>
      <w:tr w:rsidR="00D46DD1" w:rsidRPr="00D46DD1" w:rsidTr="00D46DD1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Health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350 041,84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708 726,68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21 446 544,80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22 505 313,32</w:t>
            </w:r>
          </w:p>
        </w:tc>
      </w:tr>
      <w:tr w:rsidR="00D46DD1" w:rsidRPr="00D46DD1" w:rsidTr="00D46DD1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 xml:space="preserve">Health </w:t>
            </w:r>
            <w:proofErr w:type="spellStart"/>
            <w:r w:rsidRPr="00D46DD1">
              <w:rPr>
                <w:rFonts w:cs="Arial"/>
                <w:sz w:val="20"/>
                <w:lang w:eastAsia="en-ZA"/>
              </w:rPr>
              <w:t>Civitas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227 370,38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654 826,68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882 197,06</w:t>
            </w:r>
          </w:p>
        </w:tc>
      </w:tr>
      <w:tr w:rsidR="00D46DD1" w:rsidRPr="00D46DD1" w:rsidTr="00D46DD1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International Relations &amp; Coop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122 479,02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247 982,20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306 953,59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7 258 015,80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7 935 430,61</w:t>
            </w:r>
          </w:p>
        </w:tc>
      </w:tr>
      <w:tr w:rsidR="00D46DD1" w:rsidRPr="00D46DD1" w:rsidTr="00D46DD1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Justice &amp; Constitutional Developmen</w:t>
            </w:r>
            <w:r>
              <w:rPr>
                <w:rFonts w:cs="Arial"/>
                <w:sz w:val="20"/>
                <w:lang w:eastAsia="en-ZA"/>
              </w:rPr>
              <w:t>t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596,84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596,84</w:t>
            </w:r>
          </w:p>
        </w:tc>
      </w:tr>
      <w:tr w:rsidR="00D46DD1" w:rsidRPr="00D46DD1" w:rsidTr="00D46DD1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Public Service And Administration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174 278,41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20 913 409,44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4 219 927,04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25 307 614,89</w:t>
            </w:r>
          </w:p>
        </w:tc>
      </w:tr>
      <w:tr w:rsidR="00D46DD1" w:rsidRPr="00D46DD1" w:rsidTr="00D46DD1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Rural Development and Land Reform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27,87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659,00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686,87</w:t>
            </w:r>
          </w:p>
        </w:tc>
      </w:tr>
      <w:tr w:rsidR="00D46DD1" w:rsidRPr="00D46DD1" w:rsidTr="00D46DD1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Statistics SA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615,00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18 761,25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19 376,25</w:t>
            </w:r>
          </w:p>
        </w:tc>
      </w:tr>
      <w:tr w:rsidR="00D46DD1" w:rsidRPr="00D46DD1" w:rsidTr="00D46DD1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Trade And Industry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1 733,40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3 509,60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79 084,20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27 980,00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cs="Arial"/>
                <w:sz w:val="20"/>
                <w:lang w:eastAsia="en-ZA"/>
              </w:rPr>
            </w:pPr>
            <w:r w:rsidRPr="00D46DD1">
              <w:rPr>
                <w:rFonts w:cs="Arial"/>
                <w:sz w:val="20"/>
                <w:lang w:eastAsia="en-ZA"/>
              </w:rPr>
              <w:t>112 307,20</w:t>
            </w:r>
          </w:p>
        </w:tc>
      </w:tr>
      <w:tr w:rsidR="00D46DD1" w:rsidRPr="00D46DD1" w:rsidTr="00D46DD1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left"/>
              <w:rPr>
                <w:rFonts w:cs="Arial"/>
                <w:b/>
                <w:bCs/>
                <w:szCs w:val="22"/>
                <w:lang w:eastAsia="en-ZA"/>
              </w:rPr>
            </w:pPr>
            <w:r w:rsidRPr="00D46DD1">
              <w:rPr>
                <w:rFonts w:cs="Arial"/>
                <w:b/>
                <w:bCs/>
                <w:szCs w:val="22"/>
                <w:lang w:eastAsia="en-ZA"/>
              </w:rPr>
              <w:t>Totals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9 078 121,39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15 240 203,88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176 802 409,44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155 889 000,00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231 780 022,15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27 980,00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7 259 271,64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DD1" w:rsidRPr="00D46DD1" w:rsidRDefault="00D46DD1" w:rsidP="00D46DD1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ZA"/>
              </w:rPr>
            </w:pPr>
            <w:r w:rsidRPr="00D46DD1">
              <w:rPr>
                <w:rFonts w:ascii="Arial Narrow" w:hAnsi="Arial Narrow" w:cs="Calibri"/>
                <w:b/>
                <w:bCs/>
                <w:sz w:val="20"/>
                <w:lang w:eastAsia="en-ZA"/>
              </w:rPr>
              <w:t>596 077 008,50</w:t>
            </w:r>
          </w:p>
        </w:tc>
      </w:tr>
    </w:tbl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D46DD1" w:rsidRPr="00D46DD1" w:rsidRDefault="00D46DD1" w:rsidP="00D46DD1">
      <w:pPr>
        <w:tabs>
          <w:tab w:val="left" w:pos="990"/>
          <w:tab w:val="left" w:pos="1170"/>
        </w:tabs>
        <w:spacing w:line="276" w:lineRule="auto"/>
        <w:rPr>
          <w:bCs/>
          <w:sz w:val="24"/>
          <w:szCs w:val="24"/>
        </w:rPr>
      </w:pPr>
    </w:p>
    <w:p w:rsidR="002B7034" w:rsidRDefault="002B7034" w:rsidP="00AC7137">
      <w:pPr>
        <w:spacing w:line="360" w:lineRule="auto"/>
        <w:rPr>
          <w:bCs/>
          <w:sz w:val="24"/>
          <w:szCs w:val="24"/>
        </w:rPr>
      </w:pPr>
    </w:p>
    <w:sectPr w:rsidR="002B7034" w:rsidSect="00D46DD1">
      <w:pgSz w:w="23814" w:h="16840" w:orient="landscape" w:code="8"/>
      <w:pgMar w:top="1474" w:right="851" w:bottom="1185" w:left="907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E2" w:rsidRDefault="009774E2" w:rsidP="00B01072">
      <w:r>
        <w:separator/>
      </w:r>
    </w:p>
  </w:endnote>
  <w:endnote w:type="continuationSeparator" w:id="0">
    <w:p w:rsidR="009774E2" w:rsidRDefault="009774E2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950999">
      <w:rPr>
        <w:rFonts w:eastAsiaTheme="majorEastAsia" w:cs="Arial"/>
        <w:b/>
        <w:sz w:val="18"/>
        <w:szCs w:val="18"/>
      </w:rPr>
      <w:t>IONAL ASSEMBLY QUESTION NO. 10</w:t>
    </w:r>
    <w:r w:rsidR="005776E5">
      <w:rPr>
        <w:rFonts w:eastAsiaTheme="majorEastAsia" w:cs="Arial"/>
        <w:b/>
        <w:sz w:val="18"/>
        <w:szCs w:val="18"/>
      </w:rPr>
      <w:t>62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7713CC" w:rsidRPr="007713CC">
      <w:rPr>
        <w:rFonts w:eastAsia="Calibri" w:cs="Arial"/>
        <w:b/>
        <w:bCs/>
        <w:sz w:val="18"/>
        <w:szCs w:val="18"/>
        <w:lang w:val="af-ZA" w:eastAsia="en-US"/>
      </w:rPr>
      <w:t xml:space="preserve">Mr P Van Staden (FF Plus)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CC05B7" w:rsidRPr="00CC05B7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CC05B7" w:rsidRPr="00CC05B7">
      <w:rPr>
        <w:rFonts w:eastAsiaTheme="minorEastAsia" w:cs="Arial"/>
        <w:b/>
        <w:sz w:val="18"/>
        <w:szCs w:val="18"/>
      </w:rPr>
      <w:fldChar w:fldCharType="separate"/>
    </w:r>
    <w:r w:rsidR="002B4DC4" w:rsidRPr="002B4DC4">
      <w:rPr>
        <w:rFonts w:eastAsiaTheme="majorEastAsia" w:cs="Arial"/>
        <w:b/>
        <w:noProof/>
        <w:sz w:val="18"/>
        <w:szCs w:val="18"/>
      </w:rPr>
      <w:t>1</w:t>
    </w:r>
    <w:r w:rsidR="00CC05B7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E2" w:rsidRDefault="009774E2" w:rsidP="00B01072">
      <w:r>
        <w:separator/>
      </w:r>
    </w:p>
  </w:footnote>
  <w:footnote w:type="continuationSeparator" w:id="0">
    <w:p w:rsidR="009774E2" w:rsidRDefault="009774E2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6A8"/>
    <w:multiLevelType w:val="hybridMultilevel"/>
    <w:tmpl w:val="14AA1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474CD"/>
    <w:multiLevelType w:val="hybridMultilevel"/>
    <w:tmpl w:val="888E5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26D9C"/>
    <w:multiLevelType w:val="hybridMultilevel"/>
    <w:tmpl w:val="A2B8F1BA"/>
    <w:lvl w:ilvl="0" w:tplc="8A3237C4">
      <w:start w:val="1"/>
      <w:numFmt w:val="decimal"/>
      <w:lvlText w:val="(%1)"/>
      <w:lvlJc w:val="left"/>
      <w:pPr>
        <w:ind w:left="145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71" w:hanging="360"/>
      </w:pPr>
    </w:lvl>
    <w:lvl w:ilvl="2" w:tplc="1C09001B" w:tentative="1">
      <w:start w:val="1"/>
      <w:numFmt w:val="lowerRoman"/>
      <w:lvlText w:val="%3."/>
      <w:lvlJc w:val="right"/>
      <w:pPr>
        <w:ind w:left="2891" w:hanging="180"/>
      </w:pPr>
    </w:lvl>
    <w:lvl w:ilvl="3" w:tplc="1C09000F" w:tentative="1">
      <w:start w:val="1"/>
      <w:numFmt w:val="decimal"/>
      <w:lvlText w:val="%4."/>
      <w:lvlJc w:val="left"/>
      <w:pPr>
        <w:ind w:left="3611" w:hanging="360"/>
      </w:pPr>
    </w:lvl>
    <w:lvl w:ilvl="4" w:tplc="1C090019" w:tentative="1">
      <w:start w:val="1"/>
      <w:numFmt w:val="lowerLetter"/>
      <w:lvlText w:val="%5."/>
      <w:lvlJc w:val="left"/>
      <w:pPr>
        <w:ind w:left="4331" w:hanging="360"/>
      </w:pPr>
    </w:lvl>
    <w:lvl w:ilvl="5" w:tplc="1C09001B" w:tentative="1">
      <w:start w:val="1"/>
      <w:numFmt w:val="lowerRoman"/>
      <w:lvlText w:val="%6."/>
      <w:lvlJc w:val="right"/>
      <w:pPr>
        <w:ind w:left="5051" w:hanging="180"/>
      </w:pPr>
    </w:lvl>
    <w:lvl w:ilvl="6" w:tplc="1C09000F" w:tentative="1">
      <w:start w:val="1"/>
      <w:numFmt w:val="decimal"/>
      <w:lvlText w:val="%7."/>
      <w:lvlJc w:val="left"/>
      <w:pPr>
        <w:ind w:left="5771" w:hanging="360"/>
      </w:pPr>
    </w:lvl>
    <w:lvl w:ilvl="7" w:tplc="1C090019" w:tentative="1">
      <w:start w:val="1"/>
      <w:numFmt w:val="lowerLetter"/>
      <w:lvlText w:val="%8."/>
      <w:lvlJc w:val="left"/>
      <w:pPr>
        <w:ind w:left="6491" w:hanging="360"/>
      </w:pPr>
    </w:lvl>
    <w:lvl w:ilvl="8" w:tplc="1C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555892"/>
    <w:multiLevelType w:val="hybridMultilevel"/>
    <w:tmpl w:val="54DA969A"/>
    <w:lvl w:ilvl="0" w:tplc="1C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9">
    <w:nsid w:val="3C490BFC"/>
    <w:multiLevelType w:val="hybridMultilevel"/>
    <w:tmpl w:val="CBCA7A7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6B45B1"/>
    <w:multiLevelType w:val="hybridMultilevel"/>
    <w:tmpl w:val="2EDADAB2"/>
    <w:lvl w:ilvl="0" w:tplc="E2AA57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0E160A"/>
    <w:multiLevelType w:val="hybridMultilevel"/>
    <w:tmpl w:val="667AD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E3000"/>
    <w:multiLevelType w:val="hybridMultilevel"/>
    <w:tmpl w:val="6E80A616"/>
    <w:lvl w:ilvl="0" w:tplc="1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B13681"/>
    <w:multiLevelType w:val="hybridMultilevel"/>
    <w:tmpl w:val="6DCED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D9841AC"/>
    <w:multiLevelType w:val="hybridMultilevel"/>
    <w:tmpl w:val="4C10529A"/>
    <w:lvl w:ilvl="0" w:tplc="1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4C5C18"/>
    <w:multiLevelType w:val="hybridMultilevel"/>
    <w:tmpl w:val="7958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7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11"/>
  </w:num>
  <w:num w:numId="14">
    <w:abstractNumId w:val="18"/>
  </w:num>
  <w:num w:numId="15">
    <w:abstractNumId w:val="13"/>
  </w:num>
  <w:num w:numId="16">
    <w:abstractNumId w:val="16"/>
  </w:num>
  <w:num w:numId="17">
    <w:abstractNumId w:val="1"/>
  </w:num>
  <w:num w:numId="18">
    <w:abstractNumId w:val="14"/>
  </w:num>
  <w:num w:numId="1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O2tDA2MTA2NjAyMzJS0lEKTi0uzszPAykwqQUAbHKMmi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7372"/>
    <w:rsid w:val="00041696"/>
    <w:rsid w:val="00042525"/>
    <w:rsid w:val="00045D9F"/>
    <w:rsid w:val="00045EB3"/>
    <w:rsid w:val="000528E1"/>
    <w:rsid w:val="00053264"/>
    <w:rsid w:val="00054265"/>
    <w:rsid w:val="000574C9"/>
    <w:rsid w:val="00057AA2"/>
    <w:rsid w:val="00063548"/>
    <w:rsid w:val="000656CA"/>
    <w:rsid w:val="000709FD"/>
    <w:rsid w:val="00070AA3"/>
    <w:rsid w:val="00070C85"/>
    <w:rsid w:val="00074F49"/>
    <w:rsid w:val="00076BCC"/>
    <w:rsid w:val="0008103D"/>
    <w:rsid w:val="00083038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A6E29"/>
    <w:rsid w:val="000B1923"/>
    <w:rsid w:val="000B19CD"/>
    <w:rsid w:val="000B4241"/>
    <w:rsid w:val="000B4F40"/>
    <w:rsid w:val="000C5FC2"/>
    <w:rsid w:val="000C70FB"/>
    <w:rsid w:val="000D3E85"/>
    <w:rsid w:val="000D3F7C"/>
    <w:rsid w:val="000D41E1"/>
    <w:rsid w:val="000D5A5D"/>
    <w:rsid w:val="000D600B"/>
    <w:rsid w:val="000E0C57"/>
    <w:rsid w:val="000E1AD0"/>
    <w:rsid w:val="000E2889"/>
    <w:rsid w:val="000E3B52"/>
    <w:rsid w:val="000F0B2D"/>
    <w:rsid w:val="000F590B"/>
    <w:rsid w:val="001063A7"/>
    <w:rsid w:val="00106D04"/>
    <w:rsid w:val="00107822"/>
    <w:rsid w:val="00110181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153F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A5213"/>
    <w:rsid w:val="001B177D"/>
    <w:rsid w:val="001B3094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178BA"/>
    <w:rsid w:val="002229B7"/>
    <w:rsid w:val="002265CB"/>
    <w:rsid w:val="002265E0"/>
    <w:rsid w:val="0023195F"/>
    <w:rsid w:val="00232D48"/>
    <w:rsid w:val="00243357"/>
    <w:rsid w:val="002458D7"/>
    <w:rsid w:val="00257D56"/>
    <w:rsid w:val="00260575"/>
    <w:rsid w:val="0027383D"/>
    <w:rsid w:val="00275F2F"/>
    <w:rsid w:val="00282C44"/>
    <w:rsid w:val="002837A2"/>
    <w:rsid w:val="00291BC2"/>
    <w:rsid w:val="0029301E"/>
    <w:rsid w:val="00294275"/>
    <w:rsid w:val="00296C6F"/>
    <w:rsid w:val="002A3DCF"/>
    <w:rsid w:val="002A5D13"/>
    <w:rsid w:val="002B2F32"/>
    <w:rsid w:val="002B4DC4"/>
    <w:rsid w:val="002B7034"/>
    <w:rsid w:val="002B7305"/>
    <w:rsid w:val="002C175C"/>
    <w:rsid w:val="002C603A"/>
    <w:rsid w:val="002C7394"/>
    <w:rsid w:val="002E1AAC"/>
    <w:rsid w:val="002E6B86"/>
    <w:rsid w:val="00302C99"/>
    <w:rsid w:val="003031BE"/>
    <w:rsid w:val="003074FB"/>
    <w:rsid w:val="00307BEC"/>
    <w:rsid w:val="00311916"/>
    <w:rsid w:val="0031511F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AC2"/>
    <w:rsid w:val="0035503F"/>
    <w:rsid w:val="003577F4"/>
    <w:rsid w:val="00361E81"/>
    <w:rsid w:val="00367531"/>
    <w:rsid w:val="003718A9"/>
    <w:rsid w:val="003731CC"/>
    <w:rsid w:val="00382C94"/>
    <w:rsid w:val="00385CC5"/>
    <w:rsid w:val="003930E2"/>
    <w:rsid w:val="003A0AD7"/>
    <w:rsid w:val="003B1FAF"/>
    <w:rsid w:val="003B3F50"/>
    <w:rsid w:val="003D262F"/>
    <w:rsid w:val="003D3567"/>
    <w:rsid w:val="003D3867"/>
    <w:rsid w:val="003E21E3"/>
    <w:rsid w:val="003E2910"/>
    <w:rsid w:val="003E5694"/>
    <w:rsid w:val="003F3ABB"/>
    <w:rsid w:val="003F628A"/>
    <w:rsid w:val="003F6C7B"/>
    <w:rsid w:val="004079CA"/>
    <w:rsid w:val="00413C62"/>
    <w:rsid w:val="00432C4E"/>
    <w:rsid w:val="00433D3D"/>
    <w:rsid w:val="004342FE"/>
    <w:rsid w:val="0043545C"/>
    <w:rsid w:val="00435691"/>
    <w:rsid w:val="00440446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B1769"/>
    <w:rsid w:val="004B327A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E32E3"/>
    <w:rsid w:val="004E55F7"/>
    <w:rsid w:val="004E5E0B"/>
    <w:rsid w:val="004F329B"/>
    <w:rsid w:val="004F4F0B"/>
    <w:rsid w:val="004F5925"/>
    <w:rsid w:val="004F61F7"/>
    <w:rsid w:val="00513712"/>
    <w:rsid w:val="0052239F"/>
    <w:rsid w:val="00524D71"/>
    <w:rsid w:val="005271BF"/>
    <w:rsid w:val="00531D8A"/>
    <w:rsid w:val="005330F9"/>
    <w:rsid w:val="0053382B"/>
    <w:rsid w:val="00536224"/>
    <w:rsid w:val="00540DA6"/>
    <w:rsid w:val="005449EC"/>
    <w:rsid w:val="00550A0F"/>
    <w:rsid w:val="00550E45"/>
    <w:rsid w:val="00557577"/>
    <w:rsid w:val="00560E8F"/>
    <w:rsid w:val="00563D73"/>
    <w:rsid w:val="00570B4C"/>
    <w:rsid w:val="005716E6"/>
    <w:rsid w:val="00574AE0"/>
    <w:rsid w:val="0057746F"/>
    <w:rsid w:val="005776E5"/>
    <w:rsid w:val="00591850"/>
    <w:rsid w:val="005940D1"/>
    <w:rsid w:val="00594D86"/>
    <w:rsid w:val="005B1E2B"/>
    <w:rsid w:val="005B286F"/>
    <w:rsid w:val="005B2D19"/>
    <w:rsid w:val="005B3B26"/>
    <w:rsid w:val="005B44B7"/>
    <w:rsid w:val="005C570C"/>
    <w:rsid w:val="005C699E"/>
    <w:rsid w:val="005D1762"/>
    <w:rsid w:val="005D4543"/>
    <w:rsid w:val="005D5B0B"/>
    <w:rsid w:val="005D7673"/>
    <w:rsid w:val="005E19D9"/>
    <w:rsid w:val="005E2D86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5E8F"/>
    <w:rsid w:val="00606E21"/>
    <w:rsid w:val="00610252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5338"/>
    <w:rsid w:val="006576EF"/>
    <w:rsid w:val="00663533"/>
    <w:rsid w:val="00670BA5"/>
    <w:rsid w:val="00672FEE"/>
    <w:rsid w:val="00675570"/>
    <w:rsid w:val="00675938"/>
    <w:rsid w:val="00675C68"/>
    <w:rsid w:val="00683024"/>
    <w:rsid w:val="00684BB6"/>
    <w:rsid w:val="00685646"/>
    <w:rsid w:val="006914FB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E6EDC"/>
    <w:rsid w:val="006F2930"/>
    <w:rsid w:val="006F36F8"/>
    <w:rsid w:val="006F6CCD"/>
    <w:rsid w:val="00705DD0"/>
    <w:rsid w:val="00713D62"/>
    <w:rsid w:val="007144AF"/>
    <w:rsid w:val="0073270F"/>
    <w:rsid w:val="00737327"/>
    <w:rsid w:val="00741804"/>
    <w:rsid w:val="007422B3"/>
    <w:rsid w:val="00743527"/>
    <w:rsid w:val="00755DEC"/>
    <w:rsid w:val="0075656E"/>
    <w:rsid w:val="00760875"/>
    <w:rsid w:val="007625B5"/>
    <w:rsid w:val="007713CC"/>
    <w:rsid w:val="0077480B"/>
    <w:rsid w:val="00781562"/>
    <w:rsid w:val="00794233"/>
    <w:rsid w:val="007950DA"/>
    <w:rsid w:val="00795939"/>
    <w:rsid w:val="007A03D5"/>
    <w:rsid w:val="007A7318"/>
    <w:rsid w:val="007C4AFA"/>
    <w:rsid w:val="007E0072"/>
    <w:rsid w:val="007E3B7C"/>
    <w:rsid w:val="007E3EE3"/>
    <w:rsid w:val="007E4E3E"/>
    <w:rsid w:val="007E63B3"/>
    <w:rsid w:val="007F2807"/>
    <w:rsid w:val="007F44E3"/>
    <w:rsid w:val="007F5165"/>
    <w:rsid w:val="007F79A2"/>
    <w:rsid w:val="008039CD"/>
    <w:rsid w:val="00803A16"/>
    <w:rsid w:val="008232E5"/>
    <w:rsid w:val="00836EA6"/>
    <w:rsid w:val="008425A3"/>
    <w:rsid w:val="00847567"/>
    <w:rsid w:val="00854D28"/>
    <w:rsid w:val="0085572D"/>
    <w:rsid w:val="00860122"/>
    <w:rsid w:val="00870476"/>
    <w:rsid w:val="00870CEE"/>
    <w:rsid w:val="008717E7"/>
    <w:rsid w:val="00873D00"/>
    <w:rsid w:val="00873D6D"/>
    <w:rsid w:val="0088064A"/>
    <w:rsid w:val="00881332"/>
    <w:rsid w:val="008861C1"/>
    <w:rsid w:val="0089342B"/>
    <w:rsid w:val="008961F8"/>
    <w:rsid w:val="00897581"/>
    <w:rsid w:val="008A28F5"/>
    <w:rsid w:val="008A4354"/>
    <w:rsid w:val="008B3660"/>
    <w:rsid w:val="008C472C"/>
    <w:rsid w:val="008D1494"/>
    <w:rsid w:val="008D376A"/>
    <w:rsid w:val="008D5076"/>
    <w:rsid w:val="008F177A"/>
    <w:rsid w:val="008F3C78"/>
    <w:rsid w:val="009148F7"/>
    <w:rsid w:val="00915F23"/>
    <w:rsid w:val="00916D71"/>
    <w:rsid w:val="00926917"/>
    <w:rsid w:val="00926BCD"/>
    <w:rsid w:val="009335B8"/>
    <w:rsid w:val="00940E46"/>
    <w:rsid w:val="0094331D"/>
    <w:rsid w:val="00950999"/>
    <w:rsid w:val="00955183"/>
    <w:rsid w:val="00956AE8"/>
    <w:rsid w:val="009571E4"/>
    <w:rsid w:val="00957952"/>
    <w:rsid w:val="00961F99"/>
    <w:rsid w:val="00962BCD"/>
    <w:rsid w:val="00964E55"/>
    <w:rsid w:val="00970F77"/>
    <w:rsid w:val="00974E90"/>
    <w:rsid w:val="00976436"/>
    <w:rsid w:val="0097731B"/>
    <w:rsid w:val="009774E2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5D65"/>
    <w:rsid w:val="009B7DB2"/>
    <w:rsid w:val="009C7EB9"/>
    <w:rsid w:val="009D256C"/>
    <w:rsid w:val="009D55BB"/>
    <w:rsid w:val="009E20D1"/>
    <w:rsid w:val="009E4DF2"/>
    <w:rsid w:val="009E601E"/>
    <w:rsid w:val="009F0E7E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31F64"/>
    <w:rsid w:val="00A4432D"/>
    <w:rsid w:val="00A46014"/>
    <w:rsid w:val="00A50E27"/>
    <w:rsid w:val="00A5375C"/>
    <w:rsid w:val="00A62357"/>
    <w:rsid w:val="00A65DCC"/>
    <w:rsid w:val="00A67E77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2C8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379B"/>
    <w:rsid w:val="00AC58FE"/>
    <w:rsid w:val="00AC7137"/>
    <w:rsid w:val="00AD0F40"/>
    <w:rsid w:val="00AD22F6"/>
    <w:rsid w:val="00AD29D7"/>
    <w:rsid w:val="00AD36D1"/>
    <w:rsid w:val="00AE2566"/>
    <w:rsid w:val="00AE3D8F"/>
    <w:rsid w:val="00AF0931"/>
    <w:rsid w:val="00AF0D67"/>
    <w:rsid w:val="00AF1A17"/>
    <w:rsid w:val="00AF47A6"/>
    <w:rsid w:val="00AF4FA3"/>
    <w:rsid w:val="00AF7F16"/>
    <w:rsid w:val="00B0000D"/>
    <w:rsid w:val="00B01072"/>
    <w:rsid w:val="00B016B6"/>
    <w:rsid w:val="00B10DDB"/>
    <w:rsid w:val="00B10EA2"/>
    <w:rsid w:val="00B23D7D"/>
    <w:rsid w:val="00B267D4"/>
    <w:rsid w:val="00B27DA1"/>
    <w:rsid w:val="00B32F50"/>
    <w:rsid w:val="00B33183"/>
    <w:rsid w:val="00B35BD7"/>
    <w:rsid w:val="00B44E3D"/>
    <w:rsid w:val="00B510CE"/>
    <w:rsid w:val="00B5512C"/>
    <w:rsid w:val="00B56E2D"/>
    <w:rsid w:val="00B64EFC"/>
    <w:rsid w:val="00B71256"/>
    <w:rsid w:val="00B72C9B"/>
    <w:rsid w:val="00B75DFF"/>
    <w:rsid w:val="00B76EA0"/>
    <w:rsid w:val="00B8147F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BE5798"/>
    <w:rsid w:val="00C0091F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61078"/>
    <w:rsid w:val="00C72E84"/>
    <w:rsid w:val="00C734C8"/>
    <w:rsid w:val="00C82A60"/>
    <w:rsid w:val="00C94B70"/>
    <w:rsid w:val="00CA025E"/>
    <w:rsid w:val="00CA550E"/>
    <w:rsid w:val="00CB3BBC"/>
    <w:rsid w:val="00CC05B7"/>
    <w:rsid w:val="00CC07E1"/>
    <w:rsid w:val="00CC255F"/>
    <w:rsid w:val="00CC2ECC"/>
    <w:rsid w:val="00CC69B7"/>
    <w:rsid w:val="00CC7AF7"/>
    <w:rsid w:val="00CD0F90"/>
    <w:rsid w:val="00CE70D6"/>
    <w:rsid w:val="00CE74B8"/>
    <w:rsid w:val="00D00DEC"/>
    <w:rsid w:val="00D10DEB"/>
    <w:rsid w:val="00D133E8"/>
    <w:rsid w:val="00D15ADE"/>
    <w:rsid w:val="00D2038B"/>
    <w:rsid w:val="00D20CFA"/>
    <w:rsid w:val="00D26A6A"/>
    <w:rsid w:val="00D31524"/>
    <w:rsid w:val="00D3269F"/>
    <w:rsid w:val="00D377B6"/>
    <w:rsid w:val="00D41166"/>
    <w:rsid w:val="00D4264C"/>
    <w:rsid w:val="00D42FF6"/>
    <w:rsid w:val="00D43797"/>
    <w:rsid w:val="00D46DD1"/>
    <w:rsid w:val="00D47536"/>
    <w:rsid w:val="00D51778"/>
    <w:rsid w:val="00D51D6B"/>
    <w:rsid w:val="00D53CF9"/>
    <w:rsid w:val="00D55E3F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A6673"/>
    <w:rsid w:val="00DB2A96"/>
    <w:rsid w:val="00DB350C"/>
    <w:rsid w:val="00DB3BF4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1BED"/>
    <w:rsid w:val="00E23474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92F28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3FAE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D48CD"/>
    <w:rsid w:val="00FE516A"/>
    <w:rsid w:val="00FF4DEC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55B3-CFBC-48B7-95F6-9ADCF8DF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2019-10-22T09:53:00Z</cp:lastPrinted>
  <dcterms:created xsi:type="dcterms:W3CDTF">2019-11-05T08:46:00Z</dcterms:created>
  <dcterms:modified xsi:type="dcterms:W3CDTF">2019-11-05T08:46:00Z</dcterms:modified>
</cp:coreProperties>
</file>