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3903FF"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905D21">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905D21">
      <w:pPr>
        <w:jc w:val="center"/>
        <w:rPr>
          <w:rFonts w:ascii="Arial" w:hAnsi="Arial" w:cs="Arial"/>
          <w:b/>
        </w:rPr>
      </w:pPr>
      <w:r w:rsidRPr="00AE382F">
        <w:rPr>
          <w:rFonts w:ascii="Arial" w:hAnsi="Arial" w:cs="Arial"/>
          <w:b/>
        </w:rPr>
        <w:t>QUESTION FOR WRITTEN REPLY</w:t>
      </w:r>
    </w:p>
    <w:p w:rsidR="007252FF" w:rsidRPr="00AE382F" w:rsidRDefault="007252FF" w:rsidP="00905D21">
      <w:pPr>
        <w:jc w:val="center"/>
        <w:rPr>
          <w:rFonts w:ascii="Arial" w:hAnsi="Arial" w:cs="Arial"/>
          <w:b/>
        </w:rPr>
      </w:pPr>
      <w:r w:rsidRPr="00AE382F">
        <w:rPr>
          <w:rFonts w:ascii="Arial" w:hAnsi="Arial" w:cs="Arial"/>
          <w:b/>
        </w:rPr>
        <w:t xml:space="preserve">QUESTION NO.: </w:t>
      </w:r>
      <w:r w:rsidR="00BD62DC" w:rsidRPr="00AE382F">
        <w:rPr>
          <w:rFonts w:ascii="Arial" w:hAnsi="Arial" w:cs="Arial"/>
          <w:b/>
        </w:rPr>
        <w:t>1</w:t>
      </w:r>
      <w:r w:rsidR="00787410" w:rsidRPr="00AE382F">
        <w:rPr>
          <w:rFonts w:ascii="Arial" w:hAnsi="Arial" w:cs="Arial"/>
          <w:b/>
        </w:rPr>
        <w:t>0</w:t>
      </w:r>
      <w:r w:rsidR="00905D21">
        <w:rPr>
          <w:rFonts w:ascii="Arial" w:hAnsi="Arial" w:cs="Arial"/>
          <w:b/>
        </w:rPr>
        <w:t>60</w:t>
      </w:r>
    </w:p>
    <w:p w:rsidR="007252FF" w:rsidRPr="00AE382F" w:rsidRDefault="007252FF" w:rsidP="006C7F97">
      <w:pPr>
        <w:jc w:val="both"/>
        <w:rPr>
          <w:rFonts w:ascii="Arial" w:hAnsi="Arial" w:cs="Arial"/>
          <w:b/>
        </w:rPr>
      </w:pPr>
    </w:p>
    <w:p w:rsidR="00905D21" w:rsidRPr="00905D21" w:rsidRDefault="00905D21" w:rsidP="00AE382F">
      <w:pPr>
        <w:spacing w:before="100" w:beforeAutospacing="1" w:after="100" w:afterAutospacing="1"/>
        <w:ind w:left="720" w:hanging="720"/>
        <w:jc w:val="both"/>
        <w:rPr>
          <w:rFonts w:ascii="Arial" w:hAnsi="Arial" w:cs="Arial"/>
          <w:b/>
          <w:bCs/>
          <w:u w:val="single"/>
        </w:rPr>
      </w:pPr>
      <w:r w:rsidRPr="00905D21">
        <w:rPr>
          <w:rFonts w:ascii="Arial" w:hAnsi="Arial" w:cs="Arial"/>
          <w:b/>
          <w:bCs/>
          <w:u w:val="single"/>
        </w:rPr>
        <w:t>QUESTION:</w:t>
      </w:r>
    </w:p>
    <w:p w:rsidR="00AE382F" w:rsidRPr="00AE382F" w:rsidRDefault="00AE382F" w:rsidP="00AE382F">
      <w:pPr>
        <w:spacing w:before="100" w:beforeAutospacing="1" w:after="100" w:afterAutospacing="1"/>
        <w:ind w:left="720" w:hanging="720"/>
        <w:jc w:val="both"/>
        <w:rPr>
          <w:rFonts w:ascii="Arial" w:hAnsi="Arial" w:cs="Arial"/>
          <w:b/>
          <w:bCs/>
        </w:rPr>
      </w:pPr>
      <w:r w:rsidRPr="00AE382F">
        <w:rPr>
          <w:rFonts w:ascii="Arial" w:hAnsi="Arial" w:cs="Arial"/>
          <w:b/>
          <w:bCs/>
        </w:rPr>
        <w:t>1060.    Ms B M van Minnen (DA) to ask the Minister of Public Enterprises:</w:t>
      </w:r>
    </w:p>
    <w:p w:rsidR="00AE382F" w:rsidRPr="00AE382F" w:rsidRDefault="00AE382F" w:rsidP="00AE382F">
      <w:pPr>
        <w:spacing w:before="100" w:beforeAutospacing="1" w:after="100" w:afterAutospacing="1"/>
        <w:jc w:val="both"/>
        <w:rPr>
          <w:rFonts w:ascii="Arial" w:hAnsi="Arial" w:cs="Arial"/>
        </w:rPr>
      </w:pPr>
      <w:r w:rsidRPr="00AE382F">
        <w:rPr>
          <w:rFonts w:ascii="Arial" w:hAnsi="Arial" w:cs="Arial"/>
        </w:rPr>
        <w:t>(a) Is Denel undergoing a section 189 process with regard to its employees and (b) is it able to pay severance packages to employees?     NW1247E</w:t>
      </w:r>
    </w:p>
    <w:p w:rsidR="00905D21" w:rsidRDefault="00905D21" w:rsidP="00787410">
      <w:pPr>
        <w:spacing w:before="100" w:beforeAutospacing="1" w:after="100" w:afterAutospacing="1" w:line="360" w:lineRule="auto"/>
        <w:jc w:val="both"/>
        <w:rPr>
          <w:rFonts w:ascii="Arial" w:hAnsi="Arial" w:cs="Arial"/>
          <w:b/>
          <w:u w:val="single"/>
        </w:rPr>
      </w:pPr>
    </w:p>
    <w:p w:rsidR="00787410" w:rsidRPr="00905D21" w:rsidRDefault="00905D21" w:rsidP="00787410">
      <w:pPr>
        <w:spacing w:before="100" w:beforeAutospacing="1" w:after="100" w:afterAutospacing="1" w:line="360" w:lineRule="auto"/>
        <w:jc w:val="both"/>
        <w:rPr>
          <w:rFonts w:ascii="Arial" w:hAnsi="Arial" w:cs="Arial"/>
          <w:b/>
          <w:u w:val="single"/>
        </w:rPr>
      </w:pPr>
      <w:r w:rsidRPr="00905D21">
        <w:rPr>
          <w:rFonts w:ascii="Arial" w:hAnsi="Arial" w:cs="Arial"/>
          <w:b/>
          <w:u w:val="single"/>
        </w:rPr>
        <w:t>REPLY:</w:t>
      </w:r>
    </w:p>
    <w:p w:rsidR="002F5E77" w:rsidRPr="00787410" w:rsidRDefault="00905D21" w:rsidP="00787410">
      <w:pPr>
        <w:tabs>
          <w:tab w:val="left" w:pos="6930"/>
        </w:tabs>
        <w:spacing w:line="360" w:lineRule="auto"/>
        <w:rPr>
          <w:rFonts w:ascii="Arial" w:hAnsi="Arial" w:cs="Arial"/>
          <w:b/>
        </w:rPr>
      </w:pPr>
      <w:r>
        <w:rPr>
          <w:rFonts w:ascii="Arial" w:hAnsi="Arial" w:cs="Arial"/>
          <w:b/>
        </w:rPr>
        <w:t xml:space="preserve">According to the information received from </w:t>
      </w:r>
      <w:r w:rsidR="006F453A" w:rsidRPr="00787410">
        <w:rPr>
          <w:rFonts w:ascii="Arial" w:hAnsi="Arial" w:cs="Arial"/>
          <w:b/>
        </w:rPr>
        <w:t>Denel</w:t>
      </w:r>
      <w:r w:rsidR="0097033F" w:rsidRPr="00787410">
        <w:rPr>
          <w:rFonts w:ascii="Arial" w:hAnsi="Arial" w:cs="Arial"/>
          <w:b/>
        </w:rPr>
        <w:t>:</w:t>
      </w:r>
      <w:r w:rsidR="002A0C5B" w:rsidRPr="00787410">
        <w:rPr>
          <w:rFonts w:ascii="Arial" w:hAnsi="Arial" w:cs="Arial"/>
          <w:b/>
        </w:rPr>
        <w:tab/>
      </w:r>
    </w:p>
    <w:p w:rsidR="00AE382F" w:rsidRPr="00AE382F" w:rsidRDefault="00AE382F" w:rsidP="00AE382F">
      <w:pPr>
        <w:pStyle w:val="Default"/>
        <w:spacing w:after="155" w:line="360" w:lineRule="auto"/>
        <w:ind w:left="360" w:hanging="360"/>
        <w:jc w:val="both"/>
        <w:rPr>
          <w:rFonts w:ascii="Arial" w:hAnsi="Arial" w:cs="Arial"/>
        </w:rPr>
      </w:pPr>
      <w:r w:rsidRPr="00AE382F">
        <w:rPr>
          <w:rFonts w:ascii="Arial" w:hAnsi="Arial" w:cs="Arial"/>
        </w:rPr>
        <w:t>(a)</w:t>
      </w:r>
      <w:r w:rsidRPr="00AE382F">
        <w:rPr>
          <w:rFonts w:ascii="Arial" w:hAnsi="Arial" w:cs="Arial"/>
        </w:rPr>
        <w:tab/>
        <w:t>In October 2020, Denel gave s189 notices to Organized Labour as well as the relevant applications for Commission for Conciliation, Mediation and Arbitration (CCMA) facilitation on the process in two (2) of its divisions and one (1) subsidiary on operational requirements. The CCMA facilitated process has been carried out in line with the provisions of the Labour Relations Act no 66 of 1995.</w:t>
      </w:r>
    </w:p>
    <w:p w:rsidR="00AE382F" w:rsidRDefault="00AE382F" w:rsidP="00AE382F">
      <w:pPr>
        <w:pStyle w:val="Default"/>
        <w:spacing w:after="155" w:line="360" w:lineRule="auto"/>
        <w:ind w:left="360" w:hanging="360"/>
        <w:jc w:val="both"/>
        <w:rPr>
          <w:rFonts w:ascii="Arial" w:hAnsi="Arial" w:cs="Arial"/>
        </w:rPr>
      </w:pPr>
      <w:r w:rsidRPr="00AE382F">
        <w:rPr>
          <w:rFonts w:ascii="Arial" w:hAnsi="Arial" w:cs="Arial"/>
        </w:rPr>
        <w:t>(b)</w:t>
      </w:r>
      <w:r w:rsidRPr="00AE382F">
        <w:rPr>
          <w:rFonts w:ascii="Arial" w:hAnsi="Arial" w:cs="Arial"/>
        </w:rPr>
        <w:tab/>
      </w:r>
      <w:r w:rsidR="00A75343" w:rsidRPr="00AE382F">
        <w:rPr>
          <w:rFonts w:ascii="Arial" w:hAnsi="Arial" w:cs="Arial"/>
        </w:rPr>
        <w:t xml:space="preserve">Denel is fully aware of its obligation to pay severance pay as stipulated in the Labour Relations Act. </w:t>
      </w:r>
      <w:r w:rsidRPr="00AE382F">
        <w:rPr>
          <w:rFonts w:ascii="Arial" w:hAnsi="Arial" w:cs="Arial"/>
        </w:rPr>
        <w:t xml:space="preserve">Section 189(3) of the Labour Relations Act stipulates matters of consultation, which among others include Severance Pay. To the extent that the consultation process has not been concluded, Denel is unable to state if it is able to pay the Severance Packages, which are still the subject of consultations. </w:t>
      </w:r>
    </w:p>
    <w:p w:rsidR="00AE382F" w:rsidRDefault="00AE382F" w:rsidP="00AE382F">
      <w:pPr>
        <w:pStyle w:val="Default"/>
        <w:spacing w:after="155" w:line="360" w:lineRule="auto"/>
        <w:ind w:left="360" w:hanging="360"/>
        <w:jc w:val="both"/>
        <w:rPr>
          <w:rFonts w:ascii="Arial" w:hAnsi="Arial" w:cs="Arial"/>
        </w:rPr>
      </w:pPr>
    </w:p>
    <w:p w:rsidR="00AE382F" w:rsidRPr="00AE382F" w:rsidRDefault="00AE382F" w:rsidP="00AE382F">
      <w:pPr>
        <w:pStyle w:val="Default"/>
        <w:spacing w:after="155" w:line="360" w:lineRule="auto"/>
        <w:ind w:left="360" w:hanging="360"/>
        <w:jc w:val="both"/>
        <w:rPr>
          <w:rFonts w:ascii="Arial" w:hAnsi="Arial" w:cs="Arial"/>
        </w:rPr>
      </w:pPr>
    </w:p>
    <w:p w:rsidR="00AE382F" w:rsidRPr="00AE382F" w:rsidRDefault="0093504F" w:rsidP="00AE382F">
      <w:pPr>
        <w:pStyle w:val="Default"/>
        <w:spacing w:after="155" w:line="360" w:lineRule="auto"/>
        <w:ind w:left="360"/>
        <w:jc w:val="both"/>
        <w:rPr>
          <w:rFonts w:ascii="Arial" w:hAnsi="Arial" w:cs="Arial"/>
        </w:rPr>
      </w:pPr>
      <w:r>
        <w:rPr>
          <w:rFonts w:ascii="Arial" w:hAnsi="Arial" w:cs="Arial"/>
        </w:rPr>
        <w:t xml:space="preserve">Recognizing </w:t>
      </w:r>
      <w:r w:rsidR="00AE382F" w:rsidRPr="00AE382F">
        <w:rPr>
          <w:rFonts w:ascii="Arial" w:hAnsi="Arial" w:cs="Arial"/>
        </w:rPr>
        <w:t>the liquidity challenges that Denel continues to experience to date</w:t>
      </w:r>
      <w:r>
        <w:rPr>
          <w:rFonts w:ascii="Arial" w:hAnsi="Arial" w:cs="Arial"/>
        </w:rPr>
        <w:t>,</w:t>
      </w:r>
      <w:r w:rsidR="00AE382F" w:rsidRPr="00AE382F">
        <w:rPr>
          <w:rFonts w:ascii="Arial" w:hAnsi="Arial" w:cs="Arial"/>
        </w:rPr>
        <w:t xml:space="preserve"> and</w:t>
      </w:r>
      <w:r>
        <w:rPr>
          <w:rFonts w:ascii="Arial" w:hAnsi="Arial" w:cs="Arial"/>
        </w:rPr>
        <w:t>,</w:t>
      </w:r>
      <w:r w:rsidR="00AE382F" w:rsidRPr="00AE382F">
        <w:rPr>
          <w:rFonts w:ascii="Arial" w:hAnsi="Arial" w:cs="Arial"/>
        </w:rPr>
        <w:t xml:space="preserve"> in the event the consultation process is concluded, the parties may have to consult and reach consensus on the period within which severance pay may have to be paid.</w:t>
      </w:r>
    </w:p>
    <w:p w:rsidR="00AE382F" w:rsidRPr="00AE382F" w:rsidRDefault="00AE382F" w:rsidP="00AE382F">
      <w:pPr>
        <w:spacing w:line="360" w:lineRule="auto"/>
        <w:jc w:val="both"/>
        <w:rPr>
          <w:rFonts w:ascii="Arial" w:hAnsi="Arial" w:cs="Arial"/>
          <w:b/>
        </w:rPr>
      </w:pPr>
    </w:p>
    <w:p w:rsidR="00787410" w:rsidRPr="00787410" w:rsidRDefault="00787410" w:rsidP="00787410">
      <w:pPr>
        <w:spacing w:line="360" w:lineRule="auto"/>
        <w:rPr>
          <w:rFonts w:cs="Arial"/>
        </w:rPr>
      </w:pPr>
    </w:p>
    <w:p w:rsidR="00BD62DC" w:rsidRPr="00787410" w:rsidRDefault="00BD62DC" w:rsidP="00787410">
      <w:pPr>
        <w:pStyle w:val="Default"/>
        <w:spacing w:after="155" w:line="360" w:lineRule="auto"/>
        <w:ind w:left="360" w:hanging="360"/>
        <w:jc w:val="both"/>
        <w:rPr>
          <w:rFonts w:ascii="Arial" w:hAnsi="Arial" w:cs="Arial"/>
        </w:rPr>
      </w:pPr>
    </w:p>
    <w:p w:rsidR="006574A8" w:rsidRPr="00787410" w:rsidRDefault="006574A8" w:rsidP="00787410">
      <w:pPr>
        <w:spacing w:line="360" w:lineRule="auto"/>
        <w:jc w:val="both"/>
        <w:rPr>
          <w:rFonts w:ascii="Arial" w:hAnsi="Arial" w:cs="Arial"/>
        </w:rPr>
      </w:pPr>
    </w:p>
    <w:p w:rsidR="00DE4554" w:rsidRPr="00787410" w:rsidRDefault="00DE4554" w:rsidP="00787410">
      <w:pPr>
        <w:spacing w:line="360" w:lineRule="auto"/>
        <w:contextualSpacing/>
        <w:jc w:val="both"/>
        <w:rPr>
          <w:rFonts w:ascii="Arial" w:hAnsi="Arial" w:cs="Arial"/>
          <w:b/>
          <w:bCs/>
          <w:lang w:val="en-ZA"/>
        </w:rPr>
      </w:pPr>
      <w:r w:rsidRPr="00787410">
        <w:rPr>
          <w:rFonts w:ascii="Arial" w:hAnsi="Arial" w:cs="Arial"/>
          <w:b/>
          <w:bCs/>
          <w:lang w:val="en-ZA"/>
        </w:rPr>
        <w:t xml:space="preserve">Remarks:      </w:t>
      </w:r>
      <w:r w:rsidRPr="00787410">
        <w:rPr>
          <w:rFonts w:ascii="Arial" w:hAnsi="Arial" w:cs="Arial"/>
          <w:b/>
          <w:bCs/>
          <w:lang w:val="en-ZA"/>
        </w:rPr>
        <w:tab/>
      </w:r>
      <w:r w:rsidRPr="00787410">
        <w:rPr>
          <w:rFonts w:ascii="Arial" w:hAnsi="Arial" w:cs="Arial"/>
          <w:b/>
          <w:bCs/>
          <w:lang w:val="en-ZA"/>
        </w:rPr>
        <w:tab/>
      </w:r>
      <w:r w:rsidRPr="00787410">
        <w:rPr>
          <w:rFonts w:ascii="Arial" w:hAnsi="Arial" w:cs="Arial"/>
          <w:b/>
          <w:bCs/>
          <w:lang w:val="en-ZA"/>
        </w:rPr>
        <w:tab/>
      </w:r>
      <w:r w:rsidRPr="00787410">
        <w:rPr>
          <w:rFonts w:ascii="Arial" w:hAnsi="Arial" w:cs="Arial"/>
          <w:b/>
          <w:bCs/>
          <w:lang w:val="en-ZA"/>
        </w:rPr>
        <w:tab/>
        <w:t>Reply: Approved / Not Approved</w:t>
      </w:r>
    </w:p>
    <w:p w:rsidR="0026535D" w:rsidRPr="00787410" w:rsidRDefault="0026535D" w:rsidP="00787410">
      <w:pPr>
        <w:spacing w:line="360" w:lineRule="auto"/>
        <w:ind w:left="569" w:hanging="1"/>
        <w:rPr>
          <w:rFonts w:ascii="Tahoma" w:hAnsi="Tahoma" w:cs="Tahoma"/>
          <w:b/>
        </w:rPr>
      </w:pPr>
    </w:p>
    <w:p w:rsidR="0026535D" w:rsidRPr="00787410" w:rsidRDefault="0026535D" w:rsidP="00787410">
      <w:pPr>
        <w:pStyle w:val="TAHOMA"/>
        <w:spacing w:line="360" w:lineRule="auto"/>
        <w:rPr>
          <w:sz w:val="24"/>
          <w:szCs w:val="24"/>
        </w:rPr>
      </w:pPr>
    </w:p>
    <w:p w:rsidR="00251886" w:rsidRPr="00787410" w:rsidRDefault="00251886" w:rsidP="00787410">
      <w:pPr>
        <w:tabs>
          <w:tab w:val="left" w:pos="567"/>
        </w:tabs>
        <w:spacing w:line="360" w:lineRule="auto"/>
        <w:ind w:left="567" w:hanging="567"/>
        <w:jc w:val="both"/>
        <w:rPr>
          <w:rFonts w:ascii="Arial" w:hAnsi="Arial" w:cs="Arial"/>
          <w:b/>
          <w:bCs/>
        </w:rPr>
      </w:pPr>
    </w:p>
    <w:p w:rsidR="007776BB" w:rsidRPr="00787410" w:rsidRDefault="00BD62DC" w:rsidP="00787410">
      <w:pPr>
        <w:spacing w:line="360" w:lineRule="auto"/>
        <w:jc w:val="both"/>
        <w:rPr>
          <w:rFonts w:ascii="Arial" w:hAnsi="Arial" w:cs="Arial"/>
          <w:b/>
        </w:rPr>
      </w:pPr>
      <w:r w:rsidRPr="00787410">
        <w:rPr>
          <w:rFonts w:ascii="Arial" w:hAnsi="Arial" w:cs="Arial"/>
          <w:b/>
        </w:rPr>
        <w:t>Kgathatso Tlhakudi</w:t>
      </w:r>
      <w:r w:rsidR="0097033F" w:rsidRPr="00787410">
        <w:rPr>
          <w:rFonts w:ascii="Arial" w:hAnsi="Arial" w:cs="Arial"/>
          <w:b/>
        </w:rPr>
        <w:tab/>
      </w:r>
      <w:r w:rsidR="00CE6D28" w:rsidRPr="00787410">
        <w:rPr>
          <w:rFonts w:ascii="Arial" w:hAnsi="Arial" w:cs="Arial"/>
          <w:b/>
        </w:rPr>
        <w:tab/>
      </w:r>
      <w:r w:rsidR="007776BB" w:rsidRPr="00787410">
        <w:rPr>
          <w:rFonts w:ascii="Arial" w:hAnsi="Arial" w:cs="Arial"/>
          <w:b/>
        </w:rPr>
        <w:tab/>
      </w:r>
      <w:r w:rsidR="0097033F" w:rsidRPr="00787410">
        <w:rPr>
          <w:rFonts w:ascii="Arial" w:hAnsi="Arial" w:cs="Arial"/>
          <w:b/>
        </w:rPr>
        <w:t xml:space="preserve"> </w:t>
      </w:r>
      <w:r w:rsidR="00DF7D97" w:rsidRPr="00787410">
        <w:rPr>
          <w:rFonts w:ascii="Arial" w:hAnsi="Arial" w:cs="Arial"/>
          <w:b/>
        </w:rPr>
        <w:t>P</w:t>
      </w:r>
      <w:r w:rsidR="00767A5F" w:rsidRPr="00787410">
        <w:rPr>
          <w:rFonts w:ascii="Arial" w:hAnsi="Arial" w:cs="Arial"/>
          <w:b/>
        </w:rPr>
        <w:t xml:space="preserve"> J </w:t>
      </w:r>
      <w:r w:rsidR="00DF7D97" w:rsidRPr="00787410">
        <w:rPr>
          <w:rFonts w:ascii="Arial" w:hAnsi="Arial" w:cs="Arial"/>
          <w:b/>
        </w:rPr>
        <w:t>Gordhan</w:t>
      </w:r>
      <w:r w:rsidR="007776BB" w:rsidRPr="00787410">
        <w:rPr>
          <w:rFonts w:ascii="Arial" w:hAnsi="Arial" w:cs="Arial"/>
          <w:b/>
        </w:rPr>
        <w:t>, MP</w:t>
      </w:r>
      <w:r w:rsidR="007776BB" w:rsidRPr="00787410">
        <w:rPr>
          <w:rFonts w:ascii="Arial" w:hAnsi="Arial" w:cs="Arial"/>
          <w:b/>
        </w:rPr>
        <w:tab/>
      </w:r>
      <w:r w:rsidR="007776BB" w:rsidRPr="00787410">
        <w:rPr>
          <w:rFonts w:ascii="Arial" w:hAnsi="Arial" w:cs="Arial"/>
          <w:b/>
        </w:rPr>
        <w:tab/>
      </w:r>
    </w:p>
    <w:p w:rsidR="007776BB" w:rsidRPr="00787410" w:rsidRDefault="007776BB" w:rsidP="00787410">
      <w:pPr>
        <w:spacing w:line="360" w:lineRule="auto"/>
        <w:jc w:val="both"/>
        <w:rPr>
          <w:rFonts w:ascii="Arial" w:hAnsi="Arial" w:cs="Arial"/>
          <w:b/>
        </w:rPr>
      </w:pPr>
      <w:r w:rsidRPr="00787410">
        <w:rPr>
          <w:rFonts w:ascii="Arial" w:hAnsi="Arial" w:cs="Arial"/>
          <w:b/>
        </w:rPr>
        <w:t>Director-General</w:t>
      </w:r>
      <w:r w:rsidRPr="00787410">
        <w:rPr>
          <w:rFonts w:ascii="Arial" w:hAnsi="Arial" w:cs="Arial"/>
          <w:b/>
        </w:rPr>
        <w:tab/>
      </w:r>
      <w:r w:rsidRPr="00787410">
        <w:rPr>
          <w:rFonts w:ascii="Arial" w:hAnsi="Arial" w:cs="Arial"/>
          <w:b/>
        </w:rPr>
        <w:tab/>
      </w:r>
      <w:r w:rsidR="00BD62DC" w:rsidRPr="00787410">
        <w:rPr>
          <w:rFonts w:ascii="Arial" w:hAnsi="Arial" w:cs="Arial"/>
          <w:b/>
        </w:rPr>
        <w:tab/>
      </w:r>
      <w:r w:rsidR="00787410">
        <w:rPr>
          <w:rFonts w:ascii="Arial" w:hAnsi="Arial" w:cs="Arial"/>
          <w:b/>
        </w:rPr>
        <w:tab/>
      </w:r>
      <w:r w:rsidRPr="00787410">
        <w:rPr>
          <w:rFonts w:ascii="Arial" w:hAnsi="Arial" w:cs="Arial"/>
          <w:b/>
        </w:rPr>
        <w:t xml:space="preserve"> Minister of Public Enterprises</w:t>
      </w:r>
    </w:p>
    <w:p w:rsidR="00093C4D" w:rsidRPr="00787410" w:rsidRDefault="00093C4D" w:rsidP="00787410">
      <w:pPr>
        <w:spacing w:line="360" w:lineRule="auto"/>
        <w:ind w:left="426" w:hanging="426"/>
        <w:jc w:val="both"/>
        <w:rPr>
          <w:rFonts w:ascii="Arial" w:hAnsi="Arial" w:cs="Arial"/>
          <w:b/>
        </w:rPr>
      </w:pPr>
    </w:p>
    <w:p w:rsidR="001002CA" w:rsidRDefault="007776BB" w:rsidP="00787410">
      <w:pPr>
        <w:spacing w:line="360" w:lineRule="auto"/>
        <w:jc w:val="both"/>
        <w:rPr>
          <w:rFonts w:ascii="Arial" w:hAnsi="Arial" w:cs="Arial"/>
          <w:b/>
        </w:rPr>
      </w:pPr>
      <w:r w:rsidRPr="00787410">
        <w:rPr>
          <w:rFonts w:ascii="Arial" w:hAnsi="Arial" w:cs="Arial"/>
          <w:b/>
        </w:rPr>
        <w:t>Date:</w:t>
      </w:r>
      <w:r w:rsidRPr="00787410">
        <w:rPr>
          <w:rFonts w:ascii="Arial" w:hAnsi="Arial" w:cs="Arial"/>
          <w:b/>
        </w:rPr>
        <w:tab/>
      </w:r>
      <w:r w:rsidRPr="00787410">
        <w:rPr>
          <w:rFonts w:ascii="Arial" w:hAnsi="Arial" w:cs="Arial"/>
          <w:b/>
        </w:rPr>
        <w:tab/>
      </w:r>
      <w:r w:rsidRPr="00787410">
        <w:rPr>
          <w:rFonts w:ascii="Arial" w:hAnsi="Arial" w:cs="Arial"/>
          <w:b/>
        </w:rPr>
        <w:tab/>
      </w:r>
      <w:r w:rsidRPr="00787410">
        <w:rPr>
          <w:rFonts w:ascii="Arial" w:hAnsi="Arial" w:cs="Arial"/>
          <w:b/>
        </w:rPr>
        <w:tab/>
      </w:r>
      <w:r w:rsidRPr="00787410">
        <w:rPr>
          <w:rFonts w:ascii="Arial" w:hAnsi="Arial" w:cs="Arial"/>
          <w:b/>
        </w:rPr>
        <w:tab/>
      </w:r>
      <w:r w:rsidR="00AE382F">
        <w:rPr>
          <w:rFonts w:ascii="Arial" w:hAnsi="Arial" w:cs="Arial"/>
          <w:b/>
        </w:rPr>
        <w:tab/>
      </w:r>
      <w:r w:rsidR="0097033F" w:rsidRPr="00787410">
        <w:rPr>
          <w:rFonts w:ascii="Arial" w:hAnsi="Arial" w:cs="Arial"/>
          <w:b/>
        </w:rPr>
        <w:t xml:space="preserve"> </w:t>
      </w:r>
      <w:r w:rsidRPr="00787410">
        <w:rPr>
          <w:rFonts w:ascii="Arial" w:hAnsi="Arial" w:cs="Arial"/>
          <w:b/>
        </w:rPr>
        <w:t>Date:</w:t>
      </w:r>
      <w:bookmarkStart w:id="0" w:name="_GoBack"/>
      <w:bookmarkEnd w:id="0"/>
    </w:p>
    <w:p w:rsidR="00AE382F" w:rsidRPr="00277EB1" w:rsidRDefault="00AE382F" w:rsidP="00AE382F">
      <w:pPr>
        <w:rPr>
          <w:rFonts w:cs="Arial"/>
          <w:szCs w:val="22"/>
        </w:rPr>
      </w:pPr>
    </w:p>
    <w:p w:rsidR="00AE382F" w:rsidRPr="00277EB1" w:rsidRDefault="00AE382F" w:rsidP="00AE382F">
      <w:pPr>
        <w:rPr>
          <w:rFonts w:cs="Arial"/>
          <w:szCs w:val="22"/>
        </w:rPr>
      </w:pPr>
    </w:p>
    <w:sectPr w:rsidR="00AE382F" w:rsidRPr="00277EB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FB" w:rsidRDefault="008D7FFB" w:rsidP="002F7B6C">
      <w:r>
        <w:separator/>
      </w:r>
    </w:p>
  </w:endnote>
  <w:endnote w:type="continuationSeparator" w:id="0">
    <w:p w:rsidR="008D7FFB" w:rsidRDefault="008D7FFB"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3903F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FB" w:rsidRDefault="008D7FFB" w:rsidP="002F7B6C">
      <w:r>
        <w:separator/>
      </w:r>
    </w:p>
  </w:footnote>
  <w:footnote w:type="continuationSeparator" w:id="0">
    <w:p w:rsidR="008D7FFB" w:rsidRDefault="008D7FFB"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8D4838">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7">
    <w:nsid w:val="2D4850F2"/>
    <w:multiLevelType w:val="multilevel"/>
    <w:tmpl w:val="1C09001D"/>
    <w:numStyleLink w:val="Style1"/>
  </w:abstractNum>
  <w:abstractNum w:abstractNumId="8">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0">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1">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2">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26">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28">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19"/>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9"/>
  </w:num>
  <w:num w:numId="10">
    <w:abstractNumId w:val="13"/>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7"/>
  </w:num>
  <w:num w:numId="16">
    <w:abstractNumId w:val="5"/>
  </w:num>
  <w:num w:numId="17">
    <w:abstractNumId w:val="10"/>
  </w:num>
  <w:num w:numId="18">
    <w:abstractNumId w:val="27"/>
  </w:num>
  <w:num w:numId="19">
    <w:abstractNumId w:val="21"/>
  </w:num>
  <w:num w:numId="20">
    <w:abstractNumId w:val="6"/>
  </w:num>
  <w:num w:numId="21">
    <w:abstractNumId w:val="2"/>
  </w:num>
  <w:num w:numId="22">
    <w:abstractNumId w:val="25"/>
  </w:num>
  <w:num w:numId="23">
    <w:abstractNumId w:val="24"/>
  </w:num>
  <w:num w:numId="24">
    <w:abstractNumId w:val="28"/>
  </w:num>
  <w:num w:numId="25">
    <w:abstractNumId w:val="0"/>
  </w:num>
  <w:num w:numId="26">
    <w:abstractNumId w:val="20"/>
  </w:num>
  <w:num w:numId="27">
    <w:abstractNumId w:val="7"/>
  </w:num>
  <w:num w:numId="28">
    <w:abstractNumId w:val="26"/>
  </w:num>
  <w:num w:numId="2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0CC"/>
    <w:rsid w:val="00304D24"/>
    <w:rsid w:val="003237C9"/>
    <w:rsid w:val="00335B3C"/>
    <w:rsid w:val="00344369"/>
    <w:rsid w:val="003502E6"/>
    <w:rsid w:val="00363591"/>
    <w:rsid w:val="00375892"/>
    <w:rsid w:val="003828D9"/>
    <w:rsid w:val="003903FF"/>
    <w:rsid w:val="0039441D"/>
    <w:rsid w:val="00397F90"/>
    <w:rsid w:val="003A0568"/>
    <w:rsid w:val="003A7F30"/>
    <w:rsid w:val="003B1C15"/>
    <w:rsid w:val="003D307D"/>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D4838"/>
    <w:rsid w:val="008D7FFB"/>
    <w:rsid w:val="008E0C4E"/>
    <w:rsid w:val="008E17D4"/>
    <w:rsid w:val="008E4203"/>
    <w:rsid w:val="008F31BE"/>
    <w:rsid w:val="008F4E54"/>
    <w:rsid w:val="008F620E"/>
    <w:rsid w:val="008F7C84"/>
    <w:rsid w:val="00900509"/>
    <w:rsid w:val="00905D21"/>
    <w:rsid w:val="009101EB"/>
    <w:rsid w:val="00933A9C"/>
    <w:rsid w:val="0093504F"/>
    <w:rsid w:val="0095093B"/>
    <w:rsid w:val="00956CC7"/>
    <w:rsid w:val="0097033F"/>
    <w:rsid w:val="00983134"/>
    <w:rsid w:val="00983745"/>
    <w:rsid w:val="009B001C"/>
    <w:rsid w:val="009B6FD4"/>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75343"/>
    <w:rsid w:val="00A82983"/>
    <w:rsid w:val="00A940D5"/>
    <w:rsid w:val="00A96A47"/>
    <w:rsid w:val="00AA2FC2"/>
    <w:rsid w:val="00AB1C3D"/>
    <w:rsid w:val="00AC40F3"/>
    <w:rsid w:val="00AD1830"/>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2DC"/>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1060"/>
    <w:rsid w:val="00E83DB6"/>
    <w:rsid w:val="00E9248E"/>
    <w:rsid w:val="00E92965"/>
    <w:rsid w:val="00EA3573"/>
    <w:rsid w:val="00EA3DFB"/>
    <w:rsid w:val="00ED3319"/>
    <w:rsid w:val="00EE1975"/>
    <w:rsid w:val="00EE3D6F"/>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6173-24FF-4147-BE61-D8B7DA8C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2021-05-19T05:39:00Z</cp:lastPrinted>
  <dcterms:created xsi:type="dcterms:W3CDTF">2021-08-05T11:30:00Z</dcterms:created>
  <dcterms:modified xsi:type="dcterms:W3CDTF">2021-08-05T11:30:00Z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000000009336D1C12D4D0046878667334586BC40070063DF6E4B393449499EEA02FD7183CFED00000000010C000063DF6E4B393449499EEA02FD7183CFED00037A18DCBA0000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