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0446F4">
        <w:rPr>
          <w:rFonts w:ascii="Arial" w:hAnsi="Arial" w:cs="Arial"/>
          <w:b/>
          <w:sz w:val="22"/>
          <w:szCs w:val="22"/>
          <w:u w:val="single"/>
        </w:rPr>
        <w:t>106</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9B2AB0">
        <w:rPr>
          <w:rFonts w:ascii="Arial" w:hAnsi="Arial" w:cs="Arial"/>
          <w:b/>
          <w:sz w:val="22"/>
          <w:szCs w:val="22"/>
          <w:u w:val="single"/>
        </w:rPr>
        <w:t>7 FEBRUARY 2019</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9B2AB0">
        <w:rPr>
          <w:rFonts w:ascii="Arial" w:hAnsi="Arial" w:cs="Arial"/>
          <w:b/>
          <w:sz w:val="22"/>
          <w:szCs w:val="22"/>
          <w:u w:val="single"/>
        </w:rPr>
        <w:t>1</w:t>
      </w:r>
      <w:r w:rsidRPr="00990959">
        <w:rPr>
          <w:rFonts w:ascii="Arial" w:hAnsi="Arial" w:cs="Arial"/>
          <w:b/>
          <w:sz w:val="22"/>
          <w:szCs w:val="22"/>
          <w:u w:val="single"/>
        </w:rPr>
        <w:t>)</w:t>
      </w:r>
    </w:p>
    <w:p w:rsidR="000446F4" w:rsidRPr="000446F4" w:rsidRDefault="000446F4" w:rsidP="000446F4">
      <w:pPr>
        <w:spacing w:before="100" w:beforeAutospacing="1" w:after="100" w:afterAutospacing="1"/>
        <w:ind w:left="720" w:hanging="720"/>
        <w:jc w:val="both"/>
        <w:outlineLvl w:val="0"/>
        <w:rPr>
          <w:rFonts w:ascii="Arial" w:eastAsia="Calibri" w:hAnsi="Arial" w:cs="Arial"/>
          <w:b/>
          <w:sz w:val="22"/>
          <w:szCs w:val="22"/>
          <w:lang w:val="en-ZA"/>
        </w:rPr>
      </w:pPr>
      <w:r w:rsidRPr="000446F4">
        <w:rPr>
          <w:rFonts w:ascii="Arial" w:hAnsi="Arial" w:cs="Arial"/>
          <w:b/>
          <w:sz w:val="22"/>
          <w:szCs w:val="22"/>
        </w:rPr>
        <w:t>106.</w:t>
      </w:r>
      <w:r w:rsidRPr="000446F4">
        <w:rPr>
          <w:rFonts w:ascii="Arial" w:hAnsi="Arial" w:cs="Arial"/>
          <w:b/>
          <w:sz w:val="22"/>
          <w:szCs w:val="22"/>
        </w:rPr>
        <w:tab/>
      </w:r>
      <w:r w:rsidRPr="000446F4">
        <w:rPr>
          <w:rFonts w:ascii="Arial" w:eastAsia="Calibri" w:hAnsi="Arial" w:cs="Arial"/>
          <w:b/>
          <w:sz w:val="22"/>
          <w:szCs w:val="22"/>
          <w:lang w:val="en-ZA"/>
        </w:rPr>
        <w:t>Mr M Waters (DA) to ask the Minister of Water and Sanitation:</w:t>
      </w:r>
    </w:p>
    <w:p w:rsidR="000446F4" w:rsidRPr="000446F4" w:rsidRDefault="000446F4" w:rsidP="006D3564">
      <w:pPr>
        <w:spacing w:before="100" w:beforeAutospacing="1" w:after="100" w:afterAutospacing="1"/>
        <w:ind w:left="1701" w:hanging="992"/>
        <w:jc w:val="both"/>
        <w:rPr>
          <w:rFonts w:ascii="Arial" w:eastAsia="Calibri" w:hAnsi="Arial" w:cs="Arial"/>
          <w:sz w:val="22"/>
          <w:szCs w:val="22"/>
          <w:lang w:val="en-ZA"/>
        </w:rPr>
      </w:pPr>
      <w:r w:rsidRPr="000446F4">
        <w:rPr>
          <w:rFonts w:ascii="Arial" w:eastAsia="Calibri" w:hAnsi="Arial" w:cs="Arial"/>
          <w:sz w:val="22"/>
          <w:szCs w:val="22"/>
          <w:lang w:val="en-ZA"/>
        </w:rPr>
        <w:t>(1)</w:t>
      </w:r>
      <w:r w:rsidRPr="000446F4">
        <w:rPr>
          <w:rFonts w:ascii="Arial" w:eastAsia="Calibri" w:hAnsi="Arial" w:cs="Arial"/>
          <w:sz w:val="22"/>
          <w:szCs w:val="22"/>
          <w:lang w:val="en-ZA"/>
        </w:rPr>
        <w:tab/>
        <w:t xml:space="preserve">With regard to the reply to question 3753 of 12 December 2018, what number of sewerage </w:t>
      </w:r>
      <w:r w:rsidRPr="000446F4">
        <w:rPr>
          <w:rFonts w:ascii="Arial" w:hAnsi="Arial" w:cs="Arial"/>
          <w:sz w:val="22"/>
          <w:szCs w:val="22"/>
          <w:lang w:val="af-ZA"/>
        </w:rPr>
        <w:t>processing</w:t>
      </w:r>
      <w:r w:rsidRPr="000446F4">
        <w:rPr>
          <w:rFonts w:ascii="Arial" w:eastAsia="Calibri" w:hAnsi="Arial" w:cs="Arial"/>
          <w:sz w:val="22"/>
          <w:szCs w:val="22"/>
          <w:lang w:val="en-ZA"/>
        </w:rPr>
        <w:t xml:space="preserve"> plants (a) were inspected since 1 July to 30 September 2018 and (b) passed the inspection;</w:t>
      </w:r>
    </w:p>
    <w:p w:rsidR="000446F4" w:rsidRPr="000446F4" w:rsidRDefault="000446F4" w:rsidP="006D3564">
      <w:pPr>
        <w:spacing w:before="100" w:beforeAutospacing="1" w:after="100" w:afterAutospacing="1"/>
        <w:ind w:left="1701" w:hanging="992"/>
        <w:jc w:val="both"/>
        <w:rPr>
          <w:rFonts w:ascii="Arial" w:eastAsia="Calibri" w:hAnsi="Arial" w:cs="Arial"/>
          <w:sz w:val="22"/>
          <w:szCs w:val="22"/>
          <w:lang w:val="en-ZA"/>
        </w:rPr>
      </w:pPr>
      <w:r w:rsidRPr="000446F4">
        <w:rPr>
          <w:rFonts w:ascii="Arial" w:eastAsia="Calibri" w:hAnsi="Arial" w:cs="Arial"/>
          <w:sz w:val="22"/>
          <w:szCs w:val="22"/>
          <w:lang w:val="en-ZA"/>
        </w:rPr>
        <w:t>(2)</w:t>
      </w:r>
      <w:r w:rsidRPr="000446F4">
        <w:rPr>
          <w:rFonts w:ascii="Arial" w:eastAsia="Calibri" w:hAnsi="Arial" w:cs="Arial"/>
          <w:sz w:val="22"/>
          <w:szCs w:val="22"/>
          <w:lang w:val="en-ZA"/>
        </w:rPr>
        <w:tab/>
      </w:r>
      <w:proofErr w:type="gramStart"/>
      <w:r w:rsidRPr="000446F4">
        <w:rPr>
          <w:rFonts w:ascii="Arial" w:eastAsia="Calibri" w:hAnsi="Arial" w:cs="Arial"/>
          <w:sz w:val="22"/>
          <w:szCs w:val="22"/>
          <w:lang w:val="en-ZA"/>
        </w:rPr>
        <w:t>what</w:t>
      </w:r>
      <w:proofErr w:type="gramEnd"/>
      <w:r w:rsidRPr="000446F4">
        <w:rPr>
          <w:rFonts w:ascii="Arial" w:eastAsia="Calibri" w:hAnsi="Arial" w:cs="Arial"/>
          <w:sz w:val="22"/>
          <w:szCs w:val="22"/>
          <w:lang w:val="en-ZA"/>
        </w:rPr>
        <w:t xml:space="preserve"> number of sewerage processing plants (a) were inspected during (i) 1 January to 31 March 2018, (ii) 1 April to 30 June 2018 and (iii) 1 October to 31 December 2018 and (b)(i) </w:t>
      </w:r>
      <w:r w:rsidRPr="000446F4">
        <w:rPr>
          <w:rFonts w:ascii="Arial" w:hAnsi="Arial" w:cs="Arial"/>
          <w:sz w:val="22"/>
          <w:szCs w:val="22"/>
          <w:lang w:val="af-ZA"/>
        </w:rPr>
        <w:t>failed</w:t>
      </w:r>
      <w:r w:rsidRPr="000446F4">
        <w:rPr>
          <w:rFonts w:ascii="Arial" w:eastAsia="Calibri" w:hAnsi="Arial" w:cs="Arial"/>
          <w:sz w:val="22"/>
          <w:szCs w:val="22"/>
          <w:lang w:val="en-ZA"/>
        </w:rPr>
        <w:t xml:space="preserve"> and (ii) passed the inspection;</w:t>
      </w:r>
    </w:p>
    <w:p w:rsidR="000446F4" w:rsidRPr="000446F4" w:rsidRDefault="000446F4" w:rsidP="006D3564">
      <w:pPr>
        <w:spacing w:before="100" w:beforeAutospacing="1" w:after="100" w:afterAutospacing="1"/>
        <w:ind w:left="1701" w:hanging="992"/>
        <w:jc w:val="both"/>
        <w:rPr>
          <w:rFonts w:ascii="Arial" w:eastAsia="Calibri" w:hAnsi="Arial" w:cs="Arial"/>
          <w:sz w:val="22"/>
          <w:szCs w:val="22"/>
          <w:lang w:val="en-ZA"/>
        </w:rPr>
      </w:pPr>
      <w:r w:rsidRPr="000446F4">
        <w:rPr>
          <w:rFonts w:ascii="Arial" w:eastAsia="Calibri" w:hAnsi="Arial" w:cs="Arial"/>
          <w:sz w:val="22"/>
          <w:szCs w:val="22"/>
          <w:lang w:val="en-ZA"/>
        </w:rPr>
        <w:t>(3)</w:t>
      </w:r>
      <w:r w:rsidRPr="000446F4">
        <w:rPr>
          <w:rFonts w:ascii="Arial" w:eastAsia="Calibri" w:hAnsi="Arial" w:cs="Arial"/>
          <w:sz w:val="22"/>
          <w:szCs w:val="22"/>
          <w:lang w:val="en-ZA"/>
        </w:rPr>
        <w:tab/>
        <w:t xml:space="preserve">with reference to the letter in Annexure B, did the Siyathemba Local Municipality make </w:t>
      </w:r>
      <w:r w:rsidRPr="000446F4">
        <w:rPr>
          <w:rFonts w:ascii="Arial" w:hAnsi="Arial" w:cs="Arial"/>
          <w:sz w:val="22"/>
          <w:szCs w:val="22"/>
          <w:lang w:val="af-ZA"/>
        </w:rPr>
        <w:t>written</w:t>
      </w:r>
      <w:r w:rsidRPr="000446F4">
        <w:rPr>
          <w:rFonts w:ascii="Arial" w:eastAsia="Calibri" w:hAnsi="Arial" w:cs="Arial"/>
          <w:sz w:val="22"/>
          <w:szCs w:val="22"/>
          <w:lang w:val="en-ZA"/>
        </w:rPr>
        <w:t xml:space="preserve"> representation to his department within the 14-day period providing no compelling reasons for his department not to exercise its powers; if so, what reasons were given;</w:t>
      </w:r>
    </w:p>
    <w:p w:rsidR="009B2AB0" w:rsidRPr="009B2AB0" w:rsidRDefault="000446F4" w:rsidP="006D3564">
      <w:pPr>
        <w:spacing w:before="100" w:beforeAutospacing="1" w:after="100" w:afterAutospacing="1"/>
        <w:ind w:left="1701" w:hanging="992"/>
        <w:jc w:val="both"/>
        <w:rPr>
          <w:rFonts w:ascii="Arial" w:eastAsia="Calibri" w:hAnsi="Arial" w:cs="Arial"/>
          <w:sz w:val="16"/>
          <w:szCs w:val="16"/>
          <w:lang w:val="en-ZA"/>
        </w:rPr>
      </w:pPr>
      <w:r w:rsidRPr="000446F4">
        <w:rPr>
          <w:rFonts w:ascii="Arial" w:eastAsia="Calibri" w:hAnsi="Arial" w:cs="Arial"/>
          <w:sz w:val="22"/>
          <w:szCs w:val="22"/>
          <w:lang w:val="en-ZA"/>
        </w:rPr>
        <w:t>(4)</w:t>
      </w:r>
      <w:r w:rsidRPr="000446F4">
        <w:rPr>
          <w:rFonts w:ascii="Arial" w:eastAsia="Calibri" w:hAnsi="Arial" w:cs="Arial"/>
          <w:sz w:val="22"/>
          <w:szCs w:val="22"/>
          <w:lang w:val="en-ZA"/>
        </w:rPr>
        <w:tab/>
      </w:r>
      <w:proofErr w:type="gramStart"/>
      <w:r w:rsidRPr="000446F4">
        <w:rPr>
          <w:rFonts w:ascii="Arial" w:eastAsia="Calibri" w:hAnsi="Arial" w:cs="Arial"/>
          <w:sz w:val="22"/>
          <w:szCs w:val="22"/>
          <w:lang w:val="en-ZA"/>
        </w:rPr>
        <w:t>what</w:t>
      </w:r>
      <w:proofErr w:type="gramEnd"/>
      <w:r w:rsidRPr="000446F4">
        <w:rPr>
          <w:rFonts w:ascii="Arial" w:eastAsia="Calibri" w:hAnsi="Arial" w:cs="Arial"/>
          <w:sz w:val="22"/>
          <w:szCs w:val="22"/>
          <w:lang w:val="en-ZA"/>
        </w:rPr>
        <w:t xml:space="preserve"> number of municipalities were given non-compliance letters?</w:t>
      </w:r>
      <w:r w:rsidRPr="000446F4">
        <w:rPr>
          <w:rFonts w:ascii="Arial" w:eastAsia="Calibri" w:hAnsi="Arial" w:cs="Arial"/>
          <w:sz w:val="22"/>
          <w:szCs w:val="22"/>
          <w:lang w:val="en-ZA"/>
        </w:rPr>
        <w:tab/>
      </w:r>
      <w:r w:rsidR="006A056C">
        <w:rPr>
          <w:rFonts w:ascii="Arial" w:eastAsia="Calibri" w:hAnsi="Arial" w:cs="Arial"/>
          <w:sz w:val="22"/>
          <w:szCs w:val="22"/>
          <w:lang w:val="en-ZA"/>
        </w:rPr>
        <w:tab/>
      </w:r>
      <w:r w:rsidRPr="000446F4">
        <w:rPr>
          <w:rFonts w:ascii="Arial" w:eastAsia="Calibri" w:hAnsi="Arial" w:cs="Arial"/>
          <w:sz w:val="16"/>
          <w:szCs w:val="16"/>
          <w:lang w:val="en-ZA"/>
        </w:rPr>
        <w:t>NW111E</w:t>
      </w:r>
    </w:p>
    <w:p w:rsidR="00B425C7" w:rsidRPr="00990959" w:rsidRDefault="008F6257" w:rsidP="00B425C7">
      <w:pPr>
        <w:jc w:val="center"/>
        <w:rPr>
          <w:rFonts w:ascii="Arial" w:hAnsi="Arial" w:cs="Arial"/>
          <w:sz w:val="22"/>
          <w:szCs w:val="22"/>
        </w:rPr>
      </w:pPr>
      <w:r w:rsidRPr="008F6257">
        <w:rPr>
          <w:rFonts w:ascii="Arial" w:hAnsi="Arial" w:cs="Arial"/>
          <w:sz w:val="22"/>
          <w:szCs w:val="22"/>
        </w:rPr>
        <w:t>---00O00---</w:t>
      </w:r>
    </w:p>
    <w:p w:rsidR="006D3564" w:rsidRDefault="006D3564" w:rsidP="006D3564">
      <w:pPr>
        <w:tabs>
          <w:tab w:val="left" w:pos="6105"/>
        </w:tabs>
        <w:spacing w:before="240"/>
        <w:contextualSpacing/>
        <w:jc w:val="both"/>
        <w:rPr>
          <w:rFonts w:ascii="Arial" w:hAnsi="Arial" w:cs="Arial"/>
          <w:b/>
          <w:bCs/>
          <w:sz w:val="22"/>
          <w:szCs w:val="22"/>
        </w:rPr>
      </w:pPr>
    </w:p>
    <w:p w:rsidR="00B425C7" w:rsidRDefault="00B425C7" w:rsidP="006D3564">
      <w:pPr>
        <w:tabs>
          <w:tab w:val="left" w:pos="6105"/>
        </w:tabs>
        <w:spacing w:before="240"/>
        <w:contextualSpacing/>
        <w:jc w:val="both"/>
        <w:rPr>
          <w:rFonts w:ascii="Arial" w:hAnsi="Arial" w:cs="Arial"/>
          <w:b/>
          <w:bCs/>
          <w:sz w:val="22"/>
          <w:szCs w:val="22"/>
        </w:rPr>
      </w:pPr>
      <w:r w:rsidRPr="00990959">
        <w:rPr>
          <w:rFonts w:ascii="Arial" w:hAnsi="Arial" w:cs="Arial"/>
          <w:b/>
          <w:bCs/>
          <w:sz w:val="22"/>
          <w:szCs w:val="22"/>
        </w:rPr>
        <w:t>THE MINISTER OF WATER AND SANITATION</w:t>
      </w:r>
    </w:p>
    <w:p w:rsidR="006D3564" w:rsidRPr="006D3564" w:rsidRDefault="006D3564" w:rsidP="006D3564">
      <w:pPr>
        <w:tabs>
          <w:tab w:val="left" w:pos="6105"/>
        </w:tabs>
        <w:spacing w:before="240"/>
        <w:contextualSpacing/>
        <w:jc w:val="both"/>
        <w:rPr>
          <w:rFonts w:ascii="Arial" w:hAnsi="Arial" w:cs="Arial"/>
          <w:b/>
          <w:bCs/>
          <w:sz w:val="22"/>
          <w:szCs w:val="22"/>
        </w:rPr>
      </w:pPr>
    </w:p>
    <w:p w:rsidR="005B7777" w:rsidRDefault="006D3564" w:rsidP="006D3564">
      <w:pPr>
        <w:tabs>
          <w:tab w:val="left" w:pos="1701"/>
        </w:tabs>
        <w:ind w:left="1701" w:hanging="992"/>
        <w:contextualSpacing/>
        <w:jc w:val="both"/>
        <w:rPr>
          <w:rFonts w:ascii="Arial" w:hAnsi="Arial" w:cs="Arial"/>
          <w:sz w:val="22"/>
          <w:szCs w:val="22"/>
        </w:rPr>
      </w:pPr>
      <w:r>
        <w:rPr>
          <w:rFonts w:ascii="Arial" w:hAnsi="Arial" w:cs="Arial"/>
          <w:sz w:val="22"/>
          <w:szCs w:val="22"/>
        </w:rPr>
        <w:t>(1)</w:t>
      </w:r>
      <w:r w:rsidR="005B7777" w:rsidRPr="006D3564">
        <w:rPr>
          <w:rFonts w:ascii="Arial" w:hAnsi="Arial" w:cs="Arial"/>
          <w:sz w:val="22"/>
          <w:szCs w:val="22"/>
        </w:rPr>
        <w:t xml:space="preserve">(a) </w:t>
      </w:r>
      <w:r>
        <w:rPr>
          <w:rFonts w:ascii="Arial" w:hAnsi="Arial" w:cs="Arial"/>
          <w:sz w:val="22"/>
          <w:szCs w:val="22"/>
        </w:rPr>
        <w:tab/>
      </w:r>
      <w:r w:rsidR="005B7777" w:rsidRPr="006D3564">
        <w:rPr>
          <w:rFonts w:ascii="Arial" w:hAnsi="Arial" w:cs="Arial"/>
          <w:sz w:val="22"/>
          <w:szCs w:val="22"/>
        </w:rPr>
        <w:t xml:space="preserve">The number of sewerage processing plants inspected in relation to question 3573 of 12 December 2018 is a total of </w:t>
      </w:r>
      <w:r w:rsidRPr="006D3564">
        <w:rPr>
          <w:rFonts w:ascii="Arial" w:hAnsi="Arial" w:cs="Arial"/>
          <w:sz w:val="22"/>
          <w:szCs w:val="22"/>
        </w:rPr>
        <w:t>forty</w:t>
      </w:r>
      <w:r w:rsidR="005B7777" w:rsidRPr="006D3564">
        <w:rPr>
          <w:rFonts w:ascii="Arial" w:hAnsi="Arial" w:cs="Arial"/>
          <w:sz w:val="22"/>
          <w:szCs w:val="22"/>
        </w:rPr>
        <w:t xml:space="preserve"> three (43) see attached </w:t>
      </w:r>
      <w:r w:rsidR="005B7777" w:rsidRPr="006D3564">
        <w:rPr>
          <w:rFonts w:ascii="Arial" w:hAnsi="Arial" w:cs="Arial"/>
          <w:b/>
          <w:sz w:val="22"/>
          <w:szCs w:val="22"/>
        </w:rPr>
        <w:t>Annexure A</w:t>
      </w:r>
      <w:r w:rsidR="005B7777" w:rsidRPr="006D3564">
        <w:rPr>
          <w:rFonts w:ascii="Arial" w:hAnsi="Arial" w:cs="Arial"/>
          <w:sz w:val="22"/>
          <w:szCs w:val="22"/>
        </w:rPr>
        <w:t>.</w:t>
      </w:r>
    </w:p>
    <w:p w:rsidR="005B49D0" w:rsidRDefault="005B49D0" w:rsidP="006D3564">
      <w:pPr>
        <w:tabs>
          <w:tab w:val="left" w:pos="1701"/>
        </w:tabs>
        <w:ind w:left="1701" w:hanging="992"/>
        <w:contextualSpacing/>
        <w:jc w:val="both"/>
        <w:rPr>
          <w:rFonts w:ascii="Arial" w:hAnsi="Arial" w:cs="Arial"/>
          <w:sz w:val="22"/>
          <w:szCs w:val="22"/>
        </w:rPr>
      </w:pPr>
    </w:p>
    <w:p w:rsidR="005B49D0" w:rsidRDefault="005B49D0" w:rsidP="006D3564">
      <w:pPr>
        <w:tabs>
          <w:tab w:val="left" w:pos="1701"/>
        </w:tabs>
        <w:ind w:left="1701" w:hanging="992"/>
        <w:contextualSpacing/>
        <w:jc w:val="both"/>
        <w:rPr>
          <w:rFonts w:ascii="Arial" w:hAnsi="Arial" w:cs="Arial"/>
          <w:sz w:val="22"/>
          <w:szCs w:val="22"/>
        </w:rPr>
      </w:pPr>
      <w:r>
        <w:rPr>
          <w:rFonts w:ascii="Arial" w:hAnsi="Arial" w:cs="Arial"/>
          <w:sz w:val="22"/>
          <w:szCs w:val="22"/>
        </w:rPr>
        <w:t>(1)(b)</w:t>
      </w:r>
      <w:r>
        <w:rPr>
          <w:rFonts w:ascii="Arial" w:hAnsi="Arial" w:cs="Arial"/>
          <w:sz w:val="22"/>
          <w:szCs w:val="22"/>
        </w:rPr>
        <w:tab/>
      </w:r>
      <w:r w:rsidRPr="005B49D0">
        <w:rPr>
          <w:rFonts w:ascii="Arial" w:hAnsi="Arial" w:cs="Arial"/>
          <w:sz w:val="22"/>
          <w:szCs w:val="22"/>
        </w:rPr>
        <w:t>T</w:t>
      </w:r>
      <w:r>
        <w:rPr>
          <w:rFonts w:ascii="Arial" w:hAnsi="Arial" w:cs="Arial"/>
          <w:sz w:val="22"/>
          <w:szCs w:val="22"/>
        </w:rPr>
        <w:t xml:space="preserve">he Inspections referred to are </w:t>
      </w:r>
      <w:r w:rsidRPr="005B49D0">
        <w:rPr>
          <w:rFonts w:ascii="Arial" w:hAnsi="Arial" w:cs="Arial"/>
          <w:sz w:val="22"/>
          <w:szCs w:val="22"/>
        </w:rPr>
        <w:t>conducted to determine functionality and treatment efficacy of the sewerage processing plants. During the inspections the Inspector looks for any deficiencies in the process and if any are encountered the Inspector makes recommendations for implementation by the Water Services Authorities</w:t>
      </w:r>
      <w:r w:rsidR="00D23B9B">
        <w:rPr>
          <w:rFonts w:ascii="Arial" w:hAnsi="Arial" w:cs="Arial"/>
          <w:sz w:val="22"/>
          <w:szCs w:val="22"/>
        </w:rPr>
        <w:t xml:space="preserve">. </w:t>
      </w:r>
    </w:p>
    <w:p w:rsidR="006D3564" w:rsidRPr="006D3564" w:rsidRDefault="006D3564" w:rsidP="006D3564">
      <w:pPr>
        <w:tabs>
          <w:tab w:val="left" w:pos="1701"/>
        </w:tabs>
        <w:ind w:left="1701" w:hanging="992"/>
        <w:contextualSpacing/>
        <w:jc w:val="both"/>
        <w:rPr>
          <w:rFonts w:ascii="Arial" w:hAnsi="Arial" w:cs="Arial"/>
          <w:sz w:val="22"/>
          <w:szCs w:val="22"/>
        </w:rPr>
      </w:pPr>
    </w:p>
    <w:p w:rsidR="00AB267D" w:rsidRDefault="00AB267D" w:rsidP="006D3564">
      <w:pPr>
        <w:tabs>
          <w:tab w:val="left" w:pos="1701"/>
        </w:tabs>
        <w:ind w:left="1701" w:hanging="992"/>
        <w:contextualSpacing/>
        <w:jc w:val="both"/>
        <w:rPr>
          <w:rFonts w:ascii="Arial" w:hAnsi="Arial" w:cs="Arial"/>
          <w:sz w:val="22"/>
          <w:szCs w:val="22"/>
        </w:rPr>
      </w:pPr>
      <w:r>
        <w:rPr>
          <w:rFonts w:ascii="Arial" w:hAnsi="Arial" w:cs="Arial"/>
          <w:sz w:val="22"/>
          <w:szCs w:val="22"/>
        </w:rPr>
        <w:t>(2</w:t>
      </w:r>
      <w:r w:rsidR="006D3564">
        <w:rPr>
          <w:rFonts w:ascii="Arial" w:hAnsi="Arial" w:cs="Arial"/>
          <w:sz w:val="22"/>
          <w:szCs w:val="22"/>
        </w:rPr>
        <w:t>)</w:t>
      </w:r>
      <w:r>
        <w:rPr>
          <w:rFonts w:ascii="Arial" w:hAnsi="Arial" w:cs="Arial"/>
          <w:sz w:val="22"/>
          <w:szCs w:val="22"/>
        </w:rPr>
        <w:t>(a</w:t>
      </w:r>
      <w:r w:rsidR="005B7777" w:rsidRPr="006D3564">
        <w:rPr>
          <w:rFonts w:ascii="Arial" w:hAnsi="Arial" w:cs="Arial"/>
          <w:sz w:val="22"/>
          <w:szCs w:val="22"/>
        </w:rPr>
        <w:t>)</w:t>
      </w:r>
      <w:r>
        <w:rPr>
          <w:rFonts w:ascii="Arial" w:hAnsi="Arial" w:cs="Arial"/>
          <w:sz w:val="22"/>
          <w:szCs w:val="22"/>
        </w:rPr>
        <w:t>(i)</w:t>
      </w:r>
      <w:r>
        <w:rPr>
          <w:rFonts w:ascii="Arial" w:hAnsi="Arial" w:cs="Arial"/>
          <w:sz w:val="22"/>
          <w:szCs w:val="22"/>
        </w:rPr>
        <w:tab/>
      </w:r>
      <w:r w:rsidR="005B49D0">
        <w:rPr>
          <w:rFonts w:ascii="Arial" w:hAnsi="Arial" w:cs="Arial"/>
          <w:sz w:val="22"/>
          <w:szCs w:val="22"/>
        </w:rPr>
        <w:t xml:space="preserve">A </w:t>
      </w:r>
      <w:r w:rsidR="005B49D0" w:rsidRPr="005B49D0">
        <w:rPr>
          <w:rFonts w:ascii="Arial" w:hAnsi="Arial" w:cs="Arial"/>
          <w:sz w:val="22"/>
          <w:szCs w:val="22"/>
        </w:rPr>
        <w:t xml:space="preserve">total of </w:t>
      </w:r>
      <w:r w:rsidR="005B49D0">
        <w:rPr>
          <w:rFonts w:ascii="Arial" w:hAnsi="Arial" w:cs="Arial"/>
          <w:sz w:val="22"/>
          <w:szCs w:val="22"/>
        </w:rPr>
        <w:t>114</w:t>
      </w:r>
      <w:r w:rsidR="005B49D0" w:rsidRPr="005B49D0">
        <w:rPr>
          <w:rFonts w:ascii="Arial" w:hAnsi="Arial" w:cs="Arial"/>
          <w:sz w:val="22"/>
          <w:szCs w:val="22"/>
        </w:rPr>
        <w:t xml:space="preserve"> sewerage processing pl</w:t>
      </w:r>
      <w:r w:rsidR="005B49D0">
        <w:rPr>
          <w:rFonts w:ascii="Arial" w:hAnsi="Arial" w:cs="Arial"/>
          <w:sz w:val="22"/>
          <w:szCs w:val="22"/>
        </w:rPr>
        <w:t xml:space="preserve">ans were inspected January to March 2018 </w:t>
      </w:r>
      <w:r w:rsidR="005B49D0" w:rsidRPr="006D3564">
        <w:rPr>
          <w:rFonts w:ascii="Arial" w:hAnsi="Arial" w:cs="Arial"/>
          <w:sz w:val="22"/>
          <w:szCs w:val="22"/>
        </w:rPr>
        <w:t xml:space="preserve">see attached </w:t>
      </w:r>
      <w:r w:rsidR="005B49D0" w:rsidRPr="006D3564">
        <w:rPr>
          <w:rFonts w:ascii="Arial" w:hAnsi="Arial" w:cs="Arial"/>
          <w:b/>
          <w:sz w:val="22"/>
          <w:szCs w:val="22"/>
        </w:rPr>
        <w:t>Annexure A</w:t>
      </w:r>
      <w:r w:rsidR="005B49D0">
        <w:rPr>
          <w:rFonts w:ascii="Arial" w:hAnsi="Arial" w:cs="Arial"/>
          <w:sz w:val="22"/>
          <w:szCs w:val="22"/>
        </w:rPr>
        <w:t xml:space="preserve">. </w:t>
      </w:r>
    </w:p>
    <w:p w:rsidR="00AB267D" w:rsidRDefault="00AB267D" w:rsidP="006D3564">
      <w:pPr>
        <w:tabs>
          <w:tab w:val="left" w:pos="1701"/>
        </w:tabs>
        <w:ind w:left="1701" w:hanging="992"/>
        <w:contextualSpacing/>
        <w:jc w:val="both"/>
        <w:rPr>
          <w:rFonts w:ascii="Arial" w:hAnsi="Arial" w:cs="Arial"/>
          <w:sz w:val="22"/>
          <w:szCs w:val="22"/>
        </w:rPr>
      </w:pPr>
    </w:p>
    <w:p w:rsidR="005B7777" w:rsidRDefault="00AB267D" w:rsidP="006D3564">
      <w:pPr>
        <w:tabs>
          <w:tab w:val="left" w:pos="1701"/>
        </w:tabs>
        <w:ind w:left="1701" w:hanging="992"/>
        <w:contextualSpacing/>
        <w:jc w:val="both"/>
        <w:rPr>
          <w:rFonts w:ascii="Arial" w:hAnsi="Arial" w:cs="Arial"/>
          <w:sz w:val="22"/>
          <w:szCs w:val="22"/>
        </w:rPr>
      </w:pPr>
      <w:r>
        <w:rPr>
          <w:rFonts w:ascii="Arial" w:hAnsi="Arial" w:cs="Arial"/>
          <w:sz w:val="22"/>
          <w:szCs w:val="22"/>
        </w:rPr>
        <w:t>(2)(a)(ii)</w:t>
      </w:r>
      <w:r w:rsidR="005B7777" w:rsidRPr="006D3564">
        <w:rPr>
          <w:rFonts w:ascii="Arial" w:hAnsi="Arial" w:cs="Arial"/>
          <w:sz w:val="22"/>
          <w:szCs w:val="22"/>
        </w:rPr>
        <w:t xml:space="preserve"> </w:t>
      </w:r>
      <w:r w:rsidR="006D3564">
        <w:rPr>
          <w:rFonts w:ascii="Arial" w:hAnsi="Arial" w:cs="Arial"/>
          <w:sz w:val="22"/>
          <w:szCs w:val="22"/>
        </w:rPr>
        <w:tab/>
      </w:r>
      <w:r>
        <w:rPr>
          <w:rFonts w:ascii="Arial" w:hAnsi="Arial" w:cs="Arial"/>
          <w:sz w:val="22"/>
          <w:szCs w:val="22"/>
        </w:rPr>
        <w:t>A total of 82 sewerage processing p</w:t>
      </w:r>
      <w:r w:rsidR="005B49D0">
        <w:rPr>
          <w:rFonts w:ascii="Arial" w:hAnsi="Arial" w:cs="Arial"/>
          <w:sz w:val="22"/>
          <w:szCs w:val="22"/>
        </w:rPr>
        <w:t>lans were inspected 1 April to June 2018</w:t>
      </w:r>
      <w:r w:rsidR="005B49D0" w:rsidRPr="005B49D0">
        <w:rPr>
          <w:rFonts w:ascii="Arial" w:hAnsi="Arial" w:cs="Arial"/>
          <w:sz w:val="22"/>
          <w:szCs w:val="22"/>
        </w:rPr>
        <w:t xml:space="preserve"> </w:t>
      </w:r>
      <w:r w:rsidR="005B49D0" w:rsidRPr="006D3564">
        <w:rPr>
          <w:rFonts w:ascii="Arial" w:hAnsi="Arial" w:cs="Arial"/>
          <w:sz w:val="22"/>
          <w:szCs w:val="22"/>
        </w:rPr>
        <w:t xml:space="preserve">see attached </w:t>
      </w:r>
      <w:r w:rsidR="005B49D0" w:rsidRPr="006D3564">
        <w:rPr>
          <w:rFonts w:ascii="Arial" w:hAnsi="Arial" w:cs="Arial"/>
          <w:b/>
          <w:sz w:val="22"/>
          <w:szCs w:val="22"/>
        </w:rPr>
        <w:t>Annexure A</w:t>
      </w:r>
      <w:r w:rsidR="005B7777" w:rsidRPr="006D3564">
        <w:rPr>
          <w:rFonts w:ascii="Arial" w:hAnsi="Arial" w:cs="Arial"/>
          <w:sz w:val="22"/>
          <w:szCs w:val="22"/>
        </w:rPr>
        <w:t>.</w:t>
      </w:r>
    </w:p>
    <w:p w:rsidR="00AB267D" w:rsidRDefault="00AB267D" w:rsidP="006D3564">
      <w:pPr>
        <w:tabs>
          <w:tab w:val="left" w:pos="1701"/>
        </w:tabs>
        <w:ind w:left="1701" w:hanging="992"/>
        <w:contextualSpacing/>
        <w:jc w:val="both"/>
        <w:rPr>
          <w:rFonts w:ascii="Arial" w:hAnsi="Arial" w:cs="Arial"/>
          <w:sz w:val="22"/>
          <w:szCs w:val="22"/>
        </w:rPr>
      </w:pPr>
    </w:p>
    <w:p w:rsidR="00AB267D" w:rsidRDefault="00AB267D" w:rsidP="006D3564">
      <w:pPr>
        <w:tabs>
          <w:tab w:val="left" w:pos="1701"/>
        </w:tabs>
        <w:ind w:left="1701" w:hanging="992"/>
        <w:contextualSpacing/>
        <w:jc w:val="both"/>
        <w:rPr>
          <w:rFonts w:ascii="Arial" w:hAnsi="Arial" w:cs="Arial"/>
          <w:sz w:val="22"/>
          <w:szCs w:val="22"/>
        </w:rPr>
      </w:pPr>
      <w:r>
        <w:rPr>
          <w:rFonts w:ascii="Arial" w:hAnsi="Arial" w:cs="Arial"/>
          <w:sz w:val="22"/>
          <w:szCs w:val="22"/>
        </w:rPr>
        <w:t>(2)(a)(ii)</w:t>
      </w:r>
      <w:r>
        <w:rPr>
          <w:rFonts w:ascii="Arial" w:hAnsi="Arial" w:cs="Arial"/>
          <w:sz w:val="22"/>
          <w:szCs w:val="22"/>
        </w:rPr>
        <w:tab/>
      </w:r>
      <w:r w:rsidRPr="00AB267D">
        <w:rPr>
          <w:rFonts w:ascii="Arial" w:hAnsi="Arial" w:cs="Arial"/>
          <w:sz w:val="22"/>
          <w:szCs w:val="22"/>
        </w:rPr>
        <w:t xml:space="preserve">A total of </w:t>
      </w:r>
      <w:r>
        <w:rPr>
          <w:rFonts w:ascii="Arial" w:hAnsi="Arial" w:cs="Arial"/>
          <w:sz w:val="22"/>
          <w:szCs w:val="22"/>
        </w:rPr>
        <w:t>76</w:t>
      </w:r>
      <w:r w:rsidRPr="00AB267D">
        <w:rPr>
          <w:rFonts w:ascii="Arial" w:hAnsi="Arial" w:cs="Arial"/>
          <w:sz w:val="22"/>
          <w:szCs w:val="22"/>
        </w:rPr>
        <w:t xml:space="preserve"> sewerage processing plans were inspected </w:t>
      </w:r>
      <w:r>
        <w:rPr>
          <w:rFonts w:ascii="Arial" w:hAnsi="Arial" w:cs="Arial"/>
          <w:sz w:val="22"/>
          <w:szCs w:val="22"/>
        </w:rPr>
        <w:t>1 October to 31 December</w:t>
      </w:r>
      <w:r w:rsidRPr="00AB267D">
        <w:rPr>
          <w:rFonts w:ascii="Arial" w:hAnsi="Arial" w:cs="Arial"/>
          <w:sz w:val="22"/>
          <w:szCs w:val="22"/>
        </w:rPr>
        <w:t xml:space="preserve"> 2018</w:t>
      </w:r>
      <w:r w:rsidR="005B49D0">
        <w:rPr>
          <w:rFonts w:ascii="Arial" w:hAnsi="Arial" w:cs="Arial"/>
          <w:sz w:val="22"/>
          <w:szCs w:val="22"/>
        </w:rPr>
        <w:t xml:space="preserve"> </w:t>
      </w:r>
      <w:r w:rsidR="005B49D0" w:rsidRPr="006D3564">
        <w:rPr>
          <w:rFonts w:ascii="Arial" w:hAnsi="Arial" w:cs="Arial"/>
          <w:sz w:val="22"/>
          <w:szCs w:val="22"/>
        </w:rPr>
        <w:t xml:space="preserve">see attached </w:t>
      </w:r>
      <w:r w:rsidR="005B49D0" w:rsidRPr="006D3564">
        <w:rPr>
          <w:rFonts w:ascii="Arial" w:hAnsi="Arial" w:cs="Arial"/>
          <w:b/>
          <w:sz w:val="22"/>
          <w:szCs w:val="22"/>
        </w:rPr>
        <w:t>Annexure A</w:t>
      </w:r>
      <w:r>
        <w:rPr>
          <w:rFonts w:ascii="Arial" w:hAnsi="Arial" w:cs="Arial"/>
          <w:sz w:val="22"/>
          <w:szCs w:val="22"/>
        </w:rPr>
        <w:t>.</w:t>
      </w:r>
    </w:p>
    <w:p w:rsidR="00AB267D" w:rsidRDefault="00AB267D" w:rsidP="006D3564">
      <w:pPr>
        <w:tabs>
          <w:tab w:val="left" w:pos="1701"/>
        </w:tabs>
        <w:ind w:left="1701" w:hanging="992"/>
        <w:contextualSpacing/>
        <w:jc w:val="both"/>
        <w:rPr>
          <w:rFonts w:ascii="Arial" w:hAnsi="Arial" w:cs="Arial"/>
          <w:sz w:val="22"/>
          <w:szCs w:val="22"/>
        </w:rPr>
      </w:pPr>
    </w:p>
    <w:p w:rsidR="00AB267D" w:rsidRPr="00D23B9B" w:rsidRDefault="00AB267D" w:rsidP="006D3564">
      <w:pPr>
        <w:tabs>
          <w:tab w:val="left" w:pos="1701"/>
        </w:tabs>
        <w:ind w:left="1701" w:hanging="992"/>
        <w:contextualSpacing/>
        <w:jc w:val="both"/>
        <w:rPr>
          <w:rFonts w:ascii="Arial" w:hAnsi="Arial" w:cs="Arial"/>
          <w:sz w:val="22"/>
          <w:szCs w:val="22"/>
          <w:highlight w:val="yellow"/>
        </w:rPr>
      </w:pPr>
      <w:r>
        <w:rPr>
          <w:rFonts w:ascii="Arial" w:hAnsi="Arial" w:cs="Arial"/>
          <w:sz w:val="22"/>
          <w:szCs w:val="22"/>
        </w:rPr>
        <w:t>(2)(b)(i)</w:t>
      </w:r>
      <w:r>
        <w:rPr>
          <w:rFonts w:ascii="Arial" w:hAnsi="Arial" w:cs="Arial"/>
          <w:sz w:val="22"/>
          <w:szCs w:val="22"/>
        </w:rPr>
        <w:tab/>
      </w:r>
      <w:r w:rsidR="00083132">
        <w:rPr>
          <w:rFonts w:ascii="Arial" w:hAnsi="Arial" w:cs="Arial"/>
          <w:sz w:val="22"/>
          <w:szCs w:val="22"/>
        </w:rPr>
        <w:t>Please refer to response in (1</w:t>
      </w:r>
      <w:proofErr w:type="gramStart"/>
      <w:r w:rsidR="00083132">
        <w:rPr>
          <w:rFonts w:ascii="Arial" w:hAnsi="Arial" w:cs="Arial"/>
          <w:sz w:val="22"/>
          <w:szCs w:val="22"/>
        </w:rPr>
        <w:t>)</w:t>
      </w:r>
      <w:r w:rsidR="00216570" w:rsidRPr="00083132">
        <w:rPr>
          <w:rFonts w:ascii="Arial" w:hAnsi="Arial" w:cs="Arial"/>
          <w:sz w:val="22"/>
          <w:szCs w:val="22"/>
        </w:rPr>
        <w:t>(</w:t>
      </w:r>
      <w:proofErr w:type="gramEnd"/>
      <w:r w:rsidR="00216570" w:rsidRPr="00083132">
        <w:rPr>
          <w:rFonts w:ascii="Arial" w:hAnsi="Arial" w:cs="Arial"/>
          <w:sz w:val="22"/>
          <w:szCs w:val="22"/>
        </w:rPr>
        <w:t>b)</w:t>
      </w:r>
      <w:r w:rsidR="00083132">
        <w:rPr>
          <w:rFonts w:ascii="Arial" w:hAnsi="Arial" w:cs="Arial"/>
          <w:sz w:val="22"/>
          <w:szCs w:val="22"/>
        </w:rPr>
        <w:t>.</w:t>
      </w:r>
    </w:p>
    <w:p w:rsidR="005B49D0" w:rsidRPr="00D23B9B" w:rsidRDefault="005B49D0" w:rsidP="005B49D0">
      <w:pPr>
        <w:tabs>
          <w:tab w:val="left" w:pos="1701"/>
        </w:tabs>
        <w:jc w:val="both"/>
        <w:rPr>
          <w:rFonts w:ascii="Arial" w:hAnsi="Arial" w:cs="Arial"/>
          <w:sz w:val="22"/>
          <w:szCs w:val="22"/>
          <w:highlight w:val="yellow"/>
        </w:rPr>
      </w:pPr>
    </w:p>
    <w:p w:rsidR="00083132" w:rsidRDefault="00083132" w:rsidP="005B49D0">
      <w:pPr>
        <w:pStyle w:val="ListParagraph"/>
        <w:tabs>
          <w:tab w:val="left" w:pos="1701"/>
        </w:tabs>
        <w:ind w:left="1701" w:hanging="992"/>
        <w:jc w:val="center"/>
        <w:rPr>
          <w:rFonts w:ascii="Arial" w:hAnsi="Arial" w:cs="Arial"/>
          <w:sz w:val="22"/>
          <w:szCs w:val="22"/>
        </w:rPr>
      </w:pPr>
    </w:p>
    <w:p w:rsidR="00216570" w:rsidRPr="00D23B9B" w:rsidRDefault="00AB267D" w:rsidP="00083132">
      <w:pPr>
        <w:tabs>
          <w:tab w:val="left" w:pos="709"/>
        </w:tabs>
        <w:ind w:left="1701" w:hanging="992"/>
        <w:contextualSpacing/>
        <w:jc w:val="both"/>
        <w:rPr>
          <w:rFonts w:ascii="Arial" w:hAnsi="Arial" w:cs="Arial"/>
          <w:sz w:val="22"/>
          <w:szCs w:val="22"/>
          <w:highlight w:val="yellow"/>
        </w:rPr>
      </w:pPr>
      <w:r w:rsidRPr="00216570">
        <w:rPr>
          <w:rFonts w:ascii="Arial" w:hAnsi="Arial" w:cs="Arial"/>
          <w:sz w:val="22"/>
          <w:szCs w:val="22"/>
        </w:rPr>
        <w:t>(2)(b)(ii)</w:t>
      </w:r>
      <w:r w:rsidRPr="00216570">
        <w:t xml:space="preserve"> </w:t>
      </w:r>
      <w:r w:rsidRPr="00216570">
        <w:tab/>
      </w:r>
      <w:r>
        <w:rPr>
          <w:rFonts w:ascii="Arial" w:hAnsi="Arial" w:cs="Arial"/>
          <w:sz w:val="22"/>
          <w:szCs w:val="22"/>
        </w:rPr>
        <w:t xml:space="preserve"> </w:t>
      </w:r>
      <w:r w:rsidR="00083132">
        <w:rPr>
          <w:rFonts w:ascii="Arial" w:hAnsi="Arial" w:cs="Arial"/>
          <w:sz w:val="22"/>
          <w:szCs w:val="22"/>
        </w:rPr>
        <w:t>Please refer to response in (1</w:t>
      </w:r>
      <w:proofErr w:type="gramStart"/>
      <w:r w:rsidR="00083132">
        <w:rPr>
          <w:rFonts w:ascii="Arial" w:hAnsi="Arial" w:cs="Arial"/>
          <w:sz w:val="22"/>
          <w:szCs w:val="22"/>
        </w:rPr>
        <w:t>)</w:t>
      </w:r>
      <w:r w:rsidR="00216570" w:rsidRPr="00083132">
        <w:rPr>
          <w:rFonts w:ascii="Arial" w:hAnsi="Arial" w:cs="Arial"/>
          <w:sz w:val="22"/>
          <w:szCs w:val="22"/>
        </w:rPr>
        <w:t>(</w:t>
      </w:r>
      <w:proofErr w:type="gramEnd"/>
      <w:r w:rsidR="00216570" w:rsidRPr="00083132">
        <w:rPr>
          <w:rFonts w:ascii="Arial" w:hAnsi="Arial" w:cs="Arial"/>
          <w:sz w:val="22"/>
          <w:szCs w:val="22"/>
        </w:rPr>
        <w:t>b)</w:t>
      </w:r>
      <w:r w:rsidR="00083132">
        <w:rPr>
          <w:rFonts w:ascii="Arial" w:hAnsi="Arial" w:cs="Arial"/>
          <w:sz w:val="22"/>
          <w:szCs w:val="22"/>
        </w:rPr>
        <w:t>.</w:t>
      </w:r>
    </w:p>
    <w:p w:rsidR="00DE5A13" w:rsidRDefault="00DE5A13" w:rsidP="00216570">
      <w:pPr>
        <w:tabs>
          <w:tab w:val="left" w:pos="1701"/>
        </w:tabs>
        <w:contextualSpacing/>
        <w:jc w:val="both"/>
        <w:rPr>
          <w:rFonts w:ascii="Arial" w:hAnsi="Arial" w:cs="Arial"/>
          <w:sz w:val="22"/>
          <w:szCs w:val="22"/>
        </w:rPr>
      </w:pPr>
    </w:p>
    <w:p w:rsidR="00083132" w:rsidRDefault="00083132" w:rsidP="00083132">
      <w:pPr>
        <w:tabs>
          <w:tab w:val="left" w:pos="1701"/>
        </w:tabs>
        <w:ind w:left="1701" w:hanging="992"/>
        <w:contextualSpacing/>
        <w:jc w:val="center"/>
        <w:rPr>
          <w:rFonts w:ascii="Arial" w:hAnsi="Arial" w:cs="Arial"/>
          <w:sz w:val="22"/>
          <w:szCs w:val="22"/>
        </w:rPr>
      </w:pPr>
      <w:r>
        <w:rPr>
          <w:rFonts w:ascii="Arial" w:hAnsi="Arial" w:cs="Arial"/>
          <w:sz w:val="22"/>
          <w:szCs w:val="22"/>
        </w:rPr>
        <w:lastRenderedPageBreak/>
        <w:t>-2-</w:t>
      </w:r>
    </w:p>
    <w:p w:rsidR="00083132" w:rsidRDefault="00083132" w:rsidP="00083132">
      <w:pPr>
        <w:tabs>
          <w:tab w:val="left" w:pos="1701"/>
        </w:tabs>
        <w:ind w:left="1701" w:hanging="992"/>
        <w:contextualSpacing/>
        <w:jc w:val="center"/>
        <w:rPr>
          <w:rFonts w:ascii="Arial" w:hAnsi="Arial" w:cs="Arial"/>
          <w:sz w:val="22"/>
          <w:szCs w:val="22"/>
        </w:rPr>
      </w:pPr>
    </w:p>
    <w:p w:rsidR="00B425C7" w:rsidRDefault="006D3564" w:rsidP="006D3564">
      <w:pPr>
        <w:tabs>
          <w:tab w:val="left" w:pos="1701"/>
        </w:tabs>
        <w:ind w:left="1701" w:hanging="992"/>
        <w:contextualSpacing/>
        <w:jc w:val="both"/>
        <w:rPr>
          <w:rFonts w:ascii="Arial" w:hAnsi="Arial" w:cs="Arial"/>
          <w:sz w:val="22"/>
          <w:szCs w:val="22"/>
        </w:rPr>
      </w:pPr>
      <w:r>
        <w:rPr>
          <w:rFonts w:ascii="Arial" w:hAnsi="Arial" w:cs="Arial"/>
          <w:sz w:val="22"/>
          <w:szCs w:val="22"/>
        </w:rPr>
        <w:t>(2)(a)</w:t>
      </w:r>
      <w:r>
        <w:rPr>
          <w:rFonts w:ascii="Arial" w:hAnsi="Arial" w:cs="Arial"/>
          <w:sz w:val="22"/>
          <w:szCs w:val="22"/>
        </w:rPr>
        <w:tab/>
      </w:r>
      <w:r w:rsidR="00EB1C04" w:rsidRPr="006D3564">
        <w:rPr>
          <w:rFonts w:ascii="Arial" w:hAnsi="Arial" w:cs="Arial"/>
          <w:sz w:val="22"/>
          <w:szCs w:val="22"/>
        </w:rPr>
        <w:t xml:space="preserve">Refer to </w:t>
      </w:r>
      <w:r w:rsidR="00EB1C04" w:rsidRPr="006D3564">
        <w:rPr>
          <w:rFonts w:ascii="Arial" w:hAnsi="Arial" w:cs="Arial"/>
          <w:b/>
          <w:sz w:val="22"/>
          <w:szCs w:val="22"/>
        </w:rPr>
        <w:t>Annexure A</w:t>
      </w:r>
      <w:r>
        <w:rPr>
          <w:rFonts w:ascii="Arial" w:hAnsi="Arial" w:cs="Arial"/>
          <w:sz w:val="22"/>
          <w:szCs w:val="22"/>
        </w:rPr>
        <w:t>.</w:t>
      </w:r>
    </w:p>
    <w:p w:rsidR="006D3564" w:rsidRPr="006D3564" w:rsidRDefault="006D3564" w:rsidP="006D3564">
      <w:pPr>
        <w:tabs>
          <w:tab w:val="left" w:pos="1701"/>
        </w:tabs>
        <w:ind w:left="1701" w:hanging="992"/>
        <w:contextualSpacing/>
        <w:jc w:val="both"/>
        <w:rPr>
          <w:rFonts w:ascii="Arial" w:hAnsi="Arial" w:cs="Arial"/>
          <w:sz w:val="22"/>
          <w:szCs w:val="22"/>
        </w:rPr>
      </w:pPr>
    </w:p>
    <w:p w:rsidR="006D3564" w:rsidRDefault="006D3564" w:rsidP="006D3564">
      <w:pPr>
        <w:tabs>
          <w:tab w:val="left" w:pos="1701"/>
        </w:tabs>
        <w:ind w:left="1701" w:hanging="992"/>
        <w:contextualSpacing/>
        <w:jc w:val="both"/>
        <w:rPr>
          <w:rFonts w:ascii="Arial" w:hAnsi="Arial" w:cs="Arial"/>
          <w:sz w:val="22"/>
          <w:szCs w:val="22"/>
          <w:highlight w:val="yellow"/>
        </w:rPr>
      </w:pPr>
      <w:r>
        <w:rPr>
          <w:rFonts w:ascii="Arial" w:hAnsi="Arial" w:cs="Arial"/>
          <w:sz w:val="22"/>
          <w:szCs w:val="22"/>
        </w:rPr>
        <w:t>(2)(b)(i)</w:t>
      </w:r>
      <w:r>
        <w:rPr>
          <w:rFonts w:ascii="Arial" w:hAnsi="Arial" w:cs="Arial"/>
          <w:sz w:val="22"/>
          <w:szCs w:val="22"/>
        </w:rPr>
        <w:tab/>
      </w:r>
      <w:r w:rsidR="00083132">
        <w:rPr>
          <w:rFonts w:ascii="Arial" w:hAnsi="Arial" w:cs="Arial"/>
          <w:sz w:val="22"/>
          <w:szCs w:val="22"/>
        </w:rPr>
        <w:t>Please refer to response in (1</w:t>
      </w:r>
      <w:proofErr w:type="gramStart"/>
      <w:r w:rsidR="00083132">
        <w:rPr>
          <w:rFonts w:ascii="Arial" w:hAnsi="Arial" w:cs="Arial"/>
          <w:sz w:val="22"/>
          <w:szCs w:val="22"/>
        </w:rPr>
        <w:t>)</w:t>
      </w:r>
      <w:r w:rsidR="00216570" w:rsidRPr="00083132">
        <w:rPr>
          <w:rFonts w:ascii="Arial" w:hAnsi="Arial" w:cs="Arial"/>
          <w:sz w:val="22"/>
          <w:szCs w:val="22"/>
        </w:rPr>
        <w:t>(</w:t>
      </w:r>
      <w:proofErr w:type="gramEnd"/>
      <w:r w:rsidR="00216570" w:rsidRPr="00083132">
        <w:rPr>
          <w:rFonts w:ascii="Arial" w:hAnsi="Arial" w:cs="Arial"/>
          <w:sz w:val="22"/>
          <w:szCs w:val="22"/>
        </w:rPr>
        <w:t>b)</w:t>
      </w:r>
      <w:r w:rsidR="00083132">
        <w:rPr>
          <w:rFonts w:ascii="Arial" w:hAnsi="Arial" w:cs="Arial"/>
          <w:sz w:val="22"/>
          <w:szCs w:val="22"/>
        </w:rPr>
        <w:t>.</w:t>
      </w:r>
    </w:p>
    <w:p w:rsidR="00216570" w:rsidRPr="00D23B9B" w:rsidRDefault="00216570" w:rsidP="006D3564">
      <w:pPr>
        <w:tabs>
          <w:tab w:val="left" w:pos="1701"/>
        </w:tabs>
        <w:ind w:left="1701" w:hanging="992"/>
        <w:contextualSpacing/>
        <w:jc w:val="both"/>
        <w:rPr>
          <w:rFonts w:ascii="Arial" w:hAnsi="Arial" w:cs="Arial"/>
          <w:sz w:val="22"/>
          <w:szCs w:val="22"/>
          <w:highlight w:val="yellow"/>
        </w:rPr>
      </w:pPr>
    </w:p>
    <w:p w:rsidR="00BA5AAE" w:rsidRPr="005B49D0" w:rsidRDefault="006D3564" w:rsidP="005B49D0">
      <w:pPr>
        <w:pStyle w:val="ListParagraph"/>
        <w:tabs>
          <w:tab w:val="left" w:pos="1701"/>
        </w:tabs>
        <w:ind w:left="1701" w:hanging="992"/>
        <w:jc w:val="both"/>
        <w:rPr>
          <w:rFonts w:ascii="Arial" w:hAnsi="Arial" w:cs="Arial"/>
          <w:sz w:val="22"/>
          <w:szCs w:val="22"/>
        </w:rPr>
      </w:pPr>
      <w:r w:rsidRPr="00216570">
        <w:rPr>
          <w:rFonts w:ascii="Arial" w:hAnsi="Arial" w:cs="Arial"/>
          <w:sz w:val="22"/>
          <w:szCs w:val="22"/>
        </w:rPr>
        <w:t>(2)(b)(ii)</w:t>
      </w:r>
      <w:r w:rsidRPr="00216570">
        <w:rPr>
          <w:rFonts w:ascii="Arial" w:hAnsi="Arial" w:cs="Arial"/>
          <w:sz w:val="22"/>
          <w:szCs w:val="22"/>
        </w:rPr>
        <w:tab/>
      </w:r>
      <w:r w:rsidR="00083132">
        <w:rPr>
          <w:rFonts w:ascii="Arial" w:hAnsi="Arial" w:cs="Arial"/>
          <w:sz w:val="22"/>
          <w:szCs w:val="22"/>
        </w:rPr>
        <w:t>Please refer to response in (1</w:t>
      </w:r>
      <w:proofErr w:type="gramStart"/>
      <w:r w:rsidR="00083132">
        <w:rPr>
          <w:rFonts w:ascii="Arial" w:hAnsi="Arial" w:cs="Arial"/>
          <w:sz w:val="22"/>
          <w:szCs w:val="22"/>
        </w:rPr>
        <w:t>)</w:t>
      </w:r>
      <w:r w:rsidR="00216570" w:rsidRPr="00083132">
        <w:rPr>
          <w:rFonts w:ascii="Arial" w:hAnsi="Arial" w:cs="Arial"/>
          <w:sz w:val="22"/>
          <w:szCs w:val="22"/>
        </w:rPr>
        <w:t>(</w:t>
      </w:r>
      <w:proofErr w:type="gramEnd"/>
      <w:r w:rsidR="00216570" w:rsidRPr="00083132">
        <w:rPr>
          <w:rFonts w:ascii="Arial" w:hAnsi="Arial" w:cs="Arial"/>
          <w:sz w:val="22"/>
          <w:szCs w:val="22"/>
        </w:rPr>
        <w:t>b)</w:t>
      </w:r>
      <w:r w:rsidR="00083132">
        <w:rPr>
          <w:rFonts w:ascii="Arial" w:hAnsi="Arial" w:cs="Arial"/>
          <w:sz w:val="22"/>
          <w:szCs w:val="22"/>
        </w:rPr>
        <w:t>.</w:t>
      </w:r>
    </w:p>
    <w:p w:rsidR="006A056C" w:rsidRDefault="006A056C" w:rsidP="006D3564">
      <w:pPr>
        <w:pStyle w:val="ListParagraph"/>
        <w:tabs>
          <w:tab w:val="left" w:pos="1701"/>
        </w:tabs>
        <w:ind w:left="1701" w:hanging="992"/>
        <w:jc w:val="both"/>
        <w:rPr>
          <w:rFonts w:ascii="Arial" w:hAnsi="Arial" w:cs="Arial"/>
          <w:sz w:val="22"/>
          <w:szCs w:val="22"/>
        </w:rPr>
      </w:pPr>
    </w:p>
    <w:p w:rsidR="00EB1C04" w:rsidRPr="006D3564" w:rsidRDefault="00BA5AAE" w:rsidP="006D3564">
      <w:pPr>
        <w:pStyle w:val="ListParagraph"/>
        <w:numPr>
          <w:ilvl w:val="0"/>
          <w:numId w:val="4"/>
        </w:numPr>
        <w:tabs>
          <w:tab w:val="left" w:pos="1701"/>
        </w:tabs>
        <w:ind w:left="1701" w:hanging="992"/>
        <w:jc w:val="both"/>
        <w:rPr>
          <w:rFonts w:ascii="Arial" w:hAnsi="Arial" w:cs="Arial"/>
          <w:sz w:val="22"/>
          <w:szCs w:val="22"/>
        </w:rPr>
      </w:pPr>
      <w:r w:rsidRPr="006D3564">
        <w:rPr>
          <w:rFonts w:ascii="Arial" w:hAnsi="Arial" w:cs="Arial"/>
          <w:sz w:val="22"/>
          <w:szCs w:val="22"/>
        </w:rPr>
        <w:t xml:space="preserve">Yes, a written representation from the </w:t>
      </w:r>
      <w:r w:rsidRPr="006D3564">
        <w:rPr>
          <w:rFonts w:ascii="Arial" w:eastAsia="Calibri" w:hAnsi="Arial" w:cs="Arial"/>
          <w:sz w:val="22"/>
          <w:szCs w:val="22"/>
          <w:lang w:val="en-ZA"/>
        </w:rPr>
        <w:t>Siyathemba Municipality</w:t>
      </w:r>
      <w:r w:rsidR="006D3564">
        <w:rPr>
          <w:rFonts w:ascii="Arial" w:hAnsi="Arial" w:cs="Arial"/>
          <w:sz w:val="22"/>
          <w:szCs w:val="22"/>
        </w:rPr>
        <w:t xml:space="preserve"> was received by the Department</w:t>
      </w:r>
      <w:r w:rsidR="00216570">
        <w:rPr>
          <w:rFonts w:ascii="Arial" w:hAnsi="Arial" w:cs="Arial"/>
          <w:sz w:val="22"/>
          <w:szCs w:val="22"/>
        </w:rPr>
        <w:t>’</w:t>
      </w:r>
      <w:r w:rsidR="006D3564">
        <w:rPr>
          <w:rFonts w:ascii="Arial" w:hAnsi="Arial" w:cs="Arial"/>
          <w:sz w:val="22"/>
          <w:szCs w:val="22"/>
        </w:rPr>
        <w:t>s</w:t>
      </w:r>
      <w:r w:rsidRPr="006D3564">
        <w:rPr>
          <w:rFonts w:ascii="Arial" w:hAnsi="Arial" w:cs="Arial"/>
          <w:sz w:val="22"/>
          <w:szCs w:val="22"/>
        </w:rPr>
        <w:t xml:space="preserve"> Northern Cape Region</w:t>
      </w:r>
      <w:r w:rsidR="006D3564">
        <w:rPr>
          <w:rFonts w:ascii="Arial" w:hAnsi="Arial" w:cs="Arial"/>
          <w:sz w:val="22"/>
          <w:szCs w:val="22"/>
        </w:rPr>
        <w:t>al office</w:t>
      </w:r>
      <w:r w:rsidRPr="006D3564">
        <w:rPr>
          <w:rFonts w:ascii="Arial" w:hAnsi="Arial" w:cs="Arial"/>
          <w:sz w:val="22"/>
          <w:szCs w:val="22"/>
        </w:rPr>
        <w:t xml:space="preserve"> </w:t>
      </w:r>
      <w:r w:rsidRPr="006D3564">
        <w:rPr>
          <w:rFonts w:ascii="Arial" w:eastAsia="Calibri" w:hAnsi="Arial" w:cs="Arial"/>
          <w:sz w:val="22"/>
          <w:szCs w:val="22"/>
          <w:lang w:val="en-ZA"/>
        </w:rPr>
        <w:t>within the 14 days. The action plan has time frame</w:t>
      </w:r>
      <w:r w:rsidR="00862DBD" w:rsidRPr="006D3564">
        <w:rPr>
          <w:rFonts w:ascii="Arial" w:eastAsia="Calibri" w:hAnsi="Arial" w:cs="Arial"/>
          <w:sz w:val="22"/>
          <w:szCs w:val="22"/>
          <w:lang w:val="en-ZA"/>
        </w:rPr>
        <w:t>s</w:t>
      </w:r>
      <w:r w:rsidRPr="006D3564">
        <w:rPr>
          <w:rFonts w:ascii="Arial" w:eastAsia="Calibri" w:hAnsi="Arial" w:cs="Arial"/>
          <w:sz w:val="22"/>
          <w:szCs w:val="22"/>
          <w:lang w:val="en-ZA"/>
        </w:rPr>
        <w:t xml:space="preserve"> and responsible </w:t>
      </w:r>
      <w:r w:rsidR="00862DBD" w:rsidRPr="006D3564">
        <w:rPr>
          <w:rFonts w:ascii="Arial" w:eastAsia="Calibri" w:hAnsi="Arial" w:cs="Arial"/>
          <w:sz w:val="22"/>
          <w:szCs w:val="22"/>
          <w:lang w:val="en-ZA"/>
        </w:rPr>
        <w:t>personnel which will enable the Department</w:t>
      </w:r>
      <w:r w:rsidRPr="006D3564">
        <w:rPr>
          <w:rFonts w:ascii="Arial" w:eastAsia="Calibri" w:hAnsi="Arial" w:cs="Arial"/>
          <w:sz w:val="22"/>
          <w:szCs w:val="22"/>
          <w:lang w:val="en-ZA"/>
        </w:rPr>
        <w:t xml:space="preserve"> </w:t>
      </w:r>
      <w:r w:rsidR="00862DBD" w:rsidRPr="006D3564">
        <w:rPr>
          <w:rFonts w:ascii="Arial" w:eastAsia="Calibri" w:hAnsi="Arial" w:cs="Arial"/>
          <w:sz w:val="22"/>
          <w:szCs w:val="22"/>
          <w:lang w:val="en-ZA"/>
        </w:rPr>
        <w:t>to</w:t>
      </w:r>
      <w:r w:rsidRPr="006D3564">
        <w:rPr>
          <w:rFonts w:ascii="Arial" w:eastAsia="Calibri" w:hAnsi="Arial" w:cs="Arial"/>
          <w:sz w:val="22"/>
          <w:szCs w:val="22"/>
          <w:lang w:val="en-ZA"/>
        </w:rPr>
        <w:t xml:space="preserve"> monitor </w:t>
      </w:r>
      <w:r w:rsidR="00862DBD" w:rsidRPr="006D3564">
        <w:rPr>
          <w:rFonts w:ascii="Arial" w:eastAsia="Calibri" w:hAnsi="Arial" w:cs="Arial"/>
          <w:sz w:val="22"/>
          <w:szCs w:val="22"/>
          <w:lang w:val="en-ZA"/>
        </w:rPr>
        <w:t>progress</w:t>
      </w:r>
      <w:r w:rsidR="00216570">
        <w:rPr>
          <w:rFonts w:ascii="Arial" w:eastAsia="Calibri" w:hAnsi="Arial" w:cs="Arial"/>
          <w:sz w:val="22"/>
          <w:szCs w:val="22"/>
          <w:lang w:val="en-ZA"/>
        </w:rPr>
        <w:t>. Requesting the Honourable Member to</w:t>
      </w:r>
      <w:r w:rsidR="00E377D4">
        <w:rPr>
          <w:rFonts w:ascii="Arial" w:eastAsia="Calibri" w:hAnsi="Arial" w:cs="Arial"/>
          <w:sz w:val="22"/>
          <w:szCs w:val="22"/>
          <w:lang w:val="en-ZA"/>
        </w:rPr>
        <w:t xml:space="preserve"> refer to </w:t>
      </w:r>
      <w:r w:rsidR="00E377D4" w:rsidRPr="00E377D4">
        <w:rPr>
          <w:rFonts w:ascii="Arial" w:eastAsia="Calibri" w:hAnsi="Arial" w:cs="Arial"/>
          <w:b/>
          <w:sz w:val="22"/>
          <w:szCs w:val="22"/>
          <w:lang w:val="en-ZA"/>
        </w:rPr>
        <w:t>Annexure B</w:t>
      </w:r>
      <w:r w:rsidR="00216570">
        <w:rPr>
          <w:rFonts w:ascii="Arial" w:eastAsia="Calibri" w:hAnsi="Arial" w:cs="Arial"/>
          <w:b/>
          <w:sz w:val="22"/>
          <w:szCs w:val="22"/>
          <w:lang w:val="en-ZA"/>
        </w:rPr>
        <w:t xml:space="preserve"> </w:t>
      </w:r>
      <w:r w:rsidR="00216570" w:rsidRPr="00216570">
        <w:rPr>
          <w:rFonts w:ascii="Arial" w:eastAsia="Calibri" w:hAnsi="Arial" w:cs="Arial"/>
          <w:sz w:val="22"/>
          <w:szCs w:val="22"/>
          <w:lang w:val="en-ZA"/>
        </w:rPr>
        <w:t>for details</w:t>
      </w:r>
      <w:r w:rsidR="00862DBD" w:rsidRPr="00216570">
        <w:rPr>
          <w:rFonts w:ascii="Arial" w:eastAsia="Calibri" w:hAnsi="Arial" w:cs="Arial"/>
          <w:sz w:val="22"/>
          <w:szCs w:val="22"/>
          <w:lang w:val="en-ZA"/>
        </w:rPr>
        <w:t>.</w:t>
      </w:r>
    </w:p>
    <w:p w:rsidR="00EB424E" w:rsidRPr="006D3564" w:rsidRDefault="00EB424E" w:rsidP="006D3564">
      <w:pPr>
        <w:pStyle w:val="ListParagraph"/>
        <w:tabs>
          <w:tab w:val="left" w:pos="1701"/>
        </w:tabs>
        <w:ind w:left="1701" w:hanging="992"/>
        <w:jc w:val="both"/>
        <w:rPr>
          <w:rFonts w:ascii="Arial" w:hAnsi="Arial" w:cs="Arial"/>
          <w:sz w:val="22"/>
          <w:szCs w:val="22"/>
        </w:rPr>
      </w:pPr>
    </w:p>
    <w:p w:rsidR="00EB1C04" w:rsidRPr="006D3564" w:rsidRDefault="00183C19" w:rsidP="006D3564">
      <w:pPr>
        <w:pStyle w:val="ListParagraph"/>
        <w:numPr>
          <w:ilvl w:val="0"/>
          <w:numId w:val="4"/>
        </w:numPr>
        <w:tabs>
          <w:tab w:val="left" w:pos="1701"/>
        </w:tabs>
        <w:ind w:left="1701" w:hanging="992"/>
        <w:jc w:val="both"/>
        <w:rPr>
          <w:rFonts w:ascii="Arial" w:hAnsi="Arial" w:cs="Arial"/>
          <w:sz w:val="22"/>
          <w:szCs w:val="22"/>
        </w:rPr>
      </w:pPr>
      <w:r w:rsidRPr="006D3564">
        <w:rPr>
          <w:rFonts w:ascii="Arial" w:hAnsi="Arial" w:cs="Arial"/>
          <w:sz w:val="22"/>
          <w:szCs w:val="22"/>
        </w:rPr>
        <w:t>A total of thirty</w:t>
      </w:r>
      <w:r w:rsidR="006D3564">
        <w:rPr>
          <w:rFonts w:ascii="Arial" w:hAnsi="Arial" w:cs="Arial"/>
          <w:sz w:val="22"/>
          <w:szCs w:val="22"/>
        </w:rPr>
        <w:t xml:space="preserve"> two</w:t>
      </w:r>
      <w:r w:rsidRPr="006D3564">
        <w:rPr>
          <w:rFonts w:ascii="Arial" w:hAnsi="Arial" w:cs="Arial"/>
          <w:sz w:val="22"/>
          <w:szCs w:val="22"/>
        </w:rPr>
        <w:t xml:space="preserve"> (32</w:t>
      </w:r>
      <w:r w:rsidR="000D0D2B" w:rsidRPr="006D3564">
        <w:rPr>
          <w:rFonts w:ascii="Arial" w:hAnsi="Arial" w:cs="Arial"/>
          <w:sz w:val="22"/>
          <w:szCs w:val="22"/>
        </w:rPr>
        <w:t xml:space="preserve">) municipalities were given non-compliance letters </w:t>
      </w:r>
      <w:r w:rsidR="008B0AC8" w:rsidRPr="006D3564">
        <w:rPr>
          <w:rFonts w:ascii="Arial" w:hAnsi="Arial" w:cs="Arial"/>
          <w:sz w:val="22"/>
          <w:szCs w:val="22"/>
        </w:rPr>
        <w:t xml:space="preserve">up to the third quarter of </w:t>
      </w:r>
      <w:r w:rsidR="000D0D2B" w:rsidRPr="006D3564">
        <w:rPr>
          <w:rFonts w:ascii="Arial" w:hAnsi="Arial" w:cs="Arial"/>
          <w:sz w:val="22"/>
          <w:szCs w:val="22"/>
        </w:rPr>
        <w:t>the 2018/2019 financial year and two</w:t>
      </w:r>
      <w:r w:rsidR="00302D8F" w:rsidRPr="006D3564">
        <w:rPr>
          <w:rFonts w:ascii="Arial" w:hAnsi="Arial" w:cs="Arial"/>
          <w:sz w:val="22"/>
          <w:szCs w:val="22"/>
        </w:rPr>
        <w:t xml:space="preserve"> (2)</w:t>
      </w:r>
      <w:r w:rsidR="000D0D2B" w:rsidRPr="006D3564">
        <w:rPr>
          <w:rFonts w:ascii="Arial" w:hAnsi="Arial" w:cs="Arial"/>
          <w:sz w:val="22"/>
          <w:szCs w:val="22"/>
        </w:rPr>
        <w:t xml:space="preserve"> of these were issued</w:t>
      </w:r>
      <w:r w:rsidR="008B0AC8" w:rsidRPr="006D3564">
        <w:rPr>
          <w:rFonts w:ascii="Arial" w:hAnsi="Arial" w:cs="Arial"/>
          <w:sz w:val="22"/>
          <w:szCs w:val="22"/>
        </w:rPr>
        <w:t xml:space="preserve"> with</w:t>
      </w:r>
      <w:r w:rsidR="000D0D2B" w:rsidRPr="006D3564">
        <w:rPr>
          <w:rFonts w:ascii="Arial" w:hAnsi="Arial" w:cs="Arial"/>
          <w:sz w:val="22"/>
          <w:szCs w:val="22"/>
        </w:rPr>
        <w:t xml:space="preserve"> court interdicts</w:t>
      </w:r>
      <w:r w:rsidR="00906D7C" w:rsidRPr="006D3564">
        <w:rPr>
          <w:rFonts w:ascii="Arial" w:hAnsi="Arial" w:cs="Arial"/>
          <w:sz w:val="22"/>
          <w:szCs w:val="22"/>
        </w:rPr>
        <w:t>, however these notices are not as a result of the above</w:t>
      </w:r>
      <w:r w:rsidR="00DA012C" w:rsidRPr="006D3564">
        <w:rPr>
          <w:rFonts w:ascii="Arial" w:hAnsi="Arial" w:cs="Arial"/>
          <w:sz w:val="22"/>
          <w:szCs w:val="22"/>
        </w:rPr>
        <w:t xml:space="preserve"> mentioned inspections</w:t>
      </w:r>
      <w:r w:rsidR="000D0D2B" w:rsidRPr="006D3564">
        <w:rPr>
          <w:rFonts w:ascii="Arial" w:hAnsi="Arial" w:cs="Arial"/>
          <w:sz w:val="22"/>
          <w:szCs w:val="22"/>
        </w:rPr>
        <w:t>.</w:t>
      </w:r>
      <w:r w:rsidR="00DA012C" w:rsidRPr="006D3564">
        <w:rPr>
          <w:rFonts w:ascii="Arial" w:hAnsi="Arial" w:cs="Arial"/>
          <w:sz w:val="22"/>
          <w:szCs w:val="22"/>
        </w:rPr>
        <w:t xml:space="preserve"> The </w:t>
      </w:r>
      <w:r w:rsidRPr="006D3564">
        <w:rPr>
          <w:rFonts w:ascii="Arial" w:hAnsi="Arial" w:cs="Arial"/>
          <w:sz w:val="22"/>
          <w:szCs w:val="22"/>
        </w:rPr>
        <w:t xml:space="preserve">notices were issued following complaints </w:t>
      </w:r>
      <w:r w:rsidR="00B91DD0" w:rsidRPr="006D3564">
        <w:rPr>
          <w:rFonts w:ascii="Arial" w:hAnsi="Arial" w:cs="Arial"/>
          <w:sz w:val="22"/>
          <w:szCs w:val="22"/>
        </w:rPr>
        <w:t>of pollution received by the D</w:t>
      </w:r>
      <w:r w:rsidR="006D3564">
        <w:rPr>
          <w:rFonts w:ascii="Arial" w:hAnsi="Arial" w:cs="Arial"/>
          <w:sz w:val="22"/>
          <w:szCs w:val="22"/>
        </w:rPr>
        <w:t>epartment</w:t>
      </w:r>
      <w:r w:rsidR="00216570">
        <w:rPr>
          <w:rFonts w:ascii="Arial" w:hAnsi="Arial" w:cs="Arial"/>
          <w:sz w:val="22"/>
          <w:szCs w:val="22"/>
        </w:rPr>
        <w:t>’</w:t>
      </w:r>
      <w:r w:rsidR="006D3564">
        <w:rPr>
          <w:rFonts w:ascii="Arial" w:hAnsi="Arial" w:cs="Arial"/>
          <w:sz w:val="22"/>
          <w:szCs w:val="22"/>
        </w:rPr>
        <w:t>s</w:t>
      </w:r>
      <w:r w:rsidR="00B91DD0" w:rsidRPr="006D3564">
        <w:rPr>
          <w:rFonts w:ascii="Arial" w:hAnsi="Arial" w:cs="Arial"/>
          <w:sz w:val="22"/>
          <w:szCs w:val="22"/>
        </w:rPr>
        <w:t xml:space="preserve"> Provincial Operations.</w:t>
      </w:r>
    </w:p>
    <w:p w:rsidR="00EB1C04" w:rsidRPr="00EB1C04" w:rsidRDefault="00EB1C04" w:rsidP="00EB1C04">
      <w:pPr>
        <w:pStyle w:val="ListParagraph"/>
        <w:ind w:left="1080"/>
        <w:jc w:val="both"/>
        <w:rPr>
          <w:rFonts w:ascii="Arial" w:hAnsi="Arial" w:cs="Arial"/>
          <w:sz w:val="22"/>
          <w:szCs w:val="22"/>
        </w:rPr>
      </w:pP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spacing w:before="120"/>
        <w:rPr>
          <w:rFonts w:ascii="Arial" w:hAnsi="Arial" w:cs="Arial"/>
        </w:rPr>
      </w:pPr>
    </w:p>
    <w:sectPr w:rsidR="00B425C7" w:rsidRPr="00990959" w:rsidSect="006A056C">
      <w:pgSz w:w="12240" w:h="15840"/>
      <w:pgMar w:top="993" w:right="90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BA" w:rsidRDefault="000968BA" w:rsidP="00B425C7">
      <w:r>
        <w:separator/>
      </w:r>
    </w:p>
  </w:endnote>
  <w:endnote w:type="continuationSeparator" w:id="0">
    <w:p w:rsidR="000968BA" w:rsidRDefault="000968BA"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BA" w:rsidRDefault="000968BA" w:rsidP="00B425C7">
      <w:r>
        <w:separator/>
      </w:r>
    </w:p>
  </w:footnote>
  <w:footnote w:type="continuationSeparator" w:id="0">
    <w:p w:rsidR="000968BA" w:rsidRDefault="000968BA"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20B"/>
    <w:multiLevelType w:val="hybridMultilevel"/>
    <w:tmpl w:val="9DAAE8B8"/>
    <w:lvl w:ilvl="0" w:tplc="3D8474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5766EA"/>
    <w:multiLevelType w:val="hybridMultilevel"/>
    <w:tmpl w:val="9FFCF4E6"/>
    <w:lvl w:ilvl="0" w:tplc="1FCC1B7A">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446F4"/>
    <w:rsid w:val="00083132"/>
    <w:rsid w:val="000968BA"/>
    <w:rsid w:val="000C4C43"/>
    <w:rsid w:val="000D0D2B"/>
    <w:rsid w:val="00183C19"/>
    <w:rsid w:val="001A2F47"/>
    <w:rsid w:val="001B7A43"/>
    <w:rsid w:val="00207073"/>
    <w:rsid w:val="00216570"/>
    <w:rsid w:val="00220C7A"/>
    <w:rsid w:val="002411EA"/>
    <w:rsid w:val="00252C1E"/>
    <w:rsid w:val="00302D8F"/>
    <w:rsid w:val="003076B5"/>
    <w:rsid w:val="00362877"/>
    <w:rsid w:val="0037075A"/>
    <w:rsid w:val="003E0134"/>
    <w:rsid w:val="00466EAD"/>
    <w:rsid w:val="00481D62"/>
    <w:rsid w:val="00495F5B"/>
    <w:rsid w:val="00496665"/>
    <w:rsid w:val="00534C77"/>
    <w:rsid w:val="005B49D0"/>
    <w:rsid w:val="005B7777"/>
    <w:rsid w:val="006A056C"/>
    <w:rsid w:val="006D3564"/>
    <w:rsid w:val="006E5263"/>
    <w:rsid w:val="00750B4F"/>
    <w:rsid w:val="00792FA9"/>
    <w:rsid w:val="007C3899"/>
    <w:rsid w:val="007E12DD"/>
    <w:rsid w:val="00835C12"/>
    <w:rsid w:val="00862DBD"/>
    <w:rsid w:val="008B0AC8"/>
    <w:rsid w:val="008F6257"/>
    <w:rsid w:val="00906D7C"/>
    <w:rsid w:val="00990959"/>
    <w:rsid w:val="009B2AB0"/>
    <w:rsid w:val="00A12F7E"/>
    <w:rsid w:val="00AB267D"/>
    <w:rsid w:val="00AD0A5A"/>
    <w:rsid w:val="00AE5FB2"/>
    <w:rsid w:val="00B25028"/>
    <w:rsid w:val="00B425C7"/>
    <w:rsid w:val="00B52304"/>
    <w:rsid w:val="00B91DD0"/>
    <w:rsid w:val="00BA5AAE"/>
    <w:rsid w:val="00C66E23"/>
    <w:rsid w:val="00D072D2"/>
    <w:rsid w:val="00D23B9B"/>
    <w:rsid w:val="00DA012C"/>
    <w:rsid w:val="00DE5A13"/>
    <w:rsid w:val="00E377D4"/>
    <w:rsid w:val="00E56207"/>
    <w:rsid w:val="00EB1C04"/>
    <w:rsid w:val="00EB424E"/>
    <w:rsid w:val="00F40190"/>
    <w:rsid w:val="00F445F4"/>
    <w:rsid w:val="00F96274"/>
    <w:rsid w:val="00FA314F"/>
    <w:rsid w:val="00FF43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character" w:styleId="CommentReference">
    <w:name w:val="annotation reference"/>
    <w:basedOn w:val="DefaultParagraphFont"/>
    <w:uiPriority w:val="99"/>
    <w:semiHidden/>
    <w:unhideWhenUsed/>
    <w:rsid w:val="00AB267D"/>
    <w:rPr>
      <w:sz w:val="16"/>
      <w:szCs w:val="16"/>
    </w:rPr>
  </w:style>
  <w:style w:type="paragraph" w:styleId="CommentText">
    <w:name w:val="annotation text"/>
    <w:basedOn w:val="Normal"/>
    <w:link w:val="CommentTextChar"/>
    <w:uiPriority w:val="99"/>
    <w:semiHidden/>
    <w:unhideWhenUsed/>
    <w:rsid w:val="00AB267D"/>
    <w:rPr>
      <w:sz w:val="20"/>
      <w:szCs w:val="20"/>
    </w:rPr>
  </w:style>
  <w:style w:type="character" w:customStyle="1" w:styleId="CommentTextChar">
    <w:name w:val="Comment Text Char"/>
    <w:basedOn w:val="DefaultParagraphFont"/>
    <w:link w:val="CommentText"/>
    <w:uiPriority w:val="99"/>
    <w:semiHidden/>
    <w:rsid w:val="00AB2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267D"/>
    <w:rPr>
      <w:b/>
      <w:bCs/>
    </w:rPr>
  </w:style>
  <w:style w:type="character" w:customStyle="1" w:styleId="CommentSubjectChar">
    <w:name w:val="Comment Subject Char"/>
    <w:basedOn w:val="CommentTextChar"/>
    <w:link w:val="CommentSubject"/>
    <w:uiPriority w:val="99"/>
    <w:semiHidden/>
    <w:rsid w:val="00AB267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character" w:styleId="CommentReference">
    <w:name w:val="annotation reference"/>
    <w:basedOn w:val="DefaultParagraphFont"/>
    <w:uiPriority w:val="99"/>
    <w:semiHidden/>
    <w:unhideWhenUsed/>
    <w:rsid w:val="00AB267D"/>
    <w:rPr>
      <w:sz w:val="16"/>
      <w:szCs w:val="16"/>
    </w:rPr>
  </w:style>
  <w:style w:type="paragraph" w:styleId="CommentText">
    <w:name w:val="annotation text"/>
    <w:basedOn w:val="Normal"/>
    <w:link w:val="CommentTextChar"/>
    <w:uiPriority w:val="99"/>
    <w:semiHidden/>
    <w:unhideWhenUsed/>
    <w:rsid w:val="00AB267D"/>
    <w:rPr>
      <w:sz w:val="20"/>
      <w:szCs w:val="20"/>
    </w:rPr>
  </w:style>
  <w:style w:type="character" w:customStyle="1" w:styleId="CommentTextChar">
    <w:name w:val="Comment Text Char"/>
    <w:basedOn w:val="DefaultParagraphFont"/>
    <w:link w:val="CommentText"/>
    <w:uiPriority w:val="99"/>
    <w:semiHidden/>
    <w:rsid w:val="00AB2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267D"/>
    <w:rPr>
      <w:b/>
      <w:bCs/>
    </w:rPr>
  </w:style>
  <w:style w:type="character" w:customStyle="1" w:styleId="CommentSubjectChar">
    <w:name w:val="Comment Subject Char"/>
    <w:basedOn w:val="CommentTextChar"/>
    <w:link w:val="CommentSubject"/>
    <w:uiPriority w:val="99"/>
    <w:semiHidden/>
    <w:rsid w:val="00AB26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EF1A-EC2E-4DEB-BC78-23168440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3</cp:revision>
  <dcterms:created xsi:type="dcterms:W3CDTF">2019-03-14T09:50:00Z</dcterms:created>
  <dcterms:modified xsi:type="dcterms:W3CDTF">2019-03-25T11:12:00Z</dcterms:modified>
</cp:coreProperties>
</file>