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</w:t>
      </w:r>
      <w:r w:rsidRPr="009B6AB0">
        <w:rPr>
          <w:rFonts w:ascii="Arial" w:hAnsi="Arial" w:cs="Arial"/>
          <w:b/>
          <w:sz w:val="12"/>
          <w:szCs w:val="12"/>
          <w:lang w:val="en-US"/>
        </w:rPr>
        <w:t xml:space="preserve">o </w:t>
      </w:r>
      <w:proofErr w:type="spellStart"/>
      <w:r w:rsidRPr="009B6AB0">
        <w:rPr>
          <w:rFonts w:ascii="Arial" w:hAnsi="Arial" w:cs="Arial"/>
          <w:b/>
          <w:sz w:val="12"/>
          <w:szCs w:val="12"/>
          <w:lang w:val="en-US"/>
        </w:rPr>
        <w:t>Me</w:t>
      </w:r>
      <w:r w:rsidR="009B6AB0" w:rsidRPr="009B6AB0">
        <w:rPr>
          <w:rFonts w:ascii="Arial" w:hAnsi="Arial" w:cs="Arial"/>
          <w:b/>
          <w:sz w:val="12"/>
          <w:szCs w:val="12"/>
          <w:lang w:val="en-US"/>
        </w:rPr>
        <w:t>i</w:t>
      </w:r>
      <w:r w:rsidRPr="009B6AB0">
        <w:rPr>
          <w:rFonts w:ascii="Arial" w:hAnsi="Arial" w:cs="Arial"/>
          <w:b/>
          <w:sz w:val="12"/>
          <w:szCs w:val="12"/>
          <w:lang w:val="en-US"/>
        </w:rPr>
        <w:t>ntj</w:t>
      </w:r>
      <w:r w:rsidR="009B6AB0" w:rsidRPr="009B6AB0">
        <w:rPr>
          <w:rFonts w:ascii="Arial" w:hAnsi="Arial" w:cs="Arial"/>
          <w:b/>
          <w:sz w:val="12"/>
          <w:szCs w:val="12"/>
          <w:lang w:val="en-US"/>
        </w:rPr>
        <w:t>i</w:t>
      </w:r>
      <w:r w:rsidRPr="009B6AB0">
        <w:rPr>
          <w:rFonts w:ascii="Arial" w:hAnsi="Arial" w:cs="Arial"/>
          <w:b/>
          <w:sz w:val="12"/>
          <w:szCs w:val="12"/>
          <w:lang w:val="en-US"/>
        </w:rPr>
        <w:t>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9B6AB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9B6AB0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840C6">
        <w:rPr>
          <w:rFonts w:ascii="Arial Narrow" w:hAnsi="Arial Narrow" w:cs="Tunga"/>
          <w:b/>
          <w:sz w:val="24"/>
          <w:szCs w:val="24"/>
          <w:lang w:val="fr-FR"/>
        </w:rPr>
        <w:t>10</w:t>
      </w:r>
      <w:r w:rsidR="004F359A">
        <w:rPr>
          <w:rFonts w:ascii="Arial Narrow" w:hAnsi="Arial Narrow" w:cs="Tunga"/>
          <w:b/>
          <w:sz w:val="24"/>
          <w:szCs w:val="24"/>
          <w:lang w:val="fr-FR"/>
        </w:rPr>
        <w:t>59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4F359A"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K J </w:t>
      </w:r>
      <w:proofErr w:type="spellStart"/>
      <w:r w:rsidR="004F359A"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Mileham</w:t>
      </w:r>
      <w:proofErr w:type="spellEnd"/>
      <w:r w:rsidR="004F359A"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(DA)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F3799" w:rsidRDefault="009F3799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F7799" w:rsidRDefault="00120434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4F359A">
        <w:rPr>
          <w:rFonts w:ascii="Arial Narrow" w:hAnsi="Arial Narrow" w:cs="Tunga"/>
          <w:b/>
          <w:sz w:val="24"/>
          <w:szCs w:val="24"/>
          <w:lang w:val="en-ZA"/>
        </w:rPr>
        <w:t xml:space="preserve">s Hilda </w:t>
      </w:r>
      <w:proofErr w:type="spellStart"/>
      <w:r w:rsidR="004F359A">
        <w:rPr>
          <w:rFonts w:ascii="Arial Narrow" w:hAnsi="Arial Narrow" w:cs="Tunga"/>
          <w:b/>
          <w:sz w:val="24"/>
          <w:szCs w:val="24"/>
          <w:lang w:val="en-ZA"/>
        </w:rPr>
        <w:t>Mhlongo</w:t>
      </w:r>
      <w:proofErr w:type="spellEnd"/>
    </w:p>
    <w:p w:rsidR="00BF7799" w:rsidRDefault="00644168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Director-General: </w:t>
      </w:r>
      <w:r w:rsidR="004F359A">
        <w:rPr>
          <w:rFonts w:ascii="Arial Narrow" w:eastAsia="Times New Roman" w:hAnsi="Arial Narrow" w:cs="Tunga"/>
          <w:b/>
          <w:sz w:val="24"/>
          <w:szCs w:val="24"/>
          <w:lang w:val="en-ZA"/>
        </w:rPr>
        <w:t>Corporate Services</w:t>
      </w: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………………/………………/2023</w:t>
      </w:r>
    </w:p>
    <w:p w:rsidR="00BF7799" w:rsidRDefault="00BF7799" w:rsidP="00BF779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 / Not Recommended 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F359A" w:rsidRPr="004F359A" w:rsidRDefault="004F359A" w:rsidP="004F359A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 xml:space="preserve">1059. </w:t>
      </w:r>
      <w:r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</w:r>
      <w:bookmarkStart w:id="1" w:name="_Hlk130539839"/>
      <w:r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K J </w:t>
      </w:r>
      <w:proofErr w:type="spellStart"/>
      <w:r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Mileham</w:t>
      </w:r>
      <w:proofErr w:type="spellEnd"/>
      <w:r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(DA) </w:t>
      </w:r>
      <w:bookmarkEnd w:id="1"/>
      <w:r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to ask the Minister of Mineral Resources and Energy:</w:t>
      </w:r>
    </w:p>
    <w:p w:rsidR="00644168" w:rsidRDefault="004F359A" w:rsidP="004F359A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4F359A">
        <w:rPr>
          <w:rFonts w:ascii="Arial Narrow" w:eastAsia="Calibri" w:hAnsi="Arial Narrow" w:cs="Times New Roman"/>
          <w:sz w:val="24"/>
          <w:szCs w:val="24"/>
          <w:lang w:val="en-ZA"/>
        </w:rPr>
        <w:t xml:space="preserve">(1)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4F359A">
        <w:rPr>
          <w:rFonts w:ascii="Arial Narrow" w:eastAsia="Calibri" w:hAnsi="Arial Narrow" w:cs="Times New Roman"/>
          <w:sz w:val="24"/>
          <w:szCs w:val="24"/>
          <w:lang w:val="en-ZA"/>
        </w:rPr>
        <w:t xml:space="preserve">Whether the policies of </w:t>
      </w:r>
      <w:proofErr w:type="spellStart"/>
      <w:r w:rsidRPr="004F359A">
        <w:rPr>
          <w:rFonts w:ascii="Arial Narrow" w:eastAsia="Calibri" w:hAnsi="Arial Narrow" w:cs="Times New Roman"/>
          <w:sz w:val="24"/>
          <w:szCs w:val="24"/>
          <w:lang w:val="en-ZA"/>
        </w:rPr>
        <w:t>PetroSA</w:t>
      </w:r>
      <w:proofErr w:type="spellEnd"/>
      <w:r w:rsidRPr="004F359A">
        <w:rPr>
          <w:rFonts w:ascii="Arial Narrow" w:eastAsia="Calibri" w:hAnsi="Arial Narrow" w:cs="Times New Roman"/>
          <w:sz w:val="24"/>
          <w:szCs w:val="24"/>
          <w:lang w:val="en-ZA"/>
        </w:rPr>
        <w:t xml:space="preserve"> have changed with regard to the prepayment for the purchase of bulk petroleum products from external suppliers since 1 July 2022; if not, what is the position in this regard; if so, (a) what necessitated the change and (b) who authorised the changes to the policy; (2) what checks and balances have been put in place to ensure that the products paid for (a) are actually received and (b) meet the appropriate technical specifications; (3) what credit checks and/or other vetting procedures were utilised prior to implementing the specified change; (4) on which provisions of the Public Finance Management Act, Act 1 of 1999, does </w:t>
      </w:r>
      <w:proofErr w:type="spellStart"/>
      <w:r w:rsidRPr="004F359A">
        <w:rPr>
          <w:rFonts w:ascii="Arial Narrow" w:eastAsia="Calibri" w:hAnsi="Arial Narrow" w:cs="Times New Roman"/>
          <w:sz w:val="24"/>
          <w:szCs w:val="24"/>
          <w:lang w:val="en-ZA"/>
        </w:rPr>
        <w:t>PetroSA</w:t>
      </w:r>
      <w:proofErr w:type="spellEnd"/>
      <w:r w:rsidRPr="004F359A">
        <w:rPr>
          <w:rFonts w:ascii="Arial Narrow" w:eastAsia="Calibri" w:hAnsi="Arial Narrow" w:cs="Times New Roman"/>
          <w:sz w:val="24"/>
          <w:szCs w:val="24"/>
          <w:lang w:val="en-ZA"/>
        </w:rPr>
        <w:t xml:space="preserve"> rely to make such prepayments? </w:t>
      </w:r>
      <w:r w:rsidRPr="004F359A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4F359A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4F359A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NW1169E</w:t>
      </w:r>
    </w:p>
    <w:p w:rsidR="004F359A" w:rsidRDefault="004F359A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8E4132" w:rsidRPr="009936BA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E52B1F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246E89" w:rsidRPr="009B6AB0" w:rsidRDefault="00246E89" w:rsidP="009B6AB0">
      <w:pPr>
        <w:pStyle w:val="ListParagraph"/>
        <w:numPr>
          <w:ilvl w:val="0"/>
          <w:numId w:val="19"/>
        </w:numPr>
        <w:tabs>
          <w:tab w:val="left" w:pos="1845"/>
        </w:tabs>
        <w:spacing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proofErr w:type="spellStart"/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494BC0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does not have a </w:t>
      </w:r>
      <w:r w:rsidR="00AD6404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prepayment </w:t>
      </w:r>
      <w:r w:rsidR="00494BC0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policy.</w:t>
      </w:r>
      <w:r w:rsidR="00AD6404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</w:p>
    <w:p w:rsidR="00531FE9" w:rsidRPr="009B6AB0" w:rsidRDefault="00531FE9" w:rsidP="009B6AB0">
      <w:pPr>
        <w:pStyle w:val="ListParagraph"/>
        <w:tabs>
          <w:tab w:val="left" w:pos="1845"/>
        </w:tabs>
        <w:spacing w:line="240" w:lineRule="auto"/>
        <w:ind w:left="142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</w:p>
    <w:p w:rsidR="00246E89" w:rsidRPr="009B6AB0" w:rsidRDefault="00246E89" w:rsidP="009B6AB0">
      <w:pPr>
        <w:pStyle w:val="ListParagraph"/>
        <w:tabs>
          <w:tab w:val="left" w:pos="1845"/>
        </w:tabs>
        <w:spacing w:line="360" w:lineRule="auto"/>
        <w:ind w:left="1843" w:hanging="425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(a) </w:t>
      </w:r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  <w:t xml:space="preserve">See 1 above  </w:t>
      </w:r>
    </w:p>
    <w:p w:rsidR="009B6AB0" w:rsidRDefault="002109F9" w:rsidP="009B6AB0">
      <w:pPr>
        <w:pStyle w:val="ListParagraph"/>
        <w:tabs>
          <w:tab w:val="left" w:pos="1845"/>
        </w:tabs>
        <w:spacing w:line="240" w:lineRule="auto"/>
        <w:ind w:left="1418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r w:rsidR="00246E8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(b) </w:t>
      </w:r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  <w:t>Not applicable, any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change in policy has to be approved by the </w:t>
      </w:r>
      <w:proofErr w:type="spellStart"/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</w:p>
    <w:p w:rsidR="00246E89" w:rsidRPr="009B6AB0" w:rsidRDefault="009B6AB0" w:rsidP="009B6AB0">
      <w:pPr>
        <w:pStyle w:val="ListParagraph"/>
        <w:tabs>
          <w:tab w:val="left" w:pos="1845"/>
        </w:tabs>
        <w:spacing w:line="240" w:lineRule="auto"/>
        <w:ind w:left="1418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Board</w:t>
      </w:r>
    </w:p>
    <w:p w:rsidR="002109F9" w:rsidRPr="009B6AB0" w:rsidRDefault="00246E89" w:rsidP="009B6AB0">
      <w:pPr>
        <w:pStyle w:val="ListParagraph"/>
        <w:tabs>
          <w:tab w:val="left" w:pos="1845"/>
        </w:tabs>
        <w:spacing w:line="360" w:lineRule="auto"/>
        <w:ind w:left="1843" w:hanging="1123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(2)</w:t>
      </w:r>
      <w:r w:rsid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      (</w:t>
      </w: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a) </w:t>
      </w:r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Payment 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for products is only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released when the 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cargo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vessel is docked at our seashores</w:t>
      </w:r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either in </w:t>
      </w:r>
      <w:proofErr w:type="spellStart"/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Mossel</w:t>
      </w:r>
      <w:proofErr w:type="spellEnd"/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Bay or Cape Town and after confirmation received from </w:t>
      </w:r>
      <w:proofErr w:type="spellStart"/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appointed Shipping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Agent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s and</w:t>
      </w:r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Surveyors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that</w:t>
      </w:r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the vessel has arrived and is ready to</w:t>
      </w:r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discharge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and, </w:t>
      </w:r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</w:p>
    <w:p w:rsidR="00531FE9" w:rsidRPr="009B6AB0" w:rsidRDefault="009B6AB0" w:rsidP="009B6AB0">
      <w:pPr>
        <w:pStyle w:val="ListParagraph"/>
        <w:tabs>
          <w:tab w:val="left" w:pos="1985"/>
        </w:tabs>
        <w:spacing w:line="360" w:lineRule="auto"/>
        <w:ind w:left="1985" w:hanging="992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      </w:t>
      </w:r>
      <w:r w:rsidR="00246E8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(b) </w:t>
      </w:r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 </w:t>
      </w: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T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he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product is sampled </w:t>
      </w:r>
      <w:r w:rsidR="00547081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upon vessel arrival, to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confirmed that </w:t>
      </w:r>
      <w:r w:rsidR="00547081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the cargo on board th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e</w:t>
      </w:r>
    </w:p>
    <w:p w:rsidR="00531FE9" w:rsidRPr="009B6AB0" w:rsidRDefault="009B6AB0" w:rsidP="009B6AB0">
      <w:pPr>
        <w:pStyle w:val="ListParagraph"/>
        <w:tabs>
          <w:tab w:val="left" w:pos="1845"/>
        </w:tabs>
        <w:spacing w:line="360" w:lineRule="auto"/>
        <w:ind w:left="2116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proofErr w:type="gramStart"/>
      <w:r w:rsidR="00547081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vessel</w:t>
      </w:r>
      <w:proofErr w:type="gramEnd"/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meets </w:t>
      </w:r>
      <w:proofErr w:type="spellStart"/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Standard import </w:t>
      </w:r>
      <w:r w:rsidR="002109F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specifications. </w:t>
      </w:r>
      <w:proofErr w:type="spellStart"/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pays and </w:t>
      </w:r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takes title after</w:t>
      </w:r>
    </w:p>
    <w:p w:rsidR="00531FE9" w:rsidRPr="009B6AB0" w:rsidRDefault="009B6AB0" w:rsidP="009B6AB0">
      <w:pPr>
        <w:pStyle w:val="ListParagraph"/>
        <w:tabs>
          <w:tab w:val="left" w:pos="1845"/>
        </w:tabs>
        <w:spacing w:line="360" w:lineRule="auto"/>
        <w:ind w:left="2116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proofErr w:type="gramStart"/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all</w:t>
      </w:r>
      <w:proofErr w:type="gramEnd"/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the samples and confirmation has been done. If it happened that the cargo is off spec,</w:t>
      </w:r>
    </w:p>
    <w:p w:rsidR="00246E89" w:rsidRPr="009B6AB0" w:rsidRDefault="009B6AB0" w:rsidP="009B6AB0">
      <w:pPr>
        <w:pStyle w:val="ListParagraph"/>
        <w:tabs>
          <w:tab w:val="left" w:pos="1845"/>
        </w:tabs>
        <w:spacing w:line="360" w:lineRule="auto"/>
        <w:ind w:left="2116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proofErr w:type="spellStart"/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would</w:t>
      </w:r>
      <w:r w:rsidR="00531FE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92682F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reject it without incurring any costs.  </w:t>
      </w:r>
    </w:p>
    <w:p w:rsidR="0096069B" w:rsidRPr="009B6AB0" w:rsidRDefault="00246E89" w:rsidP="009B6AB0">
      <w:pPr>
        <w:pStyle w:val="ListParagraph"/>
        <w:tabs>
          <w:tab w:val="left" w:pos="1845"/>
        </w:tabs>
        <w:spacing w:after="0" w:line="360" w:lineRule="auto"/>
        <w:ind w:left="1418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(3) </w:t>
      </w: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r w:rsidR="0096069B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There was no policy change as per 1 above, however, c</w:t>
      </w:r>
      <w:r w:rsidR="005F3F77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ompanies that transact with</w:t>
      </w:r>
    </w:p>
    <w:p w:rsidR="0096069B" w:rsidRPr="009B6AB0" w:rsidRDefault="0096069B" w:rsidP="009B6AB0">
      <w:pPr>
        <w:pStyle w:val="ListParagraph"/>
        <w:tabs>
          <w:tab w:val="left" w:pos="1845"/>
        </w:tabs>
        <w:spacing w:after="0" w:line="360" w:lineRule="auto"/>
        <w:ind w:left="2116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proofErr w:type="spellStart"/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5F3F77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are registered onto the National Treasury Database as</w:t>
      </w: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  <w:r w:rsidR="005F3F77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well as </w:t>
      </w:r>
      <w:proofErr w:type="spellStart"/>
      <w:r w:rsidR="005F3F77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</w:p>
    <w:p w:rsidR="0096069B" w:rsidRPr="009B6AB0" w:rsidRDefault="0096069B" w:rsidP="009B6AB0">
      <w:pPr>
        <w:pStyle w:val="ListParagraph"/>
        <w:tabs>
          <w:tab w:val="left" w:pos="1845"/>
        </w:tabs>
        <w:spacing w:after="0" w:line="360" w:lineRule="auto"/>
        <w:ind w:left="2116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proofErr w:type="gramStart"/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supplier</w:t>
      </w:r>
      <w:proofErr w:type="gramEnd"/>
      <w:r w:rsidR="005F3F77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database. The</w:t>
      </w: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re is a rigorous vetting process conducted by the </w:t>
      </w:r>
      <w:proofErr w:type="spellStart"/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</w:p>
    <w:p w:rsidR="0096069B" w:rsidRPr="009B6AB0" w:rsidRDefault="005F3F77" w:rsidP="009B6AB0">
      <w:pPr>
        <w:pStyle w:val="ListParagraph"/>
        <w:tabs>
          <w:tab w:val="left" w:pos="1845"/>
        </w:tabs>
        <w:spacing w:after="0" w:line="360" w:lineRule="auto"/>
        <w:ind w:left="2116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Treasury, Risk and Compliance</w:t>
      </w:r>
      <w:r w:rsidR="0096069B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Departments to ensure that suppliers listed on the</w:t>
      </w:r>
    </w:p>
    <w:p w:rsidR="005F3F77" w:rsidRPr="009B6AB0" w:rsidRDefault="0096069B" w:rsidP="009B6AB0">
      <w:pPr>
        <w:pStyle w:val="ListParagraph"/>
        <w:tabs>
          <w:tab w:val="left" w:pos="1845"/>
        </w:tabs>
        <w:spacing w:after="0" w:line="360" w:lineRule="auto"/>
        <w:ind w:left="2116" w:hanging="69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proofErr w:type="gramStart"/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database</w:t>
      </w:r>
      <w:proofErr w:type="gramEnd"/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are in a position to deliver the requested products. </w:t>
      </w:r>
      <w:r w:rsidR="005F3F77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 </w:t>
      </w:r>
    </w:p>
    <w:p w:rsidR="00745028" w:rsidRPr="009B6AB0" w:rsidRDefault="005F3F77" w:rsidP="009B6AB0">
      <w:pPr>
        <w:pStyle w:val="ListParagraph"/>
        <w:tabs>
          <w:tab w:val="left" w:pos="1418"/>
        </w:tabs>
        <w:spacing w:line="360" w:lineRule="auto"/>
        <w:ind w:left="709" w:hanging="709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ab/>
      </w:r>
      <w:r w:rsidR="00246E89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(4) </w:t>
      </w:r>
      <w:r w:rsidR="00FF64BA" w:rsidRPr="009B6AB0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    </w:t>
      </w:r>
      <w:r w:rsidR="00494BC0" w:rsidRPr="009B6AB0">
        <w:rPr>
          <w:rFonts w:ascii="Arial Narrow" w:eastAsia="Calibri" w:hAnsi="Arial Narrow" w:cs="Times New Roman"/>
          <w:color w:val="000000" w:themeColor="text1"/>
          <w:lang w:val="en-ZA"/>
        </w:rPr>
        <w:t xml:space="preserve">If there is a contractual requirement for pre-payment, </w:t>
      </w:r>
      <w:proofErr w:type="spellStart"/>
      <w:r w:rsidR="00494BC0" w:rsidRPr="009B6AB0">
        <w:rPr>
          <w:rFonts w:ascii="Arial Narrow" w:eastAsia="Calibri" w:hAnsi="Arial Narrow" w:cs="Times New Roman"/>
          <w:color w:val="000000" w:themeColor="text1"/>
          <w:lang w:val="en-ZA"/>
        </w:rPr>
        <w:t>PetroSA</w:t>
      </w:r>
      <w:proofErr w:type="spellEnd"/>
      <w:r w:rsidR="00494BC0" w:rsidRPr="009B6AB0">
        <w:rPr>
          <w:rFonts w:ascii="Arial Narrow" w:eastAsia="Calibri" w:hAnsi="Arial Narrow" w:cs="Times New Roman"/>
          <w:color w:val="000000" w:themeColor="text1"/>
          <w:lang w:val="en-ZA"/>
        </w:rPr>
        <w:t xml:space="preserve"> rely on Regulation 31.1.2 (</w:t>
      </w:r>
      <w:r w:rsidR="009B6AB0" w:rsidRPr="009B6AB0">
        <w:rPr>
          <w:rFonts w:ascii="Arial Narrow" w:eastAsia="Calibri" w:hAnsi="Arial Narrow" w:cs="Times New Roman"/>
          <w:color w:val="000000" w:themeColor="text1"/>
          <w:lang w:val="en-ZA"/>
        </w:rPr>
        <w:t>c)</w:t>
      </w:r>
      <w:r w:rsidR="00494BC0" w:rsidRPr="009B6AB0">
        <w:rPr>
          <w:rFonts w:ascii="Arial Narrow" w:eastAsia="Calibri" w:hAnsi="Arial Narrow" w:cs="Times New Roman"/>
          <w:color w:val="000000" w:themeColor="text1"/>
          <w:lang w:val="en-ZA"/>
        </w:rPr>
        <w:t xml:space="preserve"> of the </w:t>
      </w:r>
      <w:r w:rsidR="00FF64BA" w:rsidRPr="009B6AB0">
        <w:rPr>
          <w:rFonts w:ascii="Arial Narrow" w:eastAsia="Calibri" w:hAnsi="Arial Narrow" w:cs="Times New Roman"/>
          <w:color w:val="000000" w:themeColor="text1"/>
          <w:lang w:val="en-ZA"/>
        </w:rPr>
        <w:t xml:space="preserve">   </w:t>
      </w:r>
      <w:r w:rsidR="00FF64BA" w:rsidRPr="009B6AB0">
        <w:rPr>
          <w:rFonts w:ascii="Arial Narrow" w:eastAsia="Calibri" w:hAnsi="Arial Narrow" w:cs="Times New Roman"/>
          <w:color w:val="000000" w:themeColor="text1"/>
          <w:lang w:val="en-ZA"/>
        </w:rPr>
        <w:tab/>
      </w:r>
      <w:r w:rsidR="00494BC0" w:rsidRPr="009B6AB0">
        <w:rPr>
          <w:rFonts w:ascii="Arial Narrow" w:eastAsia="Calibri" w:hAnsi="Arial Narrow" w:cs="Times New Roman"/>
          <w:color w:val="000000" w:themeColor="text1"/>
          <w:lang w:val="en-ZA"/>
        </w:rPr>
        <w:t xml:space="preserve">PFMA Treasury Regulations which authorises pre-payments only when contractual arrangements with </w:t>
      </w:r>
      <w:r w:rsidR="00FF64BA" w:rsidRPr="009B6AB0">
        <w:rPr>
          <w:rFonts w:ascii="Arial Narrow" w:eastAsia="Calibri" w:hAnsi="Arial Narrow" w:cs="Times New Roman"/>
          <w:color w:val="000000" w:themeColor="text1"/>
          <w:lang w:val="en-ZA"/>
        </w:rPr>
        <w:tab/>
      </w:r>
      <w:r w:rsidR="00494BC0" w:rsidRPr="009B6AB0">
        <w:rPr>
          <w:rFonts w:ascii="Arial Narrow" w:eastAsia="Calibri" w:hAnsi="Arial Narrow" w:cs="Times New Roman"/>
          <w:color w:val="000000" w:themeColor="text1"/>
          <w:lang w:val="en-ZA"/>
        </w:rPr>
        <w:t xml:space="preserve">suppliers bind the entity. </w:t>
      </w:r>
    </w:p>
    <w:sectPr w:rsidR="00745028" w:rsidRPr="009B6AB0" w:rsidSect="00FF64BA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5F" w:rsidRDefault="00A5355F" w:rsidP="00CB32D0">
      <w:pPr>
        <w:spacing w:after="0" w:line="240" w:lineRule="auto"/>
      </w:pPr>
      <w:r>
        <w:separator/>
      </w:r>
    </w:p>
  </w:endnote>
  <w:endnote w:type="continuationSeparator" w:id="0">
    <w:p w:rsidR="00A5355F" w:rsidRDefault="00A5355F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5F" w:rsidRDefault="00A5355F" w:rsidP="00CB32D0">
      <w:pPr>
        <w:spacing w:after="0" w:line="240" w:lineRule="auto"/>
      </w:pPr>
      <w:r>
        <w:separator/>
      </w:r>
    </w:p>
  </w:footnote>
  <w:footnote w:type="continuationSeparator" w:id="0">
    <w:p w:rsidR="00A5355F" w:rsidRDefault="00A5355F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9E"/>
    <w:multiLevelType w:val="hybridMultilevel"/>
    <w:tmpl w:val="5A2CAA8A"/>
    <w:lvl w:ilvl="0" w:tplc="9244B49C">
      <w:start w:val="1"/>
      <w:numFmt w:val="decimal"/>
      <w:lvlText w:val="(%1)"/>
      <w:lvlJc w:val="left"/>
      <w:pPr>
        <w:ind w:left="1420" w:hanging="7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17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16"/>
  </w:num>
  <w:num w:numId="16">
    <w:abstractNumId w:val="1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855CE"/>
    <w:rsid w:val="000D4097"/>
    <w:rsid w:val="000E3DF5"/>
    <w:rsid w:val="000E4AEB"/>
    <w:rsid w:val="0011628B"/>
    <w:rsid w:val="00120434"/>
    <w:rsid w:val="00124341"/>
    <w:rsid w:val="00136BFF"/>
    <w:rsid w:val="00141D4A"/>
    <w:rsid w:val="001577D9"/>
    <w:rsid w:val="00160946"/>
    <w:rsid w:val="001627BA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C0530"/>
    <w:rsid w:val="001D011C"/>
    <w:rsid w:val="001E21CE"/>
    <w:rsid w:val="001F6529"/>
    <w:rsid w:val="001F69EA"/>
    <w:rsid w:val="00203520"/>
    <w:rsid w:val="002109F9"/>
    <w:rsid w:val="00217150"/>
    <w:rsid w:val="002204A5"/>
    <w:rsid w:val="00221977"/>
    <w:rsid w:val="00231011"/>
    <w:rsid w:val="00246E89"/>
    <w:rsid w:val="00250D05"/>
    <w:rsid w:val="00265C8F"/>
    <w:rsid w:val="00266DB3"/>
    <w:rsid w:val="002761FC"/>
    <w:rsid w:val="00277D12"/>
    <w:rsid w:val="00281C81"/>
    <w:rsid w:val="00293CAC"/>
    <w:rsid w:val="002B28CA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2E9D"/>
    <w:rsid w:val="003E4562"/>
    <w:rsid w:val="00401A10"/>
    <w:rsid w:val="0040330D"/>
    <w:rsid w:val="00442425"/>
    <w:rsid w:val="004840C6"/>
    <w:rsid w:val="0049193D"/>
    <w:rsid w:val="00494BC0"/>
    <w:rsid w:val="004B6B3B"/>
    <w:rsid w:val="004B701C"/>
    <w:rsid w:val="004C1BED"/>
    <w:rsid w:val="004C5013"/>
    <w:rsid w:val="004C51D7"/>
    <w:rsid w:val="004C621C"/>
    <w:rsid w:val="004F359A"/>
    <w:rsid w:val="0053040C"/>
    <w:rsid w:val="005319B0"/>
    <w:rsid w:val="00531FE9"/>
    <w:rsid w:val="00544630"/>
    <w:rsid w:val="0054464A"/>
    <w:rsid w:val="00547081"/>
    <w:rsid w:val="00547194"/>
    <w:rsid w:val="00553C7D"/>
    <w:rsid w:val="005568F6"/>
    <w:rsid w:val="00582A0F"/>
    <w:rsid w:val="005843F1"/>
    <w:rsid w:val="005C3715"/>
    <w:rsid w:val="005D3A28"/>
    <w:rsid w:val="005E0D72"/>
    <w:rsid w:val="005E1E7F"/>
    <w:rsid w:val="005F3F77"/>
    <w:rsid w:val="00612235"/>
    <w:rsid w:val="00612A09"/>
    <w:rsid w:val="00625599"/>
    <w:rsid w:val="00644168"/>
    <w:rsid w:val="00681D41"/>
    <w:rsid w:val="006A0B3C"/>
    <w:rsid w:val="006A1D62"/>
    <w:rsid w:val="006A4921"/>
    <w:rsid w:val="006B3252"/>
    <w:rsid w:val="006B4C58"/>
    <w:rsid w:val="006B71A5"/>
    <w:rsid w:val="006D00EC"/>
    <w:rsid w:val="006D45F1"/>
    <w:rsid w:val="006F05FC"/>
    <w:rsid w:val="0071050A"/>
    <w:rsid w:val="00710958"/>
    <w:rsid w:val="00711221"/>
    <w:rsid w:val="007174D8"/>
    <w:rsid w:val="00721FD9"/>
    <w:rsid w:val="00745028"/>
    <w:rsid w:val="00754C6D"/>
    <w:rsid w:val="0078283F"/>
    <w:rsid w:val="007A5EA7"/>
    <w:rsid w:val="007C2C88"/>
    <w:rsid w:val="007C5C73"/>
    <w:rsid w:val="007C5CCE"/>
    <w:rsid w:val="007E4592"/>
    <w:rsid w:val="007F282F"/>
    <w:rsid w:val="0080529B"/>
    <w:rsid w:val="008059D7"/>
    <w:rsid w:val="008076C2"/>
    <w:rsid w:val="0083119E"/>
    <w:rsid w:val="00837FED"/>
    <w:rsid w:val="00843DCD"/>
    <w:rsid w:val="00845F43"/>
    <w:rsid w:val="00851582"/>
    <w:rsid w:val="00852A1A"/>
    <w:rsid w:val="00856BFB"/>
    <w:rsid w:val="00860719"/>
    <w:rsid w:val="0086105B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2682F"/>
    <w:rsid w:val="009473EF"/>
    <w:rsid w:val="00950B60"/>
    <w:rsid w:val="00954766"/>
    <w:rsid w:val="00954CA3"/>
    <w:rsid w:val="0096069B"/>
    <w:rsid w:val="00984193"/>
    <w:rsid w:val="00986B0C"/>
    <w:rsid w:val="009936BA"/>
    <w:rsid w:val="00995349"/>
    <w:rsid w:val="009B0790"/>
    <w:rsid w:val="009B19CB"/>
    <w:rsid w:val="009B48D3"/>
    <w:rsid w:val="009B5508"/>
    <w:rsid w:val="009B6AB0"/>
    <w:rsid w:val="009D65E0"/>
    <w:rsid w:val="009E1DDD"/>
    <w:rsid w:val="009E263D"/>
    <w:rsid w:val="009E6A90"/>
    <w:rsid w:val="009F154C"/>
    <w:rsid w:val="009F3799"/>
    <w:rsid w:val="009F4AC4"/>
    <w:rsid w:val="00A06402"/>
    <w:rsid w:val="00A31F07"/>
    <w:rsid w:val="00A41922"/>
    <w:rsid w:val="00A43B1B"/>
    <w:rsid w:val="00A44FDD"/>
    <w:rsid w:val="00A5355F"/>
    <w:rsid w:val="00A54A61"/>
    <w:rsid w:val="00A55A3F"/>
    <w:rsid w:val="00A638E8"/>
    <w:rsid w:val="00A67F74"/>
    <w:rsid w:val="00A817CF"/>
    <w:rsid w:val="00AB193F"/>
    <w:rsid w:val="00AC4063"/>
    <w:rsid w:val="00AC6437"/>
    <w:rsid w:val="00AD6404"/>
    <w:rsid w:val="00AD6EE5"/>
    <w:rsid w:val="00AE5E90"/>
    <w:rsid w:val="00B12A64"/>
    <w:rsid w:val="00B1397B"/>
    <w:rsid w:val="00B16756"/>
    <w:rsid w:val="00B30D66"/>
    <w:rsid w:val="00B34E6E"/>
    <w:rsid w:val="00B4621D"/>
    <w:rsid w:val="00B5182D"/>
    <w:rsid w:val="00B52694"/>
    <w:rsid w:val="00B8038F"/>
    <w:rsid w:val="00BA2ED0"/>
    <w:rsid w:val="00BA5462"/>
    <w:rsid w:val="00BE2249"/>
    <w:rsid w:val="00BE2A2A"/>
    <w:rsid w:val="00BF7799"/>
    <w:rsid w:val="00C0000D"/>
    <w:rsid w:val="00C02AE1"/>
    <w:rsid w:val="00C37737"/>
    <w:rsid w:val="00C61059"/>
    <w:rsid w:val="00C61A9B"/>
    <w:rsid w:val="00C76419"/>
    <w:rsid w:val="00C80B8A"/>
    <w:rsid w:val="00C91FDE"/>
    <w:rsid w:val="00C92C7F"/>
    <w:rsid w:val="00C935C8"/>
    <w:rsid w:val="00CB32D0"/>
    <w:rsid w:val="00CB367F"/>
    <w:rsid w:val="00CB7087"/>
    <w:rsid w:val="00CB793A"/>
    <w:rsid w:val="00CE14C2"/>
    <w:rsid w:val="00CE3FC7"/>
    <w:rsid w:val="00CF4E7E"/>
    <w:rsid w:val="00D02A8E"/>
    <w:rsid w:val="00D228E7"/>
    <w:rsid w:val="00D44900"/>
    <w:rsid w:val="00D47A9C"/>
    <w:rsid w:val="00D72F7E"/>
    <w:rsid w:val="00D7533E"/>
    <w:rsid w:val="00D75F94"/>
    <w:rsid w:val="00D84511"/>
    <w:rsid w:val="00D97FD4"/>
    <w:rsid w:val="00DA1FC9"/>
    <w:rsid w:val="00DB71FB"/>
    <w:rsid w:val="00DD573C"/>
    <w:rsid w:val="00DE410E"/>
    <w:rsid w:val="00DF515A"/>
    <w:rsid w:val="00E07DEE"/>
    <w:rsid w:val="00E24EF8"/>
    <w:rsid w:val="00E2525F"/>
    <w:rsid w:val="00E41AF8"/>
    <w:rsid w:val="00E41EAF"/>
    <w:rsid w:val="00E52B1F"/>
    <w:rsid w:val="00E5429F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553E"/>
    <w:rsid w:val="00EE65D9"/>
    <w:rsid w:val="00EE6EAA"/>
    <w:rsid w:val="00EF43DC"/>
    <w:rsid w:val="00EF6A9F"/>
    <w:rsid w:val="00EF6E95"/>
    <w:rsid w:val="00F045FF"/>
    <w:rsid w:val="00F114B8"/>
    <w:rsid w:val="00F26377"/>
    <w:rsid w:val="00F30128"/>
    <w:rsid w:val="00F353C7"/>
    <w:rsid w:val="00F37BA1"/>
    <w:rsid w:val="00F50042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B6636"/>
    <w:rsid w:val="00FC008E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8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2023-04-17T15:52:00Z</dcterms:created>
  <dcterms:modified xsi:type="dcterms:W3CDTF">2023-04-17T15:52:00Z</dcterms:modified>
</cp:coreProperties>
</file>