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</w:pPr>
      <w:bookmarkStart w:id="0" w:name="_GoBack"/>
      <w:bookmarkEnd w:id="0"/>
      <w:r w:rsidRPr="0019399F"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  <w:t>NATIONAL ASSEMBLY:</w:t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color w:val="000000" w:themeColor="text1"/>
          <w:bdr w:val="nil"/>
          <w:lang w:val="en-US"/>
        </w:rPr>
      </w:pP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FOR WRITTEN REPLY:</w:t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Number:</w:t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1053</w:t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Publication:</w:t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24 March 2023</w:t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NA IQP Number:</w:t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11</w:t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reply:</w:t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19399F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</w:p>
    <w:p w:rsidR="0019399F" w:rsidRPr="0019399F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</w:pPr>
    </w:p>
    <w:p w:rsidR="0019399F" w:rsidRPr="004E777B" w:rsidRDefault="0019399F" w:rsidP="0019399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  <w:r w:rsidRPr="004E777B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Mr M S F de Freitas (DA) to ask the Minister of Tourism</w:t>
      </w:r>
      <w:r w:rsidR="00CC3058" w:rsidRPr="004E777B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fldChar w:fldCharType="begin"/>
      </w:r>
      <w:r w:rsidRPr="004E777B">
        <w:rPr>
          <w:rFonts w:ascii="Arial" w:hAnsi="Arial" w:cs="Arial"/>
          <w:color w:val="000000" w:themeColor="text1"/>
          <w:sz w:val="24"/>
          <w:szCs w:val="24"/>
        </w:rPr>
        <w:instrText xml:space="preserve"> XE "</w:instrText>
      </w:r>
      <w:r w:rsidRPr="004E777B">
        <w:rPr>
          <w:rFonts w:ascii="Arial" w:hAnsi="Arial" w:cs="Arial"/>
          <w:b/>
          <w:color w:val="000000" w:themeColor="text1"/>
          <w:sz w:val="24"/>
          <w:szCs w:val="24"/>
        </w:rPr>
        <w:instrText>Tourism</w:instrText>
      </w:r>
      <w:r w:rsidRPr="004E777B">
        <w:rPr>
          <w:rFonts w:ascii="Arial" w:hAnsi="Arial" w:cs="Arial"/>
          <w:color w:val="000000" w:themeColor="text1"/>
          <w:sz w:val="24"/>
          <w:szCs w:val="24"/>
        </w:rPr>
        <w:instrText xml:space="preserve">" </w:instrText>
      </w:r>
      <w:r w:rsidR="00CC3058" w:rsidRPr="004E777B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fldChar w:fldCharType="end"/>
      </w:r>
      <w:r w:rsidRPr="004E777B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:</w:t>
      </w:r>
    </w:p>
    <w:p w:rsidR="0019399F" w:rsidRPr="004E777B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  <w:r w:rsidRPr="004E777B">
        <w:rPr>
          <w:rFonts w:ascii="Arial" w:hAnsi="Arial" w:cs="Arial"/>
          <w:color w:val="000000" w:themeColor="text1"/>
          <w:sz w:val="24"/>
          <w:szCs w:val="24"/>
        </w:rPr>
        <w:t>What percentage of payments were paid to service providers and suppliers by SA Tourism (a) within (</w:t>
      </w:r>
      <w:proofErr w:type="spellStart"/>
      <w:r w:rsidRPr="004E777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4E777B">
        <w:rPr>
          <w:rFonts w:ascii="Arial" w:hAnsi="Arial" w:cs="Arial"/>
          <w:color w:val="000000" w:themeColor="text1"/>
          <w:sz w:val="24"/>
          <w:szCs w:val="24"/>
        </w:rPr>
        <w:t>) 30 days of invoicing, (ii) 60 days of invoicing, (iii) 90 days of invoicing and (iv) 120 days of invoicing and (b) above 120 days of invoicing in each month (</w:t>
      </w:r>
      <w:proofErr w:type="spellStart"/>
      <w:r w:rsidRPr="004E777B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4E777B">
        <w:rPr>
          <w:rFonts w:ascii="Arial" w:hAnsi="Arial" w:cs="Arial"/>
          <w:color w:val="000000" w:themeColor="text1"/>
          <w:sz w:val="24"/>
          <w:szCs w:val="24"/>
        </w:rPr>
        <w:t xml:space="preserve">) in the past three financial years and (ii) since 1 January 2023 in each case? </w:t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</w:r>
      <w:r w:rsidRPr="004E777B">
        <w:rPr>
          <w:rFonts w:ascii="Arial" w:hAnsi="Arial" w:cs="Arial"/>
          <w:color w:val="000000" w:themeColor="text1"/>
          <w:sz w:val="24"/>
          <w:szCs w:val="24"/>
        </w:rPr>
        <w:tab/>
        <w:t>NW1163E</w:t>
      </w:r>
    </w:p>
    <w:p w:rsidR="0019399F" w:rsidRPr="004E777B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left="567" w:hanging="567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</w:p>
    <w:p w:rsidR="0019399F" w:rsidRPr="004E777B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bdr w:val="nil"/>
          <w:lang w:val="en-US"/>
        </w:rPr>
      </w:pPr>
      <w:r w:rsidRPr="004E777B">
        <w:rPr>
          <w:rFonts w:ascii="Arial" w:eastAsia="Arial Unicode MS" w:hAnsi="Arial" w:cs="Arial"/>
          <w:b/>
          <w:bCs/>
          <w:color w:val="000000" w:themeColor="text1"/>
          <w:sz w:val="24"/>
          <w:szCs w:val="24"/>
          <w:bdr w:val="nil"/>
          <w:lang w:val="en-US"/>
        </w:rPr>
        <w:t>REPLY:</w:t>
      </w:r>
    </w:p>
    <w:p w:rsidR="0019399F" w:rsidRPr="004E777B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</w:p>
    <w:p w:rsidR="0019399F" w:rsidRPr="004E777B" w:rsidRDefault="004E777B" w:rsidP="005312E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134"/>
          <w:tab w:val="left" w:pos="1418"/>
        </w:tabs>
        <w:spacing w:after="0" w:line="240" w:lineRule="auto"/>
        <w:ind w:left="567" w:hanging="567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  <w:r w:rsidRPr="004E777B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I have been informed by SAT that the p</w:t>
      </w:r>
      <w:r w:rsidR="005312E7" w:rsidRPr="004E777B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 xml:space="preserve">ercentage of payments paid to service providers and suppliers </w:t>
      </w:r>
      <w:r w:rsidRPr="004E777B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 xml:space="preserve">is as follows: </w:t>
      </w:r>
    </w:p>
    <w:p w:rsidR="0019399F" w:rsidRPr="004E777B" w:rsidRDefault="0019399F" w:rsidP="001939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993"/>
          <w:tab w:val="left" w:pos="1418"/>
        </w:tabs>
        <w:spacing w:after="0" w:line="240" w:lineRule="auto"/>
        <w:ind w:left="930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</w:p>
    <w:p w:rsidR="0019399F" w:rsidRPr="00FC120E" w:rsidRDefault="0019399F" w:rsidP="008D09B5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720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For the financial year 2021/2022 the entity achieved 10</w:t>
      </w:r>
      <w:r w:rsidR="008D09B5"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 xml:space="preserve">0% of compliant invoices within </w:t>
      </w:r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30 days from the date of receipt as audited by the Auditor General</w:t>
      </w:r>
      <w:r w:rsid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 xml:space="preserve"> and as prescribed by law</w:t>
      </w:r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.</w:t>
      </w:r>
    </w:p>
    <w:p w:rsidR="0019399F" w:rsidRPr="004E777B" w:rsidRDefault="0019399F" w:rsidP="005312E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35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399F" w:rsidRPr="004E777B" w:rsidRDefault="0019399F" w:rsidP="001939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120E" w:rsidRPr="00FC120E" w:rsidRDefault="00FC120E" w:rsidP="00FC120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</w:pPr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(</w:t>
      </w:r>
      <w:proofErr w:type="spellStart"/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i</w:t>
      </w:r>
      <w:proofErr w:type="spellEnd"/>
      <w:r w:rsidRPr="00FC120E">
        <w:rPr>
          <w:rFonts w:ascii="Arial" w:eastAsia="Arial Unicode MS" w:hAnsi="Arial" w:cs="Arial"/>
          <w:bCs/>
          <w:color w:val="000000" w:themeColor="text1"/>
          <w:sz w:val="24"/>
          <w:szCs w:val="24"/>
          <w:bdr w:val="nil"/>
          <w:lang w:val="en-US"/>
        </w:rPr>
        <w:t>) N/A as all payments were made within 30 days.</w:t>
      </w:r>
    </w:p>
    <w:p w:rsidR="0019399F" w:rsidRPr="00FC120E" w:rsidRDefault="0019399F" w:rsidP="00FC120E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120E">
        <w:rPr>
          <w:rFonts w:ascii="Arial" w:hAnsi="Arial" w:cs="Arial"/>
          <w:color w:val="000000" w:themeColor="text1"/>
          <w:sz w:val="24"/>
          <w:szCs w:val="24"/>
        </w:rPr>
        <w:t>For the period under review, this report is yet to be audited as part of the Annual Report.</w:t>
      </w:r>
    </w:p>
    <w:p w:rsidR="0019399F" w:rsidRPr="0019399F" w:rsidRDefault="0019399F" w:rsidP="0019399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</w:rPr>
      </w:pPr>
    </w:p>
    <w:sectPr w:rsidR="0019399F" w:rsidRPr="0019399F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ABB" w:rsidRDefault="00E40ABB">
      <w:pPr>
        <w:spacing w:after="0" w:line="240" w:lineRule="auto"/>
      </w:pPr>
      <w:r>
        <w:separator/>
      </w:r>
    </w:p>
  </w:endnote>
  <w:endnote w:type="continuationSeparator" w:id="0">
    <w:p w:rsidR="00E40ABB" w:rsidRDefault="00E4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</w:t>
        </w:r>
        <w:r w:rsidR="0019399F">
          <w:t xml:space="preserve">     PQ 1053(NW1163E)</w:t>
        </w:r>
        <w:r>
          <w:rPr>
            <w:rFonts w:ascii="Arial Narrow" w:hAnsi="Arial Narrow"/>
            <w:sz w:val="18"/>
            <w:szCs w:val="18"/>
          </w:rPr>
          <w:tab/>
        </w:r>
        <w:r w:rsidR="00CC3058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CC3058" w:rsidRPr="00013AC6">
          <w:rPr>
            <w:rFonts w:ascii="Arial Narrow" w:hAnsi="Arial Narrow"/>
          </w:rPr>
          <w:fldChar w:fldCharType="separate"/>
        </w:r>
        <w:r w:rsidR="007054E3">
          <w:rPr>
            <w:rFonts w:ascii="Arial Narrow" w:hAnsi="Arial Narrow"/>
            <w:noProof/>
          </w:rPr>
          <w:t>2</w:t>
        </w:r>
        <w:r w:rsidR="00CC3058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E40ABB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E40ABB">
    <w:pPr>
      <w:pStyle w:val="Footer1"/>
      <w:jc w:val="right"/>
    </w:pPr>
  </w:p>
  <w:p w:rsidR="001656DE" w:rsidRPr="006016C0" w:rsidRDefault="003E231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3543 (NW4113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ABB" w:rsidRDefault="00E40ABB">
      <w:pPr>
        <w:spacing w:after="0" w:line="240" w:lineRule="auto"/>
      </w:pPr>
      <w:r>
        <w:separator/>
      </w:r>
    </w:p>
  </w:footnote>
  <w:footnote w:type="continuationSeparator" w:id="0">
    <w:p w:rsidR="00E40ABB" w:rsidRDefault="00E4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EF3"/>
    <w:multiLevelType w:val="hybridMultilevel"/>
    <w:tmpl w:val="93665064"/>
    <w:lvl w:ilvl="0" w:tplc="C25CC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BF3"/>
    <w:multiLevelType w:val="hybridMultilevel"/>
    <w:tmpl w:val="297CD30E"/>
    <w:lvl w:ilvl="0" w:tplc="AB9C23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A61"/>
    <w:multiLevelType w:val="hybridMultilevel"/>
    <w:tmpl w:val="E3D4E7DC"/>
    <w:lvl w:ilvl="0" w:tplc="60F87E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373"/>
    <w:multiLevelType w:val="hybridMultilevel"/>
    <w:tmpl w:val="10FAB398"/>
    <w:lvl w:ilvl="0" w:tplc="A8123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6B2"/>
    <w:multiLevelType w:val="hybridMultilevel"/>
    <w:tmpl w:val="BC96510E"/>
    <w:lvl w:ilvl="0" w:tplc="0B040D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6860"/>
    <w:multiLevelType w:val="hybridMultilevel"/>
    <w:tmpl w:val="106EBD22"/>
    <w:lvl w:ilvl="0" w:tplc="E1DC7B6A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19E"/>
    <w:multiLevelType w:val="hybridMultilevel"/>
    <w:tmpl w:val="AF586DF6"/>
    <w:lvl w:ilvl="0" w:tplc="FBD4A8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13385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D544B"/>
    <w:multiLevelType w:val="hybridMultilevel"/>
    <w:tmpl w:val="6408DC80"/>
    <w:lvl w:ilvl="0" w:tplc="08560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750"/>
    <w:multiLevelType w:val="hybridMultilevel"/>
    <w:tmpl w:val="82382E6E"/>
    <w:lvl w:ilvl="0" w:tplc="065AED1A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5881"/>
    <w:multiLevelType w:val="hybridMultilevel"/>
    <w:tmpl w:val="098A68C4"/>
    <w:lvl w:ilvl="0" w:tplc="B4409F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62B7E"/>
    <w:multiLevelType w:val="hybridMultilevel"/>
    <w:tmpl w:val="1716EAB6"/>
    <w:lvl w:ilvl="0" w:tplc="5C3E27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38C6"/>
    <w:multiLevelType w:val="hybridMultilevel"/>
    <w:tmpl w:val="FBA0D61C"/>
    <w:lvl w:ilvl="0" w:tplc="938E349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A6D87"/>
    <w:multiLevelType w:val="hybridMultilevel"/>
    <w:tmpl w:val="78AE2ECC"/>
    <w:lvl w:ilvl="0" w:tplc="3F22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652D4"/>
    <w:multiLevelType w:val="hybridMultilevel"/>
    <w:tmpl w:val="4996950E"/>
    <w:lvl w:ilvl="0" w:tplc="F8DCCD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A3720"/>
    <w:multiLevelType w:val="hybridMultilevel"/>
    <w:tmpl w:val="9902721C"/>
    <w:lvl w:ilvl="0" w:tplc="F5541F72">
      <w:start w:val="1"/>
      <w:numFmt w:val="lowerLetter"/>
      <w:lvlText w:val="(%1)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9">
    <w:nsid w:val="5A315058"/>
    <w:multiLevelType w:val="hybridMultilevel"/>
    <w:tmpl w:val="DB607670"/>
    <w:lvl w:ilvl="0" w:tplc="DAB26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0544E"/>
    <w:multiLevelType w:val="hybridMultilevel"/>
    <w:tmpl w:val="94286CE6"/>
    <w:lvl w:ilvl="0" w:tplc="3970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1B93"/>
    <w:multiLevelType w:val="hybridMultilevel"/>
    <w:tmpl w:val="A95CC406"/>
    <w:lvl w:ilvl="0" w:tplc="72A008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3A1"/>
    <w:multiLevelType w:val="hybridMultilevel"/>
    <w:tmpl w:val="C9BCCA30"/>
    <w:lvl w:ilvl="0" w:tplc="40FC53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62F38"/>
    <w:multiLevelType w:val="hybridMultilevel"/>
    <w:tmpl w:val="D2E424E4"/>
    <w:lvl w:ilvl="0" w:tplc="DD1401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3"/>
  </w:num>
  <w:num w:numId="4">
    <w:abstractNumId w:val="13"/>
  </w:num>
  <w:num w:numId="5">
    <w:abstractNumId w:val="16"/>
  </w:num>
  <w:num w:numId="6">
    <w:abstractNumId w:val="9"/>
  </w:num>
  <w:num w:numId="7">
    <w:abstractNumId w:val="18"/>
  </w:num>
  <w:num w:numId="8">
    <w:abstractNumId w:val="11"/>
  </w:num>
  <w:num w:numId="9">
    <w:abstractNumId w:val="14"/>
  </w:num>
  <w:num w:numId="10">
    <w:abstractNumId w:val="22"/>
  </w:num>
  <w:num w:numId="11">
    <w:abstractNumId w:val="3"/>
  </w:num>
  <w:num w:numId="12">
    <w:abstractNumId w:val="24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  <w:num w:numId="19">
    <w:abstractNumId w:val="4"/>
  </w:num>
  <w:num w:numId="20">
    <w:abstractNumId w:val="8"/>
  </w:num>
  <w:num w:numId="21">
    <w:abstractNumId w:val="20"/>
  </w:num>
  <w:num w:numId="22">
    <w:abstractNumId w:val="19"/>
  </w:num>
  <w:num w:numId="23">
    <w:abstractNumId w:val="17"/>
  </w:num>
  <w:num w:numId="24">
    <w:abstractNumId w:val="25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BD3"/>
    <w:rsid w:val="00002354"/>
    <w:rsid w:val="00047D27"/>
    <w:rsid w:val="00076CE0"/>
    <w:rsid w:val="000857D8"/>
    <w:rsid w:val="000E3E94"/>
    <w:rsid w:val="000F1151"/>
    <w:rsid w:val="000F4913"/>
    <w:rsid w:val="001059FF"/>
    <w:rsid w:val="001105F6"/>
    <w:rsid w:val="00141A6F"/>
    <w:rsid w:val="00151D19"/>
    <w:rsid w:val="0019399F"/>
    <w:rsid w:val="00193F9C"/>
    <w:rsid w:val="001B2BE2"/>
    <w:rsid w:val="001C7E21"/>
    <w:rsid w:val="002245E3"/>
    <w:rsid w:val="00242F98"/>
    <w:rsid w:val="002A490E"/>
    <w:rsid w:val="002C461C"/>
    <w:rsid w:val="002D3423"/>
    <w:rsid w:val="003032AF"/>
    <w:rsid w:val="0035411E"/>
    <w:rsid w:val="003614FA"/>
    <w:rsid w:val="003B3F96"/>
    <w:rsid w:val="003D4147"/>
    <w:rsid w:val="003D7F28"/>
    <w:rsid w:val="003E2318"/>
    <w:rsid w:val="003F3E1D"/>
    <w:rsid w:val="00447EC9"/>
    <w:rsid w:val="00490A93"/>
    <w:rsid w:val="004A5358"/>
    <w:rsid w:val="004C4166"/>
    <w:rsid w:val="004E777B"/>
    <w:rsid w:val="004F0FD9"/>
    <w:rsid w:val="004F2C4A"/>
    <w:rsid w:val="004F54C9"/>
    <w:rsid w:val="00506321"/>
    <w:rsid w:val="00514452"/>
    <w:rsid w:val="00520FCE"/>
    <w:rsid w:val="00522B4A"/>
    <w:rsid w:val="005312E7"/>
    <w:rsid w:val="00587788"/>
    <w:rsid w:val="005B569C"/>
    <w:rsid w:val="005C40C5"/>
    <w:rsid w:val="005C6B77"/>
    <w:rsid w:val="005E1A1A"/>
    <w:rsid w:val="005F1119"/>
    <w:rsid w:val="006010A3"/>
    <w:rsid w:val="00615126"/>
    <w:rsid w:val="0061799C"/>
    <w:rsid w:val="006335F8"/>
    <w:rsid w:val="00665047"/>
    <w:rsid w:val="006A6231"/>
    <w:rsid w:val="006B20E2"/>
    <w:rsid w:val="007054E3"/>
    <w:rsid w:val="007345DF"/>
    <w:rsid w:val="00736B41"/>
    <w:rsid w:val="007536DE"/>
    <w:rsid w:val="00765093"/>
    <w:rsid w:val="00777955"/>
    <w:rsid w:val="007A257C"/>
    <w:rsid w:val="00807DBA"/>
    <w:rsid w:val="00810D60"/>
    <w:rsid w:val="008137D4"/>
    <w:rsid w:val="00857718"/>
    <w:rsid w:val="00861CEC"/>
    <w:rsid w:val="008A1044"/>
    <w:rsid w:val="008C442B"/>
    <w:rsid w:val="008D09B5"/>
    <w:rsid w:val="0093463C"/>
    <w:rsid w:val="009379C0"/>
    <w:rsid w:val="009413A3"/>
    <w:rsid w:val="00950663"/>
    <w:rsid w:val="00977B49"/>
    <w:rsid w:val="009849DC"/>
    <w:rsid w:val="009863F2"/>
    <w:rsid w:val="009945BD"/>
    <w:rsid w:val="009C6D91"/>
    <w:rsid w:val="009D4A25"/>
    <w:rsid w:val="00A64BCA"/>
    <w:rsid w:val="00A96F2D"/>
    <w:rsid w:val="00AA5F57"/>
    <w:rsid w:val="00B025B0"/>
    <w:rsid w:val="00B24E20"/>
    <w:rsid w:val="00B26F9F"/>
    <w:rsid w:val="00B65B66"/>
    <w:rsid w:val="00B75ED5"/>
    <w:rsid w:val="00B80C62"/>
    <w:rsid w:val="00B81C09"/>
    <w:rsid w:val="00BA7422"/>
    <w:rsid w:val="00C03FFF"/>
    <w:rsid w:val="00C4519C"/>
    <w:rsid w:val="00C62DE8"/>
    <w:rsid w:val="00C809F5"/>
    <w:rsid w:val="00CB5285"/>
    <w:rsid w:val="00CC3058"/>
    <w:rsid w:val="00CE0094"/>
    <w:rsid w:val="00CE1CD0"/>
    <w:rsid w:val="00CE2A6D"/>
    <w:rsid w:val="00CE637C"/>
    <w:rsid w:val="00D319C1"/>
    <w:rsid w:val="00D350AE"/>
    <w:rsid w:val="00D40BDF"/>
    <w:rsid w:val="00D44311"/>
    <w:rsid w:val="00D47B6A"/>
    <w:rsid w:val="00D9442B"/>
    <w:rsid w:val="00DA6EE7"/>
    <w:rsid w:val="00DB6BD3"/>
    <w:rsid w:val="00DC1973"/>
    <w:rsid w:val="00DD3F26"/>
    <w:rsid w:val="00DE4655"/>
    <w:rsid w:val="00E03CDF"/>
    <w:rsid w:val="00E23119"/>
    <w:rsid w:val="00E345D3"/>
    <w:rsid w:val="00E40ABB"/>
    <w:rsid w:val="00E57333"/>
    <w:rsid w:val="00E665D2"/>
    <w:rsid w:val="00EF5A52"/>
    <w:rsid w:val="00F30415"/>
    <w:rsid w:val="00F37A82"/>
    <w:rsid w:val="00F51F48"/>
    <w:rsid w:val="00F84D8E"/>
    <w:rsid w:val="00FA0BDC"/>
    <w:rsid w:val="00FC120E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  <w:style w:type="table" w:styleId="TableGrid">
    <w:name w:val="Table Grid"/>
    <w:basedOn w:val="TableNormal"/>
    <w:uiPriority w:val="39"/>
    <w:rsid w:val="003D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2023-04-12T11:16:00Z</cp:lastPrinted>
  <dcterms:created xsi:type="dcterms:W3CDTF">2023-05-08T15:45:00Z</dcterms:created>
  <dcterms:modified xsi:type="dcterms:W3CDTF">2023-05-08T15:45:00Z</dcterms:modified>
</cp:coreProperties>
</file>