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17" w:rsidRDefault="00533117" w:rsidP="00533117">
      <w:pPr>
        <w:pStyle w:val="ListParagraph"/>
        <w:pBdr>
          <w:top w:val="nil"/>
          <w:left w:val="nil"/>
          <w:bottom w:val="nil"/>
          <w:right w:val="nil"/>
          <w:between w:val="nil"/>
          <w:bar w:val="nil"/>
        </w:pBdr>
        <w:spacing w:after="0" w:line="360" w:lineRule="auto"/>
        <w:ind w:left="567"/>
        <w:rPr>
          <w:rFonts w:ascii="Arial" w:eastAsia="Calibri" w:hAnsi="Arial" w:cs="Arial"/>
          <w:lang w:val="en-GB"/>
        </w:rPr>
      </w:pPr>
      <w:bookmarkStart w:id="0" w:name="_GoBack"/>
      <w:bookmarkEnd w:id="0"/>
    </w:p>
    <w:p w:rsidR="00B8475F" w:rsidRPr="006F662E" w:rsidRDefault="00B8475F" w:rsidP="00B8475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B8475F" w:rsidRPr="006F662E" w:rsidRDefault="00B8475F" w:rsidP="00B8475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B8475F" w:rsidRPr="006F662E" w:rsidRDefault="00B8475F" w:rsidP="00B8475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B8475F" w:rsidRPr="006F662E" w:rsidRDefault="00B8475F" w:rsidP="00B8475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t>1052</w:t>
      </w:r>
    </w:p>
    <w:p w:rsidR="00B8475F" w:rsidRPr="006F662E" w:rsidRDefault="00B8475F" w:rsidP="00B8475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Pr>
          <w:rFonts w:ascii="Arial" w:eastAsia="Arial Unicode MS" w:hAnsi="Arial" w:cs="Arial"/>
          <w:b/>
          <w:bCs/>
          <w:bdr w:val="nil"/>
          <w:lang w:val="en-US"/>
        </w:rPr>
        <w:tab/>
        <w:t>24</w:t>
      </w:r>
      <w:r w:rsidRPr="006F662E">
        <w:rPr>
          <w:rFonts w:ascii="Arial" w:eastAsia="Arial Unicode MS" w:hAnsi="Arial" w:cs="Arial"/>
          <w:b/>
          <w:bCs/>
          <w:bdr w:val="nil"/>
          <w:lang w:val="en-US"/>
        </w:rPr>
        <w:t xml:space="preserve"> </w:t>
      </w:r>
      <w:r>
        <w:rPr>
          <w:rFonts w:ascii="Arial" w:eastAsia="Arial Unicode MS" w:hAnsi="Arial" w:cs="Arial"/>
          <w:b/>
          <w:bCs/>
          <w:bdr w:val="nil"/>
          <w:lang w:val="en-US"/>
        </w:rPr>
        <w:t>March</w:t>
      </w:r>
      <w:r w:rsidRPr="006F662E">
        <w:rPr>
          <w:rFonts w:ascii="Arial" w:eastAsia="Arial Unicode MS" w:hAnsi="Arial" w:cs="Arial"/>
          <w:b/>
          <w:bCs/>
          <w:bdr w:val="nil"/>
          <w:lang w:val="en-US"/>
        </w:rPr>
        <w:t xml:space="preserve"> 2023</w:t>
      </w:r>
    </w:p>
    <w:p w:rsidR="00B8475F" w:rsidRPr="006F662E" w:rsidRDefault="00B8475F" w:rsidP="00B8475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Pr>
          <w:rFonts w:ascii="Arial" w:eastAsia="Arial Unicode MS" w:hAnsi="Arial" w:cs="Arial"/>
          <w:b/>
          <w:bCs/>
          <w:bdr w:val="nil"/>
          <w:lang w:val="en-US"/>
        </w:rPr>
        <w:tab/>
        <w:t>11</w:t>
      </w:r>
    </w:p>
    <w:p w:rsidR="00B8475F" w:rsidRPr="006F662E" w:rsidRDefault="00B8475F" w:rsidP="00B8475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B8475F" w:rsidRPr="006F662E" w:rsidRDefault="00B8475F" w:rsidP="00B8475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B8475F" w:rsidRDefault="00B8475F" w:rsidP="00B8475F">
      <w:pPr>
        <w:spacing w:after="0" w:line="360" w:lineRule="auto"/>
        <w:ind w:left="720" w:hanging="720"/>
        <w:jc w:val="both"/>
        <w:outlineLvl w:val="0"/>
        <w:rPr>
          <w:rFonts w:ascii="Arial" w:hAnsi="Arial" w:cs="Arial"/>
          <w:b/>
          <w:noProof/>
          <w:lang w:val="af-ZA"/>
        </w:rPr>
      </w:pPr>
      <w:r>
        <w:rPr>
          <w:rFonts w:ascii="Arial" w:hAnsi="Arial" w:cs="Arial"/>
          <w:b/>
          <w:noProof/>
          <w:lang w:val="af-ZA"/>
        </w:rPr>
        <w:t>Mr M S F de Freitas</w:t>
      </w:r>
      <w:r w:rsidRPr="006F662E">
        <w:rPr>
          <w:rFonts w:ascii="Arial" w:hAnsi="Arial" w:cs="Arial"/>
          <w:b/>
          <w:noProof/>
          <w:lang w:val="af-ZA"/>
        </w:rPr>
        <w:t xml:space="preserve"> (DA) to ask the Minister of Tourism</w:t>
      </w:r>
      <w:r w:rsidR="00BD1CBD" w:rsidRPr="006F662E">
        <w:rPr>
          <w:rFonts w:ascii="Arial" w:hAnsi="Arial" w:cs="Arial"/>
          <w:b/>
          <w:noProof/>
          <w:lang w:val="af-ZA"/>
        </w:rPr>
        <w:fldChar w:fldCharType="begin"/>
      </w:r>
      <w:r w:rsidRPr="006F662E">
        <w:rPr>
          <w:rFonts w:ascii="Arial" w:hAnsi="Arial" w:cs="Arial"/>
        </w:rPr>
        <w:instrText xml:space="preserve"> XE "</w:instrText>
      </w:r>
      <w:r w:rsidRPr="006F662E">
        <w:rPr>
          <w:rFonts w:ascii="Arial" w:hAnsi="Arial" w:cs="Arial"/>
          <w:b/>
        </w:rPr>
        <w:instrText>Tourism</w:instrText>
      </w:r>
      <w:r w:rsidRPr="006F662E">
        <w:rPr>
          <w:rFonts w:ascii="Arial" w:hAnsi="Arial" w:cs="Arial"/>
        </w:rPr>
        <w:instrText xml:space="preserve">" </w:instrText>
      </w:r>
      <w:r w:rsidR="00BD1CBD" w:rsidRPr="006F662E">
        <w:rPr>
          <w:rFonts w:ascii="Arial" w:hAnsi="Arial" w:cs="Arial"/>
          <w:b/>
          <w:noProof/>
          <w:lang w:val="af-ZA"/>
        </w:rPr>
        <w:fldChar w:fldCharType="end"/>
      </w:r>
      <w:r w:rsidRPr="006F662E">
        <w:rPr>
          <w:rFonts w:ascii="Arial" w:hAnsi="Arial" w:cs="Arial"/>
          <w:b/>
          <w:noProof/>
          <w:lang w:val="af-ZA"/>
        </w:rPr>
        <w:t>:</w:t>
      </w:r>
    </w:p>
    <w:p w:rsidR="00B8475F" w:rsidRDefault="00B8475F" w:rsidP="00B8475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rPr>
      </w:pPr>
      <w:r w:rsidRPr="00616BA7">
        <w:rPr>
          <w:rFonts w:ascii="Arial" w:hAnsi="Arial" w:cs="Arial"/>
          <w:color w:val="000000"/>
        </w:rPr>
        <w:t xml:space="preserve">(1) </w:t>
      </w:r>
      <w:r>
        <w:rPr>
          <w:rFonts w:ascii="Arial" w:hAnsi="Arial" w:cs="Arial"/>
          <w:color w:val="000000"/>
        </w:rPr>
        <w:tab/>
      </w:r>
      <w:r w:rsidRPr="00616BA7">
        <w:rPr>
          <w:rFonts w:ascii="Arial" w:hAnsi="Arial" w:cs="Arial"/>
          <w:color w:val="000000"/>
        </w:rPr>
        <w:t xml:space="preserve">What percentage of payments were paid to service providers and suppliers by her department (a) within (i) 30 days of invoicing, (ii) 60 days of invoicing, (iii) 90 days of invoicing and (iv) 120 days of invoicing and (b) above 120 days of invoicing in each month (i) in the past three financial years and (ii) since 1 January 2023 in each case; </w:t>
      </w:r>
    </w:p>
    <w:p w:rsidR="00B8475F" w:rsidRPr="00616BA7" w:rsidRDefault="00B8475F" w:rsidP="00B8475F">
      <w:pPr>
        <w:pBdr>
          <w:top w:val="nil"/>
          <w:left w:val="nil"/>
          <w:bottom w:val="nil"/>
          <w:right w:val="nil"/>
          <w:between w:val="nil"/>
          <w:bar w:val="nil"/>
        </w:pBdr>
        <w:spacing w:after="0" w:line="276" w:lineRule="auto"/>
        <w:jc w:val="both"/>
        <w:rPr>
          <w:rFonts w:ascii="Arial" w:hAnsi="Arial" w:cs="Arial"/>
          <w:color w:val="000000"/>
        </w:rPr>
      </w:pPr>
    </w:p>
    <w:p w:rsidR="00B8475F" w:rsidRDefault="00B8475F" w:rsidP="00B8475F">
      <w:pPr>
        <w:pBdr>
          <w:top w:val="nil"/>
          <w:left w:val="nil"/>
          <w:bottom w:val="nil"/>
          <w:right w:val="nil"/>
          <w:between w:val="nil"/>
          <w:bar w:val="nil"/>
        </w:pBdr>
        <w:spacing w:after="0" w:line="276" w:lineRule="auto"/>
        <w:ind w:left="570" w:hanging="570"/>
        <w:jc w:val="both"/>
        <w:rPr>
          <w:rFonts w:ascii="Arial" w:hAnsi="Arial" w:cs="Arial"/>
          <w:color w:val="000000"/>
        </w:rPr>
      </w:pPr>
      <w:r w:rsidRPr="00616BA7">
        <w:rPr>
          <w:rFonts w:ascii="Arial" w:hAnsi="Arial" w:cs="Arial"/>
          <w:color w:val="000000"/>
        </w:rPr>
        <w:t xml:space="preserve">(2) </w:t>
      </w:r>
      <w:r>
        <w:rPr>
          <w:rFonts w:ascii="Arial" w:hAnsi="Arial" w:cs="Arial"/>
          <w:color w:val="000000"/>
        </w:rPr>
        <w:tab/>
      </w:r>
      <w:r w:rsidRPr="00616BA7">
        <w:rPr>
          <w:rFonts w:ascii="Arial" w:hAnsi="Arial" w:cs="Arial"/>
          <w:color w:val="000000"/>
        </w:rPr>
        <w:t xml:space="preserve">(a) what processes, procedures and mechanisms are in place to improve the total number of days it takes to pay invoices and (b) how will her department measure the improvement? </w:t>
      </w:r>
    </w:p>
    <w:p w:rsidR="00B8475F" w:rsidRPr="000857EE" w:rsidRDefault="00B8475F" w:rsidP="00B8475F">
      <w:pPr>
        <w:pBdr>
          <w:top w:val="nil"/>
          <w:left w:val="nil"/>
          <w:bottom w:val="nil"/>
          <w:right w:val="nil"/>
          <w:between w:val="nil"/>
          <w:bar w:val="nil"/>
        </w:pBdr>
        <w:spacing w:after="0" w:line="276" w:lineRule="auto"/>
        <w:ind w:left="7770" w:firstLine="150"/>
        <w:jc w:val="both"/>
        <w:rPr>
          <w:rFonts w:ascii="Arial" w:eastAsia="Arial Unicode MS" w:hAnsi="Arial" w:cs="Arial"/>
          <w:bCs/>
          <w:bdr w:val="nil"/>
          <w:lang w:val="en-US"/>
        </w:rPr>
      </w:pPr>
      <w:r w:rsidRPr="00616BA7">
        <w:rPr>
          <w:rFonts w:ascii="Arial" w:hAnsi="Arial" w:cs="Arial"/>
          <w:color w:val="000000"/>
        </w:rPr>
        <w:t>NW1162E</w:t>
      </w:r>
    </w:p>
    <w:p w:rsidR="00B8475F" w:rsidRDefault="00B8475F" w:rsidP="00B8475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B8475F" w:rsidRDefault="00B8475F" w:rsidP="00B8475F">
      <w:pPr>
        <w:pBdr>
          <w:top w:val="nil"/>
          <w:left w:val="nil"/>
          <w:bottom w:val="nil"/>
          <w:right w:val="nil"/>
          <w:between w:val="nil"/>
          <w:bar w:val="nil"/>
        </w:pBdr>
        <w:spacing w:after="0" w:line="240" w:lineRule="auto"/>
        <w:rPr>
          <w:rFonts w:ascii="Arial Narrow" w:eastAsia="Arial Unicode MS" w:hAnsi="Arial Narrow" w:cs="Times New Roman"/>
          <w:bCs/>
          <w:bdr w:val="nil"/>
          <w:lang w:val="en-US"/>
        </w:rPr>
      </w:pPr>
    </w:p>
    <w:p w:rsidR="00B8475F" w:rsidRDefault="00B8475F" w:rsidP="00B8475F">
      <w:pPr>
        <w:pBdr>
          <w:top w:val="nil"/>
          <w:left w:val="nil"/>
          <w:bottom w:val="nil"/>
          <w:right w:val="nil"/>
          <w:between w:val="nil"/>
          <w:bar w:val="nil"/>
        </w:pBdr>
        <w:tabs>
          <w:tab w:val="left" w:pos="567"/>
          <w:tab w:val="left" w:pos="1134"/>
        </w:tabs>
        <w:spacing w:after="0" w:line="240" w:lineRule="auto"/>
        <w:ind w:left="1134" w:hanging="1134"/>
        <w:jc w:val="both"/>
        <w:rPr>
          <w:rFonts w:ascii="Arial" w:eastAsia="Arial Unicode MS" w:hAnsi="Arial" w:cs="Arial"/>
          <w:bCs/>
          <w:bdr w:val="nil"/>
          <w:lang w:val="en-US"/>
        </w:rPr>
      </w:pPr>
      <w:r>
        <w:rPr>
          <w:rFonts w:ascii="Arial" w:eastAsia="Arial Unicode MS" w:hAnsi="Arial" w:cs="Arial"/>
          <w:bCs/>
          <w:bdr w:val="nil"/>
          <w:lang w:val="en-US"/>
        </w:rPr>
        <w:t>(1)</w:t>
      </w:r>
      <w:r>
        <w:rPr>
          <w:rFonts w:ascii="Arial" w:eastAsia="Arial Unicode MS" w:hAnsi="Arial" w:cs="Arial"/>
          <w:bCs/>
          <w:bdr w:val="nil"/>
          <w:lang w:val="en-US"/>
        </w:rPr>
        <w:tab/>
        <w:t>(</w:t>
      </w:r>
      <w:proofErr w:type="gramStart"/>
      <w:r>
        <w:rPr>
          <w:rFonts w:ascii="Arial" w:eastAsia="Arial Unicode MS" w:hAnsi="Arial" w:cs="Arial"/>
          <w:bCs/>
          <w:bdr w:val="nil"/>
          <w:lang w:val="en-US"/>
        </w:rPr>
        <w:t>a</w:t>
      </w:r>
      <w:proofErr w:type="gramEnd"/>
      <w:r>
        <w:rPr>
          <w:rFonts w:ascii="Arial" w:eastAsia="Arial Unicode MS" w:hAnsi="Arial" w:cs="Arial"/>
          <w:bCs/>
          <w:bdr w:val="nil"/>
          <w:lang w:val="en-US"/>
        </w:rPr>
        <w:t xml:space="preserve">) </w:t>
      </w:r>
      <w:r>
        <w:rPr>
          <w:rFonts w:ascii="Arial" w:eastAsia="Arial Unicode MS" w:hAnsi="Arial" w:cs="Arial"/>
          <w:bCs/>
          <w:bdr w:val="nil"/>
          <w:lang w:val="en-US"/>
        </w:rPr>
        <w:tab/>
      </w:r>
      <w:r w:rsidR="007C0088">
        <w:rPr>
          <w:rFonts w:ascii="Arial" w:eastAsia="Arial Unicode MS" w:hAnsi="Arial" w:cs="Arial"/>
          <w:bCs/>
          <w:bdr w:val="nil"/>
          <w:lang w:val="en-US"/>
        </w:rPr>
        <w:t>I have been informed by the Department that the p</w:t>
      </w:r>
      <w:r w:rsidRPr="00616BA7">
        <w:rPr>
          <w:rFonts w:ascii="Arial" w:eastAsia="Arial Unicode MS" w:hAnsi="Arial" w:cs="Arial"/>
          <w:bCs/>
          <w:bdr w:val="nil"/>
          <w:lang w:val="en-US"/>
        </w:rPr>
        <w:t xml:space="preserve">ercentage of payments paid to service providers and suppliers </w:t>
      </w:r>
      <w:r w:rsidR="007C0088">
        <w:rPr>
          <w:rFonts w:ascii="Arial" w:eastAsia="Arial Unicode MS" w:hAnsi="Arial" w:cs="Arial"/>
          <w:bCs/>
          <w:bdr w:val="nil"/>
          <w:lang w:val="en-US"/>
        </w:rPr>
        <w:t>are tabled below</w:t>
      </w:r>
      <w:r>
        <w:rPr>
          <w:rFonts w:ascii="Arial" w:eastAsia="Arial Unicode MS" w:hAnsi="Arial" w:cs="Arial"/>
          <w:bCs/>
          <w:bdr w:val="nil"/>
          <w:lang w:val="en-US"/>
        </w:rPr>
        <w:t xml:space="preserve">:  </w:t>
      </w:r>
    </w:p>
    <w:p w:rsidR="00B8475F" w:rsidRPr="00934194" w:rsidRDefault="00B8475F" w:rsidP="00B8475F">
      <w:pPr>
        <w:pBdr>
          <w:top w:val="nil"/>
          <w:left w:val="nil"/>
          <w:bottom w:val="nil"/>
          <w:right w:val="nil"/>
          <w:between w:val="nil"/>
          <w:bar w:val="nil"/>
        </w:pBdr>
        <w:tabs>
          <w:tab w:val="left" w:pos="567"/>
          <w:tab w:val="left" w:pos="1134"/>
        </w:tabs>
        <w:spacing w:after="0" w:line="240" w:lineRule="auto"/>
        <w:ind w:left="1134" w:hanging="1134"/>
        <w:jc w:val="both"/>
        <w:rPr>
          <w:rFonts w:ascii="Arial" w:eastAsia="Arial Unicode MS" w:hAnsi="Arial" w:cs="Arial"/>
          <w:bCs/>
          <w:color w:val="FF0000"/>
          <w:bdr w:val="nil"/>
          <w:lang w:val="en-US"/>
        </w:rPr>
      </w:pPr>
    </w:p>
    <w:p w:rsidR="00B8475F" w:rsidRPr="00C47119"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b/>
          <w:color w:val="000000"/>
        </w:rPr>
      </w:pPr>
      <w:r w:rsidRPr="00616BA7">
        <w:rPr>
          <w:rFonts w:ascii="Arial" w:hAnsi="Arial" w:cs="Arial"/>
          <w:color w:val="000000"/>
        </w:rPr>
        <w:t xml:space="preserve">(i) </w:t>
      </w:r>
      <w:r>
        <w:rPr>
          <w:rFonts w:ascii="Arial" w:hAnsi="Arial" w:cs="Arial"/>
          <w:color w:val="000000"/>
        </w:rPr>
        <w:tab/>
      </w:r>
      <w:r w:rsidRPr="00C47119">
        <w:rPr>
          <w:rFonts w:ascii="Arial" w:hAnsi="Arial" w:cs="Arial"/>
          <w:b/>
          <w:color w:val="000000"/>
        </w:rPr>
        <w:t>30 days of invoicing</w:t>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tab/>
      </w:r>
    </w:p>
    <w:tbl>
      <w:tblPr>
        <w:tblStyle w:val="TableGrid"/>
        <w:tblW w:w="0" w:type="auto"/>
        <w:tblInd w:w="1134" w:type="dxa"/>
        <w:tblLook w:val="04A0"/>
      </w:tblPr>
      <w:tblGrid>
        <w:gridCol w:w="2925"/>
        <w:gridCol w:w="2896"/>
        <w:gridCol w:w="2893"/>
      </w:tblGrid>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2020-2021</w:t>
            </w:r>
          </w:p>
        </w:tc>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2021-2022</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2022-2023</w:t>
            </w:r>
          </w:p>
          <w:p w:rsidR="00B8475F" w:rsidRDefault="00B8475F" w:rsidP="004A693B">
            <w:pPr>
              <w:tabs>
                <w:tab w:val="left" w:pos="1701"/>
              </w:tabs>
              <w:rPr>
                <w:rFonts w:ascii="Arial" w:eastAsia="Arial Unicode MS" w:hAnsi="Arial" w:cs="Arial"/>
                <w:bCs/>
                <w:bdr w:val="nil"/>
                <w:lang w:val="en-US"/>
              </w:rPr>
            </w:pPr>
          </w:p>
        </w:tc>
      </w:tr>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95,54%</w:t>
            </w:r>
            <w:r>
              <w:rPr>
                <w:rFonts w:ascii="Arial" w:eastAsia="Arial Unicode MS" w:hAnsi="Arial" w:cs="Arial"/>
                <w:bCs/>
                <w:bdr w:val="nil"/>
                <w:lang w:val="en-US"/>
              </w:rPr>
              <w:tab/>
            </w:r>
          </w:p>
        </w:tc>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99,98%</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To be audited</w:t>
            </w:r>
          </w:p>
          <w:p w:rsidR="00B8475F" w:rsidRDefault="00B8475F" w:rsidP="004A693B">
            <w:pPr>
              <w:tabs>
                <w:tab w:val="left" w:pos="1701"/>
              </w:tabs>
              <w:rPr>
                <w:rFonts w:ascii="Arial" w:eastAsia="Arial Unicode MS" w:hAnsi="Arial" w:cs="Arial"/>
                <w:bCs/>
                <w:bdr w:val="nil"/>
                <w:lang w:val="en-US"/>
              </w:rPr>
            </w:pPr>
          </w:p>
        </w:tc>
      </w:tr>
    </w:tbl>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color w:val="000000"/>
        </w:rPr>
      </w:pPr>
      <w:r w:rsidRPr="00616BA7">
        <w:rPr>
          <w:rFonts w:ascii="Arial" w:hAnsi="Arial" w:cs="Arial"/>
          <w:color w:val="000000"/>
        </w:rPr>
        <w:t xml:space="preserve">(ii) </w:t>
      </w:r>
      <w:r>
        <w:rPr>
          <w:rFonts w:ascii="Arial" w:hAnsi="Arial" w:cs="Arial"/>
          <w:color w:val="000000"/>
        </w:rPr>
        <w:tab/>
      </w:r>
      <w:r w:rsidRPr="00C47119">
        <w:rPr>
          <w:rFonts w:ascii="Arial" w:hAnsi="Arial" w:cs="Arial"/>
          <w:b/>
          <w:color w:val="000000"/>
        </w:rPr>
        <w:t>60 days of invoicing</w:t>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p>
    <w:tbl>
      <w:tblPr>
        <w:tblStyle w:val="TableGrid"/>
        <w:tblW w:w="0" w:type="auto"/>
        <w:tblInd w:w="1134" w:type="dxa"/>
        <w:tblLook w:val="04A0"/>
      </w:tblPr>
      <w:tblGrid>
        <w:gridCol w:w="2911"/>
        <w:gridCol w:w="2895"/>
        <w:gridCol w:w="2908"/>
      </w:tblGrid>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2020-2021</w:t>
            </w:r>
          </w:p>
        </w:tc>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2021-2022</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2022-2023</w:t>
            </w:r>
          </w:p>
          <w:p w:rsidR="00B8475F" w:rsidRDefault="00B8475F" w:rsidP="00E47B6B">
            <w:pPr>
              <w:tabs>
                <w:tab w:val="left" w:pos="1701"/>
              </w:tabs>
              <w:jc w:val="center"/>
              <w:rPr>
                <w:rFonts w:ascii="Arial" w:eastAsia="Arial Unicode MS" w:hAnsi="Arial" w:cs="Arial"/>
                <w:bCs/>
                <w:bdr w:val="nil"/>
                <w:lang w:val="en-US"/>
              </w:rPr>
            </w:pPr>
          </w:p>
        </w:tc>
      </w:tr>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0,020%</w:t>
            </w:r>
          </w:p>
        </w:tc>
        <w:tc>
          <w:tcPr>
            <w:tcW w:w="3207" w:type="dxa"/>
          </w:tcPr>
          <w:p w:rsidR="00B8475F" w:rsidRDefault="00B8475F" w:rsidP="004A693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1,98%</w:t>
            </w:r>
          </w:p>
          <w:p w:rsidR="004A693B" w:rsidRDefault="004A693B" w:rsidP="00E47B6B">
            <w:pPr>
              <w:tabs>
                <w:tab w:val="left" w:pos="1701"/>
              </w:tabs>
              <w:jc w:val="center"/>
              <w:rPr>
                <w:rFonts w:ascii="Arial" w:eastAsia="Arial Unicode MS" w:hAnsi="Arial" w:cs="Arial"/>
                <w:bCs/>
                <w:bdr w:val="nil"/>
                <w:lang w:val="en-US"/>
              </w:rPr>
            </w:pPr>
          </w:p>
        </w:tc>
        <w:tc>
          <w:tcPr>
            <w:tcW w:w="3208"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To be audited</w:t>
            </w:r>
          </w:p>
        </w:tc>
      </w:tr>
    </w:tbl>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lastRenderedPageBreak/>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b/>
          <w:color w:val="000000"/>
        </w:rPr>
      </w:pPr>
      <w:r w:rsidRPr="00616BA7">
        <w:rPr>
          <w:rFonts w:ascii="Arial" w:hAnsi="Arial" w:cs="Arial"/>
          <w:color w:val="000000"/>
        </w:rPr>
        <w:t xml:space="preserve">(iii) </w:t>
      </w:r>
      <w:r>
        <w:rPr>
          <w:rFonts w:ascii="Arial" w:hAnsi="Arial" w:cs="Arial"/>
          <w:color w:val="000000"/>
        </w:rPr>
        <w:tab/>
      </w:r>
      <w:r w:rsidRPr="00C47119">
        <w:rPr>
          <w:rFonts w:ascii="Arial" w:hAnsi="Arial" w:cs="Arial"/>
          <w:b/>
          <w:color w:val="000000"/>
        </w:rPr>
        <w:t>90 days of invoicing</w:t>
      </w:r>
    </w:p>
    <w:p w:rsidR="00B8475F" w:rsidRPr="00C47119"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b/>
          <w:color w:val="000000"/>
        </w:rPr>
      </w:pPr>
    </w:p>
    <w:tbl>
      <w:tblPr>
        <w:tblStyle w:val="TableGrid"/>
        <w:tblW w:w="0" w:type="auto"/>
        <w:tblInd w:w="1134" w:type="dxa"/>
        <w:tblLook w:val="04A0"/>
      </w:tblPr>
      <w:tblGrid>
        <w:gridCol w:w="2906"/>
        <w:gridCol w:w="2905"/>
        <w:gridCol w:w="2903"/>
      </w:tblGrid>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2020-2021</w:t>
            </w:r>
          </w:p>
        </w:tc>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2021-2022</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2022-2023</w:t>
            </w:r>
          </w:p>
          <w:p w:rsidR="00B8475F" w:rsidRDefault="00B8475F" w:rsidP="00E47B6B">
            <w:pPr>
              <w:tabs>
                <w:tab w:val="left" w:pos="1701"/>
              </w:tabs>
              <w:jc w:val="center"/>
              <w:rPr>
                <w:rFonts w:ascii="Arial" w:eastAsia="Arial Unicode MS" w:hAnsi="Arial" w:cs="Arial"/>
                <w:bCs/>
                <w:bdr w:val="nil"/>
                <w:lang w:val="en-US"/>
              </w:rPr>
            </w:pPr>
          </w:p>
        </w:tc>
      </w:tr>
      <w:tr w:rsidR="00B8475F" w:rsidTr="00E47B6B">
        <w:tc>
          <w:tcPr>
            <w:tcW w:w="3207" w:type="dxa"/>
          </w:tcPr>
          <w:p w:rsidR="00B8475F" w:rsidRDefault="00B8475F" w:rsidP="004A693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0,000%</w:t>
            </w:r>
          </w:p>
        </w:tc>
        <w:tc>
          <w:tcPr>
            <w:tcW w:w="3207" w:type="dxa"/>
          </w:tcPr>
          <w:p w:rsidR="00B8475F" w:rsidRDefault="00B8475F" w:rsidP="00E47B6B">
            <w:pPr>
              <w:tabs>
                <w:tab w:val="left" w:pos="1701"/>
              </w:tabs>
              <w:jc w:val="center"/>
              <w:rPr>
                <w:rFonts w:ascii="Arial" w:eastAsia="Arial Unicode MS" w:hAnsi="Arial" w:cs="Arial"/>
                <w:bCs/>
                <w:bdr w:val="nil"/>
                <w:lang w:val="en-US"/>
              </w:rPr>
            </w:pPr>
            <w:r w:rsidRPr="006D1633">
              <w:rPr>
                <w:rFonts w:ascii="Arial" w:eastAsia="Arial Unicode MS" w:hAnsi="Arial" w:cs="Arial"/>
                <w:bCs/>
                <w:color w:val="000000" w:themeColor="text1"/>
                <w:bdr w:val="nil"/>
                <w:lang w:val="en-US"/>
              </w:rPr>
              <w:t>1,001%</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To be audited</w:t>
            </w:r>
          </w:p>
          <w:p w:rsidR="00B8475F" w:rsidRDefault="00B8475F" w:rsidP="00E47B6B">
            <w:pPr>
              <w:tabs>
                <w:tab w:val="left" w:pos="1701"/>
              </w:tabs>
              <w:jc w:val="center"/>
              <w:rPr>
                <w:rFonts w:ascii="Arial" w:eastAsia="Arial Unicode MS" w:hAnsi="Arial" w:cs="Arial"/>
                <w:bCs/>
                <w:bdr w:val="nil"/>
                <w:lang w:val="en-US"/>
              </w:rPr>
            </w:pPr>
          </w:p>
        </w:tc>
      </w:tr>
    </w:tbl>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color w:val="000000"/>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hAnsi="Arial" w:cs="Arial"/>
          <w:b/>
          <w:color w:val="000000"/>
        </w:rPr>
      </w:pPr>
      <w:r w:rsidRPr="00616BA7">
        <w:rPr>
          <w:rFonts w:ascii="Arial" w:hAnsi="Arial" w:cs="Arial"/>
          <w:color w:val="000000"/>
        </w:rPr>
        <w:t xml:space="preserve">(iv) </w:t>
      </w:r>
      <w:r>
        <w:rPr>
          <w:rFonts w:ascii="Arial" w:hAnsi="Arial" w:cs="Arial"/>
          <w:color w:val="000000"/>
        </w:rPr>
        <w:tab/>
      </w:r>
      <w:r w:rsidRPr="00C47119">
        <w:rPr>
          <w:rFonts w:ascii="Arial" w:hAnsi="Arial" w:cs="Arial"/>
          <w:b/>
          <w:color w:val="000000"/>
        </w:rPr>
        <w:t>120 days of invoicing</w:t>
      </w:r>
    </w:p>
    <w:p w:rsidR="004A693B" w:rsidRDefault="004A693B" w:rsidP="00B8475F">
      <w:pPr>
        <w:pBdr>
          <w:top w:val="nil"/>
          <w:left w:val="nil"/>
          <w:bottom w:val="nil"/>
          <w:right w:val="nil"/>
          <w:between w:val="nil"/>
          <w:bar w:val="nil"/>
        </w:pBdr>
        <w:tabs>
          <w:tab w:val="left" w:pos="1701"/>
        </w:tabs>
        <w:spacing w:after="0" w:line="240" w:lineRule="auto"/>
        <w:ind w:left="1134"/>
        <w:jc w:val="both"/>
        <w:rPr>
          <w:rFonts w:ascii="Arial" w:hAnsi="Arial" w:cs="Arial"/>
          <w:color w:val="000000"/>
        </w:rPr>
      </w:pPr>
    </w:p>
    <w:tbl>
      <w:tblPr>
        <w:tblStyle w:val="TableGrid"/>
        <w:tblW w:w="0" w:type="auto"/>
        <w:tblInd w:w="1134" w:type="dxa"/>
        <w:tblLook w:val="04A0"/>
      </w:tblPr>
      <w:tblGrid>
        <w:gridCol w:w="2911"/>
        <w:gridCol w:w="2895"/>
        <w:gridCol w:w="2908"/>
      </w:tblGrid>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2020-2021</w:t>
            </w:r>
          </w:p>
        </w:tc>
        <w:tc>
          <w:tcPr>
            <w:tcW w:w="3207" w:type="dxa"/>
          </w:tcPr>
          <w:p w:rsidR="00B8475F" w:rsidRDefault="00B8475F" w:rsidP="009D736C">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2021-2022</w:t>
            </w:r>
          </w:p>
        </w:tc>
        <w:tc>
          <w:tcPr>
            <w:tcW w:w="3208" w:type="dxa"/>
          </w:tcPr>
          <w:p w:rsidR="00B8475F" w:rsidRDefault="00B8475F" w:rsidP="004A693B">
            <w:pPr>
              <w:pBdr>
                <w:top w:val="nil"/>
                <w:left w:val="nil"/>
                <w:bottom w:val="nil"/>
                <w:right w:val="nil"/>
                <w:between w:val="nil"/>
                <w:bar w:val="nil"/>
              </w:pBd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2022-2023</w:t>
            </w:r>
          </w:p>
          <w:p w:rsidR="00B8475F" w:rsidRDefault="00B8475F" w:rsidP="00E47B6B">
            <w:pPr>
              <w:tabs>
                <w:tab w:val="left" w:pos="1701"/>
              </w:tabs>
              <w:jc w:val="center"/>
              <w:rPr>
                <w:rFonts w:ascii="Arial" w:eastAsia="Arial Unicode MS" w:hAnsi="Arial" w:cs="Arial"/>
                <w:bCs/>
                <w:bdr w:val="nil"/>
                <w:lang w:val="en-US"/>
              </w:rPr>
            </w:pPr>
          </w:p>
        </w:tc>
      </w:tr>
      <w:tr w:rsidR="00B8475F" w:rsidTr="00E47B6B">
        <w:tc>
          <w:tcPr>
            <w:tcW w:w="3207"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0,000%</w:t>
            </w:r>
          </w:p>
        </w:tc>
        <w:tc>
          <w:tcPr>
            <w:tcW w:w="3207" w:type="dxa"/>
          </w:tcPr>
          <w:p w:rsidR="00B8475F" w:rsidRPr="006D1633" w:rsidRDefault="00B8475F" w:rsidP="009D736C">
            <w:pPr>
              <w:tabs>
                <w:tab w:val="left" w:pos="1701"/>
              </w:tabs>
              <w:jc w:val="center"/>
              <w:rPr>
                <w:rFonts w:ascii="Arial" w:eastAsia="Arial Unicode MS" w:hAnsi="Arial" w:cs="Arial"/>
                <w:bCs/>
                <w:color w:val="000000" w:themeColor="text1"/>
                <w:bdr w:val="nil"/>
                <w:lang w:val="en-US"/>
              </w:rPr>
            </w:pPr>
            <w:r w:rsidRPr="006D1633">
              <w:rPr>
                <w:rFonts w:ascii="Arial" w:eastAsia="Arial Unicode MS" w:hAnsi="Arial" w:cs="Arial"/>
                <w:bCs/>
                <w:color w:val="000000" w:themeColor="text1"/>
                <w:bdr w:val="nil"/>
                <w:lang w:val="en-US"/>
              </w:rPr>
              <w:t>0,78%</w:t>
            </w:r>
          </w:p>
        </w:tc>
        <w:tc>
          <w:tcPr>
            <w:tcW w:w="3208" w:type="dxa"/>
          </w:tcPr>
          <w:p w:rsidR="00B8475F" w:rsidRDefault="00B8475F" w:rsidP="00E47B6B">
            <w:pPr>
              <w:tabs>
                <w:tab w:val="left" w:pos="1701"/>
              </w:tabs>
              <w:jc w:val="center"/>
              <w:rPr>
                <w:rFonts w:ascii="Arial" w:eastAsia="Arial Unicode MS" w:hAnsi="Arial" w:cs="Arial"/>
                <w:bCs/>
                <w:bdr w:val="nil"/>
                <w:lang w:val="en-US"/>
              </w:rPr>
            </w:pPr>
            <w:r>
              <w:rPr>
                <w:rFonts w:ascii="Arial" w:eastAsia="Arial Unicode MS" w:hAnsi="Arial" w:cs="Arial"/>
                <w:bCs/>
                <w:bdr w:val="nil"/>
                <w:lang w:val="en-US"/>
              </w:rPr>
              <w:t>To be audited</w:t>
            </w:r>
          </w:p>
        </w:tc>
      </w:tr>
    </w:tbl>
    <w:p w:rsidR="00B8475F" w:rsidRDefault="00B8475F" w:rsidP="00B8475F">
      <w:pPr>
        <w:pStyle w:val="ListParagraph"/>
        <w:pBdr>
          <w:top w:val="nil"/>
          <w:left w:val="nil"/>
          <w:bottom w:val="nil"/>
          <w:right w:val="nil"/>
          <w:between w:val="nil"/>
          <w:bar w:val="nil"/>
        </w:pBdr>
        <w:tabs>
          <w:tab w:val="left" w:pos="567"/>
          <w:tab w:val="left" w:pos="1134"/>
        </w:tabs>
        <w:spacing w:after="0" w:line="240" w:lineRule="auto"/>
        <w:ind w:left="567" w:hanging="567"/>
        <w:jc w:val="both"/>
        <w:rPr>
          <w:rFonts w:ascii="Arial" w:hAnsi="Arial" w:cs="Arial"/>
          <w:color w:val="000000"/>
        </w:rPr>
      </w:pP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hAnsi="Arial" w:cs="Arial"/>
          <w:color w:val="000000"/>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Default="00B8475F" w:rsidP="00B8475F">
      <w:pPr>
        <w:pBdr>
          <w:top w:val="nil"/>
          <w:left w:val="nil"/>
          <w:bottom w:val="nil"/>
          <w:right w:val="nil"/>
          <w:between w:val="nil"/>
          <w:bar w:val="nil"/>
        </w:pBdr>
        <w:tabs>
          <w:tab w:val="left" w:pos="1701"/>
        </w:tabs>
        <w:spacing w:after="0" w:line="240" w:lineRule="auto"/>
        <w:ind w:left="1134"/>
        <w:jc w:val="both"/>
        <w:rPr>
          <w:rFonts w:ascii="Arial" w:eastAsia="Arial Unicode MS" w:hAnsi="Arial" w:cs="Arial"/>
          <w:bCs/>
          <w:bdr w:val="nil"/>
          <w:lang w:val="en-US"/>
        </w:rPr>
      </w:pP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r>
        <w:rPr>
          <w:rFonts w:ascii="Arial" w:eastAsia="Arial Unicode MS" w:hAnsi="Arial" w:cs="Arial"/>
          <w:bCs/>
          <w:bdr w:val="nil"/>
          <w:lang w:val="en-US"/>
        </w:rPr>
        <w:tab/>
      </w:r>
    </w:p>
    <w:p w:rsidR="00B8475F" w:rsidRPr="0064039D" w:rsidRDefault="00B8475F" w:rsidP="00B8475F">
      <w:pPr>
        <w:pBdr>
          <w:top w:val="nil"/>
          <w:left w:val="nil"/>
          <w:bottom w:val="nil"/>
          <w:right w:val="nil"/>
          <w:between w:val="nil"/>
          <w:bar w:val="nil"/>
        </w:pBdr>
        <w:tabs>
          <w:tab w:val="left" w:pos="1134"/>
          <w:tab w:val="left" w:pos="1701"/>
        </w:tabs>
        <w:spacing w:after="0" w:line="240" w:lineRule="auto"/>
        <w:ind w:left="1134" w:hanging="567"/>
        <w:jc w:val="both"/>
        <w:rPr>
          <w:rFonts w:ascii="Arial" w:hAnsi="Arial" w:cs="Arial"/>
          <w:color w:val="000000" w:themeColor="text1"/>
        </w:rPr>
      </w:pPr>
      <w:r>
        <w:rPr>
          <w:rFonts w:ascii="Arial" w:eastAsia="Arial Unicode MS" w:hAnsi="Arial" w:cs="Arial"/>
          <w:bCs/>
          <w:bdr w:val="nil"/>
          <w:lang w:val="en-US"/>
        </w:rPr>
        <w:t>(b</w:t>
      </w:r>
      <w:r w:rsidRPr="00B00828">
        <w:rPr>
          <w:rFonts w:ascii="Arial" w:eastAsia="Arial Unicode MS" w:hAnsi="Arial" w:cs="Arial"/>
          <w:bCs/>
          <w:bdr w:val="nil"/>
          <w:lang w:val="en-US"/>
        </w:rPr>
        <w:t xml:space="preserve">)  </w:t>
      </w:r>
      <w:r>
        <w:rPr>
          <w:rFonts w:ascii="Arial" w:eastAsia="Arial Unicode MS" w:hAnsi="Arial" w:cs="Arial"/>
          <w:bCs/>
          <w:bdr w:val="nil"/>
          <w:lang w:val="en-US"/>
        </w:rPr>
        <w:tab/>
        <w:t>P</w:t>
      </w:r>
      <w:r w:rsidRPr="00616BA7">
        <w:rPr>
          <w:rFonts w:ascii="Arial" w:eastAsia="Arial Unicode MS" w:hAnsi="Arial" w:cs="Arial"/>
          <w:bCs/>
          <w:bdr w:val="nil"/>
          <w:lang w:val="en-US"/>
        </w:rPr>
        <w:t>ercentage of payments paid to service providers and suppliers by her department</w:t>
      </w:r>
      <w:r>
        <w:rPr>
          <w:rFonts w:ascii="Arial" w:eastAsia="Arial Unicode MS" w:hAnsi="Arial" w:cs="Arial"/>
          <w:bCs/>
          <w:bdr w:val="nil"/>
          <w:lang w:val="en-US"/>
        </w:rPr>
        <w:t xml:space="preserve"> </w:t>
      </w:r>
      <w:r w:rsidRPr="0064039D">
        <w:rPr>
          <w:rFonts w:ascii="Arial" w:hAnsi="Arial" w:cs="Arial"/>
          <w:color w:val="000000" w:themeColor="text1"/>
        </w:rPr>
        <w:t>above 120 days of invoicing in each month:</w:t>
      </w:r>
    </w:p>
    <w:p w:rsidR="00B8475F" w:rsidRPr="0064039D" w:rsidRDefault="00B8475F" w:rsidP="00B8475F">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themeColor="text1"/>
        </w:rPr>
      </w:pPr>
      <w:r w:rsidRPr="0064039D">
        <w:rPr>
          <w:rFonts w:ascii="Arial" w:hAnsi="Arial" w:cs="Arial"/>
          <w:color w:val="000000" w:themeColor="text1"/>
        </w:rPr>
        <w:tab/>
      </w:r>
      <w:r w:rsidRPr="0064039D">
        <w:rPr>
          <w:rFonts w:ascii="Arial" w:hAnsi="Arial" w:cs="Arial"/>
          <w:color w:val="000000" w:themeColor="text1"/>
        </w:rPr>
        <w:tab/>
      </w:r>
    </w:p>
    <w:p w:rsidR="00B8475F" w:rsidRPr="007747CB" w:rsidRDefault="00B8475F" w:rsidP="00B8475F">
      <w:pPr>
        <w:pStyle w:val="ListParagraph"/>
        <w:numPr>
          <w:ilvl w:val="0"/>
          <w:numId w:val="9"/>
        </w:numPr>
        <w:pBdr>
          <w:top w:val="nil"/>
          <w:left w:val="nil"/>
          <w:bottom w:val="nil"/>
          <w:right w:val="nil"/>
          <w:between w:val="nil"/>
          <w:bar w:val="nil"/>
        </w:pBdr>
        <w:tabs>
          <w:tab w:val="left" w:pos="567"/>
          <w:tab w:val="left" w:pos="993"/>
          <w:tab w:val="left" w:pos="1418"/>
        </w:tabs>
        <w:spacing w:after="0" w:line="240" w:lineRule="auto"/>
        <w:jc w:val="both"/>
        <w:rPr>
          <w:rFonts w:ascii="Arial" w:hAnsi="Arial" w:cs="Arial"/>
          <w:color w:val="FF0000"/>
        </w:rPr>
      </w:pPr>
      <w:r w:rsidRPr="0064039D">
        <w:rPr>
          <w:rFonts w:ascii="Arial" w:hAnsi="Arial" w:cs="Arial"/>
          <w:color w:val="000000" w:themeColor="text1"/>
        </w:rPr>
        <w:t>– (iii</w:t>
      </w:r>
      <w:r>
        <w:rPr>
          <w:rFonts w:ascii="Arial" w:hAnsi="Arial" w:cs="Arial"/>
          <w:color w:val="000000"/>
        </w:rPr>
        <w:t xml:space="preserve">) </w:t>
      </w:r>
      <w:r w:rsidR="00385F61">
        <w:rPr>
          <w:rFonts w:ascii="Arial" w:hAnsi="Arial" w:cs="Arial"/>
          <w:color w:val="000000"/>
        </w:rPr>
        <w:t>Payments</w:t>
      </w:r>
      <w:r>
        <w:rPr>
          <w:rFonts w:ascii="Arial" w:hAnsi="Arial" w:cs="Arial"/>
          <w:color w:val="000000"/>
        </w:rPr>
        <w:t xml:space="preserve"> above 120 days</w:t>
      </w:r>
      <w:r w:rsidR="007747CB">
        <w:rPr>
          <w:rFonts w:ascii="Arial" w:hAnsi="Arial" w:cs="Arial"/>
          <w:color w:val="000000"/>
        </w:rPr>
        <w:t xml:space="preserve"> of invoicing for financial</w:t>
      </w:r>
      <w:r>
        <w:rPr>
          <w:rFonts w:ascii="Arial" w:hAnsi="Arial" w:cs="Arial"/>
          <w:color w:val="000000"/>
        </w:rPr>
        <w:t xml:space="preserve"> years </w:t>
      </w:r>
      <w:r w:rsidR="00214C1E">
        <w:rPr>
          <w:rFonts w:ascii="Arial" w:hAnsi="Arial" w:cs="Arial"/>
          <w:color w:val="000000"/>
        </w:rPr>
        <w:t>2020-21 and 2021-22</w:t>
      </w:r>
      <w:r w:rsidR="0064039D">
        <w:rPr>
          <w:rFonts w:ascii="Arial" w:hAnsi="Arial" w:cs="Arial"/>
          <w:color w:val="000000"/>
        </w:rPr>
        <w:t xml:space="preserve"> were at zero percent (0%)</w:t>
      </w:r>
      <w:r w:rsidR="00B63EC1">
        <w:rPr>
          <w:rFonts w:ascii="Arial" w:hAnsi="Arial" w:cs="Arial"/>
          <w:color w:val="000000"/>
        </w:rPr>
        <w:t>.</w:t>
      </w:r>
    </w:p>
    <w:p w:rsidR="00B8475F" w:rsidRPr="007747CB" w:rsidRDefault="00B8475F" w:rsidP="00B8475F">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FF0000"/>
        </w:rPr>
      </w:pPr>
    </w:p>
    <w:p w:rsidR="00B8475F" w:rsidRDefault="00B8475F" w:rsidP="00B8475F">
      <w:pPr>
        <w:tabs>
          <w:tab w:val="left" w:pos="3449"/>
        </w:tabs>
        <w:spacing w:after="0" w:line="240" w:lineRule="auto"/>
        <w:rPr>
          <w:rFonts w:ascii="Arial" w:eastAsia="Arial Unicode MS" w:hAnsi="Arial" w:cs="Arial"/>
          <w:lang w:val="en-US"/>
        </w:rPr>
      </w:pPr>
    </w:p>
    <w:p w:rsidR="00B8475F" w:rsidRPr="00E460A4" w:rsidRDefault="00B8475F" w:rsidP="00E460A4">
      <w:pPr>
        <w:pBdr>
          <w:top w:val="nil"/>
          <w:left w:val="nil"/>
          <w:bottom w:val="nil"/>
          <w:right w:val="nil"/>
          <w:between w:val="nil"/>
          <w:bar w:val="nil"/>
        </w:pBdr>
        <w:tabs>
          <w:tab w:val="left" w:pos="567"/>
          <w:tab w:val="left" w:pos="1701"/>
        </w:tabs>
        <w:spacing w:after="0" w:line="240" w:lineRule="auto"/>
        <w:ind w:left="567"/>
        <w:jc w:val="both"/>
        <w:rPr>
          <w:rFonts w:ascii="Arial" w:hAnsi="Arial" w:cs="Arial"/>
          <w:color w:val="000000"/>
        </w:rPr>
      </w:pPr>
      <w:r>
        <w:rPr>
          <w:rFonts w:ascii="Arial" w:hAnsi="Arial" w:cs="Arial"/>
          <w:color w:val="000000"/>
        </w:rPr>
        <w:t xml:space="preserve"> (b)(ii) Payments </w:t>
      </w:r>
      <w:r w:rsidR="00C94813">
        <w:rPr>
          <w:rFonts w:ascii="Arial" w:hAnsi="Arial" w:cs="Arial"/>
          <w:color w:val="000000"/>
        </w:rPr>
        <w:t xml:space="preserve">for </w:t>
      </w:r>
      <w:r w:rsidR="00C777BF">
        <w:rPr>
          <w:rFonts w:ascii="Arial" w:hAnsi="Arial" w:cs="Arial"/>
          <w:color w:val="000000"/>
        </w:rPr>
        <w:t>2022 – 2023 financial year</w:t>
      </w:r>
      <w:r w:rsidR="00FE57B9">
        <w:rPr>
          <w:rFonts w:ascii="Arial" w:hAnsi="Arial" w:cs="Arial"/>
          <w:color w:val="000000"/>
        </w:rPr>
        <w:t xml:space="preserve"> are still to be audited.</w:t>
      </w:r>
    </w:p>
    <w:p w:rsidR="00B8475F" w:rsidRDefault="00B8475F" w:rsidP="00B8475F">
      <w:pPr>
        <w:tabs>
          <w:tab w:val="left" w:pos="3449"/>
        </w:tabs>
        <w:spacing w:after="0" w:line="240" w:lineRule="auto"/>
        <w:rPr>
          <w:rFonts w:ascii="Arial" w:eastAsia="Arial Unicode MS" w:hAnsi="Arial" w:cs="Arial"/>
          <w:lang w:val="en-US"/>
        </w:rPr>
      </w:pPr>
    </w:p>
    <w:p w:rsidR="00B8475F" w:rsidRDefault="00B8475F" w:rsidP="00B8475F">
      <w:pPr>
        <w:tabs>
          <w:tab w:val="left" w:pos="3449"/>
        </w:tabs>
        <w:spacing w:after="0" w:line="240" w:lineRule="auto"/>
        <w:rPr>
          <w:rFonts w:ascii="Arial" w:eastAsia="Arial Unicode MS" w:hAnsi="Arial" w:cs="Arial"/>
          <w:lang w:val="en-US"/>
        </w:rPr>
      </w:pPr>
    </w:p>
    <w:p w:rsidR="00B8475F" w:rsidRDefault="00B8475F" w:rsidP="00B8475F">
      <w:pPr>
        <w:pBdr>
          <w:top w:val="nil"/>
          <w:left w:val="nil"/>
          <w:bottom w:val="nil"/>
          <w:right w:val="nil"/>
          <w:between w:val="nil"/>
          <w:bar w:val="nil"/>
        </w:pBdr>
        <w:tabs>
          <w:tab w:val="left" w:pos="567"/>
          <w:tab w:val="left" w:pos="1134"/>
        </w:tabs>
        <w:spacing w:after="0" w:line="240" w:lineRule="auto"/>
        <w:ind w:left="1134" w:hanging="1134"/>
        <w:jc w:val="both"/>
        <w:rPr>
          <w:rFonts w:ascii="Arial" w:eastAsia="Arial Unicode MS" w:hAnsi="Arial" w:cs="Arial"/>
          <w:bCs/>
          <w:bdr w:val="nil"/>
          <w:lang w:val="en-US"/>
        </w:rPr>
      </w:pPr>
      <w:r>
        <w:rPr>
          <w:rFonts w:ascii="Arial" w:eastAsia="Arial Unicode MS" w:hAnsi="Arial" w:cs="Arial"/>
          <w:bCs/>
          <w:bdr w:val="nil"/>
          <w:lang w:val="en-US"/>
        </w:rPr>
        <w:t>(2)</w:t>
      </w:r>
      <w:r>
        <w:rPr>
          <w:rFonts w:ascii="Arial" w:eastAsia="Arial Unicode MS" w:hAnsi="Arial" w:cs="Arial"/>
          <w:bCs/>
          <w:bdr w:val="nil"/>
          <w:lang w:val="en-US"/>
        </w:rPr>
        <w:tab/>
        <w:t xml:space="preserve">(a) </w:t>
      </w:r>
      <w:r>
        <w:rPr>
          <w:rFonts w:ascii="Arial" w:eastAsia="Arial Unicode MS" w:hAnsi="Arial" w:cs="Arial"/>
          <w:bCs/>
          <w:bdr w:val="nil"/>
          <w:lang w:val="en-US"/>
        </w:rPr>
        <w:tab/>
      </w:r>
      <w:r w:rsidRPr="00C47119">
        <w:rPr>
          <w:rFonts w:ascii="Arial" w:eastAsia="Arial Unicode MS" w:hAnsi="Arial" w:cs="Arial"/>
          <w:b/>
          <w:bCs/>
          <w:bdr w:val="nil"/>
          <w:lang w:val="en-US"/>
        </w:rPr>
        <w:t>Processes, procedures and mechanisms are in place to improve the total number of days it takes to pay invoices</w:t>
      </w:r>
      <w:r>
        <w:rPr>
          <w:rFonts w:ascii="Arial" w:eastAsia="Arial Unicode MS" w:hAnsi="Arial" w:cs="Arial"/>
          <w:bCs/>
          <w:bdr w:val="nil"/>
          <w:lang w:val="en-US"/>
        </w:rPr>
        <w:t>:</w:t>
      </w:r>
    </w:p>
    <w:p w:rsidR="00B8475F" w:rsidRDefault="00B8475F" w:rsidP="00B8475F">
      <w:pPr>
        <w:pBdr>
          <w:top w:val="nil"/>
          <w:left w:val="nil"/>
          <w:bottom w:val="nil"/>
          <w:right w:val="nil"/>
          <w:between w:val="nil"/>
          <w:bar w:val="nil"/>
        </w:pBdr>
        <w:tabs>
          <w:tab w:val="left" w:pos="567"/>
          <w:tab w:val="left" w:pos="1134"/>
        </w:tabs>
        <w:spacing w:after="0" w:line="240" w:lineRule="auto"/>
        <w:ind w:left="1134" w:hanging="1134"/>
        <w:jc w:val="both"/>
        <w:rPr>
          <w:rFonts w:ascii="Arial" w:eastAsia="Arial Unicode MS" w:hAnsi="Arial" w:cs="Arial"/>
          <w:bCs/>
          <w:bdr w:val="nil"/>
          <w:lang w:val="en-US"/>
        </w:rPr>
      </w:pPr>
    </w:p>
    <w:p w:rsidR="00B8475F" w:rsidRDefault="006F1F22" w:rsidP="007C0088">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r>
        <w:rPr>
          <w:rFonts w:ascii="Arial" w:eastAsia="Arial Unicode MS" w:hAnsi="Arial" w:cs="Arial"/>
          <w:bCs/>
          <w:bdr w:val="none" w:sz="0" w:space="0" w:color="auto" w:frame="1"/>
          <w:lang w:val="en-US"/>
        </w:rPr>
        <w:t>The</w:t>
      </w:r>
      <w:r w:rsidR="000631A4">
        <w:rPr>
          <w:rFonts w:ascii="Arial" w:eastAsia="Arial Unicode MS" w:hAnsi="Arial" w:cs="Arial"/>
          <w:bCs/>
          <w:bdr w:val="none" w:sz="0" w:space="0" w:color="auto" w:frame="1"/>
          <w:lang w:val="en-US"/>
        </w:rPr>
        <w:t xml:space="preserve"> </w:t>
      </w:r>
      <w:r w:rsidR="00F22C7E">
        <w:rPr>
          <w:rFonts w:ascii="Arial" w:eastAsia="Arial Unicode MS" w:hAnsi="Arial" w:cs="Arial"/>
          <w:bCs/>
          <w:bdr w:val="none" w:sz="0" w:space="0" w:color="auto" w:frame="1"/>
          <w:lang w:val="en-US"/>
        </w:rPr>
        <w:t xml:space="preserve">Department is working on </w:t>
      </w:r>
      <w:r w:rsidR="00386EBC">
        <w:rPr>
          <w:rFonts w:ascii="Arial" w:eastAsia="Arial Unicode MS" w:hAnsi="Arial" w:cs="Arial"/>
          <w:bCs/>
          <w:bdr w:val="none" w:sz="0" w:space="0" w:color="auto" w:frame="1"/>
          <w:lang w:val="en-US"/>
        </w:rPr>
        <w:t>introducing automat</w:t>
      </w:r>
      <w:r w:rsidR="00D06555">
        <w:rPr>
          <w:rFonts w:ascii="Arial" w:eastAsia="Arial Unicode MS" w:hAnsi="Arial" w:cs="Arial"/>
          <w:bCs/>
          <w:bdr w:val="none" w:sz="0" w:space="0" w:color="auto" w:frame="1"/>
          <w:lang w:val="en-US"/>
        </w:rPr>
        <w:t xml:space="preserve">ion for </w:t>
      </w:r>
      <w:r w:rsidR="00085766">
        <w:rPr>
          <w:rFonts w:ascii="Arial" w:eastAsia="Arial Unicode MS" w:hAnsi="Arial" w:cs="Arial"/>
          <w:bCs/>
          <w:bdr w:val="none" w:sz="0" w:space="0" w:color="auto" w:frame="1"/>
          <w:lang w:val="en-US"/>
        </w:rPr>
        <w:t>submission</w:t>
      </w:r>
      <w:r w:rsidR="006F4FEA">
        <w:rPr>
          <w:rFonts w:ascii="Arial" w:eastAsia="Arial Unicode MS" w:hAnsi="Arial" w:cs="Arial"/>
          <w:bCs/>
          <w:bdr w:val="none" w:sz="0" w:space="0" w:color="auto" w:frame="1"/>
          <w:lang w:val="en-US"/>
        </w:rPr>
        <w:t xml:space="preserve"> and tracking</w:t>
      </w:r>
      <w:r w:rsidR="00085766">
        <w:rPr>
          <w:rFonts w:ascii="Arial" w:eastAsia="Arial Unicode MS" w:hAnsi="Arial" w:cs="Arial"/>
          <w:bCs/>
          <w:bdr w:val="none" w:sz="0" w:space="0" w:color="auto" w:frame="1"/>
          <w:lang w:val="en-US"/>
        </w:rPr>
        <w:t xml:space="preserve"> of </w:t>
      </w:r>
      <w:r w:rsidR="006F4FEA">
        <w:rPr>
          <w:rFonts w:ascii="Arial" w:eastAsia="Arial Unicode MS" w:hAnsi="Arial" w:cs="Arial"/>
          <w:bCs/>
          <w:bdr w:val="none" w:sz="0" w:space="0" w:color="auto" w:frame="1"/>
          <w:lang w:val="en-US"/>
        </w:rPr>
        <w:t>invoices</w:t>
      </w:r>
      <w:r w:rsidR="007C0088">
        <w:rPr>
          <w:rFonts w:ascii="Arial" w:eastAsia="Arial Unicode MS" w:hAnsi="Arial" w:cs="Arial"/>
          <w:bCs/>
          <w:bdr w:val="none" w:sz="0" w:space="0" w:color="auto" w:frame="1"/>
          <w:lang w:val="en-US"/>
        </w:rPr>
        <w:t>, so that all invoices are paid within 30 days as required by law</w:t>
      </w:r>
      <w:r w:rsidR="006F4FEA">
        <w:rPr>
          <w:rFonts w:ascii="Arial" w:eastAsia="Arial Unicode MS" w:hAnsi="Arial" w:cs="Arial"/>
          <w:bCs/>
          <w:bdr w:val="none" w:sz="0" w:space="0" w:color="auto" w:frame="1"/>
          <w:lang w:val="en-US"/>
        </w:rPr>
        <w:t>.</w:t>
      </w:r>
    </w:p>
    <w:p w:rsidR="00B8475F" w:rsidRDefault="00B8475F" w:rsidP="00B8475F">
      <w:pPr>
        <w:tabs>
          <w:tab w:val="left" w:pos="567"/>
          <w:tab w:val="left" w:pos="1134"/>
        </w:tabs>
        <w:spacing w:after="0" w:line="240" w:lineRule="auto"/>
        <w:ind w:left="1134" w:hanging="1134"/>
        <w:jc w:val="both"/>
        <w:rPr>
          <w:rFonts w:ascii="Arial" w:eastAsia="Arial Unicode MS" w:hAnsi="Arial" w:cs="Arial"/>
          <w:bCs/>
          <w:bdr w:val="none" w:sz="0" w:space="0" w:color="auto" w:frame="1"/>
          <w:lang w:val="en-US"/>
        </w:rPr>
      </w:pPr>
    </w:p>
    <w:p w:rsidR="00B8475F" w:rsidRDefault="00B8475F" w:rsidP="00B8475F">
      <w:pPr>
        <w:tabs>
          <w:tab w:val="left" w:pos="567"/>
          <w:tab w:val="left" w:pos="1134"/>
        </w:tabs>
        <w:spacing w:after="0" w:line="240" w:lineRule="auto"/>
        <w:ind w:left="1134" w:hanging="1134"/>
        <w:jc w:val="both"/>
        <w:rPr>
          <w:rFonts w:ascii="Arial" w:hAnsi="Arial" w:cs="Arial"/>
          <w:color w:val="000000"/>
        </w:rPr>
      </w:pPr>
      <w:r>
        <w:rPr>
          <w:rFonts w:ascii="Arial" w:eastAsia="Arial Unicode MS" w:hAnsi="Arial" w:cs="Arial"/>
          <w:bCs/>
          <w:bdr w:val="none" w:sz="0" w:space="0" w:color="auto" w:frame="1"/>
          <w:lang w:val="en-US"/>
        </w:rPr>
        <w:tab/>
        <w:t>(b)</w:t>
      </w:r>
      <w:r>
        <w:rPr>
          <w:rFonts w:ascii="Arial" w:eastAsia="Arial Unicode MS" w:hAnsi="Arial" w:cs="Arial"/>
          <w:bCs/>
          <w:bdr w:val="none" w:sz="0" w:space="0" w:color="auto" w:frame="1"/>
          <w:lang w:val="en-US"/>
        </w:rPr>
        <w:tab/>
      </w:r>
      <w:r w:rsidRPr="00C47119">
        <w:rPr>
          <w:rFonts w:ascii="Arial" w:eastAsia="Arial Unicode MS" w:hAnsi="Arial" w:cs="Arial"/>
          <w:b/>
          <w:bCs/>
          <w:bdr w:val="none" w:sz="0" w:space="0" w:color="auto" w:frame="1"/>
          <w:lang w:val="en-US"/>
        </w:rPr>
        <w:t>How</w:t>
      </w:r>
      <w:r w:rsidRPr="00C47119">
        <w:rPr>
          <w:rFonts w:ascii="Arial" w:hAnsi="Arial" w:cs="Arial"/>
          <w:b/>
          <w:color w:val="000000"/>
          <w:lang w:val="en-US"/>
        </w:rPr>
        <w:t xml:space="preserve"> </w:t>
      </w:r>
      <w:r w:rsidRPr="00C47119">
        <w:rPr>
          <w:rFonts w:ascii="Arial" w:hAnsi="Arial" w:cs="Arial"/>
          <w:b/>
          <w:color w:val="000000"/>
        </w:rPr>
        <w:t>will her department measure the improvement</w:t>
      </w:r>
      <w:r>
        <w:rPr>
          <w:rFonts w:ascii="Arial" w:hAnsi="Arial" w:cs="Arial"/>
          <w:color w:val="000000"/>
        </w:rPr>
        <w:t>.</w:t>
      </w:r>
    </w:p>
    <w:p w:rsidR="00B8475F" w:rsidRDefault="00B8475F" w:rsidP="00B8475F">
      <w:pPr>
        <w:tabs>
          <w:tab w:val="left" w:pos="567"/>
          <w:tab w:val="left" w:pos="1134"/>
        </w:tabs>
        <w:spacing w:after="0" w:line="240" w:lineRule="auto"/>
        <w:jc w:val="both"/>
        <w:rPr>
          <w:rFonts w:ascii="Arial" w:eastAsia="Arial Unicode MS" w:hAnsi="Arial" w:cs="Arial"/>
          <w:bCs/>
          <w:bdr w:val="none" w:sz="0" w:space="0" w:color="auto" w:frame="1"/>
          <w:lang w:val="en-US"/>
        </w:rPr>
      </w:pPr>
    </w:p>
    <w:p w:rsidR="00EB1A98" w:rsidRDefault="006F1F22" w:rsidP="00EB1A98">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r>
        <w:rPr>
          <w:rFonts w:ascii="Arial" w:eastAsia="Arial Unicode MS" w:hAnsi="Arial" w:cs="Arial"/>
          <w:bCs/>
          <w:bdr w:val="none" w:sz="0" w:space="0" w:color="auto" w:frame="1"/>
          <w:lang w:val="en-US"/>
        </w:rPr>
        <w:t>Monthly</w:t>
      </w:r>
      <w:r w:rsidR="00EB1A98">
        <w:rPr>
          <w:rFonts w:ascii="Arial" w:eastAsia="Arial Unicode MS" w:hAnsi="Arial" w:cs="Arial"/>
          <w:bCs/>
          <w:bdr w:val="none" w:sz="0" w:space="0" w:color="auto" w:frame="1"/>
          <w:lang w:val="en-US"/>
        </w:rPr>
        <w:t xml:space="preserve"> monitoring will be conducted and consequence management will be introduced.</w:t>
      </w:r>
    </w:p>
    <w:p w:rsidR="00EB1A98" w:rsidRDefault="00EB1A98" w:rsidP="00EB1A98">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p>
    <w:p w:rsidR="00B8475F" w:rsidRDefault="00B8475F" w:rsidP="00B8475F">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D1" w:rsidRDefault="00E727D1">
      <w:pPr>
        <w:spacing w:after="0" w:line="240" w:lineRule="auto"/>
      </w:pPr>
      <w:r>
        <w:separator/>
      </w:r>
    </w:p>
  </w:endnote>
  <w:endnote w:type="continuationSeparator" w:id="0">
    <w:p w:rsidR="00E727D1" w:rsidRDefault="00E7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533117" w:rsidRDefault="00DB6BD3" w:rsidP="00D30857">
        <w:pPr>
          <w:pStyle w:val="Footer1"/>
          <w:tabs>
            <w:tab w:val="clear" w:pos="4513"/>
            <w:tab w:val="center" w:pos="5103"/>
          </w:tabs>
          <w:ind w:firstLine="720"/>
          <w:jc w:val="center"/>
          <w:rPr>
            <w:rFonts w:ascii="Arial Narrow" w:hAnsi="Arial Narrow"/>
            <w:sz w:val="18"/>
            <w:szCs w:val="18"/>
          </w:rPr>
        </w:pPr>
        <w:r>
          <w:t xml:space="preserve">                                                               </w:t>
        </w:r>
        <w:r w:rsidR="00B8475F">
          <w:rPr>
            <w:rFonts w:ascii="Arial Narrow" w:hAnsi="Arial Narrow"/>
            <w:sz w:val="18"/>
            <w:szCs w:val="18"/>
          </w:rPr>
          <w:t xml:space="preserve">1052 </w:t>
        </w:r>
        <w:r w:rsidR="00B8475F" w:rsidRPr="00504917">
          <w:rPr>
            <w:rFonts w:ascii="Arial Narrow" w:hAnsi="Arial Narrow"/>
            <w:sz w:val="18"/>
            <w:szCs w:val="18"/>
          </w:rPr>
          <w:t>(</w:t>
        </w:r>
        <w:r w:rsidRPr="00504917">
          <w:rPr>
            <w:rFonts w:ascii="Arial Narrow" w:hAnsi="Arial Narrow"/>
            <w:sz w:val="18"/>
            <w:szCs w:val="18"/>
          </w:rPr>
          <w:t>NW</w:t>
        </w:r>
        <w:r w:rsidR="00B8475F">
          <w:rPr>
            <w:rFonts w:ascii="Arial Narrow" w:hAnsi="Arial Narrow"/>
            <w:sz w:val="18"/>
            <w:szCs w:val="18"/>
          </w:rPr>
          <w:t>1162E)</w:t>
        </w:r>
        <w:r>
          <w:rPr>
            <w:rFonts w:ascii="Arial Narrow" w:hAnsi="Arial Narrow"/>
            <w:sz w:val="18"/>
            <w:szCs w:val="18"/>
          </w:rPr>
          <w:tab/>
        </w:r>
        <w:r>
          <w:rPr>
            <w:rFonts w:ascii="Arial Narrow" w:hAnsi="Arial Narrow"/>
            <w:sz w:val="18"/>
            <w:szCs w:val="18"/>
          </w:rPr>
          <w:tab/>
        </w:r>
      </w:p>
      <w:p w:rsidR="00013AC6" w:rsidRPr="00013AC6" w:rsidRDefault="00533117" w:rsidP="00D30857">
        <w:pPr>
          <w:pStyle w:val="Footer1"/>
          <w:tabs>
            <w:tab w:val="clear" w:pos="4513"/>
            <w:tab w:val="center" w:pos="5103"/>
          </w:tabs>
          <w:ind w:firstLine="720"/>
          <w:jc w:val="center"/>
          <w:rPr>
            <w:rFonts w:ascii="Arial Narrow" w:hAnsi="Arial Narrow"/>
          </w:rPr>
        </w:pPr>
        <w:r>
          <w:rPr>
            <w:rFonts w:ascii="Arial Narrow" w:hAnsi="Arial Narrow"/>
            <w:sz w:val="18"/>
            <w:szCs w:val="18"/>
          </w:rPr>
          <w:tab/>
        </w:r>
        <w:r>
          <w:rPr>
            <w:rFonts w:ascii="Arial Narrow" w:hAnsi="Arial Narrow"/>
            <w:sz w:val="18"/>
            <w:szCs w:val="18"/>
          </w:rPr>
          <w:tab/>
        </w:r>
        <w:r w:rsidR="00BD1CBD" w:rsidRPr="00013AC6">
          <w:rPr>
            <w:rFonts w:ascii="Arial Narrow" w:hAnsi="Arial Narrow"/>
          </w:rPr>
          <w:fldChar w:fldCharType="begin"/>
        </w:r>
        <w:r w:rsidR="00DB6BD3" w:rsidRPr="00013AC6">
          <w:rPr>
            <w:rFonts w:ascii="Arial Narrow" w:hAnsi="Arial Narrow"/>
          </w:rPr>
          <w:instrText xml:space="preserve"> PAGE   \* MERGEFORMAT </w:instrText>
        </w:r>
        <w:r w:rsidR="00BD1CBD" w:rsidRPr="00013AC6">
          <w:rPr>
            <w:rFonts w:ascii="Arial Narrow" w:hAnsi="Arial Narrow"/>
          </w:rPr>
          <w:fldChar w:fldCharType="separate"/>
        </w:r>
        <w:r w:rsidR="00B65B9C">
          <w:rPr>
            <w:rFonts w:ascii="Arial Narrow" w:hAnsi="Arial Narrow"/>
            <w:noProof/>
          </w:rPr>
          <w:t>2</w:t>
        </w:r>
        <w:r w:rsidR="00BD1CBD" w:rsidRPr="00013AC6">
          <w:rPr>
            <w:rFonts w:ascii="Arial Narrow" w:hAnsi="Arial Narrow"/>
            <w:noProof/>
          </w:rPr>
          <w:fldChar w:fldCharType="end"/>
        </w:r>
        <w:r w:rsidR="00DB6BD3" w:rsidRPr="00013AC6">
          <w:rPr>
            <w:rFonts w:ascii="Arial Narrow" w:hAnsi="Arial Narrow"/>
          </w:rPr>
          <w:t xml:space="preserve"> </w:t>
        </w:r>
      </w:p>
    </w:sdtContent>
  </w:sdt>
  <w:p w:rsidR="00C0184E" w:rsidRPr="00013AC6" w:rsidRDefault="00E727D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727D1">
    <w:pPr>
      <w:pStyle w:val="Footer1"/>
      <w:jc w:val="right"/>
    </w:pPr>
  </w:p>
  <w:p w:rsidR="001656DE" w:rsidRPr="006016C0" w:rsidRDefault="00533117" w:rsidP="006016C0">
    <w:pPr>
      <w:pStyle w:val="HeaderFooter"/>
      <w:jc w:val="center"/>
      <w:rPr>
        <w:rFonts w:ascii="Arial Narrow" w:hAnsi="Arial Narrow"/>
        <w:sz w:val="18"/>
        <w:szCs w:val="18"/>
      </w:rPr>
    </w:pPr>
    <w:r>
      <w:rPr>
        <w:rFonts w:ascii="Arial Narrow" w:hAnsi="Arial Narrow"/>
        <w:sz w:val="18"/>
        <w:szCs w:val="18"/>
      </w:rPr>
      <w:t>48 (NW52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D1" w:rsidRDefault="00E727D1">
      <w:pPr>
        <w:spacing w:after="0" w:line="240" w:lineRule="auto"/>
      </w:pPr>
      <w:r>
        <w:separator/>
      </w:r>
    </w:p>
  </w:footnote>
  <w:footnote w:type="continuationSeparator" w:id="0">
    <w:p w:rsidR="00E727D1" w:rsidRDefault="00E72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76E"/>
    <w:multiLevelType w:val="hybridMultilevel"/>
    <w:tmpl w:val="CC8008C0"/>
    <w:lvl w:ilvl="0" w:tplc="27BE16C0">
      <w:start w:val="1"/>
      <w:numFmt w:val="lowerRoman"/>
      <w:lvlText w:val="(%1)"/>
      <w:lvlJc w:val="left"/>
      <w:pPr>
        <w:ind w:left="1713" w:hanging="720"/>
      </w:pPr>
      <w:rPr>
        <w:rFonts w:hint="default"/>
        <w:color w:val="000000" w:themeColor="text1"/>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195D36B5"/>
    <w:multiLevelType w:val="hybridMultilevel"/>
    <w:tmpl w:val="E7320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6B67114"/>
    <w:multiLevelType w:val="hybridMultilevel"/>
    <w:tmpl w:val="C5500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4F77CB"/>
    <w:multiLevelType w:val="hybridMultilevel"/>
    <w:tmpl w:val="D0C46E90"/>
    <w:lvl w:ilvl="0" w:tplc="44C25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CB5500D"/>
    <w:multiLevelType w:val="hybridMultilevel"/>
    <w:tmpl w:val="6BFAC8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F86460"/>
    <w:multiLevelType w:val="hybridMultilevel"/>
    <w:tmpl w:val="F2A43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6"/>
  </w:num>
  <w:num w:numId="6">
    <w:abstractNumId w:val="4"/>
  </w:num>
  <w:num w:numId="7">
    <w:abstractNumId w:val="7"/>
  </w:num>
  <w:num w:numId="8">
    <w:abstractNumId w:val="10"/>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631A4"/>
    <w:rsid w:val="00076CE0"/>
    <w:rsid w:val="00085766"/>
    <w:rsid w:val="000857D8"/>
    <w:rsid w:val="000E3E94"/>
    <w:rsid w:val="000F7CAD"/>
    <w:rsid w:val="001059FF"/>
    <w:rsid w:val="00151D19"/>
    <w:rsid w:val="00193F9C"/>
    <w:rsid w:val="00197DA6"/>
    <w:rsid w:val="00214C1E"/>
    <w:rsid w:val="002245E3"/>
    <w:rsid w:val="00275BED"/>
    <w:rsid w:val="002C461C"/>
    <w:rsid w:val="0035411E"/>
    <w:rsid w:val="00385F61"/>
    <w:rsid w:val="00386EBC"/>
    <w:rsid w:val="003B3F96"/>
    <w:rsid w:val="003D7F28"/>
    <w:rsid w:val="00490A93"/>
    <w:rsid w:val="004A693B"/>
    <w:rsid w:val="004C4166"/>
    <w:rsid w:val="004F2C4A"/>
    <w:rsid w:val="004F54C9"/>
    <w:rsid w:val="005047B4"/>
    <w:rsid w:val="005261E6"/>
    <w:rsid w:val="00533117"/>
    <w:rsid w:val="005A4469"/>
    <w:rsid w:val="006010A3"/>
    <w:rsid w:val="00615126"/>
    <w:rsid w:val="0061799C"/>
    <w:rsid w:val="006335F8"/>
    <w:rsid w:val="0064039D"/>
    <w:rsid w:val="0066104E"/>
    <w:rsid w:val="006B20E2"/>
    <w:rsid w:val="006D1633"/>
    <w:rsid w:val="006F1F22"/>
    <w:rsid w:val="006F2A9F"/>
    <w:rsid w:val="006F4734"/>
    <w:rsid w:val="006F4FEA"/>
    <w:rsid w:val="007345DF"/>
    <w:rsid w:val="00753277"/>
    <w:rsid w:val="00765093"/>
    <w:rsid w:val="007747CB"/>
    <w:rsid w:val="00777955"/>
    <w:rsid w:val="007C0088"/>
    <w:rsid w:val="00803781"/>
    <w:rsid w:val="00810D60"/>
    <w:rsid w:val="00813714"/>
    <w:rsid w:val="008137D4"/>
    <w:rsid w:val="00857718"/>
    <w:rsid w:val="008739A3"/>
    <w:rsid w:val="008A1044"/>
    <w:rsid w:val="008A6C53"/>
    <w:rsid w:val="008C442B"/>
    <w:rsid w:val="009153DF"/>
    <w:rsid w:val="0093250B"/>
    <w:rsid w:val="009413A3"/>
    <w:rsid w:val="0094248F"/>
    <w:rsid w:val="009613A5"/>
    <w:rsid w:val="009650F7"/>
    <w:rsid w:val="00977B49"/>
    <w:rsid w:val="009849DC"/>
    <w:rsid w:val="009863F2"/>
    <w:rsid w:val="009945BD"/>
    <w:rsid w:val="009D736C"/>
    <w:rsid w:val="00A02B67"/>
    <w:rsid w:val="00A96F2D"/>
    <w:rsid w:val="00AA5F57"/>
    <w:rsid w:val="00AD6639"/>
    <w:rsid w:val="00B24E20"/>
    <w:rsid w:val="00B63EC1"/>
    <w:rsid w:val="00B65B9C"/>
    <w:rsid w:val="00B8475F"/>
    <w:rsid w:val="00BA7422"/>
    <w:rsid w:val="00BD1CBD"/>
    <w:rsid w:val="00C03FFF"/>
    <w:rsid w:val="00C777BF"/>
    <w:rsid w:val="00C809F5"/>
    <w:rsid w:val="00C94813"/>
    <w:rsid w:val="00CC310A"/>
    <w:rsid w:val="00CE0094"/>
    <w:rsid w:val="00CE16C2"/>
    <w:rsid w:val="00CE51D6"/>
    <w:rsid w:val="00CE637C"/>
    <w:rsid w:val="00D06555"/>
    <w:rsid w:val="00D319C1"/>
    <w:rsid w:val="00D350AE"/>
    <w:rsid w:val="00D44311"/>
    <w:rsid w:val="00D47B6A"/>
    <w:rsid w:val="00D9442B"/>
    <w:rsid w:val="00DB6BD3"/>
    <w:rsid w:val="00DC1973"/>
    <w:rsid w:val="00DD3F26"/>
    <w:rsid w:val="00DE4655"/>
    <w:rsid w:val="00E03CDF"/>
    <w:rsid w:val="00E460A4"/>
    <w:rsid w:val="00E57333"/>
    <w:rsid w:val="00E665D2"/>
    <w:rsid w:val="00E727D1"/>
    <w:rsid w:val="00EA5235"/>
    <w:rsid w:val="00EA5732"/>
    <w:rsid w:val="00EB1A98"/>
    <w:rsid w:val="00EB4A3F"/>
    <w:rsid w:val="00EF6A4F"/>
    <w:rsid w:val="00F22C7E"/>
    <w:rsid w:val="00F37A82"/>
    <w:rsid w:val="00F51122"/>
    <w:rsid w:val="00F51F48"/>
    <w:rsid w:val="00FE56CB"/>
    <w:rsid w:val="00FE57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B8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2023-04-21T07:22:00Z</cp:lastPrinted>
  <dcterms:created xsi:type="dcterms:W3CDTF">2023-05-04T12:32:00Z</dcterms:created>
  <dcterms:modified xsi:type="dcterms:W3CDTF">2023-05-04T12:32:00Z</dcterms:modified>
</cp:coreProperties>
</file>