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CB05AC" w:rsidP="00A36976">
      <w:r w:rsidRPr="00CB05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87342413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CB05AC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B05AC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CB05AC" w:rsidP="000B1A81">
      <w:pPr>
        <w:pStyle w:val="ListParagraph"/>
        <w:ind w:left="0"/>
        <w:jc w:val="both"/>
        <w:rPr>
          <w:b/>
        </w:rPr>
      </w:pPr>
      <w:r w:rsidRPr="00CB05AC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C71EF8" w:rsidRPr="00C71EF8" w:rsidRDefault="00C71EF8" w:rsidP="00C71EF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C71EF8">
        <w:rPr>
          <w:rFonts w:ascii="Arial" w:hAnsi="Arial" w:cs="Arial"/>
          <w:b/>
        </w:rPr>
        <w:t>1052.</w:t>
      </w:r>
      <w:r w:rsidRPr="00C71EF8">
        <w:rPr>
          <w:rFonts w:ascii="Arial" w:hAnsi="Arial" w:cs="Arial"/>
          <w:b/>
        </w:rPr>
        <w:tab/>
        <w:t>Mr S J F Marais (DA) to ask the Minister of Defence and Military Veterans</w:t>
      </w:r>
      <w:r w:rsidR="00CB05AC" w:rsidRPr="00C71EF8">
        <w:rPr>
          <w:rFonts w:ascii="Arial" w:hAnsi="Arial" w:cs="Arial"/>
          <w:b/>
        </w:rPr>
        <w:fldChar w:fldCharType="begin"/>
      </w:r>
      <w:r w:rsidRPr="00C71EF8">
        <w:rPr>
          <w:rFonts w:ascii="Arial" w:hAnsi="Arial" w:cs="Arial"/>
        </w:rPr>
        <w:instrText xml:space="preserve"> XE "</w:instrText>
      </w:r>
      <w:r w:rsidRPr="00C71EF8">
        <w:rPr>
          <w:rFonts w:ascii="Arial" w:hAnsi="Arial" w:cs="Arial"/>
          <w:b/>
        </w:rPr>
        <w:instrText>Defence and Military Veterans</w:instrText>
      </w:r>
      <w:r w:rsidRPr="00C71EF8">
        <w:rPr>
          <w:rFonts w:ascii="Arial" w:hAnsi="Arial" w:cs="Arial"/>
        </w:rPr>
        <w:instrText xml:space="preserve">" </w:instrText>
      </w:r>
      <w:r w:rsidR="00CB05AC" w:rsidRPr="00C71EF8">
        <w:rPr>
          <w:rFonts w:ascii="Arial" w:hAnsi="Arial" w:cs="Arial"/>
          <w:b/>
        </w:rPr>
        <w:fldChar w:fldCharType="end"/>
      </w:r>
      <w:r w:rsidRPr="00C71EF8">
        <w:rPr>
          <w:rFonts w:ascii="Arial" w:hAnsi="Arial" w:cs="Arial"/>
          <w:b/>
        </w:rPr>
        <w:t>:</w:t>
      </w:r>
    </w:p>
    <w:p w:rsidR="00C71EF8" w:rsidRPr="00C71EF8" w:rsidRDefault="00C71EF8" w:rsidP="00C71EF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C71EF8">
        <w:rPr>
          <w:rFonts w:ascii="Arial" w:hAnsi="Arial" w:cs="Arial"/>
        </w:rPr>
        <w:t>(1)</w:t>
      </w:r>
      <w:r w:rsidRPr="00C71EF8">
        <w:rPr>
          <w:rFonts w:ascii="Arial" w:hAnsi="Arial" w:cs="Arial"/>
        </w:rPr>
        <w:tab/>
        <w:t>What (a) was the direct and indirect total costs in each year over the past five years relating to Cuban staff employed and/or contracted for Operation Thusano (details furnished) and (b) are the costs related to providing security and/or protection services to Cuban staff;</w:t>
      </w:r>
    </w:p>
    <w:p w:rsidR="00C71EF8" w:rsidRPr="00C71EF8" w:rsidRDefault="00C71EF8" w:rsidP="00C71EF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C71EF8">
        <w:rPr>
          <w:rFonts w:ascii="Arial" w:hAnsi="Arial" w:cs="Arial"/>
        </w:rPr>
        <w:t>(2)</w:t>
      </w:r>
      <w:r w:rsidRPr="00C71EF8">
        <w:rPr>
          <w:rFonts w:ascii="Arial" w:hAnsi="Arial" w:cs="Arial"/>
        </w:rPr>
        <w:tab/>
      </w:r>
      <w:proofErr w:type="gramStart"/>
      <w:r w:rsidRPr="00C71EF8">
        <w:rPr>
          <w:rFonts w:ascii="Arial" w:hAnsi="Arial" w:cs="Arial"/>
        </w:rPr>
        <w:t>what</w:t>
      </w:r>
      <w:proofErr w:type="gramEnd"/>
      <w:r w:rsidRPr="00C71EF8">
        <w:rPr>
          <w:rFonts w:ascii="Arial" w:hAnsi="Arial" w:cs="Arial"/>
        </w:rPr>
        <w:t xml:space="preserve"> was the total number of (a) vehicles that were stripped of parts during the specified period and (b) serviceable vehicles that were reassembled and returned for military work;</w:t>
      </w:r>
    </w:p>
    <w:p w:rsidR="00C71EF8" w:rsidRPr="00C71EF8" w:rsidRDefault="00C71EF8" w:rsidP="00C71EF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C71EF8">
        <w:rPr>
          <w:rFonts w:ascii="Arial" w:hAnsi="Arial" w:cs="Arial"/>
        </w:rPr>
        <w:t>(3)</w:t>
      </w:r>
      <w:r w:rsidRPr="00C71EF8">
        <w:rPr>
          <w:rFonts w:ascii="Arial" w:hAnsi="Arial" w:cs="Arial"/>
        </w:rPr>
        <w:tab/>
        <w:t>(a) what is the value of the spare parts reintroduced into the vehicle maintenance system, (b) to which (</w:t>
      </w:r>
      <w:proofErr w:type="spellStart"/>
      <w:r w:rsidRPr="00C71EF8">
        <w:rPr>
          <w:rFonts w:ascii="Arial" w:hAnsi="Arial" w:cs="Arial"/>
        </w:rPr>
        <w:t>i</w:t>
      </w:r>
      <w:proofErr w:type="spellEnd"/>
      <w:r w:rsidRPr="00C71EF8">
        <w:rPr>
          <w:rFonts w:ascii="Arial" w:hAnsi="Arial" w:cs="Arial"/>
        </w:rPr>
        <w:t>) military bases and (ii) maintenance depots were the spare parts supplied and (c) what is the cost benefit analysis of the stripped spare parts;</w:t>
      </w:r>
    </w:p>
    <w:p w:rsidR="00C71EF8" w:rsidRPr="00C71EF8" w:rsidRDefault="00C71EF8" w:rsidP="00C71EF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C71EF8">
        <w:rPr>
          <w:rFonts w:ascii="Arial" w:hAnsi="Arial" w:cs="Arial"/>
        </w:rPr>
        <w:t>(4)</w:t>
      </w:r>
      <w:r w:rsidRPr="00C71EF8">
        <w:rPr>
          <w:rFonts w:ascii="Arial" w:hAnsi="Arial" w:cs="Arial"/>
        </w:rPr>
        <w:tab/>
      </w:r>
      <w:proofErr w:type="gramStart"/>
      <w:r w:rsidRPr="00C71EF8">
        <w:rPr>
          <w:rFonts w:ascii="Arial" w:hAnsi="Arial" w:cs="Arial"/>
        </w:rPr>
        <w:t>whether</w:t>
      </w:r>
      <w:proofErr w:type="gramEnd"/>
      <w:r w:rsidRPr="00C71EF8">
        <w:rPr>
          <w:rFonts w:ascii="Arial" w:hAnsi="Arial" w:cs="Arial"/>
        </w:rPr>
        <w:t xml:space="preserve"> she has considered selling any of the unused vehicles at </w:t>
      </w:r>
      <w:proofErr w:type="spellStart"/>
      <w:r w:rsidRPr="00C71EF8">
        <w:rPr>
          <w:rFonts w:ascii="Arial" w:hAnsi="Arial" w:cs="Arial"/>
        </w:rPr>
        <w:t>Wallmansthal</w:t>
      </w:r>
      <w:proofErr w:type="spellEnd"/>
      <w:r w:rsidRPr="00C71EF8">
        <w:rPr>
          <w:rFonts w:ascii="Arial" w:hAnsi="Arial" w:cs="Arial"/>
        </w:rPr>
        <w:t xml:space="preserve"> military base, among others, for scrap metal; if so, what would the total monetary value be;</w:t>
      </w:r>
    </w:p>
    <w:p w:rsidR="00C71EF8" w:rsidRPr="00C71EF8" w:rsidRDefault="00C71EF8" w:rsidP="00C71EF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C71EF8">
        <w:rPr>
          <w:rFonts w:ascii="Arial" w:hAnsi="Arial" w:cs="Arial"/>
          <w:color w:val="000000"/>
        </w:rPr>
        <w:t>(5)</w:t>
      </w:r>
      <w:r w:rsidRPr="00C71EF8">
        <w:rPr>
          <w:rFonts w:ascii="Arial" w:hAnsi="Arial" w:cs="Arial"/>
          <w:color w:val="000000"/>
        </w:rPr>
        <w:tab/>
      </w:r>
      <w:proofErr w:type="gramStart"/>
      <w:r w:rsidRPr="00C71EF8">
        <w:rPr>
          <w:rFonts w:ascii="Arial" w:hAnsi="Arial" w:cs="Arial"/>
        </w:rPr>
        <w:t>what</w:t>
      </w:r>
      <w:proofErr w:type="gramEnd"/>
      <w:r w:rsidRPr="00C71EF8">
        <w:rPr>
          <w:rFonts w:ascii="Arial" w:hAnsi="Arial" w:cs="Arial"/>
        </w:rPr>
        <w:t xml:space="preserve"> is the (a) real productivity at </w:t>
      </w:r>
      <w:proofErr w:type="spellStart"/>
      <w:r w:rsidRPr="00C71EF8">
        <w:rPr>
          <w:rFonts w:ascii="Arial" w:hAnsi="Arial" w:cs="Arial"/>
        </w:rPr>
        <w:t>Wallmansthal</w:t>
      </w:r>
      <w:proofErr w:type="spellEnd"/>
      <w:r w:rsidRPr="00C71EF8">
        <w:rPr>
          <w:rFonts w:ascii="Arial" w:hAnsi="Arial" w:cs="Arial"/>
        </w:rPr>
        <w:t xml:space="preserve"> military base, seeing that electricity supply is extremely poor and blackouts occur regularly and (b) total cost of running generators at </w:t>
      </w:r>
      <w:proofErr w:type="spellStart"/>
      <w:r w:rsidRPr="00C71EF8">
        <w:rPr>
          <w:rFonts w:ascii="Arial" w:hAnsi="Arial" w:cs="Arial"/>
        </w:rPr>
        <w:t>Wallmansthal</w:t>
      </w:r>
      <w:proofErr w:type="spellEnd"/>
      <w:r w:rsidRPr="00C71EF8">
        <w:rPr>
          <w:rFonts w:ascii="Arial" w:hAnsi="Arial" w:cs="Arial"/>
        </w:rPr>
        <w:t xml:space="preserve"> with regular electricity blackouts?</w:t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</w:rPr>
        <w:tab/>
      </w:r>
      <w:r w:rsidRPr="00C71EF8">
        <w:rPr>
          <w:rFonts w:ascii="Arial" w:hAnsi="Arial" w:cs="Arial"/>
          <w:sz w:val="20"/>
          <w:szCs w:val="20"/>
        </w:rPr>
        <w:t>NW1236E</w:t>
      </w:r>
      <w:r w:rsidRPr="00C71EF8">
        <w:rPr>
          <w:rFonts w:ascii="Arial" w:hAnsi="Arial" w:cs="Arial"/>
        </w:rPr>
        <w:t xml:space="preserve"> </w:t>
      </w:r>
    </w:p>
    <w:p w:rsidR="00976093" w:rsidRDefault="00976093" w:rsidP="00976093">
      <w:p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976093" w:rsidRDefault="00976093" w:rsidP="00976093">
      <w:p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976093" w:rsidRDefault="00976093" w:rsidP="00976093">
      <w:p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976093" w:rsidRPr="00976093" w:rsidRDefault="00976093" w:rsidP="00976093">
      <w:pPr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976093">
        <w:rPr>
          <w:rFonts w:ascii="Arial" w:eastAsia="Calibri" w:hAnsi="Arial" w:cs="Arial"/>
          <w:b/>
          <w:sz w:val="22"/>
          <w:szCs w:val="22"/>
          <w:lang w:val="en-ZA"/>
        </w:rPr>
        <w:lastRenderedPageBreak/>
        <w:t>REPLY</w:t>
      </w:r>
      <w:r w:rsidRPr="00976093">
        <w:rPr>
          <w:rFonts w:ascii="Arial" w:eastAsia="Calibri" w:hAnsi="Arial" w:cs="Arial"/>
          <w:sz w:val="22"/>
          <w:szCs w:val="22"/>
          <w:lang w:val="en-ZA"/>
        </w:rPr>
        <w:t>:</w:t>
      </w:r>
    </w:p>
    <w:p w:rsidR="00976093" w:rsidRPr="00976093" w:rsidRDefault="00976093" w:rsidP="00976093">
      <w:pPr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976093" w:rsidRPr="00976093" w:rsidRDefault="00976093" w:rsidP="00976093">
      <w:pPr>
        <w:numPr>
          <w:ilvl w:val="0"/>
          <w:numId w:val="9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(a)</w:t>
      </w:r>
      <w:r w:rsidRPr="00976093">
        <w:rPr>
          <w:rFonts w:ascii="Arial" w:hAnsi="Arial" w:cs="Arial"/>
          <w:sz w:val="22"/>
          <w:szCs w:val="22"/>
        </w:rPr>
        <w:tab/>
        <w:t xml:space="preserve">The below figures indicate the payment according to the contract and administration </w:t>
      </w:r>
      <w:r w:rsidRPr="00976093">
        <w:rPr>
          <w:rFonts w:ascii="Arial" w:hAnsi="Arial" w:cs="Arial"/>
          <w:sz w:val="22"/>
          <w:szCs w:val="22"/>
        </w:rPr>
        <w:tab/>
        <w:t>per Financial Year</w:t>
      </w: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276"/>
        <w:gridCol w:w="1275"/>
        <w:gridCol w:w="814"/>
        <w:gridCol w:w="1224"/>
        <w:gridCol w:w="1224"/>
        <w:gridCol w:w="1224"/>
        <w:gridCol w:w="1073"/>
      </w:tblGrid>
      <w:tr w:rsidR="00976093" w:rsidRPr="00976093" w:rsidTr="00680EA5">
        <w:trPr>
          <w:trHeight w:val="492"/>
        </w:trPr>
        <w:tc>
          <w:tcPr>
            <w:tcW w:w="756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76093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1276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93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93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14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93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1224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9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24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93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24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93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073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93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976093" w:rsidRPr="00976093" w:rsidTr="00680EA5">
        <w:trPr>
          <w:trHeight w:val="255"/>
        </w:trPr>
        <w:tc>
          <w:tcPr>
            <w:tcW w:w="756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93">
              <w:rPr>
                <w:rFonts w:ascii="Arial" w:hAnsi="Arial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1276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93">
              <w:rPr>
                <w:rFonts w:ascii="Arial" w:hAnsi="Arial" w:cs="Arial"/>
                <w:sz w:val="22"/>
                <w:szCs w:val="22"/>
              </w:rPr>
              <w:t>6,125,800</w:t>
            </w:r>
          </w:p>
        </w:tc>
        <w:tc>
          <w:tcPr>
            <w:tcW w:w="1275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93">
              <w:rPr>
                <w:rFonts w:ascii="Arial" w:hAnsi="Arial" w:cs="Arial"/>
                <w:sz w:val="22"/>
                <w:szCs w:val="22"/>
              </w:rPr>
              <w:t>143,952,671</w:t>
            </w:r>
          </w:p>
        </w:tc>
        <w:tc>
          <w:tcPr>
            <w:tcW w:w="814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93">
              <w:rPr>
                <w:rFonts w:ascii="Arial" w:hAnsi="Arial" w:cs="Arial"/>
                <w:sz w:val="22"/>
                <w:szCs w:val="22"/>
              </w:rPr>
              <w:t>170,662,596</w:t>
            </w:r>
          </w:p>
        </w:tc>
        <w:tc>
          <w:tcPr>
            <w:tcW w:w="1224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93">
              <w:rPr>
                <w:rFonts w:ascii="Arial" w:hAnsi="Arial" w:cs="Arial"/>
                <w:sz w:val="22"/>
                <w:szCs w:val="22"/>
              </w:rPr>
              <w:t>274,393,655</w:t>
            </w:r>
          </w:p>
        </w:tc>
        <w:tc>
          <w:tcPr>
            <w:tcW w:w="1224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93">
              <w:rPr>
                <w:rFonts w:ascii="Arial" w:hAnsi="Arial" w:cs="Arial"/>
                <w:sz w:val="22"/>
                <w:szCs w:val="22"/>
              </w:rPr>
              <w:t>219,595,670</w:t>
            </w:r>
          </w:p>
        </w:tc>
        <w:tc>
          <w:tcPr>
            <w:tcW w:w="1224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93">
              <w:rPr>
                <w:rFonts w:ascii="Arial" w:hAnsi="Arial" w:cs="Arial"/>
                <w:sz w:val="22"/>
                <w:szCs w:val="22"/>
              </w:rPr>
              <w:t>252,386,010</w:t>
            </w:r>
          </w:p>
        </w:tc>
        <w:tc>
          <w:tcPr>
            <w:tcW w:w="1073" w:type="dxa"/>
            <w:shd w:val="clear" w:color="auto" w:fill="auto"/>
          </w:tcPr>
          <w:p w:rsidR="00976093" w:rsidRPr="00976093" w:rsidRDefault="00976093" w:rsidP="00FD1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93">
              <w:rPr>
                <w:rFonts w:ascii="Arial" w:hAnsi="Arial" w:cs="Arial"/>
                <w:sz w:val="22"/>
                <w:szCs w:val="22"/>
              </w:rPr>
              <w:t>9,,555,856</w:t>
            </w:r>
          </w:p>
        </w:tc>
      </w:tr>
    </w:tbl>
    <w:p w:rsidR="00976093" w:rsidRPr="00976093" w:rsidRDefault="00976093" w:rsidP="00976093">
      <w:pPr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ab/>
        <w:t>(b)</w:t>
      </w:r>
      <w:r w:rsidRPr="00976093">
        <w:rPr>
          <w:rFonts w:ascii="Arial" w:hAnsi="Arial" w:cs="Arial"/>
          <w:sz w:val="22"/>
          <w:szCs w:val="22"/>
        </w:rPr>
        <w:tab/>
        <w:t xml:space="preserve">The current amount spent over six years on VIP protectors for S &amp; T, accommodation and </w:t>
      </w:r>
      <w:r w:rsidRPr="00976093">
        <w:rPr>
          <w:rFonts w:ascii="Arial" w:hAnsi="Arial" w:cs="Arial"/>
          <w:sz w:val="22"/>
          <w:szCs w:val="22"/>
        </w:rPr>
        <w:tab/>
      </w:r>
      <w:r w:rsidRPr="00976093">
        <w:rPr>
          <w:rFonts w:ascii="Arial" w:hAnsi="Arial" w:cs="Arial"/>
          <w:sz w:val="22"/>
          <w:szCs w:val="22"/>
        </w:rPr>
        <w:tab/>
        <w:t>food is R 2, 683,239.46.</w:t>
      </w:r>
    </w:p>
    <w:p w:rsidR="00976093" w:rsidRPr="00976093" w:rsidRDefault="00976093" w:rsidP="00976093">
      <w:pPr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numPr>
          <w:ilvl w:val="0"/>
          <w:numId w:val="9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(a)</w:t>
      </w:r>
      <w:r w:rsidRPr="00976093">
        <w:rPr>
          <w:rFonts w:ascii="Arial" w:hAnsi="Arial" w:cs="Arial"/>
          <w:sz w:val="22"/>
          <w:szCs w:val="22"/>
        </w:rPr>
        <w:tab/>
        <w:t>A total number of sixty-seven (67) vehicles have been dismantled over the past five years.</w:t>
      </w: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(b)</w:t>
      </w:r>
      <w:r w:rsidRPr="00976093">
        <w:rPr>
          <w:rFonts w:ascii="Arial" w:hAnsi="Arial" w:cs="Arial"/>
          <w:sz w:val="22"/>
          <w:szCs w:val="22"/>
        </w:rPr>
        <w:tab/>
        <w:t>Eleven-thousand-six-hundred-and-twenty-three (11 623) vehicles have been repaired.</w:t>
      </w: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numPr>
          <w:ilvl w:val="0"/>
          <w:numId w:val="9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(a)</w:t>
      </w:r>
      <w:r w:rsidRPr="00976093">
        <w:rPr>
          <w:rFonts w:ascii="Arial" w:hAnsi="Arial" w:cs="Arial"/>
          <w:sz w:val="22"/>
          <w:szCs w:val="22"/>
        </w:rPr>
        <w:tab/>
        <w:t>This is a lengthy process and requires more time to effectively determine the value of the re-</w:t>
      </w:r>
      <w:r w:rsidRPr="00976093">
        <w:rPr>
          <w:rFonts w:ascii="Arial" w:hAnsi="Arial" w:cs="Arial"/>
          <w:sz w:val="22"/>
          <w:szCs w:val="22"/>
        </w:rPr>
        <w:tab/>
        <w:t xml:space="preserve">introduced spares. So far twelve-thousand-six-hundred-and-ninety-one (12 691) spare parts </w:t>
      </w:r>
      <w:r w:rsidRPr="00976093">
        <w:rPr>
          <w:rFonts w:ascii="Arial" w:hAnsi="Arial" w:cs="Arial"/>
          <w:sz w:val="22"/>
          <w:szCs w:val="22"/>
        </w:rPr>
        <w:tab/>
        <w:t xml:space="preserve">have been re-introduced into the vehicle maintenance system over the period of five years. </w:t>
      </w:r>
      <w:r w:rsidRPr="00976093">
        <w:rPr>
          <w:rFonts w:ascii="Arial" w:hAnsi="Arial" w:cs="Arial"/>
          <w:sz w:val="22"/>
          <w:szCs w:val="22"/>
        </w:rPr>
        <w:tab/>
        <w:t xml:space="preserve">Spare parts such as starter motors, alternators, brake boosters, differentials and engines are </w:t>
      </w:r>
      <w:r w:rsidRPr="00976093">
        <w:rPr>
          <w:rFonts w:ascii="Arial" w:hAnsi="Arial" w:cs="Arial"/>
          <w:sz w:val="22"/>
          <w:szCs w:val="22"/>
        </w:rPr>
        <w:tab/>
        <w:t xml:space="preserve">received and repaired, and then returned to the vehicles as part of the repair process. The </w:t>
      </w:r>
      <w:r w:rsidRPr="00976093">
        <w:rPr>
          <w:rFonts w:ascii="Arial" w:hAnsi="Arial" w:cs="Arial"/>
          <w:sz w:val="22"/>
          <w:szCs w:val="22"/>
        </w:rPr>
        <w:tab/>
        <w:t xml:space="preserve">spare parts from dismantled vehicles are also serviced and taken to the depot. The cost of </w:t>
      </w:r>
      <w:r w:rsidRPr="00976093">
        <w:rPr>
          <w:rFonts w:ascii="Arial" w:hAnsi="Arial" w:cs="Arial"/>
          <w:sz w:val="22"/>
          <w:szCs w:val="22"/>
        </w:rPr>
        <w:tab/>
        <w:t xml:space="preserve">the spare parts is not yet determined, as the internal capability within the South African </w:t>
      </w:r>
      <w:r w:rsidRPr="00976093">
        <w:rPr>
          <w:rFonts w:ascii="Arial" w:hAnsi="Arial" w:cs="Arial"/>
          <w:sz w:val="22"/>
          <w:szCs w:val="22"/>
        </w:rPr>
        <w:tab/>
        <w:t>National Defence Force (SANDF) is utilised.</w:t>
      </w: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(</w:t>
      </w:r>
      <w:proofErr w:type="gramStart"/>
      <w:r w:rsidRPr="00976093">
        <w:rPr>
          <w:rFonts w:ascii="Arial" w:hAnsi="Arial" w:cs="Arial"/>
          <w:sz w:val="22"/>
          <w:szCs w:val="22"/>
        </w:rPr>
        <w:t>b</w:t>
      </w:r>
      <w:proofErr w:type="gramEnd"/>
      <w:r w:rsidRPr="00976093">
        <w:rPr>
          <w:rFonts w:ascii="Arial" w:hAnsi="Arial" w:cs="Arial"/>
          <w:sz w:val="22"/>
          <w:szCs w:val="22"/>
        </w:rPr>
        <w:t>)</w:t>
      </w:r>
      <w:r w:rsidRPr="00976093">
        <w:rPr>
          <w:rFonts w:ascii="Arial" w:hAnsi="Arial" w:cs="Arial"/>
          <w:sz w:val="22"/>
          <w:szCs w:val="22"/>
        </w:rPr>
        <w:tab/>
        <w:t>(</w:t>
      </w:r>
      <w:proofErr w:type="spellStart"/>
      <w:r w:rsidRPr="00976093">
        <w:rPr>
          <w:rFonts w:ascii="Arial" w:hAnsi="Arial" w:cs="Arial"/>
          <w:sz w:val="22"/>
          <w:szCs w:val="22"/>
        </w:rPr>
        <w:t>i</w:t>
      </w:r>
      <w:proofErr w:type="spellEnd"/>
      <w:r w:rsidRPr="00976093">
        <w:rPr>
          <w:rFonts w:ascii="Arial" w:hAnsi="Arial" w:cs="Arial"/>
          <w:sz w:val="22"/>
          <w:szCs w:val="22"/>
        </w:rPr>
        <w:t xml:space="preserve">) and (ii) The spare parts are supplied to the under-mentioned entities for their repair and </w:t>
      </w:r>
      <w:r w:rsidRPr="00976093">
        <w:rPr>
          <w:rFonts w:ascii="Arial" w:hAnsi="Arial" w:cs="Arial"/>
          <w:sz w:val="22"/>
          <w:szCs w:val="22"/>
        </w:rPr>
        <w:tab/>
        <w:t>return to the vehicles:</w:t>
      </w: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DOD Mobilisation Centre, Bloemfontein.</w:t>
      </w:r>
    </w:p>
    <w:p w:rsidR="00976093" w:rsidRPr="00976093" w:rsidRDefault="00976093" w:rsidP="0097609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Regional Workshop Gauteng.</w:t>
      </w:r>
    </w:p>
    <w:p w:rsidR="00976093" w:rsidRPr="00976093" w:rsidRDefault="00976093" w:rsidP="0097609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 xml:space="preserve">102 Field Workshop, </w:t>
      </w:r>
      <w:proofErr w:type="spellStart"/>
      <w:r w:rsidRPr="00976093">
        <w:rPr>
          <w:rFonts w:ascii="Arial" w:hAnsi="Arial" w:cs="Arial"/>
          <w:sz w:val="22"/>
          <w:szCs w:val="22"/>
        </w:rPr>
        <w:t>Potchfestroom</w:t>
      </w:r>
      <w:proofErr w:type="spellEnd"/>
      <w:r w:rsidRPr="00976093">
        <w:rPr>
          <w:rFonts w:ascii="Arial" w:hAnsi="Arial" w:cs="Arial"/>
          <w:sz w:val="22"/>
          <w:szCs w:val="22"/>
        </w:rPr>
        <w:t>.</w:t>
      </w:r>
    </w:p>
    <w:p w:rsidR="00976093" w:rsidRPr="00976093" w:rsidRDefault="00976093" w:rsidP="0097609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 xml:space="preserve">101 Field Workshop, </w:t>
      </w:r>
      <w:proofErr w:type="spellStart"/>
      <w:r w:rsidRPr="00976093">
        <w:rPr>
          <w:rFonts w:ascii="Arial" w:hAnsi="Arial" w:cs="Arial"/>
          <w:sz w:val="22"/>
          <w:szCs w:val="22"/>
        </w:rPr>
        <w:t>Postmasburg</w:t>
      </w:r>
      <w:proofErr w:type="spellEnd"/>
      <w:r w:rsidRPr="00976093">
        <w:rPr>
          <w:rFonts w:ascii="Arial" w:hAnsi="Arial" w:cs="Arial"/>
          <w:sz w:val="22"/>
          <w:szCs w:val="22"/>
        </w:rPr>
        <w:t>.</w:t>
      </w:r>
    </w:p>
    <w:p w:rsidR="00976093" w:rsidRPr="00976093" w:rsidRDefault="00976093" w:rsidP="0097609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35 Engineering Support Regiment, Springs.</w:t>
      </w:r>
    </w:p>
    <w:p w:rsidR="00976093" w:rsidRPr="00976093" w:rsidRDefault="00976093" w:rsidP="0097609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Army Support Base, Kimberly.</w:t>
      </w:r>
    </w:p>
    <w:p w:rsidR="00976093" w:rsidRPr="00976093" w:rsidRDefault="00976093" w:rsidP="0097609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Army Support Base, Cape Town.</w:t>
      </w:r>
    </w:p>
    <w:p w:rsidR="00976093" w:rsidRPr="00976093" w:rsidRDefault="00976093" w:rsidP="0097609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Air Defence Artillery School, Ermelo.</w:t>
      </w:r>
    </w:p>
    <w:p w:rsidR="00976093" w:rsidRPr="00976093" w:rsidRDefault="00976093" w:rsidP="00976093">
      <w:pPr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(c)</w:t>
      </w:r>
      <w:r w:rsidRPr="00976093">
        <w:rPr>
          <w:rFonts w:ascii="Arial" w:hAnsi="Arial" w:cs="Arial"/>
          <w:sz w:val="22"/>
          <w:szCs w:val="22"/>
        </w:rPr>
        <w:tab/>
        <w:t xml:space="preserve">The cost of the spare parts repair process has not been determined, as the internal </w:t>
      </w:r>
      <w:r w:rsidRPr="00976093">
        <w:rPr>
          <w:rFonts w:ascii="Arial" w:hAnsi="Arial" w:cs="Arial"/>
          <w:sz w:val="22"/>
          <w:szCs w:val="22"/>
        </w:rPr>
        <w:tab/>
        <w:t xml:space="preserve">capability within the SANDF is utilised to verify in the system the value of the parts when </w:t>
      </w:r>
      <w:r w:rsidRPr="00976093">
        <w:rPr>
          <w:rFonts w:ascii="Arial" w:hAnsi="Arial" w:cs="Arial"/>
          <w:sz w:val="22"/>
          <w:szCs w:val="22"/>
        </w:rPr>
        <w:tab/>
        <w:t>they are procured, and the current status of the re-introduced parts.</w:t>
      </w:r>
    </w:p>
    <w:p w:rsidR="00976093" w:rsidRPr="00976093" w:rsidRDefault="00976093" w:rsidP="00976093">
      <w:pPr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 xml:space="preserve">No military vehicle has been sold as scrap metal, as the approval for this process to proceed must </w:t>
      </w:r>
      <w:r w:rsidRPr="00976093">
        <w:rPr>
          <w:rFonts w:ascii="Arial" w:hAnsi="Arial" w:cs="Arial"/>
          <w:sz w:val="22"/>
          <w:szCs w:val="22"/>
        </w:rPr>
        <w:tab/>
        <w:t>first be finalised.</w:t>
      </w:r>
    </w:p>
    <w:p w:rsidR="00976093" w:rsidRPr="00976093" w:rsidRDefault="00976093" w:rsidP="00976093">
      <w:pPr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(a)</w:t>
      </w:r>
      <w:r w:rsidRPr="00976093">
        <w:rPr>
          <w:rFonts w:ascii="Arial" w:hAnsi="Arial" w:cs="Arial"/>
          <w:sz w:val="22"/>
          <w:szCs w:val="22"/>
        </w:rPr>
        <w:tab/>
      </w:r>
      <w:proofErr w:type="spellStart"/>
      <w:r w:rsidRPr="00976093">
        <w:rPr>
          <w:rFonts w:ascii="Arial" w:hAnsi="Arial" w:cs="Arial"/>
          <w:sz w:val="22"/>
          <w:szCs w:val="22"/>
        </w:rPr>
        <w:t>Wahlmansthal</w:t>
      </w:r>
      <w:proofErr w:type="spellEnd"/>
      <w:r w:rsidRPr="00976093">
        <w:rPr>
          <w:rFonts w:ascii="Arial" w:hAnsi="Arial" w:cs="Arial"/>
          <w:sz w:val="22"/>
          <w:szCs w:val="22"/>
        </w:rPr>
        <w:t xml:space="preserve"> is continuing with maintenance and repairs in their area. Tasks also include </w:t>
      </w:r>
      <w:r w:rsidRPr="00976093">
        <w:rPr>
          <w:rFonts w:ascii="Arial" w:hAnsi="Arial" w:cs="Arial"/>
          <w:sz w:val="22"/>
          <w:szCs w:val="22"/>
        </w:rPr>
        <w:tab/>
      </w:r>
      <w:r w:rsidRPr="00976093">
        <w:rPr>
          <w:rFonts w:ascii="Arial" w:hAnsi="Arial" w:cs="Arial"/>
          <w:sz w:val="22"/>
          <w:szCs w:val="22"/>
        </w:rPr>
        <w:tab/>
        <w:t xml:space="preserve">the preservation of vehicles. A total of one-hundred-and ninety (190) vehicles have been </w:t>
      </w:r>
      <w:r w:rsidRPr="00976093">
        <w:rPr>
          <w:rFonts w:ascii="Arial" w:hAnsi="Arial" w:cs="Arial"/>
          <w:sz w:val="22"/>
          <w:szCs w:val="22"/>
        </w:rPr>
        <w:tab/>
      </w:r>
      <w:r w:rsidRPr="00976093">
        <w:rPr>
          <w:rFonts w:ascii="Arial" w:hAnsi="Arial" w:cs="Arial"/>
          <w:sz w:val="22"/>
          <w:szCs w:val="22"/>
        </w:rPr>
        <w:tab/>
        <w:t xml:space="preserve">preserved at </w:t>
      </w:r>
      <w:proofErr w:type="spellStart"/>
      <w:r w:rsidRPr="00976093">
        <w:rPr>
          <w:rFonts w:ascii="Arial" w:hAnsi="Arial" w:cs="Arial"/>
          <w:sz w:val="22"/>
          <w:szCs w:val="22"/>
        </w:rPr>
        <w:t>Wahlmansthal</w:t>
      </w:r>
      <w:proofErr w:type="spellEnd"/>
      <w:r w:rsidRPr="00976093">
        <w:rPr>
          <w:rFonts w:ascii="Arial" w:hAnsi="Arial" w:cs="Arial"/>
          <w:sz w:val="22"/>
          <w:szCs w:val="22"/>
        </w:rPr>
        <w:t>. The members also dismantled fifteen (15) vehicles.</w:t>
      </w:r>
    </w:p>
    <w:p w:rsidR="00976093" w:rsidRPr="00976093" w:rsidRDefault="00976093" w:rsidP="0097609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  <w:r w:rsidRPr="00976093">
        <w:rPr>
          <w:rFonts w:ascii="Arial" w:hAnsi="Arial" w:cs="Arial"/>
          <w:sz w:val="22"/>
          <w:szCs w:val="22"/>
        </w:rPr>
        <w:t>(b)</w:t>
      </w:r>
      <w:r w:rsidRPr="00976093">
        <w:rPr>
          <w:rFonts w:ascii="Arial" w:hAnsi="Arial" w:cs="Arial"/>
          <w:sz w:val="22"/>
          <w:szCs w:val="22"/>
        </w:rPr>
        <w:tab/>
        <w:t xml:space="preserve">When there are severe electricity blackouts, a total amount of 4 450 litres of diesel is </w:t>
      </w:r>
      <w:r w:rsidRPr="00976093">
        <w:rPr>
          <w:rFonts w:ascii="Arial" w:hAnsi="Arial" w:cs="Arial"/>
          <w:sz w:val="22"/>
          <w:szCs w:val="22"/>
        </w:rPr>
        <w:tab/>
        <w:t xml:space="preserve">consumed weekly due to the electricity blackouts at a cost of R8 455.00. The monthly </w:t>
      </w:r>
      <w:r w:rsidRPr="00976093">
        <w:rPr>
          <w:rFonts w:ascii="Arial" w:hAnsi="Arial" w:cs="Arial"/>
          <w:sz w:val="22"/>
          <w:szCs w:val="22"/>
        </w:rPr>
        <w:tab/>
        <w:t xml:space="preserve">consumption is R33 820. 00. The Department of Defence is engaging ESKOM to upgrade </w:t>
      </w:r>
      <w:r w:rsidRPr="00976093">
        <w:rPr>
          <w:rFonts w:ascii="Arial" w:hAnsi="Arial" w:cs="Arial"/>
          <w:sz w:val="22"/>
          <w:szCs w:val="22"/>
        </w:rPr>
        <w:tab/>
        <w:t xml:space="preserve">the power supply. ESKOM has commenced with the feasibility study to determine the scope </w:t>
      </w:r>
      <w:r w:rsidRPr="00976093">
        <w:rPr>
          <w:rFonts w:ascii="Arial" w:hAnsi="Arial" w:cs="Arial"/>
          <w:sz w:val="22"/>
          <w:szCs w:val="22"/>
        </w:rPr>
        <w:tab/>
        <w:t>of work and costs for the upgrades.</w:t>
      </w:r>
    </w:p>
    <w:p w:rsidR="00976093" w:rsidRPr="00976093" w:rsidRDefault="00976093" w:rsidP="0097609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6406C" w:rsidRPr="00976093" w:rsidRDefault="0046406C" w:rsidP="00C71EF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</w:p>
    <w:sectPr w:rsidR="0046406C" w:rsidRPr="00976093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30" w:rsidRDefault="009F7030">
      <w:r>
        <w:separator/>
      </w:r>
    </w:p>
  </w:endnote>
  <w:endnote w:type="continuationSeparator" w:id="0">
    <w:p w:rsidR="009F7030" w:rsidRDefault="009F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CB05AC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4246F4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30" w:rsidRDefault="009F7030">
      <w:r>
        <w:separator/>
      </w:r>
    </w:p>
  </w:footnote>
  <w:footnote w:type="continuationSeparator" w:id="0">
    <w:p w:rsidR="009F7030" w:rsidRDefault="009F7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6A82"/>
    <w:multiLevelType w:val="hybridMultilevel"/>
    <w:tmpl w:val="D9AC2F16"/>
    <w:lvl w:ilvl="0" w:tplc="8FAC4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2479F"/>
    <w:multiLevelType w:val="hybridMultilevel"/>
    <w:tmpl w:val="904C494C"/>
    <w:lvl w:ilvl="0" w:tplc="EF5E8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41CCB"/>
    <w:multiLevelType w:val="hybridMultilevel"/>
    <w:tmpl w:val="FA52B900"/>
    <w:lvl w:ilvl="0" w:tplc="FE56A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434"/>
    <w:rsid w:val="00016846"/>
    <w:rsid w:val="00016BB6"/>
    <w:rsid w:val="000335DC"/>
    <w:rsid w:val="00036920"/>
    <w:rsid w:val="00054F7E"/>
    <w:rsid w:val="0006245B"/>
    <w:rsid w:val="000822A5"/>
    <w:rsid w:val="00093197"/>
    <w:rsid w:val="000A47FB"/>
    <w:rsid w:val="000A5057"/>
    <w:rsid w:val="000B1A81"/>
    <w:rsid w:val="000B5C14"/>
    <w:rsid w:val="000E6048"/>
    <w:rsid w:val="000F4051"/>
    <w:rsid w:val="000F425C"/>
    <w:rsid w:val="000F6AF3"/>
    <w:rsid w:val="001020F5"/>
    <w:rsid w:val="001249B8"/>
    <w:rsid w:val="00126531"/>
    <w:rsid w:val="00127DC8"/>
    <w:rsid w:val="00144D05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D23C7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A7181"/>
    <w:rsid w:val="002B20CE"/>
    <w:rsid w:val="002B5CB9"/>
    <w:rsid w:val="002B6251"/>
    <w:rsid w:val="002C5B2D"/>
    <w:rsid w:val="002C7C54"/>
    <w:rsid w:val="002D13B1"/>
    <w:rsid w:val="002D1D8C"/>
    <w:rsid w:val="002D3566"/>
    <w:rsid w:val="002D62AC"/>
    <w:rsid w:val="002E52EC"/>
    <w:rsid w:val="002F1674"/>
    <w:rsid w:val="002F62AD"/>
    <w:rsid w:val="00304EE5"/>
    <w:rsid w:val="00305010"/>
    <w:rsid w:val="00305047"/>
    <w:rsid w:val="00306F04"/>
    <w:rsid w:val="00325B4E"/>
    <w:rsid w:val="003308E8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246F4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A41C7"/>
    <w:rsid w:val="004C27E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137F"/>
    <w:rsid w:val="005A5BA0"/>
    <w:rsid w:val="005B48F9"/>
    <w:rsid w:val="005B7951"/>
    <w:rsid w:val="005C04D8"/>
    <w:rsid w:val="005C4D85"/>
    <w:rsid w:val="00605E36"/>
    <w:rsid w:val="00607BDA"/>
    <w:rsid w:val="006126B4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0EA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30B7"/>
    <w:rsid w:val="00704DB3"/>
    <w:rsid w:val="00711BAF"/>
    <w:rsid w:val="00725DE4"/>
    <w:rsid w:val="00730EAD"/>
    <w:rsid w:val="007402A0"/>
    <w:rsid w:val="007429DF"/>
    <w:rsid w:val="007524C8"/>
    <w:rsid w:val="007607F1"/>
    <w:rsid w:val="00771699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7F6947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76093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9F7030"/>
    <w:rsid w:val="00A00443"/>
    <w:rsid w:val="00A01E1A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1F7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A0337"/>
    <w:rsid w:val="00BA5504"/>
    <w:rsid w:val="00BB2EDE"/>
    <w:rsid w:val="00BB50D2"/>
    <w:rsid w:val="00BB724D"/>
    <w:rsid w:val="00BB7CAA"/>
    <w:rsid w:val="00BC2A60"/>
    <w:rsid w:val="00BC5A69"/>
    <w:rsid w:val="00BD2BA9"/>
    <w:rsid w:val="00BF19BC"/>
    <w:rsid w:val="00BF4CAC"/>
    <w:rsid w:val="00C0190F"/>
    <w:rsid w:val="00C05042"/>
    <w:rsid w:val="00C16628"/>
    <w:rsid w:val="00C2449B"/>
    <w:rsid w:val="00C24655"/>
    <w:rsid w:val="00C4626F"/>
    <w:rsid w:val="00C550F3"/>
    <w:rsid w:val="00C55F77"/>
    <w:rsid w:val="00C567EF"/>
    <w:rsid w:val="00C60DD3"/>
    <w:rsid w:val="00C71EF8"/>
    <w:rsid w:val="00C743D0"/>
    <w:rsid w:val="00C93E5C"/>
    <w:rsid w:val="00CA636C"/>
    <w:rsid w:val="00CB05AC"/>
    <w:rsid w:val="00CB4756"/>
    <w:rsid w:val="00CD3815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8D3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E63A8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A24B9"/>
    <w:rsid w:val="00EB40BE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5F7E"/>
    <w:rsid w:val="00F36FB7"/>
    <w:rsid w:val="00F51779"/>
    <w:rsid w:val="00F6059C"/>
    <w:rsid w:val="00F73C5F"/>
    <w:rsid w:val="00F7759F"/>
    <w:rsid w:val="00F814F6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B184-91D8-406E-929E-190C7781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2021-07-09T11:27:00Z</dcterms:created>
  <dcterms:modified xsi:type="dcterms:W3CDTF">2021-07-09T11:27:00Z</dcterms:modified>
</cp:coreProperties>
</file>