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02BB" w14:textId="77777777" w:rsidR="001E5796" w:rsidRPr="004722F6" w:rsidRDefault="001E5796" w:rsidP="001E5796">
      <w:pPr>
        <w:rPr>
          <w:rFonts w:ascii="Arial" w:hAnsi="Arial" w:cs="Arial"/>
        </w:rPr>
      </w:pPr>
    </w:p>
    <w:p w14:paraId="69BFAE9A" w14:textId="77777777" w:rsidR="001E5796" w:rsidRDefault="00832360" w:rsidP="001E5796">
      <w:r>
        <w:rPr>
          <w:noProof/>
        </w:rPr>
        <w:object w:dxaOrig="1440" w:dyaOrig="1440" w14:anchorId="6EB5C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8095901" r:id="rId9"/>
        </w:object>
      </w:r>
    </w:p>
    <w:p w14:paraId="799A2EA5" w14:textId="77777777"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2AFC74F1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321F04EA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6B0C43CC" w14:textId="77777777"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5091CB31" w14:textId="77777777"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14:paraId="042CE7CD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DECDA" wp14:editId="35C44FDF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49C56483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34ADC28B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090D16E1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56337B0C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100455E0" w14:textId="77777777"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EE56" wp14:editId="6E1C284A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115F360A" w14:textId="77777777"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14:paraId="0CA8D1F0" w14:textId="77777777" w:rsidR="006B5FA5" w:rsidRPr="006B5FA5" w:rsidRDefault="006B5FA5" w:rsidP="006B5FA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color w:val="000000"/>
        </w:rPr>
      </w:pPr>
      <w:r w:rsidRPr="006B5FA5">
        <w:rPr>
          <w:rFonts w:ascii="Arial" w:hAnsi="Arial" w:cs="Arial"/>
          <w:b/>
          <w:lang w:val="en-US"/>
        </w:rPr>
        <w:t>1045</w:t>
      </w:r>
      <w:r w:rsidRPr="006B5FA5">
        <w:rPr>
          <w:rFonts w:ascii="Arial" w:hAnsi="Arial" w:cs="Arial"/>
          <w:noProof/>
        </w:rPr>
        <w:t>.</w:t>
      </w:r>
      <w:r w:rsidRPr="006B5FA5">
        <w:rPr>
          <w:rFonts w:ascii="Arial" w:hAnsi="Arial" w:cs="Arial"/>
          <w:noProof/>
        </w:rPr>
        <w:tab/>
      </w:r>
      <w:r w:rsidRPr="006B5FA5">
        <w:rPr>
          <w:rFonts w:ascii="Arial" w:hAnsi="Arial" w:cs="Arial"/>
          <w:b/>
          <w:color w:val="000000"/>
        </w:rPr>
        <w:t xml:space="preserve">Mr S J F Marais (DA) to ask the </w:t>
      </w:r>
      <w:r w:rsidRPr="006B5FA5">
        <w:rPr>
          <w:rFonts w:ascii="Arial" w:hAnsi="Arial" w:cs="Arial"/>
          <w:b/>
          <w:lang w:val="en-US"/>
        </w:rPr>
        <w:t>Minister</w:t>
      </w:r>
      <w:r w:rsidRPr="006B5FA5">
        <w:rPr>
          <w:rFonts w:ascii="Arial" w:hAnsi="Arial" w:cs="Arial"/>
          <w:b/>
          <w:color w:val="000000"/>
        </w:rPr>
        <w:t xml:space="preserve"> of Defence and Military Veterans:</w:t>
      </w:r>
    </w:p>
    <w:p w14:paraId="438A8F6C" w14:textId="77777777" w:rsidR="006B5FA5" w:rsidRPr="006B5FA5" w:rsidRDefault="006B5FA5" w:rsidP="006B5FA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proofErr w:type="gramStart"/>
      <w:r w:rsidRPr="006B5FA5">
        <w:rPr>
          <w:rFonts w:ascii="Arial" w:hAnsi="Arial" w:cs="Arial"/>
        </w:rPr>
        <w:t>(1)</w:t>
      </w:r>
      <w:r w:rsidRPr="006B5FA5">
        <w:rPr>
          <w:rFonts w:ascii="Arial" w:hAnsi="Arial" w:cs="Arial"/>
        </w:rPr>
        <w:tab/>
        <w:t xml:space="preserve">What was the total (a) amount spent by </w:t>
      </w:r>
      <w:proofErr w:type="spellStart"/>
      <w:r w:rsidRPr="006B5FA5">
        <w:rPr>
          <w:rFonts w:ascii="Arial" w:hAnsi="Arial" w:cs="Arial"/>
        </w:rPr>
        <w:t>Armscor</w:t>
      </w:r>
      <w:proofErr w:type="spellEnd"/>
      <w:r w:rsidRPr="006B5FA5">
        <w:rPr>
          <w:rFonts w:ascii="Arial" w:hAnsi="Arial" w:cs="Arial"/>
        </w:rPr>
        <w:t xml:space="preserve"> on legal costs in the past five financial years, (b) amount of (</w:t>
      </w:r>
      <w:proofErr w:type="spellStart"/>
      <w:r w:rsidRPr="006B5FA5">
        <w:rPr>
          <w:rFonts w:ascii="Arial" w:hAnsi="Arial" w:cs="Arial"/>
        </w:rPr>
        <w:t>i</w:t>
      </w:r>
      <w:proofErr w:type="spellEnd"/>
      <w:r w:rsidRPr="006B5FA5">
        <w:rPr>
          <w:rFonts w:ascii="Arial" w:hAnsi="Arial" w:cs="Arial"/>
        </w:rPr>
        <w:t xml:space="preserve">) external legal costs and (ii) human resource related cases such as unfair dismissals and (c) number of cases that </w:t>
      </w:r>
      <w:proofErr w:type="spellStart"/>
      <w:r w:rsidRPr="006B5FA5">
        <w:rPr>
          <w:rFonts w:ascii="Arial" w:hAnsi="Arial" w:cs="Arial"/>
        </w:rPr>
        <w:t>Armscor</w:t>
      </w:r>
      <w:proofErr w:type="spellEnd"/>
      <w:r w:rsidRPr="006B5FA5">
        <w:rPr>
          <w:rFonts w:ascii="Arial" w:hAnsi="Arial" w:cs="Arial"/>
        </w:rPr>
        <w:t xml:space="preserve"> (</w:t>
      </w:r>
      <w:proofErr w:type="spellStart"/>
      <w:r w:rsidRPr="006B5FA5">
        <w:rPr>
          <w:rFonts w:ascii="Arial" w:hAnsi="Arial" w:cs="Arial"/>
        </w:rPr>
        <w:t>i</w:t>
      </w:r>
      <w:proofErr w:type="spellEnd"/>
      <w:r w:rsidRPr="006B5FA5">
        <w:rPr>
          <w:rFonts w:ascii="Arial" w:hAnsi="Arial" w:cs="Arial"/>
        </w:rPr>
        <w:t xml:space="preserve">) won, (ii) was the default victor due to staff members not being able to fund the cases against </w:t>
      </w:r>
      <w:proofErr w:type="spellStart"/>
      <w:r w:rsidRPr="006B5FA5">
        <w:rPr>
          <w:rFonts w:ascii="Arial" w:hAnsi="Arial" w:cs="Arial"/>
        </w:rPr>
        <w:t>Armscor</w:t>
      </w:r>
      <w:proofErr w:type="spellEnd"/>
      <w:r w:rsidRPr="006B5FA5">
        <w:rPr>
          <w:rFonts w:ascii="Arial" w:hAnsi="Arial" w:cs="Arial"/>
        </w:rPr>
        <w:t>;</w:t>
      </w:r>
      <w:proofErr w:type="gramEnd"/>
    </w:p>
    <w:p w14:paraId="35ACF4A8" w14:textId="77777777" w:rsidR="006B5FA5" w:rsidRPr="006B5FA5" w:rsidRDefault="006B5FA5" w:rsidP="006B5FA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6B5FA5">
        <w:rPr>
          <w:rFonts w:ascii="Arial" w:hAnsi="Arial" w:cs="Arial"/>
        </w:rPr>
        <w:t>(2)</w:t>
      </w:r>
      <w:r w:rsidRPr="006B5FA5">
        <w:rPr>
          <w:rFonts w:ascii="Arial" w:hAnsi="Arial" w:cs="Arial"/>
        </w:rPr>
        <w:tab/>
        <w:t>(</w:t>
      </w:r>
      <w:proofErr w:type="gramStart"/>
      <w:r w:rsidRPr="006B5FA5">
        <w:rPr>
          <w:rFonts w:ascii="Arial" w:hAnsi="Arial" w:cs="Arial"/>
        </w:rPr>
        <w:t>a</w:t>
      </w:r>
      <w:proofErr w:type="gramEnd"/>
      <w:r w:rsidRPr="006B5FA5">
        <w:rPr>
          <w:rFonts w:ascii="Arial" w:hAnsi="Arial" w:cs="Arial"/>
        </w:rPr>
        <w:t>) what is the name of each procured item that is still with the service provider and/or subcontractor and (b) what is the total rand value of each procured item for the past three years;</w:t>
      </w:r>
    </w:p>
    <w:p w14:paraId="4732A361" w14:textId="77777777" w:rsidR="006B5FA5" w:rsidRPr="006B5FA5" w:rsidRDefault="006B5FA5" w:rsidP="006B5FA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6B5FA5">
        <w:rPr>
          <w:rFonts w:ascii="Arial" w:hAnsi="Arial" w:cs="Arial"/>
        </w:rPr>
        <w:t>(3)</w:t>
      </w:r>
      <w:r w:rsidRPr="006B5FA5">
        <w:rPr>
          <w:rFonts w:ascii="Arial" w:hAnsi="Arial" w:cs="Arial"/>
        </w:rPr>
        <w:tab/>
      </w:r>
      <w:proofErr w:type="gramStart"/>
      <w:r w:rsidRPr="006B5FA5">
        <w:rPr>
          <w:rFonts w:ascii="Arial" w:hAnsi="Arial" w:cs="Arial"/>
        </w:rPr>
        <w:t>whether</w:t>
      </w:r>
      <w:proofErr w:type="gramEnd"/>
      <w:r w:rsidRPr="006B5FA5">
        <w:rPr>
          <w:rFonts w:ascii="Arial" w:hAnsi="Arial" w:cs="Arial"/>
        </w:rPr>
        <w:t xml:space="preserve"> </w:t>
      </w:r>
      <w:proofErr w:type="spellStart"/>
      <w:r w:rsidRPr="006B5FA5">
        <w:rPr>
          <w:rFonts w:ascii="Arial" w:hAnsi="Arial" w:cs="Arial"/>
        </w:rPr>
        <w:t>Armscor</w:t>
      </w:r>
      <w:proofErr w:type="spellEnd"/>
      <w:r w:rsidRPr="006B5FA5">
        <w:rPr>
          <w:rFonts w:ascii="Arial" w:hAnsi="Arial" w:cs="Arial"/>
        </w:rPr>
        <w:t xml:space="preserve"> can account for each rand spent (a) from the Special Defence Account and (b) on the assets procured in the past 3 financial years;</w:t>
      </w:r>
    </w:p>
    <w:p w14:paraId="7CB28B9D" w14:textId="5382B4D8" w:rsidR="006B5FA5" w:rsidRPr="006B5FA5" w:rsidRDefault="006B5FA5" w:rsidP="006B5FA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</w:rPr>
      </w:pPr>
      <w:r w:rsidRPr="006B5FA5">
        <w:rPr>
          <w:rFonts w:ascii="Arial" w:hAnsi="Arial" w:cs="Arial"/>
        </w:rPr>
        <w:t>(4)</w:t>
      </w:r>
      <w:r w:rsidRPr="006B5FA5">
        <w:rPr>
          <w:rFonts w:ascii="Arial" w:hAnsi="Arial" w:cs="Arial"/>
        </w:rPr>
        <w:tab/>
        <w:t>whether all unaccounted assets plus their value have been reported to the Auditor-General (AG) and included in the Annual Financial Statement and AG reports?</w:t>
      </w:r>
      <w:bookmarkStart w:id="0" w:name="_GoBack"/>
      <w:bookmarkEnd w:id="0"/>
      <w:r w:rsidRPr="006B5FA5">
        <w:rPr>
          <w:rFonts w:ascii="Arial" w:hAnsi="Arial" w:cs="Arial"/>
          <w:color w:val="000000"/>
        </w:rPr>
        <w:tab/>
      </w:r>
      <w:r w:rsidRPr="006B5FA5">
        <w:rPr>
          <w:rFonts w:ascii="Arial" w:hAnsi="Arial" w:cs="Arial"/>
          <w:color w:val="000000"/>
        </w:rPr>
        <w:tab/>
      </w:r>
      <w:r w:rsidRPr="006B5FA5">
        <w:rPr>
          <w:rFonts w:ascii="Arial" w:hAnsi="Arial" w:cs="Arial"/>
          <w:color w:val="000000"/>
        </w:rPr>
        <w:tab/>
      </w:r>
      <w:r w:rsidRPr="006B5FA5">
        <w:rPr>
          <w:rFonts w:ascii="Arial" w:hAnsi="Arial" w:cs="Arial"/>
        </w:rPr>
        <w:t>NW1052E</w:t>
      </w:r>
    </w:p>
    <w:p w14:paraId="68A2FBE5" w14:textId="77777777" w:rsidR="008B6A22" w:rsidRDefault="008B6A22" w:rsidP="008B6A2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en-ZA" w:eastAsia="en-ZA"/>
        </w:rPr>
      </w:pPr>
      <w:r>
        <w:rPr>
          <w:rFonts w:ascii="Arial" w:hAnsi="Arial" w:cs="Arial"/>
          <w:b/>
          <w:color w:val="000000"/>
          <w:sz w:val="22"/>
          <w:szCs w:val="22"/>
          <w:lang w:val="en-ZA" w:eastAsia="en-ZA"/>
        </w:rPr>
        <w:t>RESPONSE</w:t>
      </w:r>
    </w:p>
    <w:p w14:paraId="4FA675C1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During the past five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Armscor</w:t>
      </w:r>
      <w:proofErr w:type="spellEnd"/>
      <w:r>
        <w:rPr>
          <w:rFonts w:ascii="Arial" w:hAnsi="Arial" w:cs="Arial"/>
        </w:rPr>
        <w:t xml:space="preserve"> was involved in the following litigation:</w:t>
      </w:r>
    </w:p>
    <w:p w14:paraId="400046BA" w14:textId="77777777" w:rsidR="008B6A22" w:rsidRDefault="008B6A22" w:rsidP="008B6A22">
      <w:pPr>
        <w:numPr>
          <w:ilvl w:val="0"/>
          <w:numId w:val="4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Beverly Securities v </w:t>
      </w:r>
      <w:proofErr w:type="spellStart"/>
      <w:r>
        <w:rPr>
          <w:rFonts w:ascii="Arial" w:hAnsi="Arial" w:cs="Arial"/>
        </w:rPr>
        <w:t>Armscor</w:t>
      </w:r>
      <w:proofErr w:type="spellEnd"/>
      <w:r>
        <w:rPr>
          <w:rFonts w:ascii="Arial" w:hAnsi="Arial" w:cs="Arial"/>
        </w:rPr>
        <w:t xml:space="preserve">          </w:t>
      </w:r>
    </w:p>
    <w:p w14:paraId="65A630B3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total amount in respect of legal costs from 1 April 2013 is R9 305 677 which represents the costs of external legal representatives, </w:t>
      </w:r>
      <w:proofErr w:type="spellStart"/>
      <w:r>
        <w:rPr>
          <w:rFonts w:ascii="Arial" w:hAnsi="Arial" w:cs="Arial"/>
        </w:rPr>
        <w:t>Gildenhuys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Malatji</w:t>
      </w:r>
      <w:proofErr w:type="spellEnd"/>
      <w:r>
        <w:rPr>
          <w:rFonts w:ascii="Arial" w:hAnsi="Arial" w:cs="Arial"/>
        </w:rPr>
        <w:t xml:space="preserve"> in South Africa and </w:t>
      </w:r>
      <w:proofErr w:type="spellStart"/>
      <w:r>
        <w:rPr>
          <w:rFonts w:ascii="Arial" w:hAnsi="Arial" w:cs="Arial"/>
        </w:rPr>
        <w:t>Rui</w:t>
      </w:r>
      <w:proofErr w:type="spellEnd"/>
      <w:r>
        <w:rPr>
          <w:rFonts w:ascii="Arial" w:hAnsi="Arial" w:cs="Arial"/>
        </w:rPr>
        <w:t xml:space="preserve"> Pena &amp; Arnaut in Portugal, including Counsel’s fees in South Africa and Portugal.</w:t>
      </w:r>
    </w:p>
    <w:p w14:paraId="33A728C8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14:paraId="2ED44DC2" w14:textId="77777777" w:rsidR="008B6A22" w:rsidRDefault="008B6A22" w:rsidP="008B6A22">
      <w:pPr>
        <w:numPr>
          <w:ilvl w:val="0"/>
          <w:numId w:val="4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Quaker Peace Centre v The Government of the Republic of South Africa and </w:t>
      </w:r>
      <w:proofErr w:type="spellStart"/>
      <w:r>
        <w:rPr>
          <w:rFonts w:ascii="Arial" w:hAnsi="Arial" w:cs="Arial"/>
        </w:rPr>
        <w:t>Armscor</w:t>
      </w:r>
      <w:proofErr w:type="spellEnd"/>
    </w:p>
    <w:p w14:paraId="21B7E1CC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total amount in respect of legal costs is R775 </w:t>
      </w:r>
      <w:proofErr w:type="gramStart"/>
      <w:r>
        <w:rPr>
          <w:rFonts w:ascii="Arial" w:hAnsi="Arial" w:cs="Arial"/>
        </w:rPr>
        <w:t>253 which</w:t>
      </w:r>
      <w:proofErr w:type="gramEnd"/>
      <w:r>
        <w:rPr>
          <w:rFonts w:ascii="Arial" w:hAnsi="Arial" w:cs="Arial"/>
        </w:rPr>
        <w:t xml:space="preserve"> represents the costs of external legal representatives, </w:t>
      </w:r>
      <w:proofErr w:type="spellStart"/>
      <w:r>
        <w:rPr>
          <w:rFonts w:ascii="Arial" w:hAnsi="Arial" w:cs="Arial"/>
        </w:rPr>
        <w:t>Maluleke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Makume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Matlala</w:t>
      </w:r>
      <w:proofErr w:type="spellEnd"/>
      <w:r>
        <w:rPr>
          <w:rFonts w:ascii="Arial" w:hAnsi="Arial" w:cs="Arial"/>
        </w:rPr>
        <w:t xml:space="preserve"> Inc., including Counsel’s fees.</w:t>
      </w:r>
    </w:p>
    <w:p w14:paraId="265E0C2E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14:paraId="0105F59D" w14:textId="77777777" w:rsidR="008B6A22" w:rsidRDefault="008B6A22" w:rsidP="008B6A22">
      <w:pPr>
        <w:numPr>
          <w:ilvl w:val="0"/>
          <w:numId w:val="4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Steradian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Armscor</w:t>
      </w:r>
      <w:proofErr w:type="spellEnd"/>
    </w:p>
    <w:p w14:paraId="5CAC44A7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total amount in respect of legal costs is R210 </w:t>
      </w:r>
      <w:proofErr w:type="gramStart"/>
      <w:r>
        <w:rPr>
          <w:rFonts w:ascii="Arial" w:hAnsi="Arial" w:cs="Arial"/>
        </w:rPr>
        <w:t>023 which</w:t>
      </w:r>
      <w:proofErr w:type="gramEnd"/>
      <w:r>
        <w:rPr>
          <w:rFonts w:ascii="Arial" w:hAnsi="Arial" w:cs="Arial"/>
        </w:rPr>
        <w:t xml:space="preserve"> represents the costs of external legal representatives </w:t>
      </w:r>
      <w:proofErr w:type="spellStart"/>
      <w:r>
        <w:rPr>
          <w:rFonts w:ascii="Arial" w:hAnsi="Arial" w:cs="Arial"/>
        </w:rPr>
        <w:t>Maluleke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Makume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Matlala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>, including Counsel’s fees.</w:t>
      </w:r>
    </w:p>
    <w:p w14:paraId="57D2927C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14:paraId="444A7FDB" w14:textId="77777777" w:rsidR="008B6A22" w:rsidRDefault="008B6A22" w:rsidP="008B6A22">
      <w:pPr>
        <w:numPr>
          <w:ilvl w:val="0"/>
          <w:numId w:val="4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New Generation Arms Management (PTY) Ltd v </w:t>
      </w:r>
      <w:proofErr w:type="spellStart"/>
      <w:r>
        <w:rPr>
          <w:rFonts w:ascii="Arial" w:hAnsi="Arial" w:cs="Arial"/>
        </w:rPr>
        <w:t>Armscor</w:t>
      </w:r>
      <w:proofErr w:type="spellEnd"/>
    </w:p>
    <w:p w14:paraId="7917C21B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total amount in respect of legal costs is R69 </w:t>
      </w:r>
      <w:proofErr w:type="gramStart"/>
      <w:r>
        <w:rPr>
          <w:rFonts w:ascii="Arial" w:hAnsi="Arial" w:cs="Arial"/>
        </w:rPr>
        <w:t>431 which</w:t>
      </w:r>
      <w:proofErr w:type="gramEnd"/>
      <w:r>
        <w:rPr>
          <w:rFonts w:ascii="Arial" w:hAnsi="Arial" w:cs="Arial"/>
        </w:rPr>
        <w:t xml:space="preserve"> represents the cost of external legal representatives </w:t>
      </w:r>
      <w:proofErr w:type="spellStart"/>
      <w:r>
        <w:rPr>
          <w:rFonts w:ascii="Arial" w:hAnsi="Arial" w:cs="Arial"/>
        </w:rPr>
        <w:t>Gildenhuys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Malatji</w:t>
      </w:r>
      <w:proofErr w:type="spellEnd"/>
      <w:r>
        <w:rPr>
          <w:rFonts w:ascii="Arial" w:hAnsi="Arial" w:cs="Arial"/>
        </w:rPr>
        <w:t xml:space="preserve"> Attorneys</w:t>
      </w:r>
    </w:p>
    <w:p w14:paraId="1F7E85F0" w14:textId="77777777" w:rsidR="008B6A22" w:rsidRDefault="008B6A22" w:rsidP="008B6A22">
      <w:pPr>
        <w:numPr>
          <w:ilvl w:val="0"/>
          <w:numId w:val="4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MP </w:t>
      </w:r>
      <w:proofErr w:type="spellStart"/>
      <w:r>
        <w:rPr>
          <w:rFonts w:ascii="Arial" w:hAnsi="Arial" w:cs="Arial"/>
        </w:rPr>
        <w:t>Ngoasheng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Armscor</w:t>
      </w:r>
      <w:proofErr w:type="spellEnd"/>
      <w:r>
        <w:rPr>
          <w:rFonts w:ascii="Arial" w:hAnsi="Arial" w:cs="Arial"/>
        </w:rPr>
        <w:t xml:space="preserve"> </w:t>
      </w:r>
    </w:p>
    <w:p w14:paraId="53E5130A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No legal costs have been invoiced up to date by the external legal representatives, </w:t>
      </w:r>
      <w:proofErr w:type="spellStart"/>
      <w:r>
        <w:rPr>
          <w:rFonts w:ascii="Arial" w:hAnsi="Arial" w:cs="Arial"/>
        </w:rPr>
        <w:t>Maenetja</w:t>
      </w:r>
      <w:proofErr w:type="spellEnd"/>
      <w:r>
        <w:rPr>
          <w:rFonts w:ascii="Arial" w:hAnsi="Arial" w:cs="Arial"/>
        </w:rPr>
        <w:t xml:space="preserve"> Attorneys</w:t>
      </w:r>
      <w:proofErr w:type="gramEnd"/>
      <w:r>
        <w:rPr>
          <w:rFonts w:ascii="Arial" w:hAnsi="Arial" w:cs="Arial"/>
        </w:rPr>
        <w:t>.</w:t>
      </w:r>
    </w:p>
    <w:p w14:paraId="16185215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14:paraId="3E11B53D" w14:textId="77777777" w:rsidR="008B6A22" w:rsidRDefault="008B6A22" w:rsidP="008B6A22">
      <w:pPr>
        <w:numPr>
          <w:ilvl w:val="0"/>
          <w:numId w:val="4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Van Tonder v </w:t>
      </w:r>
      <w:proofErr w:type="spellStart"/>
      <w:r>
        <w:rPr>
          <w:rFonts w:ascii="Arial" w:hAnsi="Arial" w:cs="Arial"/>
        </w:rPr>
        <w:t>Armscor</w:t>
      </w:r>
      <w:proofErr w:type="spellEnd"/>
    </w:p>
    <w:p w14:paraId="4862B52F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total amount in respect of legal cost is R1 228 380 which represents the </w:t>
      </w:r>
      <w:proofErr w:type="gramStart"/>
      <w:r>
        <w:rPr>
          <w:rFonts w:ascii="Arial" w:hAnsi="Arial" w:cs="Arial"/>
        </w:rPr>
        <w:t>cost</w:t>
      </w:r>
      <w:proofErr w:type="gramEnd"/>
      <w:r>
        <w:rPr>
          <w:rFonts w:ascii="Arial" w:hAnsi="Arial" w:cs="Arial"/>
        </w:rPr>
        <w:t xml:space="preserve"> of external legal representatives Mamabolo </w:t>
      </w:r>
      <w:proofErr w:type="spellStart"/>
      <w:r>
        <w:rPr>
          <w:rFonts w:ascii="Arial" w:hAnsi="Arial" w:cs="Arial"/>
        </w:rPr>
        <w:t>Phajane</w:t>
      </w:r>
      <w:proofErr w:type="spellEnd"/>
      <w:r>
        <w:rPr>
          <w:rFonts w:ascii="Arial" w:hAnsi="Arial" w:cs="Arial"/>
        </w:rPr>
        <w:t xml:space="preserve"> Attorneys, including Counsel’s’ fees.  </w:t>
      </w:r>
    </w:p>
    <w:p w14:paraId="0DCDA59E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5575433" w14:textId="77777777" w:rsidR="008B6A22" w:rsidRDefault="008B6A22" w:rsidP="008B6A22">
      <w:pPr>
        <w:autoSpaceDE w:val="0"/>
        <w:autoSpaceDN w:val="0"/>
        <w:adjustRightInd w:val="0"/>
        <w:spacing w:after="29"/>
        <w:jc w:val="both"/>
        <w:rPr>
          <w:rFonts w:ascii="Arial" w:hAnsi="Arial" w:cs="Arial"/>
          <w:b/>
          <w:sz w:val="22"/>
          <w:szCs w:val="22"/>
          <w:lang w:val="en-ZA" w:eastAsia="en-ZA"/>
        </w:rPr>
      </w:pPr>
      <w:r>
        <w:rPr>
          <w:rFonts w:ascii="Arial" w:hAnsi="Arial" w:cs="Arial"/>
          <w:b/>
          <w:sz w:val="22"/>
          <w:szCs w:val="22"/>
          <w:lang w:val="en-ZA" w:eastAsia="en-ZA"/>
        </w:rPr>
        <w:t>QUESTION 2</w:t>
      </w:r>
    </w:p>
    <w:p w14:paraId="2245EC0A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What is the name of each procured item that is still with the service provider and/or subcontractor and (b) what is the total rand value of each procured item for the past three years</w:t>
      </w:r>
      <w:proofErr w:type="gramStart"/>
      <w:r>
        <w:rPr>
          <w:rFonts w:ascii="Arial" w:hAnsi="Arial" w:cs="Arial"/>
        </w:rPr>
        <w:t>;</w:t>
      </w:r>
      <w:proofErr w:type="gramEnd"/>
    </w:p>
    <w:p w14:paraId="6F7D085B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RESPONSE</w:t>
      </w:r>
    </w:p>
    <w:p w14:paraId="2AB68B43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</w:rPr>
        <w:t>There are no items that are still with the service provider.</w:t>
      </w:r>
      <w:proofErr w:type="gramEnd"/>
      <w:r>
        <w:rPr>
          <w:rFonts w:ascii="Arial" w:hAnsi="Arial" w:cs="Arial"/>
        </w:rPr>
        <w:t xml:space="preserve"> All procured items </w:t>
      </w:r>
      <w:proofErr w:type="gramStart"/>
      <w:r>
        <w:rPr>
          <w:rFonts w:ascii="Arial" w:hAnsi="Arial" w:cs="Arial"/>
        </w:rPr>
        <w:t>are paid for</w:t>
      </w:r>
      <w:proofErr w:type="gramEnd"/>
      <w:r>
        <w:rPr>
          <w:rFonts w:ascii="Arial" w:hAnsi="Arial" w:cs="Arial"/>
        </w:rPr>
        <w:t xml:space="preserve"> upon receipt.</w:t>
      </w:r>
    </w:p>
    <w:p w14:paraId="38095B16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3</w:t>
      </w:r>
    </w:p>
    <w:p w14:paraId="59F83B59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Whether </w:t>
      </w:r>
      <w:proofErr w:type="spellStart"/>
      <w:r>
        <w:rPr>
          <w:rFonts w:ascii="Arial" w:hAnsi="Arial" w:cs="Arial"/>
        </w:rPr>
        <w:t>Armscor</w:t>
      </w:r>
      <w:proofErr w:type="spellEnd"/>
      <w:r>
        <w:rPr>
          <w:rFonts w:ascii="Arial" w:hAnsi="Arial" w:cs="Arial"/>
        </w:rPr>
        <w:t xml:space="preserve"> can account for each rand spent (a) from the Special Defence Account (SDA) and (b) on the assets procured in the past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financial years;</w:t>
      </w:r>
    </w:p>
    <w:p w14:paraId="2309B5CD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</w:t>
      </w:r>
    </w:p>
    <w:p w14:paraId="4690459A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Armscor</w:t>
      </w:r>
      <w:proofErr w:type="spellEnd"/>
      <w:r>
        <w:rPr>
          <w:rFonts w:ascii="Arial" w:hAnsi="Arial" w:cs="Arial"/>
        </w:rPr>
        <w:t xml:space="preserve"> can account for all payments made in relation to the SDA. </w:t>
      </w:r>
    </w:p>
    <w:p w14:paraId="27CAED67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</w:p>
    <w:p w14:paraId="2F0254B2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4</w:t>
      </w:r>
    </w:p>
    <w:p w14:paraId="0778070F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Whether all unaccounted assets plus their value </w:t>
      </w:r>
      <w:proofErr w:type="gramStart"/>
      <w:r>
        <w:rPr>
          <w:rFonts w:ascii="Arial" w:hAnsi="Arial" w:cs="Arial"/>
        </w:rPr>
        <w:t>have been reported to the Auditor-General (AG) and included in the Annual Financial Statement and AG reports</w:t>
      </w:r>
      <w:proofErr w:type="gramEnd"/>
      <w:r>
        <w:rPr>
          <w:rFonts w:ascii="Arial" w:hAnsi="Arial" w:cs="Arial"/>
        </w:rPr>
        <w:t>?</w:t>
      </w:r>
      <w:r>
        <w:rPr>
          <w:rFonts w:ascii="Arial" w:hAnsi="Arial" w:cs="Arial"/>
          <w:color w:val="000000"/>
        </w:rPr>
        <w:tab/>
      </w:r>
    </w:p>
    <w:p w14:paraId="22B38E7C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</w:t>
      </w:r>
    </w:p>
    <w:p w14:paraId="5D6E0230" w14:textId="77777777" w:rsidR="008B6A22" w:rsidRDefault="008B6A22" w:rsidP="008B6A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All payments made in relation to the SDA </w:t>
      </w:r>
      <w:proofErr w:type="gramStart"/>
      <w:r>
        <w:rPr>
          <w:rFonts w:ascii="Arial" w:hAnsi="Arial" w:cs="Arial"/>
        </w:rPr>
        <w:t>are sent to Department of Defence for inclusion in the Annual Financial Statements and submitted to the AG annually</w:t>
      </w:r>
      <w:proofErr w:type="gramEnd"/>
      <w:r>
        <w:rPr>
          <w:rFonts w:ascii="Arial" w:hAnsi="Arial" w:cs="Arial"/>
        </w:rPr>
        <w:t>.</w:t>
      </w:r>
    </w:p>
    <w:p w14:paraId="6056CECA" w14:textId="77777777" w:rsidR="008B6A22" w:rsidRDefault="008B6A22" w:rsidP="008B6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14:paraId="7D481609" w14:textId="77777777" w:rsidR="008B6A22" w:rsidRDefault="008B6A22" w:rsidP="008B6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14:paraId="518264BC" w14:textId="77777777" w:rsidR="008B6A22" w:rsidRDefault="008B6A22" w:rsidP="008B6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14:paraId="125F57BE" w14:textId="77777777" w:rsidR="0084698C" w:rsidRPr="006B5FA5" w:rsidRDefault="0084698C" w:rsidP="00990A22">
      <w:pPr>
        <w:jc w:val="both"/>
        <w:rPr>
          <w:rFonts w:ascii="Arial" w:hAnsi="Arial" w:cs="Arial"/>
          <w:color w:val="000000"/>
          <w:lang w:val="en-ZA" w:eastAsia="en-ZA"/>
        </w:rPr>
      </w:pPr>
    </w:p>
    <w:sectPr w:rsidR="0084698C" w:rsidRPr="006B5FA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A953" w14:textId="77777777" w:rsidR="00F0273E" w:rsidRDefault="00F0273E">
      <w:r>
        <w:separator/>
      </w:r>
    </w:p>
  </w:endnote>
  <w:endnote w:type="continuationSeparator" w:id="0">
    <w:p w14:paraId="557F1A03" w14:textId="77777777" w:rsidR="00F0273E" w:rsidRDefault="00F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0D30F" w14:textId="64D854D6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3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8DBBF2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90EC" w14:textId="77777777" w:rsidR="00F0273E" w:rsidRDefault="00F0273E">
      <w:r>
        <w:separator/>
      </w:r>
    </w:p>
  </w:footnote>
  <w:footnote w:type="continuationSeparator" w:id="0">
    <w:p w14:paraId="400A458E" w14:textId="77777777" w:rsidR="00F0273E" w:rsidRDefault="00F0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119C7"/>
    <w:multiLevelType w:val="hybridMultilevel"/>
    <w:tmpl w:val="C8D08C1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19"/>
  </w:num>
  <w:num w:numId="20">
    <w:abstractNumId w:val="12"/>
  </w:num>
  <w:num w:numId="21">
    <w:abstractNumId w:val="30"/>
  </w:num>
  <w:num w:numId="22">
    <w:abstractNumId w:val="32"/>
  </w:num>
  <w:num w:numId="23">
    <w:abstractNumId w:val="2"/>
  </w:num>
  <w:num w:numId="24">
    <w:abstractNumId w:val="6"/>
  </w:num>
  <w:num w:numId="25">
    <w:abstractNumId w:val="31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31D57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3F78D7"/>
    <w:rsid w:val="00404E12"/>
    <w:rsid w:val="00424D75"/>
    <w:rsid w:val="00427C8E"/>
    <w:rsid w:val="00433D41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817F9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360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B6A22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65495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5256D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0273E"/>
    <w:rsid w:val="00F10E59"/>
    <w:rsid w:val="00F11B7F"/>
    <w:rsid w:val="00F5191B"/>
    <w:rsid w:val="00F52E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7FAFCCC7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D4B2-F481-4348-8598-E3A0DC61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3</cp:revision>
  <cp:lastPrinted>2016-11-22T06:27:00Z</cp:lastPrinted>
  <dcterms:created xsi:type="dcterms:W3CDTF">2018-05-17T18:58:00Z</dcterms:created>
  <dcterms:modified xsi:type="dcterms:W3CDTF">2018-05-17T18:59:00Z</dcterms:modified>
</cp:coreProperties>
</file>