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582F58" w:rsidRPr="00B83122" w:rsidTr="002517EB">
        <w:trPr>
          <w:trHeight w:val="1851"/>
          <w:jc w:val="center"/>
        </w:trPr>
        <w:tc>
          <w:tcPr>
            <w:tcW w:w="9026" w:type="dxa"/>
          </w:tcPr>
          <w:p w:rsidR="00582F58" w:rsidRPr="00B83122" w:rsidRDefault="00582F58" w:rsidP="002517EB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val="en-ZA" w:eastAsia="en-ZA"/>
              </w:rPr>
              <w:drawing>
                <wp:inline distT="0" distB="0" distL="0" distR="0" wp14:anchorId="00743E80" wp14:editId="068E5BB1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F58" w:rsidRPr="00B83122" w:rsidRDefault="00582F58" w:rsidP="002517EB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582F58" w:rsidRPr="00B83122" w:rsidTr="002517EB">
        <w:trPr>
          <w:trHeight w:val="1111"/>
          <w:jc w:val="center"/>
        </w:trPr>
        <w:tc>
          <w:tcPr>
            <w:tcW w:w="9026" w:type="dxa"/>
          </w:tcPr>
          <w:p w:rsidR="00582F58" w:rsidRPr="00B83122" w:rsidRDefault="00582F58" w:rsidP="002517EB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582F58" w:rsidRPr="00B83122" w:rsidRDefault="00582F58" w:rsidP="002517EB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582F58" w:rsidRPr="00B83122" w:rsidRDefault="00582F58" w:rsidP="002517EB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582F58" w:rsidRPr="00B83122" w:rsidRDefault="00582F58" w:rsidP="002517EB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048B5" wp14:editId="6ED1F797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E75B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82F58" w:rsidRPr="004B71F1" w:rsidRDefault="00582F58" w:rsidP="00582F5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582F58" w:rsidRPr="004B71F1" w:rsidRDefault="00582F58" w:rsidP="00582F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582F58" w:rsidRPr="004B71F1" w:rsidRDefault="00582F58" w:rsidP="00582F5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</w:rPr>
        <w:t>1045</w:t>
      </w:r>
    </w:p>
    <w:p w:rsidR="00582F58" w:rsidRPr="00E440CE" w:rsidRDefault="00582F58" w:rsidP="00582F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40CE">
        <w:rPr>
          <w:rFonts w:ascii="Arial" w:hAnsi="Arial" w:cs="Arial"/>
          <w:b/>
          <w:sz w:val="24"/>
          <w:szCs w:val="24"/>
        </w:rPr>
        <w:t>DATE OF PUBLICATION:  MARCH 2016</w:t>
      </w:r>
    </w:p>
    <w:p w:rsidR="00582F58" w:rsidRPr="00E440CE" w:rsidRDefault="00582F58" w:rsidP="00582F5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F58" w:rsidRPr="00582F58" w:rsidRDefault="00582F58" w:rsidP="00582F5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2F58">
        <w:rPr>
          <w:rFonts w:ascii="Arial" w:hAnsi="Arial" w:cs="Arial"/>
          <w:b/>
          <w:bCs/>
          <w:sz w:val="24"/>
          <w:szCs w:val="24"/>
        </w:rPr>
        <w:t>Mr E J Marais (DA) to ask the Minister of Communications:</w:t>
      </w:r>
    </w:p>
    <w:p w:rsidR="00582F58" w:rsidRPr="00582F58" w:rsidRDefault="00582F58" w:rsidP="00582F5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2F58" w:rsidRPr="00582F58" w:rsidRDefault="00582F58" w:rsidP="00582F5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F58">
        <w:rPr>
          <w:rFonts w:ascii="Arial" w:hAnsi="Arial" w:cs="Arial"/>
          <w:sz w:val="24"/>
          <w:szCs w:val="24"/>
        </w:rPr>
        <w:t xml:space="preserve">Whether she, her department and/or any entities reporting to her (a) awarded any tenders to and/or (b) concluded any contracts and/or financial transactions with (i) Sahara Holdings, (ii) </w:t>
      </w:r>
      <w:proofErr w:type="spellStart"/>
      <w:r w:rsidRPr="00582F58">
        <w:rPr>
          <w:rFonts w:ascii="Arial" w:hAnsi="Arial" w:cs="Arial"/>
          <w:sz w:val="24"/>
          <w:szCs w:val="24"/>
        </w:rPr>
        <w:t>Oakbay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Investments, (iii) The New Age Media, (iv) </w:t>
      </w:r>
      <w:proofErr w:type="spellStart"/>
      <w:r w:rsidRPr="00582F58">
        <w:rPr>
          <w:rFonts w:ascii="Arial" w:hAnsi="Arial" w:cs="Arial"/>
          <w:sz w:val="24"/>
          <w:szCs w:val="24"/>
        </w:rPr>
        <w:t>Vusizwe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, (vi) </w:t>
      </w:r>
      <w:proofErr w:type="spellStart"/>
      <w:r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Pr="00582F58">
        <w:rPr>
          <w:rFonts w:ascii="Arial" w:hAnsi="Arial" w:cs="Arial"/>
          <w:sz w:val="24"/>
          <w:szCs w:val="24"/>
        </w:rPr>
        <w:t>Dunrose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and/or (ix) JIC Mining Services since 1 May 2014; if so, </w:t>
      </w:r>
      <w:r w:rsidRPr="00582F58">
        <w:rPr>
          <w:rFonts w:ascii="Arial" w:hAnsi="Arial" w:cs="Arial"/>
          <w:color w:val="000000"/>
          <w:sz w:val="24"/>
          <w:szCs w:val="24"/>
        </w:rPr>
        <w:t>(aa) which company or entity, (bb) what are the relevant details of the value of each specified tender, contract and/or financial transaction and (cc) what are the names of the companies who were unsuccessful for each specified tender, contract and/or financial transaction that was awarded</w:t>
      </w:r>
      <w:r w:rsidRPr="00582F58">
        <w:rPr>
          <w:rFonts w:ascii="Arial" w:hAnsi="Arial" w:cs="Arial"/>
          <w:sz w:val="24"/>
          <w:szCs w:val="24"/>
        </w:rPr>
        <w:t>? NW1177E</w:t>
      </w:r>
    </w:p>
    <w:p w:rsidR="00582F58" w:rsidRPr="00466E34" w:rsidRDefault="00582F58" w:rsidP="00582F58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582F58" w:rsidRPr="00466E34" w:rsidRDefault="00582F58" w:rsidP="00582F58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466E34">
        <w:rPr>
          <w:rFonts w:ascii="Arial" w:hAnsi="Arial" w:cs="Arial"/>
          <w:b/>
          <w:sz w:val="24"/>
          <w:szCs w:val="24"/>
        </w:rPr>
        <w:t>REPLY: MINISTER OF COMMUNICATIONS</w:t>
      </w:r>
    </w:p>
    <w:p w:rsidR="00582F58" w:rsidRDefault="00582F58" w:rsidP="00582F58"/>
    <w:p w:rsidR="00875796" w:rsidRDefault="00D673F6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41B69">
        <w:rPr>
          <w:rFonts w:ascii="Arial" w:hAnsi="Arial" w:cs="Arial"/>
          <w:b/>
          <w:sz w:val="24"/>
          <w:szCs w:val="24"/>
        </w:rPr>
        <w:t>oC and GCIS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875796" w:rsidRDefault="00875796" w:rsidP="008757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579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541B69">
        <w:rPr>
          <w:rFonts w:ascii="Arial" w:hAnsi="Arial" w:cs="Arial"/>
          <w:sz w:val="24"/>
          <w:szCs w:val="24"/>
        </w:rPr>
        <w:t xml:space="preserve">Both the Department of Communications and GCIS - considering shared </w:t>
      </w:r>
      <w:r w:rsidR="00541B69">
        <w:rPr>
          <w:rFonts w:ascii="Arial" w:hAnsi="Arial" w:cs="Arial"/>
          <w:sz w:val="24"/>
          <w:szCs w:val="24"/>
        </w:rPr>
        <w:tab/>
        <w:t xml:space="preserve">procurement systems in the initial year of the </w:t>
      </w:r>
      <w:proofErr w:type="spellStart"/>
      <w:r w:rsidR="00541B69">
        <w:rPr>
          <w:rFonts w:ascii="Arial" w:hAnsi="Arial" w:cs="Arial"/>
          <w:sz w:val="24"/>
          <w:szCs w:val="24"/>
        </w:rPr>
        <w:t>DoC’s</w:t>
      </w:r>
      <w:proofErr w:type="spellEnd"/>
      <w:r w:rsidR="00541B69">
        <w:rPr>
          <w:rFonts w:ascii="Arial" w:hAnsi="Arial" w:cs="Arial"/>
          <w:sz w:val="24"/>
          <w:szCs w:val="24"/>
        </w:rPr>
        <w:t xml:space="preserve"> operation - have</w:t>
      </w:r>
      <w:r w:rsidRPr="00875796">
        <w:rPr>
          <w:rFonts w:ascii="Arial" w:hAnsi="Arial" w:cs="Arial"/>
          <w:sz w:val="24"/>
          <w:szCs w:val="24"/>
        </w:rPr>
        <w:t xml:space="preserve"> not </w:t>
      </w:r>
      <w:r w:rsidR="00541B69">
        <w:rPr>
          <w:rFonts w:ascii="Arial" w:hAnsi="Arial" w:cs="Arial"/>
          <w:sz w:val="24"/>
          <w:szCs w:val="24"/>
        </w:rPr>
        <w:tab/>
      </w:r>
      <w:r w:rsidRPr="00875796">
        <w:rPr>
          <w:rFonts w:ascii="Arial" w:hAnsi="Arial" w:cs="Arial"/>
          <w:sz w:val="24"/>
          <w:szCs w:val="24"/>
        </w:rPr>
        <w:t>entered into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69C6">
        <w:rPr>
          <w:rFonts w:ascii="Arial" w:eastAsia="PMingLiU" w:hAnsi="Arial" w:cs="Arial"/>
          <w:sz w:val="24"/>
          <w:szCs w:val="24"/>
        </w:rPr>
        <w:t xml:space="preserve">contracts with </w:t>
      </w:r>
      <w:r>
        <w:rPr>
          <w:rFonts w:ascii="Arial" w:eastAsia="PMingLiU" w:hAnsi="Arial" w:cs="Arial"/>
          <w:sz w:val="24"/>
          <w:szCs w:val="24"/>
        </w:rPr>
        <w:t xml:space="preserve">the above mentioned companies </w:t>
      </w:r>
      <w:r w:rsidR="00541B69">
        <w:rPr>
          <w:rFonts w:ascii="Arial" w:eastAsia="PMingLiU" w:hAnsi="Arial" w:cs="Arial"/>
          <w:sz w:val="24"/>
          <w:szCs w:val="24"/>
        </w:rPr>
        <w:t>since 1 May 2014,</w:t>
      </w:r>
      <w:r>
        <w:rPr>
          <w:rFonts w:ascii="Arial" w:eastAsia="PMingLiU" w:hAnsi="Arial" w:cs="Arial"/>
          <w:sz w:val="24"/>
          <w:szCs w:val="24"/>
        </w:rPr>
        <w:tab/>
      </w:r>
      <w:r w:rsidRPr="003C69C6">
        <w:rPr>
          <w:rFonts w:ascii="Arial" w:hAnsi="Arial" w:cs="Arial"/>
          <w:sz w:val="24"/>
          <w:szCs w:val="24"/>
        </w:rPr>
        <w:t>outside of normal procurement transactions.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1E8" w:rsidRDefault="000001E8" w:rsidP="008757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01E8" w:rsidRDefault="000001E8" w:rsidP="008757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5796" w:rsidRDefault="00875796" w:rsidP="00875796">
      <w:pPr>
        <w:pStyle w:val="NoSpacing"/>
        <w:spacing w:line="276" w:lineRule="auto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  <w:r>
        <w:rPr>
          <w:rFonts w:ascii="Arial" w:hAnsi="Arial" w:cs="Arial"/>
          <w:sz w:val="24"/>
          <w:szCs w:val="24"/>
        </w:rPr>
        <w:tab/>
        <w:t>Yes</w:t>
      </w:r>
      <w:r w:rsidR="00BA2E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D</w:t>
      </w:r>
      <w:r w:rsidRPr="003C69C6">
        <w:rPr>
          <w:rFonts w:ascii="Arial" w:hAnsi="Arial" w:cs="Arial"/>
          <w:sz w:val="24"/>
          <w:szCs w:val="24"/>
        </w:rPr>
        <w:t>epartment</w:t>
      </w:r>
      <w:r w:rsidR="00541B69">
        <w:rPr>
          <w:rFonts w:ascii="Arial" w:hAnsi="Arial" w:cs="Arial"/>
          <w:sz w:val="24"/>
          <w:szCs w:val="24"/>
        </w:rPr>
        <w:t>s</w:t>
      </w:r>
      <w:r w:rsidRPr="003C69C6">
        <w:rPr>
          <w:rFonts w:ascii="Arial" w:hAnsi="Arial" w:cs="Arial"/>
          <w:sz w:val="24"/>
          <w:szCs w:val="24"/>
        </w:rPr>
        <w:t xml:space="preserve"> transacted with TNA Media to procure advertising. </w:t>
      </w:r>
      <w:r>
        <w:rPr>
          <w:rFonts w:ascii="Arial" w:hAnsi="Arial" w:cs="Arial"/>
          <w:sz w:val="24"/>
          <w:szCs w:val="24"/>
        </w:rPr>
        <w:tab/>
      </w:r>
      <w:r w:rsidRPr="003C69C6">
        <w:rPr>
          <w:rFonts w:ascii="Arial" w:eastAsia="PMingLiU" w:hAnsi="Arial" w:cs="Arial"/>
          <w:sz w:val="24"/>
          <w:szCs w:val="24"/>
        </w:rPr>
        <w:t>Payments made are detailed below:</w:t>
      </w:r>
    </w:p>
    <w:p w:rsidR="00BA2E6B" w:rsidRPr="003C69C6" w:rsidRDefault="00BA2E6B" w:rsidP="0087579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222" w:type="dxa"/>
        <w:tblInd w:w="704" w:type="dxa"/>
        <w:tblLook w:val="04A0" w:firstRow="1" w:lastRow="0" w:firstColumn="1" w:lastColumn="0" w:noHBand="0" w:noVBand="1"/>
      </w:tblPr>
      <w:tblGrid>
        <w:gridCol w:w="3119"/>
        <w:gridCol w:w="3118"/>
        <w:gridCol w:w="1985"/>
      </w:tblGrid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DEPARTMENT</w:t>
            </w:r>
          </w:p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FISCAL 2011-2012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 xml:space="preserve">INVOICE AMOUNT 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GCIS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Protection of Information Bill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R132 526.37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SONA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R153 900.00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SONA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R1 700 000.00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Information Dissemination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R874 888.00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 xml:space="preserve">GCIS Total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R2 861 314.37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FISCAL 2012-2013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 xml:space="preserve">INVOICE AMOUNT 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GCIS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National Orders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R450 000.00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Orders of Companions of OR Tambo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R77 319.00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>SONA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R893 475.29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State Funeral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R92 836.93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 xml:space="preserve">GCIS Total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R1 513 631.12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FISCAL 2013-2014</w:t>
            </w: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INVOICE AMOUNT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Mandela Memorial Campaign: State Funeral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R62 928.00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 xml:space="preserve">Recruitment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R50 068.80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Cs/>
                <w:color w:val="000000"/>
              </w:rPr>
              <w:t>SONA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R821 128.32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GCIS Total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R934 125.12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FISCAL 2014-2015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INVOICE AMOUNT</w:t>
            </w: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Government Communication and Information System (GCIS)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Database registration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14 945.40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Profiling Campaign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720 990.72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Recruitment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301 195.75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Recruitment Phase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57 078.43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SONA 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100 137.60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SONA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101 888.64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GCIS Total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R 1 296 236.54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FISCAL 2015/2016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GCIS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SONA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145 555.20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Voter Education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C69C6">
              <w:rPr>
                <w:rFonts w:ascii="Arial" w:eastAsia="Times New Roman" w:hAnsi="Arial" w:cs="Arial"/>
                <w:color w:val="000000"/>
              </w:rPr>
              <w:t>R 81 874.80</w:t>
            </w:r>
          </w:p>
        </w:tc>
      </w:tr>
      <w:tr w:rsidR="00875796" w:rsidRPr="003C69C6" w:rsidTr="00541B6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color w:val="000000"/>
              </w:rPr>
              <w:t>GCIS Total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96" w:rsidRPr="003C69C6" w:rsidRDefault="00875796" w:rsidP="00EC65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9C6">
              <w:rPr>
                <w:rFonts w:ascii="Arial" w:eastAsia="Times New Roman" w:hAnsi="Arial" w:cs="Arial"/>
                <w:b/>
                <w:bCs/>
                <w:color w:val="000000"/>
              </w:rPr>
              <w:t>R227 430.00</w:t>
            </w:r>
          </w:p>
        </w:tc>
      </w:tr>
    </w:tbl>
    <w:p w:rsidR="00D673F6" w:rsidRDefault="00D673F6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73F6" w:rsidRDefault="00D673F6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82F58" w:rsidRDefault="00D673F6" w:rsidP="00582F5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ICASA</w:t>
      </w:r>
      <w:r>
        <w:rPr>
          <w:rFonts w:ascii="Arial" w:hAnsi="Arial" w:cs="Arial"/>
          <w:sz w:val="24"/>
          <w:szCs w:val="24"/>
        </w:rPr>
        <w:t xml:space="preserve"> has not </w:t>
      </w:r>
      <w:r w:rsidRPr="00582F58">
        <w:rPr>
          <w:rFonts w:ascii="Arial" w:hAnsi="Arial" w:cs="Arial"/>
          <w:sz w:val="24"/>
          <w:szCs w:val="24"/>
        </w:rPr>
        <w:t xml:space="preserve">(a) awarded any tenders to and/or (b) concluded any contracts and/or financial transactions with (i) Sahara Holdings, (ii) </w:t>
      </w:r>
      <w:proofErr w:type="spellStart"/>
      <w:r w:rsidRPr="00582F58">
        <w:rPr>
          <w:rFonts w:ascii="Arial" w:hAnsi="Arial" w:cs="Arial"/>
          <w:sz w:val="24"/>
          <w:szCs w:val="24"/>
        </w:rPr>
        <w:t>Oakbay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Investments, (iii) The New Age Media, (iv) </w:t>
      </w:r>
      <w:proofErr w:type="spellStart"/>
      <w:r w:rsidRPr="00582F58">
        <w:rPr>
          <w:rFonts w:ascii="Arial" w:hAnsi="Arial" w:cs="Arial"/>
          <w:sz w:val="24"/>
          <w:szCs w:val="24"/>
        </w:rPr>
        <w:t>Vusizwe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, (vi) </w:t>
      </w:r>
      <w:proofErr w:type="spellStart"/>
      <w:r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Pr="00582F58">
        <w:rPr>
          <w:rFonts w:ascii="Arial" w:hAnsi="Arial" w:cs="Arial"/>
          <w:sz w:val="24"/>
          <w:szCs w:val="24"/>
        </w:rPr>
        <w:t>Dunrose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and/or (ix) JIC Mining Services since 1 May 2014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4451" w:rsidRPr="00D673F6" w:rsidRDefault="002D4451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286D" w:rsidRDefault="00D673F6" w:rsidP="00D673F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673F6">
        <w:rPr>
          <w:rFonts w:ascii="Arial" w:hAnsi="Arial" w:cs="Arial"/>
          <w:b/>
          <w:sz w:val="24"/>
          <w:szCs w:val="24"/>
        </w:rPr>
        <w:lastRenderedPageBreak/>
        <w:t>MDDA</w:t>
      </w:r>
      <w:r>
        <w:rPr>
          <w:rFonts w:ascii="Arial" w:hAnsi="Arial" w:cs="Arial"/>
          <w:sz w:val="24"/>
          <w:szCs w:val="24"/>
        </w:rPr>
        <w:t xml:space="preserve"> has not</w:t>
      </w:r>
      <w:r w:rsidRPr="00582F58">
        <w:rPr>
          <w:rFonts w:ascii="Arial" w:hAnsi="Arial" w:cs="Arial"/>
          <w:sz w:val="24"/>
          <w:szCs w:val="24"/>
        </w:rPr>
        <w:t xml:space="preserve"> (a) awarded any tenders to and/or (b) concluded any contracts and/or financial transactions with (i) Sahara Holdings, (ii) </w:t>
      </w:r>
      <w:proofErr w:type="spellStart"/>
      <w:r w:rsidRPr="00582F58">
        <w:rPr>
          <w:rFonts w:ascii="Arial" w:hAnsi="Arial" w:cs="Arial"/>
          <w:sz w:val="24"/>
          <w:szCs w:val="24"/>
        </w:rPr>
        <w:t>Oakbay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Investments, (iii) The New Age Media, (iv) </w:t>
      </w:r>
      <w:proofErr w:type="spellStart"/>
      <w:r w:rsidRPr="00582F58">
        <w:rPr>
          <w:rFonts w:ascii="Arial" w:hAnsi="Arial" w:cs="Arial"/>
          <w:sz w:val="24"/>
          <w:szCs w:val="24"/>
        </w:rPr>
        <w:t>Vusizwe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, (vi) </w:t>
      </w:r>
      <w:proofErr w:type="spellStart"/>
      <w:r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Pr="00582F58">
        <w:rPr>
          <w:rFonts w:ascii="Arial" w:hAnsi="Arial" w:cs="Arial"/>
          <w:sz w:val="24"/>
          <w:szCs w:val="24"/>
        </w:rPr>
        <w:t>Dunrose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and/or (ix) JIC Mining Services since 1 May 2014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1B69" w:rsidRDefault="00541B69" w:rsidP="00D673F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673F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73F6" w:rsidRPr="00C6286D" w:rsidRDefault="00D673F6" w:rsidP="00D673F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11E71">
        <w:rPr>
          <w:rFonts w:ascii="Arial" w:hAnsi="Arial" w:cs="Arial"/>
          <w:b/>
          <w:sz w:val="24"/>
          <w:szCs w:val="24"/>
        </w:rPr>
        <w:t>outh African Broadcasting Corporation (S</w:t>
      </w:r>
      <w:r>
        <w:rPr>
          <w:rFonts w:ascii="Arial" w:hAnsi="Arial" w:cs="Arial"/>
          <w:b/>
          <w:sz w:val="24"/>
          <w:szCs w:val="24"/>
        </w:rPr>
        <w:t>ABC</w:t>
      </w:r>
      <w:r w:rsidR="00D11E71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3F6" w:rsidRDefault="00D673F6" w:rsidP="00D673F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2F58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  <w:t xml:space="preserve">SABC has not </w:t>
      </w:r>
      <w:r w:rsidRPr="00582F58">
        <w:rPr>
          <w:rFonts w:ascii="Arial" w:hAnsi="Arial" w:cs="Arial"/>
          <w:sz w:val="24"/>
          <w:szCs w:val="24"/>
        </w:rPr>
        <w:t xml:space="preserve">awarded any tenders to (i) Sahara Holdings, (ii) </w:t>
      </w:r>
      <w:proofErr w:type="spellStart"/>
      <w:r w:rsidRPr="00582F58">
        <w:rPr>
          <w:rFonts w:ascii="Arial" w:hAnsi="Arial" w:cs="Arial"/>
          <w:sz w:val="24"/>
          <w:szCs w:val="24"/>
        </w:rPr>
        <w:t>Oakbay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82F58">
        <w:rPr>
          <w:rFonts w:ascii="Arial" w:hAnsi="Arial" w:cs="Arial"/>
          <w:sz w:val="24"/>
          <w:szCs w:val="24"/>
        </w:rPr>
        <w:t xml:space="preserve">Investments, (iii) The New Age Media, (iv) </w:t>
      </w:r>
      <w:proofErr w:type="spellStart"/>
      <w:r w:rsidRPr="00582F58">
        <w:rPr>
          <w:rFonts w:ascii="Arial" w:hAnsi="Arial" w:cs="Arial"/>
          <w:sz w:val="24"/>
          <w:szCs w:val="24"/>
        </w:rPr>
        <w:t>Vusizwe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, (vi)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Pr="00582F58">
        <w:rPr>
          <w:rFonts w:ascii="Arial" w:hAnsi="Arial" w:cs="Arial"/>
          <w:sz w:val="24"/>
          <w:szCs w:val="24"/>
        </w:rPr>
        <w:t>Dunrose</w:t>
      </w:r>
      <w:proofErr w:type="spellEnd"/>
      <w:r w:rsidRPr="00582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82F58">
        <w:rPr>
          <w:rFonts w:ascii="Arial" w:hAnsi="Arial" w:cs="Arial"/>
          <w:sz w:val="24"/>
          <w:szCs w:val="24"/>
        </w:rPr>
        <w:t>Investments and/or (ix) JIC Mining Services since 1 May 2014</w:t>
      </w:r>
      <w:r>
        <w:rPr>
          <w:rFonts w:ascii="Arial" w:hAnsi="Arial" w:cs="Arial"/>
          <w:sz w:val="24"/>
          <w:szCs w:val="24"/>
        </w:rPr>
        <w:t>.</w:t>
      </w:r>
    </w:p>
    <w:p w:rsidR="00D673F6" w:rsidRPr="0042790D" w:rsidRDefault="00D673F6" w:rsidP="00C6286D">
      <w:pPr>
        <w:pStyle w:val="NoSpacing"/>
        <w:spacing w:line="276" w:lineRule="auto"/>
        <w:jc w:val="both"/>
        <w:rPr>
          <w:bCs/>
        </w:rPr>
      </w:pPr>
      <w:r w:rsidRPr="00582F58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C6286D">
        <w:rPr>
          <w:rFonts w:ascii="Arial" w:hAnsi="Arial" w:cs="Arial"/>
          <w:sz w:val="24"/>
          <w:szCs w:val="24"/>
        </w:rPr>
        <w:t xml:space="preserve">SABC concluded contracts with </w:t>
      </w:r>
      <w:r w:rsidRPr="00C6286D">
        <w:rPr>
          <w:rFonts w:ascii="Arial" w:hAnsi="Arial" w:cs="Arial"/>
          <w:bCs/>
          <w:sz w:val="24"/>
          <w:szCs w:val="24"/>
        </w:rPr>
        <w:t>The New Age Media</w:t>
      </w:r>
      <w:r w:rsidR="00C6286D" w:rsidRPr="00C6286D">
        <w:rPr>
          <w:rFonts w:ascii="Arial" w:hAnsi="Arial" w:cs="Arial"/>
          <w:bCs/>
          <w:sz w:val="24"/>
          <w:szCs w:val="24"/>
        </w:rPr>
        <w:t xml:space="preserve"> for Newspaper </w:t>
      </w:r>
      <w:r w:rsidR="00C6286D">
        <w:rPr>
          <w:rFonts w:ascii="Arial" w:hAnsi="Arial" w:cs="Arial"/>
          <w:bCs/>
          <w:sz w:val="24"/>
          <w:szCs w:val="24"/>
        </w:rPr>
        <w:tab/>
      </w:r>
      <w:r w:rsidR="00C6286D" w:rsidRPr="00C6286D">
        <w:rPr>
          <w:rFonts w:ascii="Arial" w:hAnsi="Arial" w:cs="Arial"/>
          <w:bCs/>
          <w:sz w:val="24"/>
          <w:szCs w:val="24"/>
        </w:rPr>
        <w:t>subscriptions at a cost of R</w:t>
      </w:r>
      <w:r w:rsidRPr="00C6286D">
        <w:rPr>
          <w:rFonts w:ascii="Arial" w:hAnsi="Arial" w:cs="Arial"/>
          <w:bCs/>
          <w:sz w:val="24"/>
          <w:szCs w:val="24"/>
        </w:rPr>
        <w:t>733</w:t>
      </w:r>
      <w:proofErr w:type="gramStart"/>
      <w:r w:rsidRPr="00C6286D">
        <w:rPr>
          <w:rFonts w:ascii="Arial" w:hAnsi="Arial" w:cs="Arial"/>
          <w:bCs/>
          <w:sz w:val="24"/>
          <w:szCs w:val="24"/>
        </w:rPr>
        <w:t>,930</w:t>
      </w:r>
      <w:proofErr w:type="gramEnd"/>
      <w:r w:rsidR="00C6286D" w:rsidRPr="00C6286D">
        <w:rPr>
          <w:rFonts w:ascii="Arial" w:hAnsi="Arial" w:cs="Arial"/>
          <w:sz w:val="24"/>
          <w:szCs w:val="24"/>
        </w:rPr>
        <w:t xml:space="preserve"> since 1 May 2014.</w:t>
      </w:r>
    </w:p>
    <w:p w:rsidR="00D673F6" w:rsidRDefault="00D673F6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286D" w:rsidRDefault="00C6286D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82F58" w:rsidRDefault="00C6286D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Brand South Africa</w:t>
      </w:r>
      <w:r w:rsidR="008D17F8">
        <w:rPr>
          <w:rFonts w:ascii="Arial" w:hAnsi="Arial" w:cs="Arial"/>
          <w:b/>
          <w:sz w:val="24"/>
          <w:szCs w:val="24"/>
        </w:rPr>
        <w:t xml:space="preserve"> </w:t>
      </w:r>
      <w:r w:rsidR="008D17F8">
        <w:rPr>
          <w:rFonts w:ascii="Arial" w:hAnsi="Arial" w:cs="Arial"/>
          <w:sz w:val="24"/>
          <w:szCs w:val="24"/>
        </w:rPr>
        <w:t>has not</w:t>
      </w:r>
      <w:r w:rsidR="008D17F8" w:rsidRPr="00582F58">
        <w:rPr>
          <w:rFonts w:ascii="Arial" w:hAnsi="Arial" w:cs="Arial"/>
          <w:sz w:val="24"/>
          <w:szCs w:val="24"/>
        </w:rPr>
        <w:t xml:space="preserve"> (a) awarded any tenders to and/or (b) concluded any contracts and/or financial transactions with (i) Sahara Holdings, (ii)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Oakbay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Investments, (iii) The New Age Media, (iv)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Vusizwe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, (vi)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Dunrose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 and/or (ix) JIC Mining Services since 1 May 2014</w:t>
      </w:r>
      <w:r w:rsidR="008D17F8">
        <w:rPr>
          <w:rFonts w:ascii="Arial" w:hAnsi="Arial" w:cs="Arial"/>
          <w:sz w:val="24"/>
          <w:szCs w:val="24"/>
        </w:rPr>
        <w:t>.</w:t>
      </w:r>
    </w:p>
    <w:p w:rsidR="00C6286D" w:rsidRDefault="00C6286D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286D" w:rsidRDefault="00C6286D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17F8" w:rsidRDefault="00C6286D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Film and Publications Board </w:t>
      </w:r>
      <w:r w:rsidR="008D17F8">
        <w:rPr>
          <w:rFonts w:ascii="Arial" w:hAnsi="Arial" w:cs="Arial"/>
          <w:sz w:val="24"/>
          <w:szCs w:val="24"/>
        </w:rPr>
        <w:t>has not</w:t>
      </w:r>
      <w:r w:rsidR="008D17F8" w:rsidRPr="00582F58">
        <w:rPr>
          <w:rFonts w:ascii="Arial" w:hAnsi="Arial" w:cs="Arial"/>
          <w:sz w:val="24"/>
          <w:szCs w:val="24"/>
        </w:rPr>
        <w:t xml:space="preserve"> (a) awarded any tenders to and/or (b) concluded any contracts and/or financial transactions with (i) Sahara Holdings, (ii)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Oakbay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Investments, (iii) The New Age Media, (iv)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Vusizwe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Media, (v)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Mabengela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, (vi)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Islandsite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 255, (vii)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Afripalm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Horizons Stakes, (viii) </w:t>
      </w:r>
      <w:proofErr w:type="spellStart"/>
      <w:r w:rsidR="008D17F8" w:rsidRPr="00582F58">
        <w:rPr>
          <w:rFonts w:ascii="Arial" w:hAnsi="Arial" w:cs="Arial"/>
          <w:sz w:val="24"/>
          <w:szCs w:val="24"/>
        </w:rPr>
        <w:t>Dunrose</w:t>
      </w:r>
      <w:proofErr w:type="spellEnd"/>
      <w:r w:rsidR="008D17F8" w:rsidRPr="00582F58">
        <w:rPr>
          <w:rFonts w:ascii="Arial" w:hAnsi="Arial" w:cs="Arial"/>
          <w:sz w:val="24"/>
          <w:szCs w:val="24"/>
        </w:rPr>
        <w:t xml:space="preserve"> Investments and/or (ix) JIC Mining Services since 1 May 2014</w:t>
      </w:r>
      <w:r w:rsidR="008D17F8">
        <w:rPr>
          <w:rFonts w:ascii="Arial" w:hAnsi="Arial" w:cs="Arial"/>
          <w:sz w:val="24"/>
          <w:szCs w:val="24"/>
        </w:rPr>
        <w:t>.</w:t>
      </w:r>
    </w:p>
    <w:p w:rsidR="00582F58" w:rsidRDefault="00582F58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82F58" w:rsidRDefault="00582F58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17F8" w:rsidRDefault="008D17F8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17F8" w:rsidRDefault="008D17F8" w:rsidP="00582F5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 LIPHOKO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GOVERNMENT COMMUNICATION AND INFORMATION SYSTEM 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01E8" w:rsidRDefault="000001E8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D11E71" w:rsidRDefault="00D11E71" w:rsidP="00D11E7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D11E71" w:rsidRDefault="00D11E71" w:rsidP="00D11E71">
      <w:pPr>
        <w:pStyle w:val="NoSpacing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582F58" w:rsidRDefault="00582F58" w:rsidP="00D11E71">
      <w:pPr>
        <w:pStyle w:val="NoSpacing"/>
        <w:spacing w:line="276" w:lineRule="auto"/>
        <w:jc w:val="both"/>
      </w:pPr>
    </w:p>
    <w:sectPr w:rsidR="00582F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C5" w:rsidRDefault="00B572C5" w:rsidP="00582F58">
      <w:r>
        <w:separator/>
      </w:r>
    </w:p>
  </w:endnote>
  <w:endnote w:type="continuationSeparator" w:id="0">
    <w:p w:rsidR="00B572C5" w:rsidRDefault="00B572C5" w:rsidP="0058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34" w:rsidRPr="00466E34" w:rsidRDefault="008A4265">
    <w:pPr>
      <w:pStyle w:val="Footer"/>
      <w:rPr>
        <w:lang w:val="en-ZA"/>
      </w:rPr>
    </w:pPr>
    <w:r>
      <w:rPr>
        <w:lang w:val="en-ZA"/>
      </w:rPr>
      <w:t>PQ 104</w:t>
    </w:r>
    <w:r w:rsidR="00582F58">
      <w:rPr>
        <w:lang w:val="en-Z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C5" w:rsidRDefault="00B572C5" w:rsidP="00582F58">
      <w:r>
        <w:separator/>
      </w:r>
    </w:p>
  </w:footnote>
  <w:footnote w:type="continuationSeparator" w:id="0">
    <w:p w:rsidR="00B572C5" w:rsidRDefault="00B572C5" w:rsidP="0058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838"/>
    <w:multiLevelType w:val="hybridMultilevel"/>
    <w:tmpl w:val="9668AFAE"/>
    <w:lvl w:ilvl="0" w:tplc="601C696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312D91"/>
    <w:multiLevelType w:val="hybridMultilevel"/>
    <w:tmpl w:val="6AEEC3DE"/>
    <w:lvl w:ilvl="0" w:tplc="CF54523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5F79E9"/>
    <w:multiLevelType w:val="hybridMultilevel"/>
    <w:tmpl w:val="9092BD8C"/>
    <w:lvl w:ilvl="0" w:tplc="73F63E18">
      <w:start w:val="27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58"/>
    <w:rsid w:val="000001E8"/>
    <w:rsid w:val="00050BC8"/>
    <w:rsid w:val="00190FAE"/>
    <w:rsid w:val="002D4451"/>
    <w:rsid w:val="00313818"/>
    <w:rsid w:val="00541B69"/>
    <w:rsid w:val="00582F58"/>
    <w:rsid w:val="005A791D"/>
    <w:rsid w:val="00875796"/>
    <w:rsid w:val="008A4265"/>
    <w:rsid w:val="008D17F8"/>
    <w:rsid w:val="00B572C5"/>
    <w:rsid w:val="00BA2E6B"/>
    <w:rsid w:val="00C6286D"/>
    <w:rsid w:val="00D11E71"/>
    <w:rsid w:val="00D673F6"/>
    <w:rsid w:val="00DC3F78"/>
    <w:rsid w:val="00EC2CD9"/>
    <w:rsid w:val="00EF69DE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58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58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673F6"/>
    <w:pPr>
      <w:spacing w:after="200" w:line="276" w:lineRule="auto"/>
      <w:ind w:left="720"/>
      <w:contextualSpacing/>
    </w:pPr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D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58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58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673F6"/>
    <w:pPr>
      <w:spacing w:after="200" w:line="276" w:lineRule="auto"/>
      <w:ind w:left="720"/>
      <w:contextualSpacing/>
    </w:pPr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2016-05-16T12:04:00Z</dcterms:created>
  <dcterms:modified xsi:type="dcterms:W3CDTF">2016-05-16T12:04:00Z</dcterms:modified>
</cp:coreProperties>
</file>