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FB14F9">
      <w:pPr>
        <w:rPr>
          <w:sz w:val="10"/>
          <w:szCs w:val="16"/>
        </w:rPr>
      </w:pP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425C7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FB14F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9B2AB0">
        <w:rPr>
          <w:rFonts w:ascii="Arial" w:hAnsi="Arial" w:cs="Arial"/>
          <w:b/>
          <w:sz w:val="22"/>
          <w:szCs w:val="22"/>
          <w:u w:val="single"/>
        </w:rPr>
        <w:t>104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9B2AB0">
        <w:rPr>
          <w:rFonts w:ascii="Arial" w:hAnsi="Arial" w:cs="Arial"/>
          <w:b/>
          <w:sz w:val="22"/>
          <w:szCs w:val="22"/>
          <w:u w:val="single"/>
        </w:rPr>
        <w:t>7 FEBRUARY 2019</w:t>
      </w:r>
    </w:p>
    <w:p w:rsidR="00B425C7" w:rsidRPr="00990959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B2AB0">
        <w:rPr>
          <w:rFonts w:ascii="Arial" w:hAnsi="Arial" w:cs="Arial"/>
          <w:b/>
          <w:sz w:val="22"/>
          <w:szCs w:val="22"/>
          <w:u w:val="single"/>
        </w:rPr>
        <w:t>1</w:t>
      </w:r>
      <w:r w:rsidRPr="00990959">
        <w:rPr>
          <w:rFonts w:ascii="Arial" w:hAnsi="Arial" w:cs="Arial"/>
          <w:b/>
          <w:sz w:val="22"/>
          <w:szCs w:val="22"/>
          <w:u w:val="single"/>
        </w:rPr>
        <w:t>)</w:t>
      </w:r>
    </w:p>
    <w:p w:rsidR="009B2AB0" w:rsidRPr="009B2AB0" w:rsidRDefault="009B2AB0" w:rsidP="009B2AB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9B2AB0">
        <w:rPr>
          <w:rFonts w:ascii="Arial" w:hAnsi="Arial" w:cs="Arial"/>
          <w:b/>
          <w:sz w:val="22"/>
          <w:szCs w:val="22"/>
        </w:rPr>
        <w:t>104.</w:t>
      </w:r>
      <w:r w:rsidRPr="009B2AB0">
        <w:rPr>
          <w:rFonts w:ascii="Arial" w:hAnsi="Arial" w:cs="Arial"/>
          <w:b/>
          <w:sz w:val="22"/>
          <w:szCs w:val="22"/>
        </w:rPr>
        <w:tab/>
      </w:r>
      <w:r w:rsidRPr="009B2AB0">
        <w:rPr>
          <w:rFonts w:ascii="Arial" w:eastAsia="Calibri" w:hAnsi="Arial" w:cs="Arial"/>
          <w:b/>
          <w:sz w:val="22"/>
          <w:szCs w:val="22"/>
          <w:lang w:val="en-ZA"/>
        </w:rPr>
        <w:t>Mr M Waters (DA) to ask the Minister of Water and Sanitation:</w:t>
      </w:r>
    </w:p>
    <w:p w:rsidR="009B2AB0" w:rsidRPr="009B2AB0" w:rsidRDefault="009B2AB0" w:rsidP="009B2AB0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9B2AB0">
        <w:rPr>
          <w:rFonts w:ascii="Arial" w:eastAsia="Calibri" w:hAnsi="Arial" w:cs="Arial"/>
          <w:color w:val="000000"/>
          <w:sz w:val="22"/>
          <w:szCs w:val="22"/>
          <w:lang w:val="en-ZA"/>
        </w:rPr>
        <w:t>(1)</w:t>
      </w:r>
      <w:r w:rsidRPr="009B2AB0">
        <w:rPr>
          <w:rFonts w:ascii="Arial" w:eastAsia="Calibri" w:hAnsi="Arial" w:cs="Arial"/>
          <w:color w:val="000000"/>
          <w:sz w:val="22"/>
          <w:szCs w:val="22"/>
          <w:lang w:val="en-ZA"/>
        </w:rPr>
        <w:tab/>
        <w:t>Whether</w:t>
      </w:r>
      <w:r w:rsidRPr="009B2AB0">
        <w:rPr>
          <w:rFonts w:ascii="Arial" w:eastAsia="Calibri" w:hAnsi="Arial" w:cs="Arial"/>
          <w:sz w:val="22"/>
          <w:szCs w:val="22"/>
          <w:lang w:val="en-ZA"/>
        </w:rPr>
        <w:t xml:space="preserve">, with reference to his reply to question 353 for oral reply on 21 November 2018, he will furnish Mr M Waters with copies of the results of each water quality </w:t>
      </w:r>
      <w:r w:rsidRPr="009B2AB0">
        <w:rPr>
          <w:rFonts w:ascii="Arial" w:hAnsi="Arial" w:cs="Arial"/>
          <w:sz w:val="22"/>
          <w:szCs w:val="22"/>
          <w:lang w:val="af-ZA"/>
        </w:rPr>
        <w:t>test</w:t>
      </w:r>
      <w:r w:rsidRPr="009B2AB0">
        <w:rPr>
          <w:rFonts w:ascii="Arial" w:eastAsia="Calibri" w:hAnsi="Arial" w:cs="Arial"/>
          <w:sz w:val="22"/>
          <w:szCs w:val="22"/>
          <w:lang w:val="en-ZA"/>
        </w:rPr>
        <w:t xml:space="preserve"> conducted for each month during 2018 by the Ekurhuleni Metropolitan Municipality;</w:t>
      </w:r>
    </w:p>
    <w:p w:rsidR="009B2AB0" w:rsidRPr="009B2AB0" w:rsidRDefault="009B2AB0" w:rsidP="00FB14F9">
      <w:pPr>
        <w:spacing w:before="100" w:beforeAutospacing="1" w:after="100" w:afterAutospacing="1"/>
        <w:ind w:left="1440" w:hanging="720"/>
        <w:jc w:val="both"/>
        <w:rPr>
          <w:rFonts w:ascii="Arial" w:eastAsia="Calibri" w:hAnsi="Arial" w:cs="Arial"/>
          <w:color w:val="000000"/>
          <w:sz w:val="16"/>
          <w:szCs w:val="16"/>
          <w:lang w:val="en-ZA"/>
        </w:rPr>
      </w:pPr>
      <w:r w:rsidRPr="009B2AB0">
        <w:rPr>
          <w:rFonts w:ascii="Arial" w:eastAsia="Calibri" w:hAnsi="Arial" w:cs="Arial"/>
          <w:color w:val="000000"/>
          <w:sz w:val="22"/>
          <w:szCs w:val="22"/>
          <w:lang w:val="en-ZA"/>
        </w:rPr>
        <w:t>(2)</w:t>
      </w:r>
      <w:r w:rsidRPr="009B2AB0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proofErr w:type="gramStart"/>
      <w:r w:rsidRPr="009B2AB0">
        <w:rPr>
          <w:rFonts w:ascii="Arial" w:eastAsia="Calibri" w:hAnsi="Arial" w:cs="Arial"/>
          <w:sz w:val="22"/>
          <w:szCs w:val="22"/>
          <w:lang w:val="en-ZA"/>
        </w:rPr>
        <w:t>which</w:t>
      </w:r>
      <w:proofErr w:type="gramEnd"/>
      <w:r w:rsidRPr="009B2AB0">
        <w:rPr>
          <w:rFonts w:ascii="Arial" w:eastAsia="Calibri" w:hAnsi="Arial" w:cs="Arial"/>
          <w:sz w:val="22"/>
          <w:szCs w:val="22"/>
          <w:lang w:val="en-ZA"/>
        </w:rPr>
        <w:t xml:space="preserve"> of the specified water quality tests failed to meet minimum standards?</w:t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9B2AB0">
        <w:rPr>
          <w:rFonts w:ascii="Arial" w:eastAsia="Calibri" w:hAnsi="Arial" w:cs="Arial"/>
          <w:sz w:val="16"/>
          <w:szCs w:val="16"/>
          <w:lang w:val="en-ZA"/>
        </w:rPr>
        <w:t>NW109E</w:t>
      </w:r>
    </w:p>
    <w:p w:rsidR="00B425C7" w:rsidRPr="00990959" w:rsidRDefault="008F6257" w:rsidP="00B425C7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B425C7" w:rsidRPr="00990959" w:rsidRDefault="00B425C7" w:rsidP="00B425C7">
      <w:pPr>
        <w:tabs>
          <w:tab w:val="left" w:pos="6105"/>
        </w:tabs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B425C7" w:rsidRPr="00990959" w:rsidRDefault="00B425C7" w:rsidP="003076B5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</w:p>
    <w:p w:rsidR="00B425C7" w:rsidRPr="00FB14F9" w:rsidRDefault="00EF445B" w:rsidP="00FB14F9">
      <w:pPr>
        <w:pStyle w:val="ListParagraph"/>
        <w:numPr>
          <w:ilvl w:val="0"/>
          <w:numId w:val="5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FB14F9">
        <w:rPr>
          <w:rFonts w:ascii="Arial" w:hAnsi="Arial" w:cs="Arial"/>
          <w:sz w:val="22"/>
          <w:szCs w:val="22"/>
        </w:rPr>
        <w:t xml:space="preserve">The </w:t>
      </w:r>
      <w:r w:rsidR="008C7E37" w:rsidRPr="00FB14F9">
        <w:rPr>
          <w:rFonts w:ascii="Arial" w:hAnsi="Arial" w:cs="Arial"/>
          <w:sz w:val="22"/>
          <w:szCs w:val="22"/>
        </w:rPr>
        <w:t>respon</w:t>
      </w:r>
      <w:r w:rsidRPr="00FB14F9">
        <w:rPr>
          <w:rFonts w:ascii="Arial" w:hAnsi="Arial" w:cs="Arial"/>
          <w:sz w:val="22"/>
          <w:szCs w:val="22"/>
        </w:rPr>
        <w:t xml:space="preserve">se </w:t>
      </w:r>
      <w:r w:rsidR="00FB14F9">
        <w:rPr>
          <w:rFonts w:ascii="Arial" w:hAnsi="Arial" w:cs="Arial"/>
          <w:sz w:val="22"/>
          <w:szCs w:val="22"/>
        </w:rPr>
        <w:t xml:space="preserve">provided </w:t>
      </w:r>
      <w:r w:rsidRPr="00FB14F9">
        <w:rPr>
          <w:rFonts w:ascii="Arial" w:hAnsi="Arial" w:cs="Arial"/>
          <w:sz w:val="22"/>
          <w:szCs w:val="22"/>
        </w:rPr>
        <w:t>on 21 November 2018 to question 353</w:t>
      </w:r>
      <w:r w:rsidR="00FB14F9">
        <w:rPr>
          <w:rFonts w:ascii="Arial" w:hAnsi="Arial" w:cs="Arial"/>
          <w:sz w:val="22"/>
          <w:szCs w:val="22"/>
        </w:rPr>
        <w:t xml:space="preserve"> </w:t>
      </w:r>
      <w:r w:rsidRPr="00FB14F9">
        <w:rPr>
          <w:rFonts w:ascii="Arial" w:hAnsi="Arial" w:cs="Arial"/>
          <w:sz w:val="22"/>
          <w:szCs w:val="22"/>
        </w:rPr>
        <w:t>by the Department was adequately responded to.</w:t>
      </w:r>
      <w:r w:rsidR="008C7E37" w:rsidRPr="00FB14F9">
        <w:rPr>
          <w:rFonts w:ascii="Arial" w:hAnsi="Arial" w:cs="Arial"/>
          <w:sz w:val="22"/>
          <w:szCs w:val="22"/>
        </w:rPr>
        <w:t xml:space="preserve"> </w:t>
      </w:r>
      <w:r w:rsidRPr="00FB14F9">
        <w:rPr>
          <w:rFonts w:ascii="Arial" w:hAnsi="Arial" w:cs="Arial"/>
          <w:sz w:val="22"/>
          <w:szCs w:val="22"/>
        </w:rPr>
        <w:t xml:space="preserve">The Department </w:t>
      </w:r>
      <w:r w:rsidR="008C7E37" w:rsidRPr="00FB14F9">
        <w:rPr>
          <w:rFonts w:ascii="Arial" w:hAnsi="Arial" w:cs="Arial"/>
          <w:sz w:val="22"/>
          <w:szCs w:val="22"/>
        </w:rPr>
        <w:t xml:space="preserve">monitors the data that is uploaded on the </w:t>
      </w:r>
      <w:r w:rsidR="00B064C8" w:rsidRPr="00FB14F9">
        <w:rPr>
          <w:rFonts w:ascii="Arial" w:hAnsi="Arial" w:cs="Arial"/>
          <w:sz w:val="22"/>
          <w:szCs w:val="22"/>
        </w:rPr>
        <w:t>Integrated</w:t>
      </w:r>
      <w:r w:rsidR="008C7E37" w:rsidRPr="00FB14F9">
        <w:rPr>
          <w:rFonts w:ascii="Arial" w:hAnsi="Arial" w:cs="Arial"/>
          <w:sz w:val="22"/>
          <w:szCs w:val="22"/>
        </w:rPr>
        <w:t xml:space="preserve"> Regulatory Information System (IRIS) by both the Water Services Authority and Water Services Provider. </w:t>
      </w:r>
      <w:r w:rsidR="00686614" w:rsidRPr="00FB14F9">
        <w:rPr>
          <w:rFonts w:ascii="Arial" w:hAnsi="Arial" w:cs="Arial"/>
          <w:sz w:val="22"/>
          <w:szCs w:val="22"/>
        </w:rPr>
        <w:t xml:space="preserve">Refer to the tables </w:t>
      </w:r>
      <w:r w:rsidR="00392C93" w:rsidRPr="00FB14F9">
        <w:rPr>
          <w:rFonts w:ascii="Arial" w:hAnsi="Arial" w:cs="Arial"/>
          <w:sz w:val="22"/>
          <w:szCs w:val="22"/>
        </w:rPr>
        <w:t xml:space="preserve">below </w:t>
      </w:r>
      <w:r w:rsidR="00686614" w:rsidRPr="00FB14F9">
        <w:rPr>
          <w:rFonts w:ascii="Arial" w:hAnsi="Arial" w:cs="Arial"/>
          <w:sz w:val="22"/>
          <w:szCs w:val="22"/>
        </w:rPr>
        <w:t xml:space="preserve">for </w:t>
      </w:r>
      <w:r w:rsidR="00392C93" w:rsidRPr="00FB14F9">
        <w:rPr>
          <w:rFonts w:ascii="Arial" w:hAnsi="Arial" w:cs="Arial"/>
          <w:sz w:val="22"/>
          <w:szCs w:val="22"/>
        </w:rPr>
        <w:t>the compliance results for 2018:</w:t>
      </w:r>
    </w:p>
    <w:p w:rsidR="00392C93" w:rsidRDefault="00392C93" w:rsidP="00392C93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392C93" w:rsidRDefault="00392C93" w:rsidP="00FB14F9">
      <w:pPr>
        <w:pStyle w:val="ListParagraph"/>
        <w:ind w:left="698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B125F1">
        <w:rPr>
          <w:rFonts w:ascii="Arial" w:hAnsi="Arial" w:cs="Arial"/>
          <w:b/>
          <w:sz w:val="22"/>
          <w:szCs w:val="22"/>
          <w:lang w:val="en-ZA"/>
        </w:rPr>
        <w:t>Microbiological: Acute Health</w:t>
      </w:r>
    </w:p>
    <w:p w:rsidR="00EF445B" w:rsidRDefault="00EF445B" w:rsidP="00B125F1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val="en-ZA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614"/>
        <w:gridCol w:w="1538"/>
        <w:gridCol w:w="2008"/>
        <w:gridCol w:w="2912"/>
      </w:tblGrid>
      <w:tr w:rsidR="00EF445B" w:rsidTr="00FB14F9">
        <w:tc>
          <w:tcPr>
            <w:tcW w:w="1701" w:type="dxa"/>
          </w:tcPr>
          <w:p w:rsidR="00EF445B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Months</w:t>
            </w:r>
          </w:p>
        </w:tc>
        <w:tc>
          <w:tcPr>
            <w:tcW w:w="1559" w:type="dxa"/>
          </w:tcPr>
          <w:p w:rsidR="00EF445B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Compliance</w:t>
            </w:r>
          </w:p>
        </w:tc>
        <w:tc>
          <w:tcPr>
            <w:tcW w:w="2268" w:type="dxa"/>
          </w:tcPr>
          <w:p w:rsidR="00EF445B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Failures</w:t>
            </w:r>
          </w:p>
        </w:tc>
        <w:tc>
          <w:tcPr>
            <w:tcW w:w="3402" w:type="dxa"/>
          </w:tcPr>
          <w:p w:rsidR="00EF445B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Samples</w:t>
            </w:r>
          </w:p>
        </w:tc>
      </w:tr>
      <w:tr w:rsidR="00EF445B" w:rsidRPr="00686614" w:rsidTr="00FB14F9">
        <w:tc>
          <w:tcPr>
            <w:tcW w:w="1701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January</w:t>
            </w:r>
          </w:p>
        </w:tc>
        <w:tc>
          <w:tcPr>
            <w:tcW w:w="1559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98.9%</w:t>
            </w:r>
          </w:p>
        </w:tc>
        <w:tc>
          <w:tcPr>
            <w:tcW w:w="2268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</w:t>
            </w:r>
          </w:p>
        </w:tc>
        <w:tc>
          <w:tcPr>
            <w:tcW w:w="3402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378</w:t>
            </w:r>
          </w:p>
        </w:tc>
      </w:tr>
      <w:tr w:rsidR="00EF445B" w:rsidRPr="00686614" w:rsidTr="00FB14F9">
        <w:tc>
          <w:tcPr>
            <w:tcW w:w="1701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February</w:t>
            </w:r>
          </w:p>
        </w:tc>
        <w:tc>
          <w:tcPr>
            <w:tcW w:w="1559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99.7%</w:t>
            </w:r>
          </w:p>
        </w:tc>
        <w:tc>
          <w:tcPr>
            <w:tcW w:w="2268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3402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351</w:t>
            </w:r>
          </w:p>
        </w:tc>
      </w:tr>
      <w:tr w:rsidR="00EF445B" w:rsidRPr="00686614" w:rsidTr="00FB14F9">
        <w:tc>
          <w:tcPr>
            <w:tcW w:w="1701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March</w:t>
            </w:r>
          </w:p>
        </w:tc>
        <w:tc>
          <w:tcPr>
            <w:tcW w:w="1559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97.6%</w:t>
            </w:r>
          </w:p>
        </w:tc>
        <w:tc>
          <w:tcPr>
            <w:tcW w:w="2268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</w:t>
            </w:r>
          </w:p>
        </w:tc>
        <w:tc>
          <w:tcPr>
            <w:tcW w:w="3402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369</w:t>
            </w:r>
          </w:p>
        </w:tc>
      </w:tr>
      <w:tr w:rsidR="00EF445B" w:rsidRPr="00686614" w:rsidTr="00FB14F9">
        <w:tc>
          <w:tcPr>
            <w:tcW w:w="1701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April</w:t>
            </w:r>
          </w:p>
        </w:tc>
        <w:tc>
          <w:tcPr>
            <w:tcW w:w="1559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98.3%</w:t>
            </w:r>
          </w:p>
        </w:tc>
        <w:tc>
          <w:tcPr>
            <w:tcW w:w="2268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6</w:t>
            </w:r>
          </w:p>
        </w:tc>
        <w:tc>
          <w:tcPr>
            <w:tcW w:w="3402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353</w:t>
            </w:r>
          </w:p>
        </w:tc>
      </w:tr>
      <w:tr w:rsidR="00EF445B" w:rsidRPr="00686614" w:rsidTr="00FB14F9">
        <w:tc>
          <w:tcPr>
            <w:tcW w:w="1701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May</w:t>
            </w:r>
          </w:p>
        </w:tc>
        <w:tc>
          <w:tcPr>
            <w:tcW w:w="1559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99.7%</w:t>
            </w:r>
          </w:p>
        </w:tc>
        <w:tc>
          <w:tcPr>
            <w:tcW w:w="2268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3402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379</w:t>
            </w:r>
          </w:p>
        </w:tc>
      </w:tr>
      <w:tr w:rsidR="00EF445B" w:rsidRPr="00686614" w:rsidTr="00FB14F9">
        <w:tc>
          <w:tcPr>
            <w:tcW w:w="1701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June</w:t>
            </w:r>
          </w:p>
        </w:tc>
        <w:tc>
          <w:tcPr>
            <w:tcW w:w="1559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3402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398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July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99.5%</w:t>
            </w:r>
          </w:p>
        </w:tc>
        <w:tc>
          <w:tcPr>
            <w:tcW w:w="2268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386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August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392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September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383</w:t>
            </w:r>
          </w:p>
        </w:tc>
      </w:tr>
      <w:tr w:rsidR="00EF445B" w:rsidRPr="00686614" w:rsidTr="00FB14F9">
        <w:tc>
          <w:tcPr>
            <w:tcW w:w="1701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October</w:t>
            </w:r>
          </w:p>
        </w:tc>
        <w:tc>
          <w:tcPr>
            <w:tcW w:w="1559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99.7%</w:t>
            </w:r>
          </w:p>
        </w:tc>
        <w:tc>
          <w:tcPr>
            <w:tcW w:w="2268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3402" w:type="dxa"/>
          </w:tcPr>
          <w:p w:rsidR="00EF445B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392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November</w:t>
            </w:r>
          </w:p>
        </w:tc>
        <w:tc>
          <w:tcPr>
            <w:tcW w:w="1559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99.7%</w:t>
            </w:r>
          </w:p>
        </w:tc>
        <w:tc>
          <w:tcPr>
            <w:tcW w:w="2268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3402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390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lastRenderedPageBreak/>
              <w:t>December</w:t>
            </w:r>
          </w:p>
        </w:tc>
        <w:tc>
          <w:tcPr>
            <w:tcW w:w="1559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99.4%</w:t>
            </w:r>
          </w:p>
        </w:tc>
        <w:tc>
          <w:tcPr>
            <w:tcW w:w="2268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3402" w:type="dxa"/>
          </w:tcPr>
          <w:p w:rsidR="00686614" w:rsidRP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343</w:t>
            </w:r>
          </w:p>
        </w:tc>
      </w:tr>
      <w:tr w:rsidR="00686614" w:rsidTr="00FB14F9">
        <w:tc>
          <w:tcPr>
            <w:tcW w:w="1701" w:type="dxa"/>
          </w:tcPr>
          <w:p w:rsid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Total</w:t>
            </w:r>
          </w:p>
        </w:tc>
        <w:tc>
          <w:tcPr>
            <w:tcW w:w="1559" w:type="dxa"/>
          </w:tcPr>
          <w:p w:rsid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99.4%</w:t>
            </w:r>
          </w:p>
        </w:tc>
        <w:tc>
          <w:tcPr>
            <w:tcW w:w="2268" w:type="dxa"/>
          </w:tcPr>
          <w:p w:rsid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27</w:t>
            </w:r>
          </w:p>
        </w:tc>
        <w:tc>
          <w:tcPr>
            <w:tcW w:w="3402" w:type="dxa"/>
          </w:tcPr>
          <w:p w:rsidR="00686614" w:rsidRDefault="00686614" w:rsidP="00B125F1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4 514</w:t>
            </w:r>
          </w:p>
        </w:tc>
      </w:tr>
    </w:tbl>
    <w:p w:rsidR="00392C93" w:rsidRPr="00223034" w:rsidRDefault="00392C93" w:rsidP="00223034">
      <w:pPr>
        <w:jc w:val="both"/>
        <w:rPr>
          <w:rFonts w:ascii="Arial" w:hAnsi="Arial" w:cs="Arial"/>
          <w:sz w:val="22"/>
          <w:szCs w:val="22"/>
        </w:rPr>
      </w:pPr>
    </w:p>
    <w:p w:rsidR="00FB14F9" w:rsidRDefault="00FB14F9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FB14F9" w:rsidRDefault="00FB14F9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FB14F9" w:rsidRDefault="00FB14F9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FB14F9" w:rsidRDefault="00FB14F9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FB14F9" w:rsidRDefault="00FB14F9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3B404A" w:rsidRDefault="00B125F1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B125F1">
        <w:rPr>
          <w:rFonts w:ascii="Arial" w:hAnsi="Arial" w:cs="Arial"/>
          <w:b/>
          <w:sz w:val="22"/>
          <w:szCs w:val="22"/>
          <w:lang w:val="en-ZA"/>
        </w:rPr>
        <w:t>Chemical:</w:t>
      </w:r>
      <w:r w:rsidR="003B404A" w:rsidRPr="00B125F1">
        <w:rPr>
          <w:rFonts w:ascii="Arial" w:hAnsi="Arial" w:cs="Arial"/>
          <w:b/>
          <w:sz w:val="22"/>
          <w:szCs w:val="22"/>
          <w:lang w:val="en-ZA"/>
        </w:rPr>
        <w:t xml:space="preserve"> Acute Health</w:t>
      </w:r>
    </w:p>
    <w:p w:rsidR="00686614" w:rsidRDefault="00686614" w:rsidP="003B404A">
      <w:pPr>
        <w:jc w:val="both"/>
        <w:rPr>
          <w:rFonts w:ascii="Arial" w:hAnsi="Arial" w:cs="Arial"/>
          <w:b/>
          <w:sz w:val="22"/>
          <w:szCs w:val="22"/>
          <w:lang w:val="en-ZA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614"/>
        <w:gridCol w:w="1538"/>
        <w:gridCol w:w="2008"/>
        <w:gridCol w:w="2912"/>
      </w:tblGrid>
      <w:tr w:rsidR="00686614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Months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Compliance</w:t>
            </w:r>
          </w:p>
        </w:tc>
        <w:tc>
          <w:tcPr>
            <w:tcW w:w="2268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Failures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Samples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January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101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February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92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March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92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April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84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May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88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June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96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July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92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August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92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September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88</w:t>
            </w:r>
          </w:p>
        </w:tc>
      </w:tr>
      <w:tr w:rsidR="00FB14F9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October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92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November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92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December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80</w:t>
            </w:r>
          </w:p>
        </w:tc>
      </w:tr>
      <w:tr w:rsidR="00686614" w:rsidRPr="00686614" w:rsidTr="00FB14F9">
        <w:tc>
          <w:tcPr>
            <w:tcW w:w="1701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Total</w:t>
            </w:r>
          </w:p>
        </w:tc>
        <w:tc>
          <w:tcPr>
            <w:tcW w:w="1559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&gt;99.9%</w:t>
            </w:r>
          </w:p>
        </w:tc>
        <w:tc>
          <w:tcPr>
            <w:tcW w:w="2268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0</w:t>
            </w:r>
          </w:p>
        </w:tc>
        <w:tc>
          <w:tcPr>
            <w:tcW w:w="3402" w:type="dxa"/>
          </w:tcPr>
          <w:p w:rsidR="00686614" w:rsidRPr="00686614" w:rsidRDefault="0068661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1 089</w:t>
            </w:r>
          </w:p>
        </w:tc>
      </w:tr>
    </w:tbl>
    <w:p w:rsidR="008C7E37" w:rsidRPr="001A3443" w:rsidRDefault="008C7E37" w:rsidP="00496665">
      <w:pPr>
        <w:jc w:val="both"/>
        <w:rPr>
          <w:rFonts w:ascii="Arial" w:hAnsi="Arial" w:cs="Arial"/>
          <w:sz w:val="22"/>
          <w:szCs w:val="22"/>
        </w:rPr>
      </w:pPr>
    </w:p>
    <w:p w:rsidR="003B404A" w:rsidRDefault="00223034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Chemical</w:t>
      </w:r>
      <w:r w:rsidR="003B404A" w:rsidRPr="00B125F1">
        <w:rPr>
          <w:rFonts w:ascii="Arial" w:hAnsi="Arial" w:cs="Arial"/>
          <w:b/>
          <w:sz w:val="22"/>
          <w:szCs w:val="22"/>
          <w:lang w:val="en-ZA"/>
        </w:rPr>
        <w:t>: Chronic Health</w:t>
      </w:r>
    </w:p>
    <w:p w:rsidR="00223034" w:rsidRDefault="00223034" w:rsidP="003B404A">
      <w:pPr>
        <w:jc w:val="both"/>
        <w:rPr>
          <w:rFonts w:ascii="Arial" w:hAnsi="Arial" w:cs="Arial"/>
          <w:b/>
          <w:sz w:val="22"/>
          <w:szCs w:val="22"/>
          <w:lang w:val="en-ZA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614"/>
        <w:gridCol w:w="1538"/>
        <w:gridCol w:w="2008"/>
        <w:gridCol w:w="2912"/>
      </w:tblGrid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Months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Compliance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Failures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Samples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January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068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February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981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March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016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April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960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026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June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087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July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053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August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064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September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032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October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063</w:t>
            </w:r>
          </w:p>
        </w:tc>
      </w:tr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November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  <w:r w:rsidR="00FB14F9"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>062</w:t>
            </w:r>
          </w:p>
        </w:tc>
      </w:tr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December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 w:rsidRPr="00686614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934</w:t>
            </w:r>
          </w:p>
        </w:tc>
      </w:tr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Total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2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223034">
              <w:rPr>
                <w:rFonts w:ascii="Arial" w:hAnsi="Arial" w:cs="Arial"/>
                <w:b/>
                <w:lang w:val="en-ZA"/>
              </w:rPr>
              <w:t>12 346</w:t>
            </w:r>
          </w:p>
        </w:tc>
      </w:tr>
    </w:tbl>
    <w:p w:rsidR="003B404A" w:rsidRPr="001A3443" w:rsidRDefault="003B404A" w:rsidP="00496665">
      <w:pPr>
        <w:jc w:val="both"/>
        <w:rPr>
          <w:rFonts w:ascii="Arial" w:hAnsi="Arial" w:cs="Arial"/>
          <w:sz w:val="22"/>
          <w:szCs w:val="22"/>
        </w:rPr>
      </w:pPr>
    </w:p>
    <w:p w:rsidR="003B404A" w:rsidRPr="00B125F1" w:rsidRDefault="003B404A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  <w:r w:rsidRPr="00B125F1">
        <w:rPr>
          <w:rFonts w:ascii="Arial" w:hAnsi="Arial" w:cs="Arial"/>
          <w:b/>
          <w:sz w:val="22"/>
          <w:szCs w:val="22"/>
        </w:rPr>
        <w:t>Chemical -Non Health: Aesthetic</w:t>
      </w:r>
    </w:p>
    <w:p w:rsidR="003B404A" w:rsidRPr="001A3443" w:rsidRDefault="003B404A" w:rsidP="0049666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614"/>
        <w:gridCol w:w="1538"/>
        <w:gridCol w:w="2008"/>
        <w:gridCol w:w="2912"/>
      </w:tblGrid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Months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Compliance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Failures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Samples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January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A3443">
              <w:rPr>
                <w:rFonts w:ascii="Arial" w:hAnsi="Arial" w:cs="Arial"/>
              </w:rPr>
              <w:t>99.5%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293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February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223034">
              <w:rPr>
                <w:rFonts w:ascii="Arial" w:hAnsi="Arial" w:cs="Arial"/>
                <w:lang w:val="en-ZA"/>
              </w:rPr>
              <w:t>97.7%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286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March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223034">
              <w:rPr>
                <w:rFonts w:ascii="Arial" w:hAnsi="Arial" w:cs="Arial"/>
                <w:lang w:val="en-ZA"/>
              </w:rPr>
              <w:t>95.8%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289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April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223034">
              <w:rPr>
                <w:rFonts w:ascii="Arial" w:hAnsi="Arial" w:cs="Arial"/>
                <w:lang w:val="en-ZA"/>
              </w:rPr>
              <w:t>95.9%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274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223034">
              <w:rPr>
                <w:rFonts w:ascii="Arial" w:hAnsi="Arial" w:cs="Arial"/>
                <w:lang w:val="en-ZA"/>
              </w:rPr>
              <w:t>96.0%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287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June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223034">
              <w:rPr>
                <w:rFonts w:ascii="Arial" w:hAnsi="Arial" w:cs="Arial"/>
                <w:lang w:val="en-ZA"/>
              </w:rPr>
              <w:t>97.9%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297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lastRenderedPageBreak/>
              <w:t>July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223034">
              <w:rPr>
                <w:rFonts w:ascii="Arial" w:hAnsi="Arial" w:cs="Arial"/>
                <w:lang w:val="en-ZA"/>
              </w:rPr>
              <w:t>99.8%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295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August</w:t>
            </w:r>
          </w:p>
        </w:tc>
        <w:tc>
          <w:tcPr>
            <w:tcW w:w="1559" w:type="dxa"/>
          </w:tcPr>
          <w:p w:rsidR="00223034" w:rsidRPr="0022303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223034">
              <w:rPr>
                <w:rFonts w:ascii="Arial" w:hAnsi="Arial" w:cs="Arial"/>
                <w:lang w:val="en-ZA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294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September</w:t>
            </w:r>
          </w:p>
        </w:tc>
        <w:tc>
          <w:tcPr>
            <w:tcW w:w="1559" w:type="dxa"/>
          </w:tcPr>
          <w:p w:rsidR="00223034" w:rsidRPr="00223034" w:rsidRDefault="00223034">
            <w:pPr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292</w:t>
            </w:r>
          </w:p>
        </w:tc>
      </w:tr>
      <w:tr w:rsidR="00FB14F9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October</w:t>
            </w:r>
          </w:p>
        </w:tc>
        <w:tc>
          <w:tcPr>
            <w:tcW w:w="1559" w:type="dxa"/>
          </w:tcPr>
          <w:p w:rsidR="00223034" w:rsidRPr="00223034" w:rsidRDefault="00223034">
            <w:pPr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297</w:t>
            </w:r>
          </w:p>
        </w:tc>
      </w:tr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November</w:t>
            </w:r>
          </w:p>
        </w:tc>
        <w:tc>
          <w:tcPr>
            <w:tcW w:w="1559" w:type="dxa"/>
          </w:tcPr>
          <w:p w:rsidR="00223034" w:rsidRPr="00223034" w:rsidRDefault="00223034">
            <w:pPr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303</w:t>
            </w:r>
          </w:p>
        </w:tc>
      </w:tr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December</w:t>
            </w:r>
          </w:p>
        </w:tc>
        <w:tc>
          <w:tcPr>
            <w:tcW w:w="1559" w:type="dxa"/>
          </w:tcPr>
          <w:p w:rsidR="00223034" w:rsidRPr="00223034" w:rsidRDefault="00223034">
            <w:pPr>
              <w:rPr>
                <w:rFonts w:ascii="Arial" w:hAnsi="Arial" w:cs="Arial"/>
              </w:rPr>
            </w:pPr>
            <w:r w:rsidRPr="00223034">
              <w:rPr>
                <w:rFonts w:ascii="Arial" w:hAnsi="Arial" w:cs="Arial"/>
              </w:rPr>
              <w:t>&gt;99.9%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271</w:t>
            </w:r>
          </w:p>
        </w:tc>
      </w:tr>
      <w:tr w:rsidR="00223034" w:rsidRPr="00686614" w:rsidTr="00FB14F9">
        <w:tc>
          <w:tcPr>
            <w:tcW w:w="1701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Total</w:t>
            </w:r>
          </w:p>
        </w:tc>
        <w:tc>
          <w:tcPr>
            <w:tcW w:w="1559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223034">
              <w:rPr>
                <w:rFonts w:ascii="Arial" w:hAnsi="Arial" w:cs="Arial"/>
                <w:b/>
                <w:lang w:val="en-ZA"/>
              </w:rPr>
              <w:t>98.6%</w:t>
            </w:r>
          </w:p>
        </w:tc>
        <w:tc>
          <w:tcPr>
            <w:tcW w:w="2268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94</w:t>
            </w:r>
          </w:p>
        </w:tc>
        <w:tc>
          <w:tcPr>
            <w:tcW w:w="3402" w:type="dxa"/>
          </w:tcPr>
          <w:p w:rsidR="00223034" w:rsidRPr="00686614" w:rsidRDefault="00223034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314</w:t>
            </w:r>
          </w:p>
        </w:tc>
      </w:tr>
    </w:tbl>
    <w:p w:rsidR="003B404A" w:rsidRPr="001A3443" w:rsidRDefault="003B404A" w:rsidP="003B404A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3B404A" w:rsidRPr="00B125F1" w:rsidRDefault="003B404A" w:rsidP="00FB14F9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B125F1">
        <w:rPr>
          <w:rFonts w:ascii="Arial" w:hAnsi="Arial" w:cs="Arial"/>
          <w:b/>
          <w:sz w:val="22"/>
          <w:szCs w:val="22"/>
          <w:lang w:val="en-ZA"/>
        </w:rPr>
        <w:t xml:space="preserve">Operational </w:t>
      </w:r>
    </w:p>
    <w:p w:rsidR="003B404A" w:rsidRDefault="003B404A" w:rsidP="0049666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1603"/>
        <w:gridCol w:w="1536"/>
        <w:gridCol w:w="1978"/>
        <w:gridCol w:w="2955"/>
      </w:tblGrid>
      <w:tr w:rsidR="001C7FE0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Months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Compliance</w:t>
            </w:r>
          </w:p>
        </w:tc>
        <w:tc>
          <w:tcPr>
            <w:tcW w:w="2268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Failures</w:t>
            </w:r>
          </w:p>
        </w:tc>
        <w:tc>
          <w:tcPr>
            <w:tcW w:w="3402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Samples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January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</w:rPr>
              <w:t>98.8%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19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1 524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February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  <w:lang w:val="en-ZA"/>
              </w:rPr>
              <w:t>99.1%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1 428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March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  <w:lang w:val="en-ZA"/>
              </w:rPr>
              <w:t>98.9%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1 487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April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  <w:lang w:val="en-ZA"/>
              </w:rPr>
              <w:t>99.2%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1 418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May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  <w:lang w:val="en-ZA"/>
              </w:rPr>
              <w:t>99.5%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1 531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June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  <w:lang w:val="en-ZA"/>
              </w:rPr>
              <w:t>99.7%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1 596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July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  <w:lang w:val="en-ZA"/>
              </w:rPr>
              <w:t>99.1%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1 569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August</w:t>
            </w:r>
          </w:p>
        </w:tc>
        <w:tc>
          <w:tcPr>
            <w:tcW w:w="1559" w:type="dxa"/>
          </w:tcPr>
          <w:p w:rsidR="001C7FE0" w:rsidRPr="0022303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1C7FE0">
              <w:rPr>
                <w:rFonts w:ascii="Arial" w:hAnsi="Arial" w:cs="Arial"/>
                <w:lang w:val="en-ZA"/>
              </w:rPr>
              <w:t>99.9%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1 591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September</w:t>
            </w:r>
          </w:p>
        </w:tc>
        <w:tc>
          <w:tcPr>
            <w:tcW w:w="1559" w:type="dxa"/>
          </w:tcPr>
          <w:p w:rsidR="001C7FE0" w:rsidRPr="00223034" w:rsidRDefault="001C7FE0" w:rsidP="004E3778">
            <w:pPr>
              <w:rPr>
                <w:rFonts w:ascii="Arial" w:hAnsi="Arial" w:cs="Arial"/>
              </w:rPr>
            </w:pPr>
            <w:r w:rsidRPr="001C7FE0">
              <w:rPr>
                <w:rFonts w:ascii="Arial" w:hAnsi="Arial" w:cs="Arial"/>
              </w:rPr>
              <w:t>99.5%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1 553</w:t>
            </w:r>
          </w:p>
        </w:tc>
      </w:tr>
      <w:tr w:rsidR="00FB14F9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October</w:t>
            </w:r>
          </w:p>
        </w:tc>
        <w:tc>
          <w:tcPr>
            <w:tcW w:w="1559" w:type="dxa"/>
          </w:tcPr>
          <w:p w:rsidR="001C7FE0" w:rsidRPr="00223034" w:rsidRDefault="001C7FE0" w:rsidP="004E3778">
            <w:pPr>
              <w:rPr>
                <w:rFonts w:ascii="Arial" w:hAnsi="Arial" w:cs="Arial"/>
              </w:rPr>
            </w:pPr>
            <w:r w:rsidRPr="001C7FE0">
              <w:rPr>
                <w:rFonts w:ascii="Arial" w:hAnsi="Arial" w:cs="Arial"/>
              </w:rPr>
              <w:t>99.4%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1 585</w:t>
            </w:r>
          </w:p>
        </w:tc>
      </w:tr>
      <w:tr w:rsidR="001C7FE0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November</w:t>
            </w:r>
          </w:p>
        </w:tc>
        <w:tc>
          <w:tcPr>
            <w:tcW w:w="1559" w:type="dxa"/>
          </w:tcPr>
          <w:p w:rsidR="001C7FE0" w:rsidRPr="00223034" w:rsidRDefault="00FB14F9" w:rsidP="004E3778">
            <w:pPr>
              <w:rPr>
                <w:rFonts w:ascii="Arial" w:hAnsi="Arial" w:cs="Arial"/>
              </w:rPr>
            </w:pPr>
            <w:r w:rsidRPr="00FB14F9">
              <w:rPr>
                <w:rFonts w:ascii="Arial" w:hAnsi="Arial" w:cs="Arial"/>
              </w:rPr>
              <w:t>99.6%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1 581</w:t>
            </w:r>
          </w:p>
        </w:tc>
      </w:tr>
      <w:tr w:rsidR="001C7FE0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 w:rsidRPr="00686614">
              <w:rPr>
                <w:rFonts w:ascii="Arial" w:hAnsi="Arial" w:cs="Arial"/>
                <w:lang w:val="en-ZA"/>
              </w:rPr>
              <w:t>December</w:t>
            </w:r>
          </w:p>
        </w:tc>
        <w:tc>
          <w:tcPr>
            <w:tcW w:w="1559" w:type="dxa"/>
          </w:tcPr>
          <w:p w:rsidR="001C7FE0" w:rsidRPr="00223034" w:rsidRDefault="00FB14F9" w:rsidP="004E3778">
            <w:pPr>
              <w:rPr>
                <w:rFonts w:ascii="Arial" w:hAnsi="Arial" w:cs="Arial"/>
              </w:rPr>
            </w:pPr>
            <w:r w:rsidRPr="00FB14F9">
              <w:rPr>
                <w:rFonts w:ascii="Arial" w:hAnsi="Arial" w:cs="Arial"/>
              </w:rPr>
              <w:t>99.4%</w:t>
            </w:r>
          </w:p>
        </w:tc>
        <w:tc>
          <w:tcPr>
            <w:tcW w:w="2268" w:type="dxa"/>
          </w:tcPr>
          <w:p w:rsidR="001C7FE0" w:rsidRPr="00686614" w:rsidRDefault="00FB14F9" w:rsidP="004E3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:rsidR="001C7FE0" w:rsidRPr="00686614" w:rsidRDefault="00FB14F9" w:rsidP="004E3778">
            <w:pPr>
              <w:pStyle w:val="ListParagraph"/>
              <w:ind w:left="0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1 392</w:t>
            </w:r>
          </w:p>
        </w:tc>
      </w:tr>
      <w:tr w:rsidR="001C7FE0" w:rsidRPr="00686614" w:rsidTr="00FB14F9">
        <w:tc>
          <w:tcPr>
            <w:tcW w:w="1701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 w:rsidRPr="00686614">
              <w:rPr>
                <w:rFonts w:ascii="Arial" w:hAnsi="Arial" w:cs="Arial"/>
                <w:b/>
                <w:lang w:val="en-ZA"/>
              </w:rPr>
              <w:t>Total</w:t>
            </w:r>
          </w:p>
        </w:tc>
        <w:tc>
          <w:tcPr>
            <w:tcW w:w="1559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99.3</w:t>
            </w:r>
            <w:r w:rsidRPr="00223034">
              <w:rPr>
                <w:rFonts w:ascii="Arial" w:hAnsi="Arial" w:cs="Arial"/>
                <w:b/>
                <w:lang w:val="en-ZA"/>
              </w:rPr>
              <w:t>%</w:t>
            </w:r>
          </w:p>
        </w:tc>
        <w:tc>
          <w:tcPr>
            <w:tcW w:w="2268" w:type="dxa"/>
          </w:tcPr>
          <w:p w:rsidR="001C7FE0" w:rsidRPr="00686614" w:rsidRDefault="001C7FE0" w:rsidP="004E3778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120</w:t>
            </w:r>
          </w:p>
        </w:tc>
        <w:tc>
          <w:tcPr>
            <w:tcW w:w="3402" w:type="dxa"/>
          </w:tcPr>
          <w:p w:rsidR="001C7FE0" w:rsidRPr="00686614" w:rsidRDefault="001C7FE0" w:rsidP="00FB14F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55</w:t>
            </w:r>
          </w:p>
        </w:tc>
      </w:tr>
    </w:tbl>
    <w:p w:rsidR="001C7FE0" w:rsidRPr="001A3443" w:rsidRDefault="001C7FE0" w:rsidP="00496665">
      <w:pPr>
        <w:jc w:val="both"/>
        <w:rPr>
          <w:rFonts w:ascii="Arial" w:hAnsi="Arial" w:cs="Arial"/>
          <w:sz w:val="22"/>
          <w:szCs w:val="22"/>
        </w:rPr>
      </w:pPr>
    </w:p>
    <w:p w:rsidR="00B125F1" w:rsidRDefault="00B125F1" w:rsidP="00FB14F9">
      <w:pPr>
        <w:jc w:val="both"/>
        <w:rPr>
          <w:rFonts w:ascii="Arial" w:hAnsi="Arial" w:cs="Arial"/>
          <w:sz w:val="22"/>
          <w:szCs w:val="22"/>
        </w:rPr>
      </w:pPr>
    </w:p>
    <w:p w:rsidR="003B404A" w:rsidRPr="00FB14F9" w:rsidRDefault="007C7F14" w:rsidP="00496665">
      <w:pPr>
        <w:pStyle w:val="ListParagraph"/>
        <w:numPr>
          <w:ilvl w:val="0"/>
          <w:numId w:val="5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None, t</w:t>
      </w:r>
      <w:r w:rsidR="001A3443" w:rsidRPr="00FB14F9">
        <w:rPr>
          <w:rFonts w:ascii="Arial" w:hAnsi="Arial" w:cs="Arial"/>
          <w:sz w:val="22"/>
          <w:szCs w:val="22"/>
        </w:rPr>
        <w:t>he water quality test as provided above proves that there were no tests that failed to meet minimum standards as they are well</w:t>
      </w:r>
      <w:r w:rsidR="00FB14F9" w:rsidRPr="00FB14F9">
        <w:rPr>
          <w:rFonts w:ascii="Arial" w:hAnsi="Arial" w:cs="Arial"/>
          <w:sz w:val="22"/>
          <w:szCs w:val="22"/>
        </w:rPr>
        <w:t xml:space="preserve"> </w:t>
      </w:r>
      <w:r w:rsidR="001A3443" w:rsidRPr="00FB14F9">
        <w:rPr>
          <w:rFonts w:ascii="Arial" w:hAnsi="Arial" w:cs="Arial"/>
          <w:sz w:val="22"/>
          <w:szCs w:val="22"/>
        </w:rPr>
        <w:t xml:space="preserve">above </w:t>
      </w:r>
      <w:r w:rsidR="00F63D39" w:rsidRPr="00FB14F9">
        <w:rPr>
          <w:rFonts w:ascii="Arial" w:hAnsi="Arial" w:cs="Arial"/>
          <w:sz w:val="22"/>
          <w:szCs w:val="22"/>
        </w:rPr>
        <w:t xml:space="preserve">95% for each test conducted during 2018. </w:t>
      </w: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 w:rsidSect="00FB14F9">
      <w:headerReference w:type="default" r:id="rId8"/>
      <w:pgSz w:w="12240" w:h="15840"/>
      <w:pgMar w:top="851" w:right="1440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D8" w:rsidRDefault="00E468D8" w:rsidP="00B425C7">
      <w:r>
        <w:separator/>
      </w:r>
    </w:p>
  </w:endnote>
  <w:endnote w:type="continuationSeparator" w:id="0">
    <w:p w:rsidR="00E468D8" w:rsidRDefault="00E468D8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D8" w:rsidRDefault="00E468D8" w:rsidP="00B425C7">
      <w:r>
        <w:separator/>
      </w:r>
    </w:p>
  </w:footnote>
  <w:footnote w:type="continuationSeparator" w:id="0">
    <w:p w:rsidR="00E468D8" w:rsidRDefault="00E468D8" w:rsidP="00B4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9" w:rsidRDefault="00FB14F9">
    <w:pPr>
      <w:pStyle w:val="Header"/>
      <w:jc w:val="center"/>
    </w:pPr>
    <w:r>
      <w:t>2</w:t>
    </w:r>
  </w:p>
  <w:p w:rsidR="00FB14F9" w:rsidRDefault="00FB1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E661A"/>
    <w:multiLevelType w:val="hybridMultilevel"/>
    <w:tmpl w:val="1ED2DFC6"/>
    <w:lvl w:ilvl="0" w:tplc="D7A8E3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3525F"/>
    <w:multiLevelType w:val="multilevel"/>
    <w:tmpl w:val="79DEE0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C367C8C"/>
    <w:multiLevelType w:val="hybridMultilevel"/>
    <w:tmpl w:val="0DA2814A"/>
    <w:lvl w:ilvl="0" w:tplc="700CEDA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04C4"/>
    <w:multiLevelType w:val="hybridMultilevel"/>
    <w:tmpl w:val="96FA8A56"/>
    <w:lvl w:ilvl="0" w:tplc="A1BAF1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C7"/>
    <w:rsid w:val="000F65F4"/>
    <w:rsid w:val="001A3443"/>
    <w:rsid w:val="001B7A43"/>
    <w:rsid w:val="001C7FE0"/>
    <w:rsid w:val="00207325"/>
    <w:rsid w:val="00220C7A"/>
    <w:rsid w:val="00223034"/>
    <w:rsid w:val="002411EA"/>
    <w:rsid w:val="00241803"/>
    <w:rsid w:val="00252C1E"/>
    <w:rsid w:val="002732D0"/>
    <w:rsid w:val="003076B5"/>
    <w:rsid w:val="00392C93"/>
    <w:rsid w:val="003B404A"/>
    <w:rsid w:val="003F0DF4"/>
    <w:rsid w:val="00466EAD"/>
    <w:rsid w:val="00481D62"/>
    <w:rsid w:val="00496665"/>
    <w:rsid w:val="005852A9"/>
    <w:rsid w:val="005E32C7"/>
    <w:rsid w:val="005F1593"/>
    <w:rsid w:val="00686614"/>
    <w:rsid w:val="006E5263"/>
    <w:rsid w:val="007C3899"/>
    <w:rsid w:val="007C7F14"/>
    <w:rsid w:val="007E12DD"/>
    <w:rsid w:val="00835C12"/>
    <w:rsid w:val="008C7E37"/>
    <w:rsid w:val="008F6257"/>
    <w:rsid w:val="00990959"/>
    <w:rsid w:val="009A2D93"/>
    <w:rsid w:val="009B2AB0"/>
    <w:rsid w:val="00AD0A5A"/>
    <w:rsid w:val="00AE5FB2"/>
    <w:rsid w:val="00B064C8"/>
    <w:rsid w:val="00B125F1"/>
    <w:rsid w:val="00B425C7"/>
    <w:rsid w:val="00B52304"/>
    <w:rsid w:val="00B97586"/>
    <w:rsid w:val="00C66E23"/>
    <w:rsid w:val="00CB52C9"/>
    <w:rsid w:val="00DE3453"/>
    <w:rsid w:val="00DE5A13"/>
    <w:rsid w:val="00E468D8"/>
    <w:rsid w:val="00EF445B"/>
    <w:rsid w:val="00F40190"/>
    <w:rsid w:val="00F445F4"/>
    <w:rsid w:val="00F63D39"/>
    <w:rsid w:val="00F96274"/>
    <w:rsid w:val="00FB14F9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PUMZA</cp:lastModifiedBy>
  <cp:revision>2</cp:revision>
  <cp:lastPrinted>2019-02-11T14:24:00Z</cp:lastPrinted>
  <dcterms:created xsi:type="dcterms:W3CDTF">2019-03-29T12:03:00Z</dcterms:created>
  <dcterms:modified xsi:type="dcterms:W3CDTF">2019-03-29T12:03:00Z</dcterms:modified>
</cp:coreProperties>
</file>