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B9" w:rsidRDefault="00AB61B9">
      <w:pPr>
        <w:ind w:left="-540"/>
        <w:rPr>
          <w:color w:val="000000"/>
          <w:sz w:val="22"/>
        </w:rPr>
      </w:pPr>
    </w:p>
    <w:p w:rsidR="00AB61B9" w:rsidRDefault="00AB61B9" w:rsidP="00CB7B00">
      <w:pPr>
        <w:rPr>
          <w:sz w:val="20"/>
          <w:szCs w:val="20"/>
        </w:rPr>
      </w:pPr>
    </w:p>
    <w:p w:rsidR="00AB61B9" w:rsidRDefault="00AB61B9" w:rsidP="00CB7B00">
      <w:pPr>
        <w:rPr>
          <w:sz w:val="20"/>
          <w:szCs w:val="20"/>
        </w:rPr>
      </w:pPr>
    </w:p>
    <w:p w:rsidR="00AB61B9" w:rsidRDefault="00AB61B9" w:rsidP="00CB7B00">
      <w:pPr>
        <w:rPr>
          <w:sz w:val="20"/>
          <w:szCs w:val="20"/>
        </w:rPr>
      </w:pPr>
    </w:p>
    <w:p w:rsidR="00AB61B9" w:rsidRDefault="00AB61B9" w:rsidP="00CB7B00">
      <w:pPr>
        <w:rPr>
          <w:sz w:val="20"/>
          <w:szCs w:val="20"/>
        </w:rPr>
      </w:pPr>
    </w:p>
    <w:p w:rsidR="00AB61B9" w:rsidRDefault="00AB61B9" w:rsidP="004441AE">
      <w:pPr>
        <w:jc w:val="center"/>
        <w:rPr>
          <w:rFonts w:ascii="Tahoma" w:hAnsi="Tahoma" w:cs="Tahoma"/>
          <w:b/>
          <w:sz w:val="22"/>
          <w:szCs w:val="22"/>
        </w:rPr>
      </w:pPr>
    </w:p>
    <w:p w:rsidR="00AB61B9" w:rsidRDefault="00AB61B9" w:rsidP="000524DB">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54.5pt;margin-top:5.1pt;width:104.35pt;height:84pt;z-index:251658240;visibility:visible;mso-wrap-distance-left:0;mso-wrap-distance-right:0;mso-position-vertical-relative:line" o:allowoverlap="f">
            <v:imagedata r:id="rId7" o:title="" gain="1.25" blacklevel="-3277f"/>
            <w10:wrap type="square"/>
          </v:shape>
        </w:pict>
      </w:r>
    </w:p>
    <w:p w:rsidR="00AB61B9" w:rsidRDefault="00AB61B9" w:rsidP="000524DB">
      <w:pPr>
        <w:rPr>
          <w:lang w:val="en-ZA"/>
        </w:rPr>
      </w:pPr>
    </w:p>
    <w:p w:rsidR="00AB61B9" w:rsidRDefault="00AB61B9" w:rsidP="000524DB">
      <w:pPr>
        <w:pStyle w:val="BodyText"/>
        <w:spacing w:after="0"/>
        <w:jc w:val="center"/>
        <w:outlineLvl w:val="0"/>
        <w:rPr>
          <w:rFonts w:ascii="Arial" w:hAnsi="Arial" w:cs="Arial"/>
          <w:b/>
          <w:bCs/>
        </w:rPr>
      </w:pPr>
    </w:p>
    <w:p w:rsidR="00AB61B9" w:rsidRDefault="00AB61B9" w:rsidP="000524DB">
      <w:pPr>
        <w:jc w:val="center"/>
      </w:pPr>
    </w:p>
    <w:p w:rsidR="00AB61B9" w:rsidRDefault="00AB61B9" w:rsidP="000524DB">
      <w:pPr>
        <w:jc w:val="center"/>
      </w:pPr>
    </w:p>
    <w:p w:rsidR="00AB61B9" w:rsidRDefault="00AB61B9" w:rsidP="000524DB">
      <w:pPr>
        <w:jc w:val="center"/>
      </w:pPr>
    </w:p>
    <w:p w:rsidR="00AB61B9" w:rsidRDefault="00AB61B9" w:rsidP="000524DB">
      <w:pPr>
        <w:jc w:val="center"/>
        <w:rPr>
          <w:rFonts w:ascii="Gill Sans MT" w:hAnsi="Gill Sans MT"/>
          <w:sz w:val="16"/>
          <w:szCs w:val="16"/>
        </w:rPr>
      </w:pPr>
    </w:p>
    <w:p w:rsidR="00AB61B9" w:rsidRPr="000C5074" w:rsidRDefault="00AB61B9" w:rsidP="000524DB">
      <w:pPr>
        <w:spacing w:line="16" w:lineRule="atLeast"/>
        <w:jc w:val="center"/>
        <w:rPr>
          <w:rFonts w:ascii="Gill Sans MT" w:hAnsi="Gill Sans MT"/>
          <w:sz w:val="16"/>
          <w:szCs w:val="16"/>
        </w:rPr>
      </w:pPr>
    </w:p>
    <w:p w:rsidR="00AB61B9" w:rsidRDefault="00AB61B9" w:rsidP="000524DB">
      <w:pPr>
        <w:pStyle w:val="NoSpacing"/>
        <w:rPr>
          <w:b/>
          <w:color w:val="4F6228"/>
          <w:sz w:val="16"/>
          <w:szCs w:val="16"/>
        </w:rPr>
      </w:pPr>
    </w:p>
    <w:p w:rsidR="00AB61B9" w:rsidRPr="00063424" w:rsidRDefault="00AB61B9" w:rsidP="000524DB">
      <w:pPr>
        <w:jc w:val="center"/>
        <w:rPr>
          <w:rFonts w:ascii="Arial" w:hAnsi="Arial" w:cs="Arial"/>
          <w:b/>
        </w:rPr>
      </w:pPr>
      <w:r w:rsidRPr="00063424">
        <w:rPr>
          <w:rFonts w:ascii="Arial" w:hAnsi="Arial" w:cs="Arial"/>
          <w:b/>
        </w:rPr>
        <w:t>DEPARTMENT: PUBLIC ENTERPRISES</w:t>
      </w:r>
    </w:p>
    <w:p w:rsidR="00AB61B9" w:rsidRPr="00063424" w:rsidRDefault="00AB61B9"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AB61B9" w:rsidRDefault="00AB61B9" w:rsidP="006D0793">
      <w:pPr>
        <w:jc w:val="both"/>
        <w:rPr>
          <w:rFonts w:ascii="Tahoma" w:hAnsi="Tahoma" w:cs="Tahoma"/>
          <w:b/>
          <w:sz w:val="22"/>
          <w:szCs w:val="22"/>
        </w:rPr>
      </w:pPr>
    </w:p>
    <w:p w:rsidR="00AB61B9" w:rsidRPr="006D0793" w:rsidRDefault="00AB61B9" w:rsidP="006D0793">
      <w:pPr>
        <w:jc w:val="both"/>
        <w:rPr>
          <w:rFonts w:ascii="Arial" w:hAnsi="Arial" w:cs="Arial"/>
          <w:b/>
          <w:sz w:val="22"/>
          <w:szCs w:val="22"/>
        </w:rPr>
      </w:pPr>
    </w:p>
    <w:p w:rsidR="00AB61B9" w:rsidRPr="00C0747F" w:rsidRDefault="00AB61B9" w:rsidP="00C0747F">
      <w:pPr>
        <w:jc w:val="center"/>
        <w:rPr>
          <w:rFonts w:ascii="Arial" w:hAnsi="Arial" w:cs="Arial"/>
          <w:b/>
          <w:sz w:val="22"/>
          <w:szCs w:val="22"/>
        </w:rPr>
      </w:pPr>
      <w:r w:rsidRPr="00C0747F">
        <w:rPr>
          <w:rFonts w:ascii="Arial" w:hAnsi="Arial" w:cs="Arial"/>
          <w:b/>
          <w:sz w:val="22"/>
          <w:szCs w:val="22"/>
        </w:rPr>
        <w:t>NATIONAL ASSEMBLY</w:t>
      </w:r>
    </w:p>
    <w:p w:rsidR="00AB61B9" w:rsidRPr="00C0747F" w:rsidRDefault="00AB61B9" w:rsidP="00C0747F">
      <w:pPr>
        <w:jc w:val="both"/>
        <w:rPr>
          <w:rFonts w:ascii="Arial" w:hAnsi="Arial" w:cs="Arial"/>
          <w:sz w:val="22"/>
          <w:szCs w:val="22"/>
        </w:rPr>
      </w:pPr>
    </w:p>
    <w:p w:rsidR="00AB61B9" w:rsidRPr="00C0747F" w:rsidRDefault="00AB61B9" w:rsidP="00C0747F">
      <w:pPr>
        <w:jc w:val="both"/>
        <w:rPr>
          <w:rFonts w:ascii="Arial" w:hAnsi="Arial" w:cs="Arial"/>
          <w:b/>
          <w:sz w:val="22"/>
          <w:szCs w:val="22"/>
        </w:rPr>
      </w:pPr>
      <w:r w:rsidRPr="00C0747F">
        <w:rPr>
          <w:rFonts w:ascii="Arial" w:hAnsi="Arial" w:cs="Arial"/>
          <w:b/>
          <w:sz w:val="22"/>
          <w:szCs w:val="22"/>
        </w:rPr>
        <w:t>QUESTION FOR WRITTEN REPLY</w:t>
      </w:r>
    </w:p>
    <w:p w:rsidR="00AB61B9" w:rsidRPr="00C0747F" w:rsidRDefault="00AB61B9" w:rsidP="00C0747F">
      <w:pPr>
        <w:jc w:val="both"/>
        <w:rPr>
          <w:rFonts w:ascii="Arial" w:hAnsi="Arial" w:cs="Arial"/>
          <w:b/>
          <w:sz w:val="22"/>
          <w:szCs w:val="22"/>
        </w:rPr>
      </w:pPr>
    </w:p>
    <w:p w:rsidR="00AB61B9" w:rsidRPr="00C0747F" w:rsidRDefault="00AB61B9" w:rsidP="00C0747F">
      <w:pPr>
        <w:jc w:val="both"/>
        <w:rPr>
          <w:rFonts w:ascii="Arial" w:hAnsi="Arial" w:cs="Arial"/>
          <w:b/>
          <w:sz w:val="22"/>
          <w:szCs w:val="22"/>
        </w:rPr>
      </w:pPr>
      <w:r w:rsidRPr="00C0747F">
        <w:rPr>
          <w:rFonts w:ascii="Arial" w:hAnsi="Arial" w:cs="Arial"/>
          <w:b/>
          <w:sz w:val="22"/>
          <w:szCs w:val="22"/>
        </w:rPr>
        <w:t>QUESTION NO: 10</w:t>
      </w:r>
      <w:r>
        <w:rPr>
          <w:rFonts w:ascii="Arial" w:hAnsi="Arial" w:cs="Arial"/>
          <w:b/>
          <w:sz w:val="22"/>
          <w:szCs w:val="22"/>
        </w:rPr>
        <w:t>37</w:t>
      </w:r>
    </w:p>
    <w:p w:rsidR="00AB61B9" w:rsidRPr="00C0747F" w:rsidRDefault="00AB61B9" w:rsidP="00C0747F">
      <w:pPr>
        <w:jc w:val="both"/>
        <w:rPr>
          <w:rFonts w:ascii="Arial" w:hAnsi="Arial" w:cs="Arial"/>
          <w:b/>
          <w:sz w:val="22"/>
          <w:szCs w:val="22"/>
        </w:rPr>
      </w:pPr>
    </w:p>
    <w:p w:rsidR="00AB61B9" w:rsidRPr="00C0747F" w:rsidRDefault="00AB61B9" w:rsidP="00C0747F">
      <w:pPr>
        <w:jc w:val="both"/>
        <w:rPr>
          <w:rFonts w:ascii="Arial" w:hAnsi="Arial" w:cs="Arial"/>
          <w:b/>
          <w:sz w:val="22"/>
          <w:szCs w:val="22"/>
        </w:rPr>
      </w:pPr>
      <w:r w:rsidRPr="00C0747F">
        <w:rPr>
          <w:rFonts w:ascii="Arial" w:hAnsi="Arial" w:cs="Arial"/>
          <w:b/>
          <w:sz w:val="22"/>
          <w:szCs w:val="22"/>
        </w:rPr>
        <w:t>DATE OF PUBLICATION: 11 April 2016</w:t>
      </w:r>
    </w:p>
    <w:p w:rsidR="00AB61B9" w:rsidRPr="00C0747F" w:rsidRDefault="00AB61B9" w:rsidP="00C0747F">
      <w:pPr>
        <w:jc w:val="both"/>
        <w:rPr>
          <w:rFonts w:ascii="Arial" w:hAnsi="Arial" w:cs="Arial"/>
          <w:sz w:val="22"/>
          <w:szCs w:val="22"/>
        </w:rPr>
      </w:pPr>
    </w:p>
    <w:p w:rsidR="00AB61B9" w:rsidRPr="00C0747F" w:rsidRDefault="00AB61B9" w:rsidP="00C0747F">
      <w:pPr>
        <w:jc w:val="both"/>
        <w:rPr>
          <w:rFonts w:ascii="Arial" w:hAnsi="Arial" w:cs="Arial"/>
          <w:sz w:val="22"/>
          <w:szCs w:val="22"/>
        </w:rPr>
      </w:pPr>
    </w:p>
    <w:p w:rsidR="00AB61B9" w:rsidRPr="00C0747F" w:rsidRDefault="00AB61B9" w:rsidP="00F0283E">
      <w:pPr>
        <w:spacing w:before="100" w:beforeAutospacing="1" w:after="100" w:afterAutospacing="1"/>
        <w:ind w:left="990" w:hanging="990"/>
        <w:jc w:val="both"/>
        <w:rPr>
          <w:rFonts w:ascii="Arial" w:hAnsi="Arial" w:cs="Arial"/>
          <w:b/>
          <w:bCs/>
          <w:sz w:val="22"/>
          <w:szCs w:val="22"/>
          <w:lang w:val="af-ZA"/>
        </w:rPr>
      </w:pPr>
      <w:r w:rsidRPr="00C0747F">
        <w:rPr>
          <w:rFonts w:ascii="Arial" w:hAnsi="Arial" w:cs="Arial"/>
          <w:b/>
          <w:bCs/>
          <w:sz w:val="22"/>
          <w:szCs w:val="22"/>
          <w:lang w:val="af-ZA"/>
        </w:rPr>
        <w:t>1037.</w:t>
      </w:r>
      <w:r w:rsidRPr="00C0747F">
        <w:rPr>
          <w:rFonts w:ascii="Arial" w:hAnsi="Arial" w:cs="Arial"/>
          <w:b/>
          <w:bCs/>
          <w:sz w:val="22"/>
          <w:szCs w:val="22"/>
          <w:lang w:val="af-ZA"/>
        </w:rPr>
        <w:tab/>
        <w:t>Ms N W A Mazzone (DA) to ask the Minister of Public Enterprises:</w:t>
      </w:r>
    </w:p>
    <w:p w:rsidR="00AB61B9" w:rsidRPr="00C0747F" w:rsidRDefault="00AB61B9" w:rsidP="00F0283E">
      <w:pPr>
        <w:spacing w:line="360" w:lineRule="auto"/>
        <w:ind w:left="990" w:hanging="990"/>
        <w:jc w:val="both"/>
        <w:rPr>
          <w:rFonts w:ascii="Arial" w:hAnsi="Arial" w:cs="Arial"/>
          <w:sz w:val="22"/>
          <w:szCs w:val="22"/>
          <w:lang w:val="af-ZA"/>
        </w:rPr>
      </w:pPr>
      <w:r w:rsidRPr="00C0747F">
        <w:rPr>
          <w:rFonts w:ascii="Arial" w:hAnsi="Arial" w:cs="Arial"/>
          <w:sz w:val="22"/>
          <w:szCs w:val="22"/>
          <w:lang w:val="af-ZA"/>
        </w:rPr>
        <w:t>(1)</w:t>
      </w:r>
      <w:r w:rsidRPr="00C0747F">
        <w:rPr>
          <w:rFonts w:ascii="Arial" w:hAnsi="Arial" w:cs="Arial"/>
          <w:sz w:val="22"/>
          <w:szCs w:val="22"/>
          <w:lang w:val="af-ZA"/>
        </w:rPr>
        <w:tab/>
        <w:t>With reference to the impending grain imports as a result of the current drought in the country, and assurances by her department given in the Portfolio Committee on Public Enterprises that all ports were ready to receive the grain imports, (a) what is (i) her department and (ii) Transnet doing to ensure that each port is ready for the massive expected influx of grain imports, (b) how many ships carrying grain are expected to dock at each of the ports, (c) which ports will be used and (d) what is the capacity of each port to accommodate the (i) ships and (ii) grain.</w:t>
      </w:r>
    </w:p>
    <w:p w:rsidR="00AB61B9" w:rsidRDefault="00AB61B9" w:rsidP="00C0747F">
      <w:pPr>
        <w:pStyle w:val="ListParagraph"/>
        <w:ind w:left="0"/>
        <w:jc w:val="both"/>
        <w:rPr>
          <w:rFonts w:ascii="Arial" w:hAnsi="Arial" w:cs="Arial"/>
          <w:sz w:val="22"/>
          <w:szCs w:val="22"/>
        </w:rPr>
      </w:pPr>
    </w:p>
    <w:p w:rsidR="00AB61B9" w:rsidRPr="00C0747F" w:rsidRDefault="00AB61B9" w:rsidP="00C0747F">
      <w:pPr>
        <w:pStyle w:val="ListParagraph"/>
        <w:ind w:left="0"/>
        <w:jc w:val="both"/>
        <w:rPr>
          <w:rFonts w:ascii="Arial" w:hAnsi="Arial" w:cs="Arial"/>
          <w:sz w:val="22"/>
          <w:szCs w:val="22"/>
        </w:rPr>
      </w:pPr>
    </w:p>
    <w:p w:rsidR="00AB61B9" w:rsidRPr="00C0747F" w:rsidRDefault="00AB61B9" w:rsidP="00C0747F">
      <w:pPr>
        <w:jc w:val="both"/>
        <w:rPr>
          <w:rFonts w:ascii="Arial" w:hAnsi="Arial" w:cs="Arial"/>
          <w:b/>
          <w:sz w:val="22"/>
          <w:szCs w:val="22"/>
          <w:lang w:val="en-ZA"/>
        </w:rPr>
      </w:pPr>
      <w:r>
        <w:rPr>
          <w:rFonts w:ascii="Arial" w:hAnsi="Arial" w:cs="Arial"/>
          <w:b/>
          <w:bCs/>
          <w:sz w:val="22"/>
          <w:szCs w:val="22"/>
        </w:rPr>
        <w:t>REPLY</w:t>
      </w:r>
      <w:r w:rsidRPr="00C0747F">
        <w:rPr>
          <w:rFonts w:ascii="Arial" w:hAnsi="Arial" w:cs="Arial"/>
          <w:b/>
          <w:bCs/>
          <w:sz w:val="22"/>
          <w:szCs w:val="22"/>
        </w:rPr>
        <w:t>:</w:t>
      </w:r>
    </w:p>
    <w:p w:rsidR="00AB61B9" w:rsidRDefault="00AB61B9" w:rsidP="00F0283E">
      <w:pPr>
        <w:tabs>
          <w:tab w:val="left" w:pos="1170"/>
        </w:tabs>
        <w:jc w:val="both"/>
        <w:rPr>
          <w:rFonts w:ascii="Arial" w:hAnsi="Arial" w:cs="Arial"/>
          <w:sz w:val="22"/>
          <w:szCs w:val="22"/>
          <w:lang w:val="en-ZA"/>
        </w:rPr>
      </w:pPr>
    </w:p>
    <w:p w:rsidR="00AB61B9" w:rsidRPr="00C0747F" w:rsidRDefault="00AB61B9" w:rsidP="00F0283E">
      <w:pPr>
        <w:tabs>
          <w:tab w:val="left" w:pos="1170"/>
        </w:tabs>
        <w:jc w:val="both"/>
        <w:rPr>
          <w:rFonts w:ascii="Arial" w:hAnsi="Arial" w:cs="Arial"/>
          <w:sz w:val="22"/>
          <w:szCs w:val="22"/>
          <w:lang w:val="en-ZA"/>
        </w:rPr>
      </w:pPr>
    </w:p>
    <w:p w:rsidR="00AB61B9" w:rsidRPr="00F0283E" w:rsidRDefault="00AB61B9" w:rsidP="00DA243A">
      <w:pPr>
        <w:pStyle w:val="ListParagraph"/>
        <w:numPr>
          <w:ilvl w:val="0"/>
          <w:numId w:val="11"/>
        </w:numPr>
        <w:tabs>
          <w:tab w:val="left" w:pos="540"/>
          <w:tab w:val="left" w:pos="630"/>
          <w:tab w:val="left" w:pos="720"/>
          <w:tab w:val="left" w:pos="810"/>
          <w:tab w:val="left" w:pos="990"/>
        </w:tabs>
        <w:spacing w:after="200" w:line="360" w:lineRule="auto"/>
        <w:ind w:left="990" w:hanging="990"/>
        <w:jc w:val="both"/>
        <w:rPr>
          <w:rFonts w:ascii="Arial" w:hAnsi="Arial" w:cs="Arial"/>
          <w:sz w:val="22"/>
          <w:szCs w:val="22"/>
          <w:lang w:val="af-ZA"/>
        </w:rPr>
      </w:pPr>
      <w:r>
        <w:rPr>
          <w:rFonts w:ascii="Arial" w:hAnsi="Arial" w:cs="Arial"/>
          <w:sz w:val="22"/>
          <w:szCs w:val="22"/>
          <w:lang w:val="af-ZA"/>
        </w:rPr>
        <w:t xml:space="preserve">(a)  </w:t>
      </w:r>
      <w:r w:rsidRPr="00F0283E">
        <w:rPr>
          <w:rFonts w:ascii="Arial" w:hAnsi="Arial" w:cs="Arial"/>
          <w:sz w:val="22"/>
          <w:szCs w:val="22"/>
          <w:lang w:val="af-ZA"/>
        </w:rPr>
        <w:t>Transnet has formed a working group represented by Transnet National Ports Authority (“TNPA”), Transnet Port Terminals (“TPT”) and Transnet Freight Rail (“TFR”)</w:t>
      </w:r>
      <w:r>
        <w:rPr>
          <w:rFonts w:ascii="Arial" w:hAnsi="Arial" w:cs="Arial"/>
          <w:sz w:val="22"/>
          <w:szCs w:val="22"/>
          <w:lang w:val="af-ZA"/>
        </w:rPr>
        <w:t xml:space="preserve"> in</w:t>
      </w:r>
      <w:r w:rsidRPr="00F0283E">
        <w:rPr>
          <w:rFonts w:ascii="Arial" w:hAnsi="Arial" w:cs="Arial"/>
          <w:sz w:val="22"/>
          <w:szCs w:val="22"/>
          <w:lang w:val="af-ZA"/>
        </w:rPr>
        <w:t xml:space="preserve"> ensuring that any challenges that may ensue are addressed by all affected operating divisions to ensure an efficient, effective and consistent safe operation. The import programme is coordinated by Grain South Africa’s Logistics and Planning Committee (SACOTA) and comprises of representatives from all the ports, railways, traders, silo owners and millers.  </w:t>
      </w:r>
    </w:p>
    <w:p w:rsidR="00AB61B9" w:rsidRDefault="00AB61B9" w:rsidP="00C0747F">
      <w:pPr>
        <w:pStyle w:val="ListParagraph"/>
        <w:rPr>
          <w:rFonts w:ascii="Arial" w:hAnsi="Arial" w:cs="Arial"/>
          <w:sz w:val="22"/>
          <w:szCs w:val="22"/>
          <w:lang w:val="af-ZA"/>
        </w:rPr>
      </w:pPr>
    </w:p>
    <w:p w:rsidR="00AB61B9" w:rsidRDefault="00AB61B9" w:rsidP="00C0747F">
      <w:pPr>
        <w:pStyle w:val="ListParagraph"/>
        <w:rPr>
          <w:rFonts w:ascii="Arial" w:hAnsi="Arial" w:cs="Arial"/>
          <w:sz w:val="22"/>
          <w:szCs w:val="22"/>
          <w:lang w:val="af-ZA"/>
        </w:rPr>
      </w:pPr>
    </w:p>
    <w:p w:rsidR="00AB61B9" w:rsidRDefault="00AB61B9" w:rsidP="00C0747F">
      <w:pPr>
        <w:pStyle w:val="ListParagraph"/>
        <w:rPr>
          <w:rFonts w:ascii="Arial" w:hAnsi="Arial" w:cs="Arial"/>
          <w:sz w:val="22"/>
          <w:szCs w:val="22"/>
          <w:lang w:val="af-ZA"/>
        </w:rPr>
      </w:pPr>
    </w:p>
    <w:p w:rsidR="00AB61B9" w:rsidRDefault="00AB61B9" w:rsidP="00C0747F">
      <w:pPr>
        <w:pStyle w:val="ListParagraph"/>
        <w:rPr>
          <w:rFonts w:ascii="Arial" w:hAnsi="Arial" w:cs="Arial"/>
          <w:sz w:val="22"/>
          <w:szCs w:val="22"/>
          <w:lang w:val="af-ZA"/>
        </w:rPr>
      </w:pPr>
    </w:p>
    <w:p w:rsidR="00AB61B9" w:rsidRPr="00C0747F" w:rsidRDefault="00AB61B9" w:rsidP="00C0747F">
      <w:pPr>
        <w:pStyle w:val="ListParagraph"/>
        <w:rPr>
          <w:rFonts w:ascii="Arial" w:hAnsi="Arial" w:cs="Arial"/>
          <w:sz w:val="22"/>
          <w:szCs w:val="22"/>
          <w:lang w:val="af-ZA"/>
        </w:rPr>
      </w:pPr>
    </w:p>
    <w:p w:rsidR="00AB61B9" w:rsidRPr="00DA243A" w:rsidRDefault="00AB61B9" w:rsidP="00DA243A">
      <w:pPr>
        <w:tabs>
          <w:tab w:val="left" w:pos="540"/>
          <w:tab w:val="left" w:pos="630"/>
          <w:tab w:val="left" w:pos="720"/>
          <w:tab w:val="left" w:pos="990"/>
        </w:tabs>
        <w:spacing w:after="200" w:line="360" w:lineRule="auto"/>
        <w:ind w:left="990" w:hanging="360"/>
        <w:jc w:val="both"/>
        <w:rPr>
          <w:rFonts w:ascii="Arial" w:hAnsi="Arial" w:cs="Arial"/>
          <w:sz w:val="22"/>
          <w:szCs w:val="22"/>
          <w:lang w:val="af-ZA"/>
        </w:rPr>
      </w:pPr>
      <w:r>
        <w:rPr>
          <w:rFonts w:ascii="Arial" w:hAnsi="Arial" w:cs="Arial"/>
          <w:sz w:val="22"/>
          <w:szCs w:val="22"/>
          <w:lang w:val="af-ZA"/>
        </w:rPr>
        <w:t>(</w:t>
      </w:r>
      <w:r w:rsidRPr="00DA243A">
        <w:rPr>
          <w:rFonts w:ascii="Arial" w:hAnsi="Arial" w:cs="Arial"/>
          <w:sz w:val="22"/>
          <w:szCs w:val="22"/>
          <w:lang w:val="af-ZA"/>
        </w:rPr>
        <w:t>b)</w:t>
      </w:r>
      <w:r w:rsidRPr="00DA243A">
        <w:rPr>
          <w:rFonts w:ascii="Arial" w:hAnsi="Arial" w:cs="Arial"/>
          <w:sz w:val="22"/>
          <w:szCs w:val="22"/>
          <w:lang w:val="af-ZA"/>
        </w:rPr>
        <w:tab/>
        <w:t xml:space="preserve">The total number will be driven by the commercial agreements between the shippping </w:t>
      </w:r>
      <w:r w:rsidRPr="00DA243A">
        <w:rPr>
          <w:rFonts w:ascii="Arial" w:hAnsi="Arial" w:cs="Arial"/>
          <w:sz w:val="22"/>
          <w:szCs w:val="22"/>
          <w:lang w:val="af-ZA"/>
        </w:rPr>
        <w:tab/>
        <w:t xml:space="preserve">lines and the cargo owners.  In terms of berth availability, vessels will be allocated berths according to vessels length, parcel size, draft, method of handling and safety considerations.   </w:t>
      </w:r>
    </w:p>
    <w:p w:rsidR="00AB61B9" w:rsidRPr="00C0747F" w:rsidRDefault="00AB61B9" w:rsidP="00C0747F">
      <w:pPr>
        <w:pStyle w:val="ListParagraph"/>
        <w:ind w:left="420"/>
        <w:rPr>
          <w:rFonts w:ascii="Arial" w:hAnsi="Arial" w:cs="Arial"/>
          <w:sz w:val="22"/>
          <w:szCs w:val="22"/>
          <w:lang w:val="af-ZA"/>
        </w:rPr>
      </w:pPr>
    </w:p>
    <w:p w:rsidR="00AB61B9" w:rsidRPr="00DA243A" w:rsidRDefault="00AB61B9" w:rsidP="00DA243A">
      <w:pPr>
        <w:tabs>
          <w:tab w:val="left" w:pos="540"/>
          <w:tab w:val="left" w:pos="630"/>
          <w:tab w:val="left" w:pos="720"/>
          <w:tab w:val="left" w:pos="990"/>
        </w:tabs>
        <w:spacing w:after="200" w:line="360" w:lineRule="auto"/>
        <w:ind w:left="990" w:hanging="360"/>
        <w:jc w:val="both"/>
        <w:rPr>
          <w:rFonts w:ascii="Arial" w:hAnsi="Arial" w:cs="Arial"/>
          <w:sz w:val="22"/>
          <w:szCs w:val="22"/>
          <w:lang w:val="af-ZA"/>
        </w:rPr>
      </w:pPr>
      <w:r>
        <w:rPr>
          <w:rFonts w:ascii="Arial" w:hAnsi="Arial" w:cs="Arial"/>
          <w:sz w:val="22"/>
          <w:szCs w:val="22"/>
          <w:lang w:val="af-ZA"/>
        </w:rPr>
        <w:t xml:space="preserve">(c)   </w:t>
      </w:r>
      <w:r w:rsidRPr="00DA243A">
        <w:rPr>
          <w:rFonts w:ascii="Arial" w:hAnsi="Arial" w:cs="Arial"/>
          <w:sz w:val="22"/>
          <w:szCs w:val="22"/>
          <w:lang w:val="af-ZA"/>
        </w:rPr>
        <w:t>The ports that have the capacity to handle grain are listed as follows :</w:t>
      </w:r>
    </w:p>
    <w:p w:rsidR="00AB61B9" w:rsidRPr="00C0747F" w:rsidRDefault="00AB61B9" w:rsidP="00C0747F">
      <w:pPr>
        <w:numPr>
          <w:ilvl w:val="0"/>
          <w:numId w:val="10"/>
        </w:numPr>
        <w:ind w:left="1434" w:hanging="357"/>
        <w:rPr>
          <w:rFonts w:ascii="Arial" w:hAnsi="Arial" w:cs="Arial"/>
          <w:sz w:val="22"/>
          <w:szCs w:val="22"/>
          <w:lang w:val="af-ZA"/>
        </w:rPr>
      </w:pPr>
      <w:r w:rsidRPr="00C0747F">
        <w:rPr>
          <w:rFonts w:ascii="Arial" w:hAnsi="Arial" w:cs="Arial"/>
          <w:sz w:val="22"/>
          <w:szCs w:val="22"/>
          <w:lang w:val="af-ZA"/>
        </w:rPr>
        <w:t xml:space="preserve">Port of Durban, </w:t>
      </w:r>
    </w:p>
    <w:p w:rsidR="00AB61B9" w:rsidRPr="00C0747F" w:rsidRDefault="00AB61B9" w:rsidP="00C0747F">
      <w:pPr>
        <w:numPr>
          <w:ilvl w:val="0"/>
          <w:numId w:val="10"/>
        </w:numPr>
        <w:ind w:left="1434" w:hanging="357"/>
        <w:rPr>
          <w:rFonts w:ascii="Arial" w:hAnsi="Arial" w:cs="Arial"/>
          <w:sz w:val="22"/>
          <w:szCs w:val="22"/>
          <w:lang w:val="af-ZA"/>
        </w:rPr>
      </w:pPr>
      <w:r w:rsidRPr="00C0747F">
        <w:rPr>
          <w:rFonts w:ascii="Arial" w:hAnsi="Arial" w:cs="Arial"/>
          <w:sz w:val="22"/>
          <w:szCs w:val="22"/>
          <w:lang w:val="af-ZA"/>
        </w:rPr>
        <w:t xml:space="preserve">Port of Cape Town, </w:t>
      </w:r>
    </w:p>
    <w:p w:rsidR="00AB61B9" w:rsidRPr="00C0747F" w:rsidRDefault="00AB61B9" w:rsidP="00C0747F">
      <w:pPr>
        <w:numPr>
          <w:ilvl w:val="0"/>
          <w:numId w:val="10"/>
        </w:numPr>
        <w:ind w:left="1434" w:hanging="357"/>
        <w:rPr>
          <w:rFonts w:ascii="Arial" w:hAnsi="Arial" w:cs="Arial"/>
          <w:sz w:val="22"/>
          <w:szCs w:val="22"/>
          <w:lang w:val="af-ZA"/>
        </w:rPr>
      </w:pPr>
      <w:r w:rsidRPr="00C0747F">
        <w:rPr>
          <w:rFonts w:ascii="Arial" w:hAnsi="Arial" w:cs="Arial"/>
          <w:sz w:val="22"/>
          <w:szCs w:val="22"/>
          <w:lang w:val="af-ZA"/>
        </w:rPr>
        <w:t xml:space="preserve">Port of East London, and </w:t>
      </w:r>
    </w:p>
    <w:p w:rsidR="00AB61B9" w:rsidRPr="00C0747F" w:rsidRDefault="00AB61B9" w:rsidP="00C0747F">
      <w:pPr>
        <w:numPr>
          <w:ilvl w:val="0"/>
          <w:numId w:val="10"/>
        </w:numPr>
        <w:ind w:left="1434" w:hanging="357"/>
        <w:rPr>
          <w:rFonts w:ascii="Arial" w:hAnsi="Arial" w:cs="Arial"/>
          <w:sz w:val="22"/>
          <w:szCs w:val="22"/>
          <w:lang w:val="af-ZA"/>
        </w:rPr>
      </w:pPr>
      <w:r w:rsidRPr="00C0747F">
        <w:rPr>
          <w:rFonts w:ascii="Arial" w:hAnsi="Arial" w:cs="Arial"/>
          <w:sz w:val="22"/>
          <w:szCs w:val="22"/>
          <w:lang w:val="af-ZA"/>
        </w:rPr>
        <w:t>Port of Port Elizabeth</w:t>
      </w:r>
    </w:p>
    <w:p w:rsidR="00AB61B9" w:rsidRPr="00C0747F" w:rsidRDefault="00AB61B9" w:rsidP="00C0747F">
      <w:pPr>
        <w:ind w:left="720"/>
        <w:rPr>
          <w:rFonts w:ascii="Arial" w:hAnsi="Arial" w:cs="Arial"/>
          <w:sz w:val="22"/>
          <w:szCs w:val="22"/>
          <w:lang w:val="af-ZA"/>
        </w:rPr>
      </w:pPr>
    </w:p>
    <w:p w:rsidR="00AB61B9" w:rsidRPr="00DA243A" w:rsidRDefault="00AB61B9" w:rsidP="00DA243A">
      <w:pPr>
        <w:tabs>
          <w:tab w:val="left" w:pos="270"/>
          <w:tab w:val="left" w:pos="1080"/>
        </w:tabs>
        <w:spacing w:after="200" w:line="276" w:lineRule="auto"/>
        <w:ind w:left="360" w:firstLine="270"/>
        <w:rPr>
          <w:rFonts w:ascii="Arial" w:hAnsi="Arial" w:cs="Arial"/>
          <w:sz w:val="22"/>
          <w:szCs w:val="22"/>
          <w:lang w:val="af-ZA"/>
        </w:rPr>
      </w:pPr>
      <w:r>
        <w:rPr>
          <w:rFonts w:ascii="Arial" w:hAnsi="Arial" w:cs="Arial"/>
          <w:sz w:val="22"/>
          <w:szCs w:val="22"/>
          <w:lang w:val="af-ZA"/>
        </w:rPr>
        <w:t xml:space="preserve">(d)    </w:t>
      </w:r>
      <w:r w:rsidRPr="00DA243A">
        <w:rPr>
          <w:rFonts w:ascii="Arial" w:hAnsi="Arial" w:cs="Arial"/>
          <w:sz w:val="22"/>
          <w:szCs w:val="22"/>
          <w:lang w:val="af-ZA"/>
        </w:rPr>
        <w:t>(i) Ships</w:t>
      </w:r>
    </w:p>
    <w:p w:rsidR="00AB61B9" w:rsidRPr="00C0747F" w:rsidRDefault="00AB61B9" w:rsidP="00C0747F">
      <w:pPr>
        <w:ind w:left="720"/>
        <w:rPr>
          <w:rFonts w:ascii="Arial" w:hAnsi="Arial" w:cs="Arial"/>
          <w:sz w:val="22"/>
          <w:szCs w:val="22"/>
          <w:lang w:val="af-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7"/>
        <w:gridCol w:w="3926"/>
      </w:tblGrid>
      <w:tr w:rsidR="00AB61B9" w:rsidRPr="00C0747F" w:rsidTr="00023A6D">
        <w:tc>
          <w:tcPr>
            <w:tcW w:w="4257" w:type="dxa"/>
          </w:tcPr>
          <w:p w:rsidR="00AB61B9" w:rsidRPr="00C0747F" w:rsidRDefault="00AB61B9" w:rsidP="00023A6D">
            <w:pPr>
              <w:rPr>
                <w:rFonts w:ascii="Arial" w:hAnsi="Arial" w:cs="Arial"/>
                <w:b/>
                <w:sz w:val="22"/>
                <w:szCs w:val="22"/>
                <w:lang w:val="af-ZA"/>
              </w:rPr>
            </w:pPr>
            <w:r w:rsidRPr="00C0747F">
              <w:rPr>
                <w:rFonts w:ascii="Arial" w:hAnsi="Arial" w:cs="Arial"/>
                <w:b/>
                <w:sz w:val="22"/>
                <w:szCs w:val="22"/>
                <w:lang w:val="af-ZA"/>
              </w:rPr>
              <w:t>PORTS</w:t>
            </w:r>
          </w:p>
        </w:tc>
        <w:tc>
          <w:tcPr>
            <w:tcW w:w="4265" w:type="dxa"/>
          </w:tcPr>
          <w:p w:rsidR="00AB61B9" w:rsidRPr="00C0747F" w:rsidRDefault="00AB61B9" w:rsidP="00023A6D">
            <w:pPr>
              <w:rPr>
                <w:rFonts w:ascii="Arial" w:hAnsi="Arial" w:cs="Arial"/>
                <w:b/>
                <w:sz w:val="22"/>
                <w:szCs w:val="22"/>
                <w:lang w:val="af-ZA"/>
              </w:rPr>
            </w:pPr>
            <w:r w:rsidRPr="00C0747F">
              <w:rPr>
                <w:rFonts w:ascii="Arial" w:hAnsi="Arial" w:cs="Arial"/>
                <w:b/>
                <w:sz w:val="22"/>
                <w:szCs w:val="22"/>
                <w:lang w:val="af-ZA"/>
              </w:rPr>
              <w:t xml:space="preserve">AVAILABLE BERTHS </w:t>
            </w:r>
          </w:p>
        </w:tc>
      </w:tr>
      <w:tr w:rsidR="00AB61B9" w:rsidRPr="00C0747F" w:rsidTr="00023A6D">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East London</w:t>
            </w:r>
          </w:p>
        </w:tc>
        <w:tc>
          <w:tcPr>
            <w:tcW w:w="4265"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2 Berths (T &amp; S berth) </w:t>
            </w:r>
          </w:p>
        </w:tc>
      </w:tr>
      <w:tr w:rsidR="00AB61B9" w:rsidRPr="00C0747F" w:rsidTr="00023A6D">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Port Elizabeth </w:t>
            </w:r>
          </w:p>
        </w:tc>
        <w:tc>
          <w:tcPr>
            <w:tcW w:w="4265"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4 Berths (Berth 8,9,10,11)</w:t>
            </w:r>
          </w:p>
        </w:tc>
      </w:tr>
      <w:tr w:rsidR="00AB61B9" w:rsidRPr="00C0747F" w:rsidTr="00023A6D">
        <w:trPr>
          <w:trHeight w:val="486"/>
        </w:trPr>
        <w:tc>
          <w:tcPr>
            <w:tcW w:w="4257" w:type="dxa"/>
            <w:vMerge w:val="restart"/>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Cape Town </w:t>
            </w:r>
          </w:p>
        </w:tc>
        <w:tc>
          <w:tcPr>
            <w:tcW w:w="4265"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3 Berths (Multi-Purpose Terminal)</w:t>
            </w:r>
          </w:p>
        </w:tc>
      </w:tr>
      <w:tr w:rsidR="00AB61B9" w:rsidRPr="00C0747F" w:rsidTr="00023A6D">
        <w:trPr>
          <w:trHeight w:val="463"/>
        </w:trPr>
        <w:tc>
          <w:tcPr>
            <w:tcW w:w="4257" w:type="dxa"/>
            <w:vMerge/>
          </w:tcPr>
          <w:p w:rsidR="00AB61B9" w:rsidRPr="00C0747F" w:rsidRDefault="00AB61B9" w:rsidP="00023A6D">
            <w:pPr>
              <w:rPr>
                <w:rFonts w:ascii="Arial" w:hAnsi="Arial" w:cs="Arial"/>
                <w:sz w:val="22"/>
                <w:szCs w:val="22"/>
                <w:lang w:val="af-ZA"/>
              </w:rPr>
            </w:pPr>
          </w:p>
        </w:tc>
        <w:tc>
          <w:tcPr>
            <w:tcW w:w="4265"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3 Berths (Fruit Purpose Terminal </w:t>
            </w:r>
          </w:p>
        </w:tc>
      </w:tr>
      <w:tr w:rsidR="00AB61B9" w:rsidRPr="00C0747F" w:rsidTr="00023A6D">
        <w:trPr>
          <w:trHeight w:val="790"/>
        </w:trPr>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Durban</w:t>
            </w:r>
          </w:p>
        </w:tc>
        <w:tc>
          <w:tcPr>
            <w:tcW w:w="4265" w:type="dxa"/>
          </w:tcPr>
          <w:p w:rsidR="00AB61B9" w:rsidRPr="00C0747F" w:rsidRDefault="00AB61B9" w:rsidP="00023A6D">
            <w:pPr>
              <w:spacing w:line="360" w:lineRule="auto"/>
              <w:jc w:val="both"/>
              <w:rPr>
                <w:rFonts w:ascii="Arial" w:hAnsi="Arial" w:cs="Arial"/>
                <w:sz w:val="22"/>
                <w:szCs w:val="22"/>
                <w:lang w:val="af-ZA"/>
              </w:rPr>
            </w:pPr>
            <w:r w:rsidRPr="00C0747F">
              <w:rPr>
                <w:rFonts w:ascii="Arial" w:hAnsi="Arial" w:cs="Arial"/>
                <w:sz w:val="22"/>
                <w:szCs w:val="22"/>
                <w:lang w:val="af-ZA"/>
              </w:rPr>
              <w:t>3 Berths (Island View, Maydon Wharf,   Maydon Wharf)</w:t>
            </w:r>
          </w:p>
        </w:tc>
      </w:tr>
    </w:tbl>
    <w:p w:rsidR="00AB61B9" w:rsidRPr="00C0747F" w:rsidRDefault="00AB61B9" w:rsidP="00C0747F">
      <w:pPr>
        <w:ind w:left="720"/>
        <w:rPr>
          <w:rFonts w:ascii="Arial" w:hAnsi="Arial" w:cs="Arial"/>
          <w:sz w:val="22"/>
          <w:szCs w:val="22"/>
          <w:lang w:val="af-ZA"/>
        </w:rPr>
      </w:pPr>
    </w:p>
    <w:p w:rsidR="00AB61B9" w:rsidRDefault="00AB61B9" w:rsidP="00DA243A">
      <w:pPr>
        <w:ind w:left="720" w:firstLine="360"/>
        <w:rPr>
          <w:rFonts w:ascii="Arial" w:hAnsi="Arial" w:cs="Arial"/>
          <w:b/>
          <w:sz w:val="22"/>
          <w:szCs w:val="22"/>
          <w:lang w:val="af-ZA"/>
        </w:rPr>
      </w:pPr>
      <w:r w:rsidRPr="00C0747F">
        <w:rPr>
          <w:rFonts w:ascii="Arial" w:hAnsi="Arial" w:cs="Arial"/>
          <w:sz w:val="22"/>
          <w:szCs w:val="22"/>
          <w:lang w:val="af-ZA"/>
        </w:rPr>
        <w:t>(ii) Grain</w:t>
      </w:r>
      <w:r w:rsidRPr="00C0747F">
        <w:rPr>
          <w:rFonts w:ascii="Arial" w:hAnsi="Arial" w:cs="Arial"/>
          <w:b/>
          <w:sz w:val="22"/>
          <w:szCs w:val="22"/>
          <w:lang w:val="af-ZA"/>
        </w:rPr>
        <w:t xml:space="preserve"> </w:t>
      </w:r>
    </w:p>
    <w:p w:rsidR="00AB61B9" w:rsidRPr="00C0747F" w:rsidRDefault="00AB61B9" w:rsidP="00C0747F">
      <w:pPr>
        <w:ind w:left="720"/>
        <w:rPr>
          <w:rFonts w:ascii="Arial" w:hAnsi="Arial" w:cs="Arial"/>
          <w:b/>
          <w:bCs/>
          <w:sz w:val="22"/>
          <w:szCs w:val="22"/>
          <w:lang w:val="af-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5"/>
        <w:gridCol w:w="3918"/>
      </w:tblGrid>
      <w:tr w:rsidR="00AB61B9" w:rsidRPr="00C0747F" w:rsidTr="00023A6D">
        <w:tc>
          <w:tcPr>
            <w:tcW w:w="4257" w:type="dxa"/>
          </w:tcPr>
          <w:p w:rsidR="00AB61B9" w:rsidRPr="00C0747F" w:rsidRDefault="00AB61B9" w:rsidP="00023A6D">
            <w:pPr>
              <w:rPr>
                <w:rFonts w:ascii="Arial" w:hAnsi="Arial" w:cs="Arial"/>
                <w:b/>
                <w:sz w:val="22"/>
                <w:szCs w:val="22"/>
                <w:lang w:val="af-ZA"/>
              </w:rPr>
            </w:pPr>
            <w:r w:rsidRPr="00C0747F">
              <w:rPr>
                <w:rFonts w:ascii="Arial" w:hAnsi="Arial" w:cs="Arial"/>
                <w:b/>
                <w:sz w:val="22"/>
                <w:szCs w:val="22"/>
                <w:lang w:val="af-ZA"/>
              </w:rPr>
              <w:t>PORTS</w:t>
            </w:r>
          </w:p>
        </w:tc>
        <w:tc>
          <w:tcPr>
            <w:tcW w:w="4265" w:type="dxa"/>
          </w:tcPr>
          <w:p w:rsidR="00AB61B9" w:rsidRPr="00C0747F" w:rsidRDefault="00AB61B9" w:rsidP="00023A6D">
            <w:pPr>
              <w:rPr>
                <w:rFonts w:ascii="Arial" w:hAnsi="Arial" w:cs="Arial"/>
                <w:b/>
                <w:sz w:val="22"/>
                <w:szCs w:val="22"/>
                <w:lang w:val="af-ZA"/>
              </w:rPr>
            </w:pPr>
            <w:r w:rsidRPr="00C0747F">
              <w:rPr>
                <w:rFonts w:ascii="Arial" w:hAnsi="Arial" w:cs="Arial"/>
                <w:b/>
                <w:sz w:val="22"/>
                <w:szCs w:val="22"/>
                <w:lang w:val="af-ZA"/>
              </w:rPr>
              <w:t xml:space="preserve">CAPACITY (tons) </w:t>
            </w:r>
          </w:p>
        </w:tc>
      </w:tr>
      <w:tr w:rsidR="00AB61B9" w:rsidRPr="00C0747F" w:rsidTr="00023A6D">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East London</w:t>
            </w:r>
          </w:p>
        </w:tc>
        <w:tc>
          <w:tcPr>
            <w:tcW w:w="4265" w:type="dxa"/>
          </w:tcPr>
          <w:p w:rsidR="00AB61B9" w:rsidRPr="00C0747F" w:rsidRDefault="00AB61B9" w:rsidP="00023A6D">
            <w:pPr>
              <w:rPr>
                <w:rFonts w:ascii="Arial" w:hAnsi="Arial" w:cs="Arial"/>
                <w:sz w:val="22"/>
                <w:szCs w:val="22"/>
              </w:rPr>
            </w:pPr>
            <w:r w:rsidRPr="00C0747F">
              <w:rPr>
                <w:rFonts w:ascii="Arial" w:hAnsi="Arial" w:cs="Arial"/>
                <w:sz w:val="22"/>
                <w:szCs w:val="22"/>
              </w:rPr>
              <w:t>1,344,000</w:t>
            </w:r>
          </w:p>
        </w:tc>
      </w:tr>
      <w:tr w:rsidR="00AB61B9" w:rsidRPr="00C0747F" w:rsidTr="00023A6D">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Port Elizabeth </w:t>
            </w:r>
          </w:p>
        </w:tc>
        <w:tc>
          <w:tcPr>
            <w:tcW w:w="4265" w:type="dxa"/>
          </w:tcPr>
          <w:p w:rsidR="00AB61B9" w:rsidRPr="00C0747F" w:rsidRDefault="00AB61B9" w:rsidP="00023A6D">
            <w:pPr>
              <w:rPr>
                <w:rFonts w:ascii="Arial" w:hAnsi="Arial" w:cs="Arial"/>
                <w:sz w:val="22"/>
                <w:szCs w:val="22"/>
                <w:lang w:val="en-ZA"/>
              </w:rPr>
            </w:pPr>
            <w:r w:rsidRPr="00C0747F">
              <w:rPr>
                <w:rFonts w:ascii="Arial" w:hAnsi="Arial" w:cs="Arial"/>
                <w:sz w:val="22"/>
                <w:szCs w:val="22"/>
              </w:rPr>
              <w:t xml:space="preserve">1,344,000 </w:t>
            </w:r>
          </w:p>
        </w:tc>
      </w:tr>
      <w:tr w:rsidR="00AB61B9" w:rsidRPr="00C0747F" w:rsidTr="00023A6D">
        <w:trPr>
          <w:trHeight w:val="580"/>
        </w:trPr>
        <w:tc>
          <w:tcPr>
            <w:tcW w:w="4257" w:type="dxa"/>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Cape Town </w:t>
            </w:r>
          </w:p>
        </w:tc>
        <w:tc>
          <w:tcPr>
            <w:tcW w:w="4265" w:type="dxa"/>
          </w:tcPr>
          <w:p w:rsidR="00AB61B9" w:rsidRPr="00C0747F" w:rsidRDefault="00AB61B9" w:rsidP="00023A6D">
            <w:pPr>
              <w:rPr>
                <w:rFonts w:ascii="Arial" w:hAnsi="Arial" w:cs="Arial"/>
                <w:bCs/>
                <w:iCs/>
                <w:sz w:val="22"/>
                <w:szCs w:val="22"/>
                <w:lang w:val="en-ZA"/>
              </w:rPr>
            </w:pPr>
            <w:r w:rsidRPr="00C0747F">
              <w:rPr>
                <w:rFonts w:ascii="Arial" w:hAnsi="Arial" w:cs="Arial"/>
                <w:bCs/>
                <w:iCs/>
                <w:sz w:val="22"/>
                <w:szCs w:val="22"/>
              </w:rPr>
              <w:t xml:space="preserve">2,016,000 </w:t>
            </w:r>
          </w:p>
        </w:tc>
      </w:tr>
      <w:tr w:rsidR="00AB61B9" w:rsidRPr="00C0747F" w:rsidTr="00023A6D">
        <w:trPr>
          <w:trHeight w:val="222"/>
        </w:trPr>
        <w:tc>
          <w:tcPr>
            <w:tcW w:w="4257" w:type="dxa"/>
            <w:vMerge w:val="restart"/>
          </w:tcPr>
          <w:p w:rsidR="00AB61B9" w:rsidRPr="00C0747F" w:rsidRDefault="00AB61B9" w:rsidP="00023A6D">
            <w:pPr>
              <w:rPr>
                <w:rFonts w:ascii="Arial" w:hAnsi="Arial" w:cs="Arial"/>
                <w:sz w:val="22"/>
                <w:szCs w:val="22"/>
                <w:lang w:val="af-ZA"/>
              </w:rPr>
            </w:pPr>
            <w:r w:rsidRPr="00C0747F">
              <w:rPr>
                <w:rFonts w:ascii="Arial" w:hAnsi="Arial" w:cs="Arial"/>
                <w:sz w:val="22"/>
                <w:szCs w:val="22"/>
                <w:lang w:val="af-ZA"/>
              </w:rPr>
              <w:t xml:space="preserve">Durban (Agriport, SABT) </w:t>
            </w:r>
          </w:p>
        </w:tc>
        <w:tc>
          <w:tcPr>
            <w:tcW w:w="4265" w:type="dxa"/>
          </w:tcPr>
          <w:p w:rsidR="00AB61B9" w:rsidRPr="00C0747F" w:rsidRDefault="00AB61B9" w:rsidP="00023A6D">
            <w:pPr>
              <w:rPr>
                <w:rFonts w:ascii="Arial" w:hAnsi="Arial" w:cs="Arial"/>
                <w:sz w:val="22"/>
                <w:szCs w:val="22"/>
              </w:rPr>
            </w:pPr>
            <w:r w:rsidRPr="00C0747F">
              <w:rPr>
                <w:rFonts w:ascii="Arial" w:hAnsi="Arial" w:cs="Arial"/>
                <w:sz w:val="22"/>
                <w:szCs w:val="22"/>
              </w:rPr>
              <w:t xml:space="preserve">2,016,000  </w:t>
            </w:r>
          </w:p>
        </w:tc>
      </w:tr>
      <w:tr w:rsidR="00AB61B9" w:rsidRPr="00C0747F" w:rsidTr="00023A6D">
        <w:trPr>
          <w:trHeight w:val="221"/>
        </w:trPr>
        <w:tc>
          <w:tcPr>
            <w:tcW w:w="4257" w:type="dxa"/>
            <w:vMerge/>
          </w:tcPr>
          <w:p w:rsidR="00AB61B9" w:rsidRPr="00C0747F" w:rsidRDefault="00AB61B9" w:rsidP="00023A6D">
            <w:pPr>
              <w:rPr>
                <w:rFonts w:ascii="Arial" w:hAnsi="Arial" w:cs="Arial"/>
                <w:sz w:val="22"/>
                <w:szCs w:val="22"/>
                <w:lang w:val="af-ZA"/>
              </w:rPr>
            </w:pPr>
          </w:p>
        </w:tc>
        <w:tc>
          <w:tcPr>
            <w:tcW w:w="4265" w:type="dxa"/>
          </w:tcPr>
          <w:p w:rsidR="00AB61B9" w:rsidRPr="00C0747F" w:rsidRDefault="00AB61B9" w:rsidP="00023A6D">
            <w:pPr>
              <w:rPr>
                <w:rFonts w:ascii="Arial" w:hAnsi="Arial" w:cs="Arial"/>
                <w:sz w:val="22"/>
                <w:szCs w:val="22"/>
              </w:rPr>
            </w:pPr>
            <w:r w:rsidRPr="00C0747F">
              <w:rPr>
                <w:rFonts w:ascii="Arial" w:hAnsi="Arial" w:cs="Arial"/>
                <w:sz w:val="22"/>
                <w:szCs w:val="22"/>
              </w:rPr>
              <w:t xml:space="preserve">3,360,000  </w:t>
            </w:r>
          </w:p>
        </w:tc>
      </w:tr>
      <w:tr w:rsidR="00AB61B9" w:rsidRPr="00C0747F" w:rsidTr="00023A6D">
        <w:trPr>
          <w:trHeight w:val="221"/>
        </w:trPr>
        <w:tc>
          <w:tcPr>
            <w:tcW w:w="4257" w:type="dxa"/>
            <w:vMerge/>
          </w:tcPr>
          <w:p w:rsidR="00AB61B9" w:rsidRPr="00C0747F" w:rsidRDefault="00AB61B9" w:rsidP="00023A6D">
            <w:pPr>
              <w:rPr>
                <w:rFonts w:ascii="Arial" w:hAnsi="Arial" w:cs="Arial"/>
                <w:sz w:val="22"/>
                <w:szCs w:val="22"/>
                <w:lang w:val="af-ZA"/>
              </w:rPr>
            </w:pPr>
          </w:p>
        </w:tc>
        <w:tc>
          <w:tcPr>
            <w:tcW w:w="4265" w:type="dxa"/>
          </w:tcPr>
          <w:p w:rsidR="00AB61B9" w:rsidRPr="00C0747F" w:rsidRDefault="00AB61B9" w:rsidP="00023A6D">
            <w:pPr>
              <w:rPr>
                <w:rFonts w:ascii="Arial" w:hAnsi="Arial" w:cs="Arial"/>
                <w:sz w:val="22"/>
                <w:szCs w:val="22"/>
              </w:rPr>
            </w:pPr>
            <w:r w:rsidRPr="00C0747F">
              <w:rPr>
                <w:rFonts w:ascii="Arial" w:hAnsi="Arial" w:cs="Arial"/>
                <w:sz w:val="22"/>
                <w:szCs w:val="22"/>
              </w:rPr>
              <w:t xml:space="preserve">2,016,000  </w:t>
            </w:r>
          </w:p>
        </w:tc>
      </w:tr>
    </w:tbl>
    <w:p w:rsidR="00AB61B9" w:rsidRPr="00C0747F" w:rsidRDefault="00AB61B9" w:rsidP="00C0747F">
      <w:pPr>
        <w:ind w:left="-284" w:firstLine="284"/>
        <w:rPr>
          <w:rFonts w:ascii="Arial" w:hAnsi="Arial" w:cs="Arial"/>
          <w:sz w:val="22"/>
          <w:szCs w:val="22"/>
        </w:rPr>
      </w:pPr>
    </w:p>
    <w:p w:rsidR="00AB61B9" w:rsidRDefault="00AB61B9" w:rsidP="00C0747F">
      <w:pPr>
        <w:ind w:left="-284" w:firstLine="284"/>
        <w:rPr>
          <w:rFonts w:ascii="Tahoma" w:hAnsi="Tahoma" w:cs="Tahoma"/>
        </w:rPr>
      </w:pPr>
    </w:p>
    <w:p w:rsidR="00AB61B9" w:rsidRDefault="00AB61B9" w:rsidP="00C0747F">
      <w:pPr>
        <w:ind w:left="-284" w:firstLine="284"/>
        <w:rPr>
          <w:rFonts w:ascii="Tahoma" w:hAnsi="Tahoma" w:cs="Tahoma"/>
        </w:rPr>
      </w:pPr>
    </w:p>
    <w:p w:rsidR="00AB61B9" w:rsidRPr="002813A2" w:rsidRDefault="00AB61B9" w:rsidP="00C0747F">
      <w:pPr>
        <w:jc w:val="both"/>
        <w:rPr>
          <w:rFonts w:ascii="Tahoma" w:hAnsi="Tahoma" w:cs="Tahoma"/>
        </w:rPr>
      </w:pPr>
    </w:p>
    <w:p w:rsidR="00AB61B9" w:rsidRPr="00FC5A3E" w:rsidRDefault="00AB61B9" w:rsidP="00FC5A3E">
      <w:pPr>
        <w:ind w:left="426" w:hanging="426"/>
        <w:jc w:val="both"/>
        <w:rPr>
          <w:rFonts w:ascii="Arial" w:hAnsi="Arial" w:cs="Arial"/>
          <w:b/>
          <w:sz w:val="22"/>
          <w:szCs w:val="22"/>
        </w:rPr>
      </w:pPr>
      <w:bookmarkStart w:id="0" w:name="_GoBack"/>
      <w:bookmarkEnd w:id="0"/>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p>
    <w:sectPr w:rsidR="00AB61B9" w:rsidRPr="00FC5A3E" w:rsidSect="00DE4544">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B9" w:rsidRDefault="00AB61B9" w:rsidP="00B143AE">
      <w:r>
        <w:separator/>
      </w:r>
    </w:p>
  </w:endnote>
  <w:endnote w:type="continuationSeparator" w:id="0">
    <w:p w:rsidR="00AB61B9" w:rsidRDefault="00AB61B9"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B9" w:rsidRDefault="00AB61B9" w:rsidP="00B143AE">
      <w:r>
        <w:separator/>
      </w:r>
    </w:p>
  </w:footnote>
  <w:footnote w:type="continuationSeparator" w:id="0">
    <w:p w:rsidR="00AB61B9" w:rsidRDefault="00AB61B9"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16572C14"/>
    <w:multiLevelType w:val="hybridMultilevel"/>
    <w:tmpl w:val="233E722E"/>
    <w:lvl w:ilvl="0" w:tplc="4698C5F6">
      <w:start w:val="1"/>
      <w:numFmt w:val="decimal"/>
      <w:lvlText w:val="(%1)"/>
      <w:lvlJc w:val="left"/>
      <w:pPr>
        <w:ind w:left="2250" w:hanging="360"/>
      </w:pPr>
      <w:rPr>
        <w:rFonts w:cs="Times New Roman" w:hint="default"/>
      </w:rPr>
    </w:lvl>
    <w:lvl w:ilvl="1" w:tplc="1C090019" w:tentative="1">
      <w:start w:val="1"/>
      <w:numFmt w:val="lowerLetter"/>
      <w:lvlText w:val="%2."/>
      <w:lvlJc w:val="left"/>
      <w:pPr>
        <w:ind w:left="2970" w:hanging="360"/>
      </w:pPr>
      <w:rPr>
        <w:rFonts w:cs="Times New Roman"/>
      </w:rPr>
    </w:lvl>
    <w:lvl w:ilvl="2" w:tplc="1C09001B" w:tentative="1">
      <w:start w:val="1"/>
      <w:numFmt w:val="lowerRoman"/>
      <w:lvlText w:val="%3."/>
      <w:lvlJc w:val="right"/>
      <w:pPr>
        <w:ind w:left="3690" w:hanging="180"/>
      </w:pPr>
      <w:rPr>
        <w:rFonts w:cs="Times New Roman"/>
      </w:rPr>
    </w:lvl>
    <w:lvl w:ilvl="3" w:tplc="1C09000F" w:tentative="1">
      <w:start w:val="1"/>
      <w:numFmt w:val="decimal"/>
      <w:lvlText w:val="%4."/>
      <w:lvlJc w:val="left"/>
      <w:pPr>
        <w:ind w:left="4410" w:hanging="360"/>
      </w:pPr>
      <w:rPr>
        <w:rFonts w:cs="Times New Roman"/>
      </w:rPr>
    </w:lvl>
    <w:lvl w:ilvl="4" w:tplc="1C090019" w:tentative="1">
      <w:start w:val="1"/>
      <w:numFmt w:val="lowerLetter"/>
      <w:lvlText w:val="%5."/>
      <w:lvlJc w:val="left"/>
      <w:pPr>
        <w:ind w:left="5130" w:hanging="360"/>
      </w:pPr>
      <w:rPr>
        <w:rFonts w:cs="Times New Roman"/>
      </w:rPr>
    </w:lvl>
    <w:lvl w:ilvl="5" w:tplc="1C09001B" w:tentative="1">
      <w:start w:val="1"/>
      <w:numFmt w:val="lowerRoman"/>
      <w:lvlText w:val="%6."/>
      <w:lvlJc w:val="right"/>
      <w:pPr>
        <w:ind w:left="5850" w:hanging="180"/>
      </w:pPr>
      <w:rPr>
        <w:rFonts w:cs="Times New Roman"/>
      </w:rPr>
    </w:lvl>
    <w:lvl w:ilvl="6" w:tplc="1C09000F" w:tentative="1">
      <w:start w:val="1"/>
      <w:numFmt w:val="decimal"/>
      <w:lvlText w:val="%7."/>
      <w:lvlJc w:val="left"/>
      <w:pPr>
        <w:ind w:left="6570" w:hanging="360"/>
      </w:pPr>
      <w:rPr>
        <w:rFonts w:cs="Times New Roman"/>
      </w:rPr>
    </w:lvl>
    <w:lvl w:ilvl="7" w:tplc="1C090019" w:tentative="1">
      <w:start w:val="1"/>
      <w:numFmt w:val="lowerLetter"/>
      <w:lvlText w:val="%8."/>
      <w:lvlJc w:val="left"/>
      <w:pPr>
        <w:ind w:left="7290" w:hanging="360"/>
      </w:pPr>
      <w:rPr>
        <w:rFonts w:cs="Times New Roman"/>
      </w:rPr>
    </w:lvl>
    <w:lvl w:ilvl="8" w:tplc="1C09001B" w:tentative="1">
      <w:start w:val="1"/>
      <w:numFmt w:val="lowerRoman"/>
      <w:lvlText w:val="%9."/>
      <w:lvlJc w:val="right"/>
      <w:pPr>
        <w:ind w:left="8010" w:hanging="180"/>
      </w:pPr>
      <w:rPr>
        <w:rFonts w:cs="Times New Roman"/>
      </w:rPr>
    </w:lvl>
  </w:abstractNum>
  <w:abstractNum w:abstractNumId="3">
    <w:nsid w:val="23662766"/>
    <w:multiLevelType w:val="hybridMultilevel"/>
    <w:tmpl w:val="20140AAA"/>
    <w:lvl w:ilvl="0" w:tplc="AAA056B6">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07A79C6"/>
    <w:multiLevelType w:val="hybridMultilevel"/>
    <w:tmpl w:val="B6127BD4"/>
    <w:lvl w:ilvl="0" w:tplc="94807B32">
      <w:start w:val="3"/>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8">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8"/>
  </w:num>
  <w:num w:numId="5">
    <w:abstractNumId w:val="0"/>
  </w:num>
  <w:num w:numId="6">
    <w:abstractNumId w:val="10"/>
  </w:num>
  <w:num w:numId="7">
    <w:abstractNumId w:val="9"/>
  </w:num>
  <w:num w:numId="8">
    <w:abstractNumId w:val="2"/>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23A6D"/>
    <w:rsid w:val="000524DB"/>
    <w:rsid w:val="000629C6"/>
    <w:rsid w:val="00063424"/>
    <w:rsid w:val="000B6791"/>
    <w:rsid w:val="000C5074"/>
    <w:rsid w:val="000D12C9"/>
    <w:rsid w:val="000D6F0B"/>
    <w:rsid w:val="00105DF3"/>
    <w:rsid w:val="00125D8E"/>
    <w:rsid w:val="00141EAA"/>
    <w:rsid w:val="00152E8D"/>
    <w:rsid w:val="00162952"/>
    <w:rsid w:val="00164073"/>
    <w:rsid w:val="00190B29"/>
    <w:rsid w:val="001B13C2"/>
    <w:rsid w:val="001C647A"/>
    <w:rsid w:val="001D710B"/>
    <w:rsid w:val="001E09A9"/>
    <w:rsid w:val="0020506E"/>
    <w:rsid w:val="00210533"/>
    <w:rsid w:val="0026770C"/>
    <w:rsid w:val="00271AFC"/>
    <w:rsid w:val="00275070"/>
    <w:rsid w:val="002803F2"/>
    <w:rsid w:val="002813A2"/>
    <w:rsid w:val="002C030C"/>
    <w:rsid w:val="002F1297"/>
    <w:rsid w:val="002F5F24"/>
    <w:rsid w:val="00307D62"/>
    <w:rsid w:val="003468A9"/>
    <w:rsid w:val="00374F17"/>
    <w:rsid w:val="0039347E"/>
    <w:rsid w:val="004441AE"/>
    <w:rsid w:val="0047791E"/>
    <w:rsid w:val="004A4357"/>
    <w:rsid w:val="004C6935"/>
    <w:rsid w:val="00500074"/>
    <w:rsid w:val="0053341F"/>
    <w:rsid w:val="0054518F"/>
    <w:rsid w:val="005703CE"/>
    <w:rsid w:val="006006A4"/>
    <w:rsid w:val="006011ED"/>
    <w:rsid w:val="00612054"/>
    <w:rsid w:val="0066527A"/>
    <w:rsid w:val="00665425"/>
    <w:rsid w:val="006D0793"/>
    <w:rsid w:val="006D650A"/>
    <w:rsid w:val="006E00B4"/>
    <w:rsid w:val="006E226F"/>
    <w:rsid w:val="00716A5F"/>
    <w:rsid w:val="007410D8"/>
    <w:rsid w:val="00741768"/>
    <w:rsid w:val="00763854"/>
    <w:rsid w:val="00767C12"/>
    <w:rsid w:val="00780828"/>
    <w:rsid w:val="007840BD"/>
    <w:rsid w:val="007A77D7"/>
    <w:rsid w:val="007B2942"/>
    <w:rsid w:val="007C48D9"/>
    <w:rsid w:val="00824E8E"/>
    <w:rsid w:val="008619F3"/>
    <w:rsid w:val="00882FB2"/>
    <w:rsid w:val="008845FF"/>
    <w:rsid w:val="00892DFB"/>
    <w:rsid w:val="008968F5"/>
    <w:rsid w:val="008E1A9C"/>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45C08"/>
    <w:rsid w:val="00A74B84"/>
    <w:rsid w:val="00A77EA7"/>
    <w:rsid w:val="00A83BB5"/>
    <w:rsid w:val="00A96EFA"/>
    <w:rsid w:val="00AB61B9"/>
    <w:rsid w:val="00AB620F"/>
    <w:rsid w:val="00AD433D"/>
    <w:rsid w:val="00AD7955"/>
    <w:rsid w:val="00AE07A0"/>
    <w:rsid w:val="00B11740"/>
    <w:rsid w:val="00B143AE"/>
    <w:rsid w:val="00B33739"/>
    <w:rsid w:val="00B34D01"/>
    <w:rsid w:val="00B43A3C"/>
    <w:rsid w:val="00B5709E"/>
    <w:rsid w:val="00B66A10"/>
    <w:rsid w:val="00B81C28"/>
    <w:rsid w:val="00B81C99"/>
    <w:rsid w:val="00B87F13"/>
    <w:rsid w:val="00BA7FA4"/>
    <w:rsid w:val="00BB2CDD"/>
    <w:rsid w:val="00BB480D"/>
    <w:rsid w:val="00BC60BD"/>
    <w:rsid w:val="00BD0503"/>
    <w:rsid w:val="00C02FBD"/>
    <w:rsid w:val="00C0747F"/>
    <w:rsid w:val="00C11460"/>
    <w:rsid w:val="00C30545"/>
    <w:rsid w:val="00C376CE"/>
    <w:rsid w:val="00C46606"/>
    <w:rsid w:val="00C76C58"/>
    <w:rsid w:val="00CB5194"/>
    <w:rsid w:val="00CB7B00"/>
    <w:rsid w:val="00CC6424"/>
    <w:rsid w:val="00CE72A9"/>
    <w:rsid w:val="00CF1AE8"/>
    <w:rsid w:val="00D543BA"/>
    <w:rsid w:val="00D6162C"/>
    <w:rsid w:val="00D6168F"/>
    <w:rsid w:val="00D80F16"/>
    <w:rsid w:val="00DA243A"/>
    <w:rsid w:val="00DD5AA3"/>
    <w:rsid w:val="00DE4544"/>
    <w:rsid w:val="00DE52C7"/>
    <w:rsid w:val="00DF2645"/>
    <w:rsid w:val="00E06376"/>
    <w:rsid w:val="00E14AA5"/>
    <w:rsid w:val="00E25C2E"/>
    <w:rsid w:val="00E36A15"/>
    <w:rsid w:val="00E4134B"/>
    <w:rsid w:val="00E46280"/>
    <w:rsid w:val="00E46F4E"/>
    <w:rsid w:val="00E73ABB"/>
    <w:rsid w:val="00E82E1D"/>
    <w:rsid w:val="00E83FF9"/>
    <w:rsid w:val="00EB2717"/>
    <w:rsid w:val="00EE5757"/>
    <w:rsid w:val="00F0283E"/>
    <w:rsid w:val="00F31673"/>
    <w:rsid w:val="00F501DE"/>
    <w:rsid w:val="00F651DA"/>
    <w:rsid w:val="00F974FE"/>
    <w:rsid w:val="00FA1518"/>
    <w:rsid w:val="00FA2EA9"/>
    <w:rsid w:val="00FB342C"/>
    <w:rsid w:val="00FC5A3E"/>
    <w:rsid w:val="00FD4439"/>
    <w:rsid w:val="00FD56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7E"/>
    <w:rPr>
      <w:sz w:val="24"/>
      <w:szCs w:val="24"/>
    </w:rPr>
  </w:style>
  <w:style w:type="paragraph" w:styleId="Heading1">
    <w:name w:val="heading 1"/>
    <w:basedOn w:val="Normal"/>
    <w:next w:val="Normal"/>
    <w:link w:val="Heading1Char"/>
    <w:uiPriority w:val="99"/>
    <w:qFormat/>
    <w:rsid w:val="0039347E"/>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39347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39347E"/>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39347E"/>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8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768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7686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76867"/>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39347E"/>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F76867"/>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 w:type="paragraph" w:styleId="CommentSubject">
    <w:name w:val="annotation subject"/>
    <w:basedOn w:val="CommentText"/>
    <w:next w:val="CommentText"/>
    <w:link w:val="CommentSubjectChar"/>
    <w:uiPriority w:val="99"/>
    <w:rsid w:val="008845FF"/>
    <w:rPr>
      <w:b/>
      <w:bCs/>
    </w:rPr>
  </w:style>
  <w:style w:type="character" w:customStyle="1" w:styleId="CommentSubjectChar">
    <w:name w:val="Comment Subject Char"/>
    <w:basedOn w:val="CommentTextChar"/>
    <w:link w:val="CommentSubject"/>
    <w:uiPriority w:val="99"/>
    <w:locked/>
    <w:rsid w:val="008845FF"/>
    <w:rPr>
      <w:b/>
      <w:bCs/>
    </w:rPr>
  </w:style>
</w:styles>
</file>

<file path=word/webSettings.xml><?xml version="1.0" encoding="utf-8"?>
<w:webSettings xmlns:r="http://schemas.openxmlformats.org/officeDocument/2006/relationships" xmlns:w="http://schemas.openxmlformats.org/wordprocessingml/2006/main">
  <w:divs>
    <w:div w:id="2124153501">
      <w:marLeft w:val="0"/>
      <w:marRight w:val="0"/>
      <w:marTop w:val="0"/>
      <w:marBottom w:val="0"/>
      <w:divBdr>
        <w:top w:val="none" w:sz="0" w:space="0" w:color="auto"/>
        <w:left w:val="none" w:sz="0" w:space="0" w:color="auto"/>
        <w:bottom w:val="none" w:sz="0" w:space="0" w:color="auto"/>
        <w:right w:val="none" w:sz="0" w:space="0" w:color="auto"/>
      </w:divBdr>
    </w:div>
    <w:div w:id="212415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338</Words>
  <Characters>1933</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2016-04-29T07:49:00Z</cp:lastPrinted>
  <dcterms:created xsi:type="dcterms:W3CDTF">2016-05-04T12:52:00Z</dcterms:created>
  <dcterms:modified xsi:type="dcterms:W3CDTF">2016-05-04T12:52:00Z</dcterms:modified>
</cp:coreProperties>
</file>