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8" w:rsidRPr="00E864CE" w:rsidRDefault="0011345E" w:rsidP="00785E98">
      <w:pPr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E98" w:rsidRPr="00E864CE" w:rsidRDefault="00785E98" w:rsidP="00785E98">
      <w:pPr>
        <w:autoSpaceDE w:val="0"/>
        <w:autoSpaceDN w:val="0"/>
        <w:adjustRightInd w:val="0"/>
        <w:rPr>
          <w:rFonts w:ascii="Arial" w:hAnsi="Arial" w:cs="Arial"/>
        </w:rPr>
      </w:pPr>
    </w:p>
    <w:p w:rsidR="00785E98" w:rsidRPr="00E864CE" w:rsidRDefault="00785E98" w:rsidP="00785E98">
      <w:pPr>
        <w:rPr>
          <w:rFonts w:ascii="Arial" w:hAnsi="Arial" w:cs="Arial"/>
          <w:b/>
          <w:bCs/>
          <w:color w:val="4F6228"/>
          <w:lang w:eastAsia="en-ZA"/>
        </w:rPr>
      </w:pPr>
    </w:p>
    <w:p w:rsidR="00785E98" w:rsidRPr="00E864CE" w:rsidRDefault="00785E98" w:rsidP="00785E98">
      <w:pPr>
        <w:rPr>
          <w:rFonts w:ascii="Arial" w:hAnsi="Arial" w:cs="Arial"/>
          <w:b/>
          <w:bCs/>
          <w:color w:val="4F6228"/>
          <w:lang w:eastAsia="en-ZA"/>
        </w:rPr>
      </w:pPr>
    </w:p>
    <w:p w:rsidR="00785E98" w:rsidRPr="00E864CE" w:rsidRDefault="00785E98" w:rsidP="00785E98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85E98" w:rsidRPr="00E864CE" w:rsidRDefault="00785E98" w:rsidP="00785E98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85E98" w:rsidRPr="00E864CE" w:rsidRDefault="00785E98" w:rsidP="00785E98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85E98" w:rsidRPr="00E864CE" w:rsidRDefault="00785E98" w:rsidP="00785E98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85E98" w:rsidRPr="00E864CE" w:rsidRDefault="00785E98" w:rsidP="00785E98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E864CE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785E98" w:rsidRPr="00E864CE" w:rsidRDefault="00785E98" w:rsidP="00785E98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785E98" w:rsidRPr="00E864CE" w:rsidRDefault="00785E98" w:rsidP="00785E98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</w:r>
      <w:r w:rsidRPr="00E864CE">
        <w:rPr>
          <w:rFonts w:ascii="Arial" w:hAnsi="Arial" w:cs="Arial"/>
          <w:b/>
          <w:bCs/>
          <w:color w:val="4F6228"/>
          <w:lang w:eastAsia="en-ZA"/>
        </w:rPr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785E98" w:rsidRPr="00E864CE" w:rsidRDefault="00785E98" w:rsidP="00785E98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785E98" w:rsidRPr="00E864CE" w:rsidRDefault="00785E98" w:rsidP="00785E98">
      <w:pPr>
        <w:jc w:val="center"/>
        <w:outlineLvl w:val="0"/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E864CE">
        <w:rPr>
          <w:rFonts w:ascii="Arial" w:hAnsi="Arial" w:cs="Arial"/>
          <w:lang w:eastAsia="en-ZA"/>
        </w:rPr>
        <w:t xml:space="preserve">Fax: (021) 466 3610 </w:t>
      </w:r>
    </w:p>
    <w:p w:rsidR="00785E98" w:rsidRPr="00E864CE" w:rsidRDefault="00785E98" w:rsidP="00785E98">
      <w:pPr>
        <w:rPr>
          <w:rFonts w:ascii="Arial" w:hAnsi="Arial" w:cs="Arial"/>
          <w:lang w:val="en-US"/>
        </w:rPr>
      </w:pPr>
    </w:p>
    <w:p w:rsidR="004721D3" w:rsidRPr="002B21D7" w:rsidRDefault="004721D3" w:rsidP="002B21D7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 xml:space="preserve">NATIONAL </w:t>
      </w:r>
      <w:r w:rsidR="003068E9" w:rsidRPr="002B21D7">
        <w:rPr>
          <w:rFonts w:ascii="Arial" w:hAnsi="Arial" w:cs="Arial"/>
          <w:b/>
        </w:rPr>
        <w:t>ASSEMBLY</w:t>
      </w:r>
    </w:p>
    <w:p w:rsidR="004721D3" w:rsidRPr="002B21D7" w:rsidRDefault="004721D3" w:rsidP="002B21D7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QUESTION FOR WRITTEN REPLY</w:t>
      </w:r>
    </w:p>
    <w:p w:rsidR="004721D3" w:rsidRPr="002B21D7" w:rsidRDefault="004721D3" w:rsidP="002B21D7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 xml:space="preserve">QUESTION NUMBER: PQ </w:t>
      </w:r>
      <w:r w:rsidR="004F5366" w:rsidRPr="002B21D7">
        <w:rPr>
          <w:rFonts w:ascii="Arial" w:hAnsi="Arial" w:cs="Arial"/>
          <w:b/>
        </w:rPr>
        <w:t>1035</w:t>
      </w:r>
    </w:p>
    <w:p w:rsidR="004721D3" w:rsidRPr="002B21D7" w:rsidRDefault="004721D3" w:rsidP="002B21D7">
      <w:pPr>
        <w:pStyle w:val="Heading1"/>
        <w:ind w:hanging="720"/>
        <w:jc w:val="left"/>
        <w:rPr>
          <w:rFonts w:ascii="Arial" w:hAnsi="Arial" w:cs="Arial"/>
        </w:rPr>
      </w:pPr>
      <w:r w:rsidRPr="002B21D7">
        <w:rPr>
          <w:rFonts w:ascii="Arial" w:hAnsi="Arial" w:cs="Arial"/>
        </w:rPr>
        <w:t xml:space="preserve">DATE OF PUBLICATION: </w:t>
      </w:r>
      <w:r w:rsidR="000E0628" w:rsidRPr="002B21D7">
        <w:rPr>
          <w:rFonts w:ascii="Arial" w:hAnsi="Arial" w:cs="Arial"/>
        </w:rPr>
        <w:t xml:space="preserve"> </w:t>
      </w:r>
      <w:r w:rsidR="004F5366" w:rsidRPr="002B21D7">
        <w:rPr>
          <w:rFonts w:ascii="Arial" w:hAnsi="Arial" w:cs="Arial"/>
        </w:rPr>
        <w:t>07 May 2021</w:t>
      </w:r>
    </w:p>
    <w:p w:rsidR="00785E98" w:rsidRDefault="00785E98" w:rsidP="002B21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2B21D7" w:rsidRPr="002B21D7" w:rsidRDefault="002B21D7" w:rsidP="002B21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REPLY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>: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>21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 xml:space="preserve"> </w:t>
      </w:r>
      <w:r>
        <w:rPr>
          <w:rFonts w:ascii="Arial" w:eastAsia="Arial Unicode MS" w:hAnsi="Arial" w:cs="Arial"/>
          <w:b/>
          <w:bCs/>
          <w:bdr w:val="nil"/>
          <w:lang w:val="en-US"/>
        </w:rPr>
        <w:t>August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2B21D7" w:rsidRPr="002B21D7" w:rsidRDefault="002B21D7" w:rsidP="002B21D7"/>
    <w:p w:rsidR="004721D3" w:rsidRDefault="004721D3" w:rsidP="00C01002">
      <w:pPr>
        <w:tabs>
          <w:tab w:val="left" w:pos="432"/>
          <w:tab w:val="left" w:pos="864"/>
        </w:tabs>
        <w:jc w:val="both"/>
        <w:rPr>
          <w:b/>
          <w:sz w:val="16"/>
          <w:szCs w:val="16"/>
        </w:rPr>
      </w:pPr>
    </w:p>
    <w:p w:rsidR="0011345E" w:rsidRDefault="002B21D7" w:rsidP="00FC1741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Hon.</w:t>
      </w:r>
      <w:r w:rsidR="004F5366">
        <w:rPr>
          <w:rFonts w:ascii="Arial" w:hAnsi="Arial" w:cs="Arial"/>
          <w:b/>
          <w:lang w:val="en-ZA"/>
        </w:rPr>
        <w:t xml:space="preserve"> </w:t>
      </w:r>
      <w:proofErr w:type="spellStart"/>
      <w:r w:rsidR="004F5366">
        <w:rPr>
          <w:rFonts w:ascii="Arial" w:hAnsi="Arial" w:cs="Arial"/>
          <w:b/>
          <w:lang w:val="en-ZA"/>
        </w:rPr>
        <w:t>Mohlala</w:t>
      </w:r>
      <w:proofErr w:type="spellEnd"/>
      <w:r w:rsidR="004F5366">
        <w:rPr>
          <w:rFonts w:ascii="Arial" w:hAnsi="Arial" w:cs="Arial"/>
          <w:b/>
          <w:lang w:val="en-ZA"/>
        </w:rPr>
        <w:t xml:space="preserve"> (EFF) to ask the Minister of Human Settlements, Water </w:t>
      </w:r>
      <w:r w:rsidR="0011345E">
        <w:rPr>
          <w:rFonts w:ascii="Arial" w:hAnsi="Arial" w:cs="Arial"/>
          <w:b/>
          <w:lang w:val="en-ZA"/>
        </w:rPr>
        <w:t>and</w:t>
      </w:r>
    </w:p>
    <w:p w:rsidR="00FC1741" w:rsidRDefault="00FC1741" w:rsidP="00FC1741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ZA"/>
        </w:rPr>
      </w:pPr>
      <w:r w:rsidRPr="00FC1741">
        <w:rPr>
          <w:rFonts w:ascii="Arial" w:hAnsi="Arial" w:cs="Arial"/>
          <w:b/>
          <w:lang w:val="en-ZA"/>
        </w:rPr>
        <w:t>Sanitation:</w:t>
      </w:r>
    </w:p>
    <w:p w:rsidR="00FC1741" w:rsidRPr="00FC1741" w:rsidRDefault="004F5366" w:rsidP="00116B0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What are the remedial actions to be taken on </w:t>
      </w:r>
      <w:r w:rsidR="00FC1741" w:rsidRPr="00FC1741">
        <w:rPr>
          <w:rFonts w:ascii="Arial" w:hAnsi="Arial" w:cs="Arial"/>
          <w:lang w:val="en-ZA"/>
        </w:rPr>
        <w:t xml:space="preserve">(a) </w:t>
      </w:r>
      <w:r>
        <w:rPr>
          <w:rFonts w:ascii="Arial" w:hAnsi="Arial" w:cs="Arial"/>
          <w:lang w:val="en-ZA"/>
        </w:rPr>
        <w:t>financial and (b) non-financial transgressions with Covid-19 interventions, as highlighted in the special report of the Auditor General?                                                                                      NW 1218E</w:t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  <w:r w:rsidR="00FC1741" w:rsidRPr="00FC1741">
        <w:rPr>
          <w:rFonts w:ascii="Arial" w:hAnsi="Arial" w:cs="Arial"/>
          <w:lang w:val="en-ZA"/>
        </w:rPr>
        <w:tab/>
      </w:r>
    </w:p>
    <w:p w:rsidR="007A3214" w:rsidRDefault="007A3214" w:rsidP="00D0042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56E2B">
        <w:rPr>
          <w:rFonts w:ascii="Arial" w:hAnsi="Arial" w:cs="Arial"/>
          <w:b/>
        </w:rPr>
        <w:t>REPLY:</w:t>
      </w:r>
    </w:p>
    <w:p w:rsidR="004F5366" w:rsidRDefault="004F5366" w:rsidP="00EE030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remedial actions to be taken on:</w:t>
      </w:r>
    </w:p>
    <w:p w:rsidR="004F5366" w:rsidRPr="00420350" w:rsidRDefault="004F5366" w:rsidP="00EE030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420350">
        <w:rPr>
          <w:rFonts w:ascii="Arial" w:hAnsi="Arial" w:cs="Arial"/>
          <w:b/>
        </w:rPr>
        <w:t>(</w:t>
      </w:r>
      <w:proofErr w:type="gramStart"/>
      <w:r w:rsidRPr="00420350">
        <w:rPr>
          <w:rFonts w:ascii="Arial" w:hAnsi="Arial" w:cs="Arial"/>
          <w:b/>
        </w:rPr>
        <w:t>a</w:t>
      </w:r>
      <w:proofErr w:type="gramEnd"/>
      <w:r w:rsidRPr="00420350">
        <w:rPr>
          <w:rFonts w:ascii="Arial" w:hAnsi="Arial" w:cs="Arial"/>
          <w:b/>
        </w:rPr>
        <w:t>).</w:t>
      </w:r>
      <w:r w:rsidRPr="00420350">
        <w:rPr>
          <w:rFonts w:ascii="Arial" w:hAnsi="Arial" w:cs="Arial"/>
          <w:b/>
        </w:rPr>
        <w:tab/>
        <w:t xml:space="preserve">Financial </w:t>
      </w:r>
      <w:r w:rsidR="00420350">
        <w:rPr>
          <w:rFonts w:ascii="Arial" w:hAnsi="Arial" w:cs="Arial"/>
          <w:b/>
        </w:rPr>
        <w:t>Interventions</w:t>
      </w:r>
    </w:p>
    <w:p w:rsidR="00091CCC" w:rsidRDefault="00091CCC" w:rsidP="00EE030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measures will be undertaken with the aim of enhancing efficiency to control measures already in place:</w:t>
      </w:r>
    </w:p>
    <w:p w:rsidR="00091CCC" w:rsidRDefault="00091CCC" w:rsidP="00A35811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5811">
        <w:rPr>
          <w:rFonts w:ascii="Arial" w:hAnsi="Arial" w:cs="Arial"/>
        </w:rPr>
        <w:lastRenderedPageBreak/>
        <w:t xml:space="preserve">The grant frameworks </w:t>
      </w:r>
      <w:r w:rsidR="00A35811" w:rsidRPr="00A35811">
        <w:rPr>
          <w:rFonts w:ascii="Arial" w:hAnsi="Arial" w:cs="Arial"/>
        </w:rPr>
        <w:t xml:space="preserve">as part of the Division of Revenue Act </w:t>
      </w:r>
      <w:r w:rsidR="00116B03">
        <w:rPr>
          <w:rFonts w:ascii="Arial" w:hAnsi="Arial" w:cs="Arial"/>
        </w:rPr>
        <w:t xml:space="preserve">(DORA) </w:t>
      </w:r>
      <w:r w:rsidRPr="00A35811">
        <w:rPr>
          <w:rFonts w:ascii="Arial" w:hAnsi="Arial" w:cs="Arial"/>
        </w:rPr>
        <w:t>governing the utilisation of emergency grant funding will be enhanced to include the following additional conditions:</w:t>
      </w:r>
    </w:p>
    <w:p w:rsidR="00116B03" w:rsidRPr="00A35811" w:rsidRDefault="00116B03" w:rsidP="00116B03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</w:rPr>
      </w:pPr>
    </w:p>
    <w:p w:rsidR="004F5366" w:rsidRDefault="00091CCC" w:rsidP="00116B03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091CCC">
        <w:rPr>
          <w:rFonts w:ascii="Arial" w:hAnsi="Arial" w:cs="Arial"/>
        </w:rPr>
        <w:t>Provinces and Municipalities to furnish Audit outcomes from previous financial year(s) when submitting an application for emergency funding;</w:t>
      </w:r>
    </w:p>
    <w:p w:rsidR="00116B03" w:rsidRPr="00091CCC" w:rsidRDefault="00116B03" w:rsidP="00116B03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091CCC" w:rsidRDefault="00091CCC" w:rsidP="00091CCC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91CCC">
        <w:rPr>
          <w:rFonts w:ascii="Arial" w:hAnsi="Arial" w:cs="Arial"/>
        </w:rPr>
        <w:t xml:space="preserve">Province/Municipality to provide evidence of </w:t>
      </w:r>
      <w:r w:rsidR="00420350">
        <w:rPr>
          <w:rFonts w:ascii="Arial" w:hAnsi="Arial" w:cs="Arial"/>
        </w:rPr>
        <w:t xml:space="preserve">the </w:t>
      </w:r>
      <w:r w:rsidRPr="00091CCC">
        <w:rPr>
          <w:rFonts w:ascii="Arial" w:hAnsi="Arial" w:cs="Arial"/>
        </w:rPr>
        <w:t>appointment of service provider prior to disbursements of funds. The approval letter by the National Department should be used to appoint a service provider;</w:t>
      </w:r>
    </w:p>
    <w:p w:rsidR="00116B03" w:rsidRPr="00091CCC" w:rsidRDefault="00116B03" w:rsidP="00116B03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091CCC" w:rsidRPr="00A35811" w:rsidRDefault="00091CCC" w:rsidP="00A35811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5811">
        <w:rPr>
          <w:rFonts w:ascii="Arial" w:hAnsi="Arial" w:cs="Arial"/>
        </w:rPr>
        <w:t>Compliance concerns to be highlighted and discussed with Provinces and Municipalities during CFO forum(s) and quarterly performance reviews</w:t>
      </w:r>
    </w:p>
    <w:p w:rsidR="00091CCC" w:rsidRPr="00C265AC" w:rsidRDefault="00091CCC" w:rsidP="00A35811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265AC">
        <w:rPr>
          <w:rFonts w:ascii="Arial" w:hAnsi="Arial" w:cs="Arial"/>
        </w:rPr>
        <w:t>Monthly and quarterly reminders to be sent to Provinces and Municipalities for submission of performance</w:t>
      </w:r>
      <w:r w:rsidR="00420350" w:rsidRPr="00C265AC">
        <w:rPr>
          <w:rFonts w:ascii="Arial" w:hAnsi="Arial" w:cs="Arial"/>
        </w:rPr>
        <w:t xml:space="preserve"> (i.e. financial and non-financial)</w:t>
      </w:r>
      <w:r w:rsidRPr="00C265AC">
        <w:rPr>
          <w:rFonts w:ascii="Arial" w:hAnsi="Arial" w:cs="Arial"/>
        </w:rPr>
        <w:t xml:space="preserve"> reports in line with the </w:t>
      </w:r>
      <w:proofErr w:type="spellStart"/>
      <w:r w:rsidRPr="00C265AC">
        <w:rPr>
          <w:rFonts w:ascii="Arial" w:hAnsi="Arial" w:cs="Arial"/>
        </w:rPr>
        <w:t>DoRA</w:t>
      </w:r>
      <w:proofErr w:type="spellEnd"/>
      <w:r w:rsidRPr="00C265AC">
        <w:rPr>
          <w:rFonts w:ascii="Arial" w:hAnsi="Arial" w:cs="Arial"/>
        </w:rPr>
        <w:t xml:space="preserve"> </w:t>
      </w:r>
      <w:r w:rsidR="00A35811" w:rsidRPr="00C265AC">
        <w:rPr>
          <w:rFonts w:ascii="Arial" w:hAnsi="Arial" w:cs="Arial"/>
        </w:rPr>
        <w:t xml:space="preserve">provisions. </w:t>
      </w:r>
      <w:r w:rsidR="009B1B48" w:rsidRPr="00C265AC">
        <w:rPr>
          <w:rFonts w:ascii="Arial" w:hAnsi="Arial" w:cs="Arial"/>
        </w:rPr>
        <w:t>No</w:t>
      </w:r>
      <w:r w:rsidR="00A35811" w:rsidRPr="00C265AC">
        <w:rPr>
          <w:rFonts w:ascii="Arial" w:hAnsi="Arial" w:cs="Arial"/>
        </w:rPr>
        <w:t>n-com</w:t>
      </w:r>
      <w:r w:rsidR="009B1B48" w:rsidRPr="00C265AC">
        <w:rPr>
          <w:rFonts w:ascii="Arial" w:hAnsi="Arial" w:cs="Arial"/>
        </w:rPr>
        <w:t>pliance letters will be</w:t>
      </w:r>
      <w:r w:rsidR="00A35811" w:rsidRPr="00C265AC">
        <w:rPr>
          <w:rFonts w:ascii="Arial" w:hAnsi="Arial" w:cs="Arial"/>
        </w:rPr>
        <w:t xml:space="preserve"> issue</w:t>
      </w:r>
      <w:r w:rsidR="009B1B48" w:rsidRPr="00C265AC">
        <w:rPr>
          <w:rFonts w:ascii="Arial" w:hAnsi="Arial" w:cs="Arial"/>
        </w:rPr>
        <w:t>d</w:t>
      </w:r>
      <w:r w:rsidR="00A35811" w:rsidRPr="00C265AC">
        <w:rPr>
          <w:rFonts w:ascii="Arial" w:hAnsi="Arial" w:cs="Arial"/>
        </w:rPr>
        <w:t xml:space="preserve"> to grant recipients in case of non or late submission of reports</w:t>
      </w:r>
    </w:p>
    <w:p w:rsidR="00A35811" w:rsidRPr="00A35811" w:rsidRDefault="00A35811" w:rsidP="00A35811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5811">
        <w:rPr>
          <w:rFonts w:ascii="Arial" w:hAnsi="Arial" w:cs="Arial"/>
        </w:rPr>
        <w:t>Provinces and Municipalities to indicate strategies in place that will accelerate provision of T</w:t>
      </w:r>
      <w:r w:rsidR="009E616C">
        <w:rPr>
          <w:rFonts w:ascii="Arial" w:hAnsi="Arial" w:cs="Arial"/>
        </w:rPr>
        <w:t>RU’s in their applications for e</w:t>
      </w:r>
      <w:r w:rsidRPr="00A35811">
        <w:rPr>
          <w:rFonts w:ascii="Arial" w:hAnsi="Arial" w:cs="Arial"/>
        </w:rPr>
        <w:t>mergency grant funding</w:t>
      </w:r>
    </w:p>
    <w:p w:rsidR="00420350" w:rsidRPr="00420350" w:rsidRDefault="00A35811" w:rsidP="00420350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5811">
        <w:rPr>
          <w:rFonts w:ascii="Arial" w:hAnsi="Arial" w:cs="Arial"/>
        </w:rPr>
        <w:t xml:space="preserve">It will be mandatory for Provinces and Municipalities to submit a credible and verifiable beneficiary list as part </w:t>
      </w:r>
      <w:r w:rsidR="009E616C">
        <w:rPr>
          <w:rFonts w:ascii="Arial" w:hAnsi="Arial" w:cs="Arial"/>
        </w:rPr>
        <w:t>of the application process for e</w:t>
      </w:r>
      <w:r w:rsidRPr="00A35811">
        <w:rPr>
          <w:rFonts w:ascii="Arial" w:hAnsi="Arial" w:cs="Arial"/>
        </w:rPr>
        <w:t>mergency grant funding</w:t>
      </w:r>
    </w:p>
    <w:p w:rsidR="004F5366" w:rsidRDefault="004F5366" w:rsidP="00EE030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20350">
        <w:rPr>
          <w:rFonts w:ascii="Arial" w:hAnsi="Arial" w:cs="Arial"/>
          <w:b/>
        </w:rPr>
        <w:t>b)</w:t>
      </w:r>
      <w:r w:rsidRPr="00420350">
        <w:rPr>
          <w:rFonts w:ascii="Arial" w:hAnsi="Arial" w:cs="Arial"/>
          <w:b/>
        </w:rPr>
        <w:tab/>
        <w:t xml:space="preserve">Non-Financial </w:t>
      </w:r>
      <w:r w:rsidR="00116B03">
        <w:rPr>
          <w:rFonts w:ascii="Arial" w:hAnsi="Arial" w:cs="Arial"/>
          <w:b/>
        </w:rPr>
        <w:t>I</w:t>
      </w:r>
      <w:r w:rsidR="00420350" w:rsidRPr="00420350">
        <w:rPr>
          <w:rFonts w:ascii="Arial" w:hAnsi="Arial" w:cs="Arial"/>
          <w:b/>
        </w:rPr>
        <w:t>nterventions</w:t>
      </w:r>
    </w:p>
    <w:p w:rsidR="007B2208" w:rsidRDefault="00F121D5" w:rsidP="00F121D5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7B2208" w:rsidRPr="00AA2A1E">
        <w:rPr>
          <w:rFonts w:ascii="Arial" w:hAnsi="Arial" w:cs="Arial"/>
        </w:rPr>
        <w:t xml:space="preserve">At the </w:t>
      </w:r>
      <w:proofErr w:type="spellStart"/>
      <w:r w:rsidR="00116B03" w:rsidRPr="00AA2A1E">
        <w:rPr>
          <w:rFonts w:ascii="Arial" w:hAnsi="Arial" w:cs="Arial"/>
        </w:rPr>
        <w:t>MinMec</w:t>
      </w:r>
      <w:proofErr w:type="spellEnd"/>
      <w:r w:rsidR="007B2208" w:rsidRPr="00AA2A1E">
        <w:rPr>
          <w:rFonts w:ascii="Arial" w:hAnsi="Arial" w:cs="Arial"/>
        </w:rPr>
        <w:t xml:space="preserve"> of </w:t>
      </w:r>
      <w:r w:rsidR="003F0180" w:rsidRPr="00AA2A1E">
        <w:rPr>
          <w:rFonts w:ascii="Arial" w:hAnsi="Arial" w:cs="Arial"/>
        </w:rPr>
        <w:t xml:space="preserve">23 September 2020 </w:t>
      </w:r>
      <w:r w:rsidR="007B2208" w:rsidRPr="00AA2A1E">
        <w:rPr>
          <w:rFonts w:ascii="Arial" w:hAnsi="Arial" w:cs="Arial"/>
        </w:rPr>
        <w:t xml:space="preserve">it was amongst others resolved that the </w:t>
      </w:r>
      <w:r w:rsidR="00AA2A1E" w:rsidRPr="00AA2A1E">
        <w:rPr>
          <w:rFonts w:ascii="Arial" w:hAnsi="Arial" w:cs="Arial"/>
        </w:rPr>
        <w:t xml:space="preserve">quality assessments and or inspections of the </w:t>
      </w:r>
      <w:r w:rsidR="007B2208" w:rsidRPr="00AA2A1E">
        <w:rPr>
          <w:rFonts w:ascii="Arial" w:hAnsi="Arial" w:cs="Arial"/>
        </w:rPr>
        <w:t xml:space="preserve">NHBRC should </w:t>
      </w:r>
      <w:r w:rsidR="00AA2A1E" w:rsidRPr="00AA2A1E">
        <w:rPr>
          <w:rFonts w:ascii="Arial" w:hAnsi="Arial" w:cs="Arial"/>
        </w:rPr>
        <w:t xml:space="preserve">include all human settlements projects and TRUs. </w:t>
      </w:r>
    </w:p>
    <w:p w:rsidR="00BA7053" w:rsidRDefault="007B2208" w:rsidP="007B2208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process of reviewing the mandate of the NHBRC mandate has commenced in earnest</w:t>
      </w:r>
      <w:r w:rsidR="00BA7053">
        <w:rPr>
          <w:rFonts w:ascii="Arial" w:hAnsi="Arial" w:cs="Arial"/>
        </w:rPr>
        <w:t>. T</w:t>
      </w:r>
      <w:r>
        <w:rPr>
          <w:rFonts w:ascii="Arial" w:hAnsi="Arial" w:cs="Arial"/>
        </w:rPr>
        <w:t>o this extent</w:t>
      </w:r>
      <w:r w:rsidR="00BA70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Department has drafted the Housing Consumer Protection Bill</w:t>
      </w:r>
      <w:r w:rsidR="000833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amongst others</w:t>
      </w:r>
      <w:r w:rsidR="000833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repeal the Housing Consumer Protection Measures Act </w:t>
      </w:r>
      <w:r w:rsidR="00BA7053">
        <w:rPr>
          <w:rFonts w:ascii="Arial" w:hAnsi="Arial" w:cs="Arial"/>
        </w:rPr>
        <w:t>of 1998</w:t>
      </w:r>
      <w:r w:rsidR="00116B03">
        <w:rPr>
          <w:rFonts w:ascii="Arial" w:hAnsi="Arial" w:cs="Arial"/>
        </w:rPr>
        <w:t>,</w:t>
      </w:r>
      <w:r w:rsidR="00BA7053">
        <w:rPr>
          <w:rFonts w:ascii="Arial" w:hAnsi="Arial" w:cs="Arial"/>
        </w:rPr>
        <w:t xml:space="preserve"> and</w:t>
      </w:r>
      <w:r w:rsidR="00116B03">
        <w:rPr>
          <w:rFonts w:ascii="Arial" w:hAnsi="Arial" w:cs="Arial"/>
        </w:rPr>
        <w:t xml:space="preserve"> address the </w:t>
      </w:r>
      <w:proofErr w:type="gramStart"/>
      <w:r w:rsidR="00116B03">
        <w:rPr>
          <w:rFonts w:ascii="Arial" w:hAnsi="Arial" w:cs="Arial"/>
        </w:rPr>
        <w:t xml:space="preserve">following </w:t>
      </w:r>
      <w:r w:rsidR="00BA7053">
        <w:rPr>
          <w:rFonts w:ascii="Arial" w:hAnsi="Arial" w:cs="Arial"/>
        </w:rPr>
        <w:t>;</w:t>
      </w:r>
      <w:proofErr w:type="gramEnd"/>
    </w:p>
    <w:p w:rsidR="0008339C" w:rsidRDefault="00BA7053" w:rsidP="00116B03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Ensure adequate protection </w:t>
      </w:r>
      <w:r w:rsidR="0008339C">
        <w:rPr>
          <w:rFonts w:ascii="Arial" w:hAnsi="Arial" w:cs="Arial"/>
        </w:rPr>
        <w:t>of housing consumers and the effective regulation of the home building industry;</w:t>
      </w:r>
    </w:p>
    <w:p w:rsidR="00116B03" w:rsidRDefault="00116B03" w:rsidP="00116B03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3F0180" w:rsidRDefault="00F121D5" w:rsidP="00BA7053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Strengthen</w:t>
      </w:r>
      <w:r w:rsidR="0008339C">
        <w:rPr>
          <w:rFonts w:ascii="Arial" w:hAnsi="Arial" w:cs="Arial"/>
        </w:rPr>
        <w:t xml:space="preserve"> protection measures, regulatory and enforcement mechanisms as well as prescribing appropriate sanctions or penalties against defaulting persons. </w:t>
      </w:r>
    </w:p>
    <w:p w:rsidR="003F0180" w:rsidRDefault="003F0180" w:rsidP="003F018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this end, </w:t>
      </w:r>
      <w:r w:rsidR="00AA2A1E">
        <w:rPr>
          <w:rFonts w:ascii="Arial" w:hAnsi="Arial" w:cs="Arial"/>
        </w:rPr>
        <w:t xml:space="preserve">on 30 June 2021, </w:t>
      </w:r>
      <w:r>
        <w:rPr>
          <w:rFonts w:ascii="Arial" w:hAnsi="Arial" w:cs="Arial"/>
        </w:rPr>
        <w:t>Parliament</w:t>
      </w:r>
      <w:r w:rsidR="00AA2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published the Housing Consumer Protection Bill for public consultation and this process will close on 13 August 2021, which will be followed by provincial visits. </w:t>
      </w:r>
    </w:p>
    <w:p w:rsidR="007B2208" w:rsidRDefault="003F0180" w:rsidP="003F018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terms of the new Act the </w:t>
      </w:r>
      <w:r w:rsidR="007B2208" w:rsidRPr="003F0180">
        <w:rPr>
          <w:rFonts w:ascii="Arial" w:hAnsi="Arial" w:cs="Arial"/>
        </w:rPr>
        <w:t xml:space="preserve">NHBRC </w:t>
      </w:r>
      <w:r>
        <w:rPr>
          <w:rFonts w:ascii="Arial" w:hAnsi="Arial" w:cs="Arial"/>
        </w:rPr>
        <w:t xml:space="preserve">will </w:t>
      </w:r>
      <w:r w:rsidR="007B2208" w:rsidRPr="003F0180">
        <w:rPr>
          <w:rFonts w:ascii="Arial" w:hAnsi="Arial" w:cs="Arial"/>
        </w:rPr>
        <w:t>be the custodian in respect of providing quality assurance and inspecting TRUs for compliance with the norms and standards that are set in the Housing Code.</w:t>
      </w:r>
    </w:p>
    <w:p w:rsidR="00116B03" w:rsidRDefault="00116B03" w:rsidP="003F018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Housing Development Agency was directed both by my office and the Director-General to ensure that processes leading up to establishment and construction of temporary residential areas and units are investigated, and a report provided on the outcomes thereof, including any consequence management measures.</w:t>
      </w:r>
    </w:p>
    <w:p w:rsidR="00116B03" w:rsidRDefault="00116B03" w:rsidP="00785E9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also important that I advise that the South African Polices Services, under the Hawks have instituted a criminal investigation within the various projects including in Limpopo and Eastern Cape. In addition, the Special Investigating Unit are seized with matters based on a proclamation issued on the matter. As soon as I am provided with the relevant detail and reports I will advise the Portfolio Committee on the matter.   </w:t>
      </w:r>
    </w:p>
    <w:sectPr w:rsidR="00116B03" w:rsidSect="00B179E3">
      <w:footerReference w:type="default" r:id="rId8"/>
      <w:pgSz w:w="11909" w:h="16834" w:code="9"/>
      <w:pgMar w:top="1440" w:right="1289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D3" w:rsidRDefault="00FA19D3" w:rsidP="00C265AC">
      <w:r>
        <w:separator/>
      </w:r>
    </w:p>
  </w:endnote>
  <w:endnote w:type="continuationSeparator" w:id="0">
    <w:p w:rsidR="00FA19D3" w:rsidRDefault="00FA19D3" w:rsidP="00C2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47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5AC" w:rsidRDefault="003068D6">
        <w:pPr>
          <w:pStyle w:val="Footer"/>
          <w:jc w:val="right"/>
        </w:pPr>
        <w:r>
          <w:fldChar w:fldCharType="begin"/>
        </w:r>
        <w:r w:rsidR="00C265AC">
          <w:instrText xml:space="preserve"> PAGE   \* MERGEFORMAT </w:instrText>
        </w:r>
        <w:r>
          <w:fldChar w:fldCharType="separate"/>
        </w:r>
        <w:r w:rsidR="00344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5AC" w:rsidRDefault="00C26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D3" w:rsidRDefault="00FA19D3" w:rsidP="00C265AC">
      <w:r>
        <w:separator/>
      </w:r>
    </w:p>
  </w:footnote>
  <w:footnote w:type="continuationSeparator" w:id="0">
    <w:p w:rsidR="00FA19D3" w:rsidRDefault="00FA19D3" w:rsidP="00C2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706"/>
    <w:multiLevelType w:val="hybridMultilevel"/>
    <w:tmpl w:val="A93E53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30387"/>
    <w:multiLevelType w:val="hybridMultilevel"/>
    <w:tmpl w:val="01F2E9B4"/>
    <w:lvl w:ilvl="0" w:tplc="70FCF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2C88"/>
    <w:multiLevelType w:val="hybridMultilevel"/>
    <w:tmpl w:val="946EE7E6"/>
    <w:lvl w:ilvl="0" w:tplc="0734C6A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31FC1"/>
    <w:multiLevelType w:val="hybridMultilevel"/>
    <w:tmpl w:val="7D106EB0"/>
    <w:lvl w:ilvl="0" w:tplc="350A2832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2C1B4F37"/>
    <w:multiLevelType w:val="hybridMultilevel"/>
    <w:tmpl w:val="56F446E8"/>
    <w:lvl w:ilvl="0" w:tplc="E12CD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7459"/>
    <w:multiLevelType w:val="hybridMultilevel"/>
    <w:tmpl w:val="4968AE0C"/>
    <w:lvl w:ilvl="0" w:tplc="42508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F2247"/>
    <w:multiLevelType w:val="hybridMultilevel"/>
    <w:tmpl w:val="7264037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24D04"/>
    <w:multiLevelType w:val="hybridMultilevel"/>
    <w:tmpl w:val="AC46A0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1F172B"/>
    <w:multiLevelType w:val="hybridMultilevel"/>
    <w:tmpl w:val="A8ECEB98"/>
    <w:lvl w:ilvl="0" w:tplc="E8884A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81109"/>
    <w:multiLevelType w:val="hybridMultilevel"/>
    <w:tmpl w:val="0BB43304"/>
    <w:lvl w:ilvl="0" w:tplc="D40EA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F1C9D"/>
    <w:multiLevelType w:val="hybridMultilevel"/>
    <w:tmpl w:val="DAB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295B6C"/>
    <w:multiLevelType w:val="hybridMultilevel"/>
    <w:tmpl w:val="FD983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055598"/>
    <w:multiLevelType w:val="hybridMultilevel"/>
    <w:tmpl w:val="6A886BA6"/>
    <w:lvl w:ilvl="0" w:tplc="3AC4F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7711F"/>
    <w:multiLevelType w:val="hybridMultilevel"/>
    <w:tmpl w:val="05ACFE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2666CF"/>
    <w:multiLevelType w:val="hybridMultilevel"/>
    <w:tmpl w:val="FBB4BAE8"/>
    <w:lvl w:ilvl="0" w:tplc="05A4B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EA0ED8"/>
    <w:multiLevelType w:val="hybridMultilevel"/>
    <w:tmpl w:val="C8BE9EBE"/>
    <w:lvl w:ilvl="0" w:tplc="65B8E19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14341"/>
    <w:multiLevelType w:val="hybridMultilevel"/>
    <w:tmpl w:val="DB109C6C"/>
    <w:lvl w:ilvl="0" w:tplc="1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5BC300DD"/>
    <w:multiLevelType w:val="hybridMultilevel"/>
    <w:tmpl w:val="9D680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44E3F"/>
    <w:multiLevelType w:val="hybridMultilevel"/>
    <w:tmpl w:val="E5EA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95C77"/>
    <w:multiLevelType w:val="hybridMultilevel"/>
    <w:tmpl w:val="7B748FA0"/>
    <w:lvl w:ilvl="0" w:tplc="1BD287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77FC8"/>
    <w:multiLevelType w:val="hybridMultilevel"/>
    <w:tmpl w:val="4E56A5EC"/>
    <w:lvl w:ilvl="0" w:tplc="E8884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93FC0"/>
    <w:multiLevelType w:val="hybridMultilevel"/>
    <w:tmpl w:val="E1DEB5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F3746"/>
    <w:multiLevelType w:val="hybridMultilevel"/>
    <w:tmpl w:val="0186D5A6"/>
    <w:lvl w:ilvl="0" w:tplc="0CD6F2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952C65"/>
    <w:multiLevelType w:val="hybridMultilevel"/>
    <w:tmpl w:val="3F1C9F90"/>
    <w:lvl w:ilvl="0" w:tplc="8CCE4FA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11610"/>
    <w:multiLevelType w:val="hybridMultilevel"/>
    <w:tmpl w:val="D7C4119C"/>
    <w:lvl w:ilvl="0" w:tplc="1E8E6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614"/>
    <w:multiLevelType w:val="hybridMultilevel"/>
    <w:tmpl w:val="31C835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F1662E"/>
    <w:multiLevelType w:val="hybridMultilevel"/>
    <w:tmpl w:val="4FD042B6"/>
    <w:lvl w:ilvl="0" w:tplc="AA5C1B8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C1761"/>
    <w:multiLevelType w:val="hybridMultilevel"/>
    <w:tmpl w:val="EBD04660"/>
    <w:lvl w:ilvl="0" w:tplc="C4A47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720F9"/>
    <w:multiLevelType w:val="hybridMultilevel"/>
    <w:tmpl w:val="7DC2F636"/>
    <w:lvl w:ilvl="0" w:tplc="FBA6978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8"/>
  </w:num>
  <w:num w:numId="5">
    <w:abstractNumId w:val="14"/>
  </w:num>
  <w:num w:numId="6">
    <w:abstractNumId w:val="2"/>
  </w:num>
  <w:num w:numId="7">
    <w:abstractNumId w:val="3"/>
  </w:num>
  <w:num w:numId="8">
    <w:abstractNumId w:val="19"/>
  </w:num>
  <w:num w:numId="9">
    <w:abstractNumId w:val="9"/>
  </w:num>
  <w:num w:numId="10">
    <w:abstractNumId w:val="21"/>
  </w:num>
  <w:num w:numId="11">
    <w:abstractNumId w:val="26"/>
  </w:num>
  <w:num w:numId="12">
    <w:abstractNumId w:val="5"/>
  </w:num>
  <w:num w:numId="13">
    <w:abstractNumId w:val="1"/>
  </w:num>
  <w:num w:numId="14">
    <w:abstractNumId w:val="24"/>
  </w:num>
  <w:num w:numId="15">
    <w:abstractNumId w:val="6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8"/>
  </w:num>
  <w:num w:numId="21">
    <w:abstractNumId w:val="27"/>
  </w:num>
  <w:num w:numId="22">
    <w:abstractNumId w:val="17"/>
  </w:num>
  <w:num w:numId="23">
    <w:abstractNumId w:val="25"/>
  </w:num>
  <w:num w:numId="24">
    <w:abstractNumId w:val="28"/>
  </w:num>
  <w:num w:numId="25">
    <w:abstractNumId w:val="13"/>
  </w:num>
  <w:num w:numId="26">
    <w:abstractNumId w:val="11"/>
  </w:num>
  <w:num w:numId="27">
    <w:abstractNumId w:val="7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1D3"/>
    <w:rsid w:val="00000AB4"/>
    <w:rsid w:val="0000607D"/>
    <w:rsid w:val="0001438D"/>
    <w:rsid w:val="00015D58"/>
    <w:rsid w:val="000174A9"/>
    <w:rsid w:val="00022C5D"/>
    <w:rsid w:val="000305E5"/>
    <w:rsid w:val="00037DE2"/>
    <w:rsid w:val="00040AE5"/>
    <w:rsid w:val="000460DF"/>
    <w:rsid w:val="00077AAF"/>
    <w:rsid w:val="0008339C"/>
    <w:rsid w:val="00091CCC"/>
    <w:rsid w:val="000929EA"/>
    <w:rsid w:val="000B0A1B"/>
    <w:rsid w:val="000B3BB7"/>
    <w:rsid w:val="000C076A"/>
    <w:rsid w:val="000C29BF"/>
    <w:rsid w:val="000C7682"/>
    <w:rsid w:val="000D4D5B"/>
    <w:rsid w:val="000E0628"/>
    <w:rsid w:val="000E118C"/>
    <w:rsid w:val="000E4109"/>
    <w:rsid w:val="000E5FCA"/>
    <w:rsid w:val="00100097"/>
    <w:rsid w:val="001058C3"/>
    <w:rsid w:val="00106D6B"/>
    <w:rsid w:val="0011345E"/>
    <w:rsid w:val="00115998"/>
    <w:rsid w:val="00116B03"/>
    <w:rsid w:val="00120938"/>
    <w:rsid w:val="0012181F"/>
    <w:rsid w:val="00121CE9"/>
    <w:rsid w:val="001243BB"/>
    <w:rsid w:val="001256CF"/>
    <w:rsid w:val="00127A43"/>
    <w:rsid w:val="00133D45"/>
    <w:rsid w:val="001349B6"/>
    <w:rsid w:val="0013567F"/>
    <w:rsid w:val="0013731C"/>
    <w:rsid w:val="001374A5"/>
    <w:rsid w:val="001413BB"/>
    <w:rsid w:val="00143E54"/>
    <w:rsid w:val="00143F49"/>
    <w:rsid w:val="00155AB6"/>
    <w:rsid w:val="00156E2B"/>
    <w:rsid w:val="00160EFD"/>
    <w:rsid w:val="00162DF0"/>
    <w:rsid w:val="001869DE"/>
    <w:rsid w:val="001945DD"/>
    <w:rsid w:val="00195902"/>
    <w:rsid w:val="001C4606"/>
    <w:rsid w:val="001D31E8"/>
    <w:rsid w:val="001E3447"/>
    <w:rsid w:val="001F02F6"/>
    <w:rsid w:val="001F6415"/>
    <w:rsid w:val="00204DBB"/>
    <w:rsid w:val="00217FA0"/>
    <w:rsid w:val="00220D4A"/>
    <w:rsid w:val="002656CB"/>
    <w:rsid w:val="0028615E"/>
    <w:rsid w:val="00287AFC"/>
    <w:rsid w:val="002979C7"/>
    <w:rsid w:val="002B21D7"/>
    <w:rsid w:val="002B73F2"/>
    <w:rsid w:val="002B7A69"/>
    <w:rsid w:val="002D6C7B"/>
    <w:rsid w:val="002E0B01"/>
    <w:rsid w:val="002E2EAD"/>
    <w:rsid w:val="002F1854"/>
    <w:rsid w:val="003068D6"/>
    <w:rsid w:val="003068E9"/>
    <w:rsid w:val="00327C6E"/>
    <w:rsid w:val="00330A69"/>
    <w:rsid w:val="003314D2"/>
    <w:rsid w:val="00342CB8"/>
    <w:rsid w:val="00343CA9"/>
    <w:rsid w:val="00344598"/>
    <w:rsid w:val="00346304"/>
    <w:rsid w:val="00354C7D"/>
    <w:rsid w:val="00361824"/>
    <w:rsid w:val="003818BB"/>
    <w:rsid w:val="0038714A"/>
    <w:rsid w:val="003A634D"/>
    <w:rsid w:val="003B2DB8"/>
    <w:rsid w:val="003B7531"/>
    <w:rsid w:val="003D047C"/>
    <w:rsid w:val="003D4940"/>
    <w:rsid w:val="003D524F"/>
    <w:rsid w:val="003E1A40"/>
    <w:rsid w:val="003E690F"/>
    <w:rsid w:val="003F0180"/>
    <w:rsid w:val="003F0FBA"/>
    <w:rsid w:val="003F2302"/>
    <w:rsid w:val="00401E59"/>
    <w:rsid w:val="004026D0"/>
    <w:rsid w:val="004171D5"/>
    <w:rsid w:val="00420350"/>
    <w:rsid w:val="00420DFC"/>
    <w:rsid w:val="004220B1"/>
    <w:rsid w:val="004305B4"/>
    <w:rsid w:val="004378E9"/>
    <w:rsid w:val="0044672E"/>
    <w:rsid w:val="00453F9C"/>
    <w:rsid w:val="00470869"/>
    <w:rsid w:val="004721D3"/>
    <w:rsid w:val="004801DF"/>
    <w:rsid w:val="004807A5"/>
    <w:rsid w:val="0048091D"/>
    <w:rsid w:val="00484440"/>
    <w:rsid w:val="00495B9B"/>
    <w:rsid w:val="004971B0"/>
    <w:rsid w:val="004A332F"/>
    <w:rsid w:val="004B1E05"/>
    <w:rsid w:val="004C77AC"/>
    <w:rsid w:val="004D1EBD"/>
    <w:rsid w:val="004E0692"/>
    <w:rsid w:val="004E530A"/>
    <w:rsid w:val="004F5366"/>
    <w:rsid w:val="00512FFD"/>
    <w:rsid w:val="005262A5"/>
    <w:rsid w:val="005267CD"/>
    <w:rsid w:val="00533A9F"/>
    <w:rsid w:val="005344E5"/>
    <w:rsid w:val="005366FE"/>
    <w:rsid w:val="00536FA2"/>
    <w:rsid w:val="0059301F"/>
    <w:rsid w:val="005A0FDA"/>
    <w:rsid w:val="005C63AA"/>
    <w:rsid w:val="005E6CB4"/>
    <w:rsid w:val="005F151E"/>
    <w:rsid w:val="005F7DFB"/>
    <w:rsid w:val="00603ED5"/>
    <w:rsid w:val="00610DCC"/>
    <w:rsid w:val="00613827"/>
    <w:rsid w:val="0065020C"/>
    <w:rsid w:val="00651E1C"/>
    <w:rsid w:val="006527BF"/>
    <w:rsid w:val="00654A09"/>
    <w:rsid w:val="0066135E"/>
    <w:rsid w:val="0066388C"/>
    <w:rsid w:val="00673755"/>
    <w:rsid w:val="006766A5"/>
    <w:rsid w:val="00687030"/>
    <w:rsid w:val="00691E84"/>
    <w:rsid w:val="006A467A"/>
    <w:rsid w:val="006B08A5"/>
    <w:rsid w:val="006B6A5F"/>
    <w:rsid w:val="006C0049"/>
    <w:rsid w:val="006C0272"/>
    <w:rsid w:val="006C0982"/>
    <w:rsid w:val="006C1BCD"/>
    <w:rsid w:val="006C26D6"/>
    <w:rsid w:val="006C2765"/>
    <w:rsid w:val="006D0D2E"/>
    <w:rsid w:val="006E3545"/>
    <w:rsid w:val="006E56E7"/>
    <w:rsid w:val="006F147B"/>
    <w:rsid w:val="006F2304"/>
    <w:rsid w:val="007010C6"/>
    <w:rsid w:val="00724A66"/>
    <w:rsid w:val="00727FD2"/>
    <w:rsid w:val="0073119B"/>
    <w:rsid w:val="00732CE7"/>
    <w:rsid w:val="00740C10"/>
    <w:rsid w:val="007419DC"/>
    <w:rsid w:val="007450ED"/>
    <w:rsid w:val="00752295"/>
    <w:rsid w:val="00754F96"/>
    <w:rsid w:val="00771D4D"/>
    <w:rsid w:val="0077442E"/>
    <w:rsid w:val="00777D1E"/>
    <w:rsid w:val="00780031"/>
    <w:rsid w:val="00785E98"/>
    <w:rsid w:val="007A3214"/>
    <w:rsid w:val="007A5C32"/>
    <w:rsid w:val="007B2208"/>
    <w:rsid w:val="007B7AB9"/>
    <w:rsid w:val="007C5946"/>
    <w:rsid w:val="007C6AB2"/>
    <w:rsid w:val="007D6F60"/>
    <w:rsid w:val="007F126F"/>
    <w:rsid w:val="007F519E"/>
    <w:rsid w:val="00803160"/>
    <w:rsid w:val="00807917"/>
    <w:rsid w:val="008207E0"/>
    <w:rsid w:val="008411A8"/>
    <w:rsid w:val="008709D3"/>
    <w:rsid w:val="00882E9A"/>
    <w:rsid w:val="00884058"/>
    <w:rsid w:val="00893FC0"/>
    <w:rsid w:val="008A25DA"/>
    <w:rsid w:val="008B25E8"/>
    <w:rsid w:val="008B614B"/>
    <w:rsid w:val="008C7E52"/>
    <w:rsid w:val="008D44E3"/>
    <w:rsid w:val="008E1BBF"/>
    <w:rsid w:val="008F39ED"/>
    <w:rsid w:val="00900EFD"/>
    <w:rsid w:val="00910D1E"/>
    <w:rsid w:val="009167AD"/>
    <w:rsid w:val="0092145C"/>
    <w:rsid w:val="0093414C"/>
    <w:rsid w:val="009506C6"/>
    <w:rsid w:val="009515CF"/>
    <w:rsid w:val="00954B2E"/>
    <w:rsid w:val="009623B9"/>
    <w:rsid w:val="009644A0"/>
    <w:rsid w:val="00965DE3"/>
    <w:rsid w:val="00980003"/>
    <w:rsid w:val="00986167"/>
    <w:rsid w:val="009A65D0"/>
    <w:rsid w:val="009B1B48"/>
    <w:rsid w:val="009B3992"/>
    <w:rsid w:val="009B4FF1"/>
    <w:rsid w:val="009D0A19"/>
    <w:rsid w:val="009D278B"/>
    <w:rsid w:val="009E1269"/>
    <w:rsid w:val="009E616C"/>
    <w:rsid w:val="009F3218"/>
    <w:rsid w:val="00A02082"/>
    <w:rsid w:val="00A04D5E"/>
    <w:rsid w:val="00A0584C"/>
    <w:rsid w:val="00A3005C"/>
    <w:rsid w:val="00A31235"/>
    <w:rsid w:val="00A35811"/>
    <w:rsid w:val="00A46082"/>
    <w:rsid w:val="00A47025"/>
    <w:rsid w:val="00A50404"/>
    <w:rsid w:val="00A53E33"/>
    <w:rsid w:val="00A54AE7"/>
    <w:rsid w:val="00A71244"/>
    <w:rsid w:val="00A75AF5"/>
    <w:rsid w:val="00A94519"/>
    <w:rsid w:val="00AA2189"/>
    <w:rsid w:val="00AA2A1E"/>
    <w:rsid w:val="00AA658C"/>
    <w:rsid w:val="00AB3882"/>
    <w:rsid w:val="00AF0C87"/>
    <w:rsid w:val="00AF3996"/>
    <w:rsid w:val="00AF4A5A"/>
    <w:rsid w:val="00B026DE"/>
    <w:rsid w:val="00B13951"/>
    <w:rsid w:val="00B1654B"/>
    <w:rsid w:val="00B179E3"/>
    <w:rsid w:val="00B25575"/>
    <w:rsid w:val="00B26D57"/>
    <w:rsid w:val="00B32B75"/>
    <w:rsid w:val="00B333F3"/>
    <w:rsid w:val="00B40441"/>
    <w:rsid w:val="00B4294A"/>
    <w:rsid w:val="00B44F27"/>
    <w:rsid w:val="00B60751"/>
    <w:rsid w:val="00B61C9C"/>
    <w:rsid w:val="00B7002D"/>
    <w:rsid w:val="00B714A5"/>
    <w:rsid w:val="00B97785"/>
    <w:rsid w:val="00BA12D1"/>
    <w:rsid w:val="00BA147A"/>
    <w:rsid w:val="00BA7053"/>
    <w:rsid w:val="00BC0F3C"/>
    <w:rsid w:val="00BD7A0F"/>
    <w:rsid w:val="00BE0459"/>
    <w:rsid w:val="00BE13A6"/>
    <w:rsid w:val="00BE3B4F"/>
    <w:rsid w:val="00BE4091"/>
    <w:rsid w:val="00BE59D2"/>
    <w:rsid w:val="00C01002"/>
    <w:rsid w:val="00C265AC"/>
    <w:rsid w:val="00C3639D"/>
    <w:rsid w:val="00C378DD"/>
    <w:rsid w:val="00C40B92"/>
    <w:rsid w:val="00C460FB"/>
    <w:rsid w:val="00C64E47"/>
    <w:rsid w:val="00C6581E"/>
    <w:rsid w:val="00C81904"/>
    <w:rsid w:val="00C8713C"/>
    <w:rsid w:val="00C87963"/>
    <w:rsid w:val="00C90BC3"/>
    <w:rsid w:val="00C95BFF"/>
    <w:rsid w:val="00C96025"/>
    <w:rsid w:val="00C963EF"/>
    <w:rsid w:val="00CA2408"/>
    <w:rsid w:val="00CA51A9"/>
    <w:rsid w:val="00CB03F8"/>
    <w:rsid w:val="00CB099F"/>
    <w:rsid w:val="00CB1BBA"/>
    <w:rsid w:val="00CB1DED"/>
    <w:rsid w:val="00CB6C35"/>
    <w:rsid w:val="00CC5C3F"/>
    <w:rsid w:val="00CD18D2"/>
    <w:rsid w:val="00CD471D"/>
    <w:rsid w:val="00CE345B"/>
    <w:rsid w:val="00D00426"/>
    <w:rsid w:val="00D010DA"/>
    <w:rsid w:val="00D152AB"/>
    <w:rsid w:val="00D22D02"/>
    <w:rsid w:val="00D22DA9"/>
    <w:rsid w:val="00D279D8"/>
    <w:rsid w:val="00D45184"/>
    <w:rsid w:val="00D71C50"/>
    <w:rsid w:val="00D74D50"/>
    <w:rsid w:val="00D7577B"/>
    <w:rsid w:val="00D83B1F"/>
    <w:rsid w:val="00D91D15"/>
    <w:rsid w:val="00DA0102"/>
    <w:rsid w:val="00DB7982"/>
    <w:rsid w:val="00DC466A"/>
    <w:rsid w:val="00DC4F86"/>
    <w:rsid w:val="00DD1A2D"/>
    <w:rsid w:val="00DD6F34"/>
    <w:rsid w:val="00DE0981"/>
    <w:rsid w:val="00DE3A17"/>
    <w:rsid w:val="00DF0065"/>
    <w:rsid w:val="00DF1F04"/>
    <w:rsid w:val="00DF561C"/>
    <w:rsid w:val="00E37F04"/>
    <w:rsid w:val="00E44F06"/>
    <w:rsid w:val="00E5462F"/>
    <w:rsid w:val="00E57114"/>
    <w:rsid w:val="00E639C1"/>
    <w:rsid w:val="00E72EB9"/>
    <w:rsid w:val="00E76E08"/>
    <w:rsid w:val="00E82A00"/>
    <w:rsid w:val="00E86829"/>
    <w:rsid w:val="00EA0B29"/>
    <w:rsid w:val="00EA214F"/>
    <w:rsid w:val="00EA40C9"/>
    <w:rsid w:val="00EC52B6"/>
    <w:rsid w:val="00ED442F"/>
    <w:rsid w:val="00EE030B"/>
    <w:rsid w:val="00EE199F"/>
    <w:rsid w:val="00EE4844"/>
    <w:rsid w:val="00EE5F84"/>
    <w:rsid w:val="00EF1D24"/>
    <w:rsid w:val="00EF1D95"/>
    <w:rsid w:val="00EF2C5B"/>
    <w:rsid w:val="00F121D5"/>
    <w:rsid w:val="00F15698"/>
    <w:rsid w:val="00F240CF"/>
    <w:rsid w:val="00F24D80"/>
    <w:rsid w:val="00F274C8"/>
    <w:rsid w:val="00F308A9"/>
    <w:rsid w:val="00F34E7A"/>
    <w:rsid w:val="00F55E21"/>
    <w:rsid w:val="00F5711A"/>
    <w:rsid w:val="00F57CA8"/>
    <w:rsid w:val="00F66346"/>
    <w:rsid w:val="00F6713A"/>
    <w:rsid w:val="00F729AE"/>
    <w:rsid w:val="00F72EA4"/>
    <w:rsid w:val="00F931A8"/>
    <w:rsid w:val="00FA0012"/>
    <w:rsid w:val="00FA19D3"/>
    <w:rsid w:val="00FA3EA6"/>
    <w:rsid w:val="00FB1239"/>
    <w:rsid w:val="00FC1741"/>
    <w:rsid w:val="00FC3439"/>
    <w:rsid w:val="00FD4CAB"/>
    <w:rsid w:val="00FD7513"/>
    <w:rsid w:val="00FE4755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D4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0B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B9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404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26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5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5A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201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2021-08-16T13:42:00Z</cp:lastPrinted>
  <dcterms:created xsi:type="dcterms:W3CDTF">2021-08-23T12:59:00Z</dcterms:created>
  <dcterms:modified xsi:type="dcterms:W3CDTF">2021-08-23T12:59:00Z</dcterms:modified>
</cp:coreProperties>
</file>