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4E096B"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257043" w:rsidP="00FB6D36">
      <w:pPr>
        <w:jc w:val="center"/>
        <w:rPr>
          <w:rFonts w:ascii="Arial Bold" w:hAnsi="Arial Bold" w:cs="Arial"/>
          <w:b/>
          <w:color w:val="005800"/>
        </w:rPr>
      </w:pPr>
      <w:r>
        <w:rPr>
          <w:rFonts w:ascii="Arial Bold" w:hAnsi="Arial Bold" w:cs="Arial"/>
          <w:b/>
          <w:color w:val="005800"/>
        </w:rPr>
        <w:t>MINISTRY:</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68122C">
        <w:rPr>
          <w:b/>
          <w:sz w:val="24"/>
          <w:szCs w:val="24"/>
        </w:rPr>
        <w:t>034</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B9309F">
        <w:rPr>
          <w:b/>
          <w:sz w:val="24"/>
          <w:szCs w:val="24"/>
        </w:rPr>
        <w:t xml:space="preserve">7 MAY </w:t>
      </w:r>
      <w:r w:rsidR="005314EA">
        <w:rPr>
          <w:b/>
          <w:sz w:val="24"/>
          <w:szCs w:val="24"/>
        </w:rPr>
        <w:t>202</w:t>
      </w:r>
      <w:r w:rsidR="00AB79AC">
        <w:rPr>
          <w:b/>
          <w:sz w:val="24"/>
          <w:szCs w:val="24"/>
        </w:rPr>
        <w:t>1</w:t>
      </w:r>
    </w:p>
    <w:p w:rsidR="00B177C5" w:rsidRDefault="00B177C5" w:rsidP="00B177C5">
      <w:pPr>
        <w:rPr>
          <w:b/>
          <w:sz w:val="24"/>
          <w:szCs w:val="24"/>
        </w:rPr>
      </w:pPr>
    </w:p>
    <w:p w:rsidR="0068122C" w:rsidRPr="00682A95" w:rsidRDefault="0068122C" w:rsidP="0068122C">
      <w:pPr>
        <w:spacing w:before="100" w:beforeAutospacing="1" w:after="100" w:afterAutospacing="1"/>
        <w:ind w:left="720" w:hanging="720"/>
        <w:jc w:val="both"/>
        <w:outlineLvl w:val="0"/>
        <w:rPr>
          <w:b/>
          <w:sz w:val="24"/>
          <w:szCs w:val="24"/>
        </w:rPr>
      </w:pPr>
      <w:r w:rsidRPr="00682A95">
        <w:rPr>
          <w:b/>
          <w:sz w:val="24"/>
          <w:szCs w:val="24"/>
        </w:rPr>
        <w:t>Mrs M R Mohlala (EFF) to ask the Minister of Human Settlements, Water and Sanitation</w:t>
      </w:r>
      <w:r>
        <w:rPr>
          <w:b/>
          <w:sz w:val="24"/>
          <w:szCs w:val="24"/>
        </w:rPr>
        <w:fldChar w:fldCharType="begin"/>
      </w:r>
      <w:r>
        <w:instrText xml:space="preserve"> XE "</w:instrText>
      </w:r>
      <w:r w:rsidRPr="002B22AC">
        <w:rPr>
          <w:b/>
          <w:sz w:val="24"/>
          <w:szCs w:val="24"/>
        </w:rPr>
        <w:instrText>Human Settlements, Water and Sanitation</w:instrText>
      </w:r>
      <w:r>
        <w:instrText xml:space="preserve">" </w:instrText>
      </w:r>
      <w:r>
        <w:rPr>
          <w:b/>
          <w:sz w:val="24"/>
          <w:szCs w:val="24"/>
        </w:rPr>
        <w:fldChar w:fldCharType="end"/>
      </w:r>
      <w:r w:rsidRPr="00682A95">
        <w:rPr>
          <w:b/>
          <w:sz w:val="24"/>
          <w:szCs w:val="24"/>
        </w:rPr>
        <w:t>:</w:t>
      </w:r>
    </w:p>
    <w:p w:rsidR="0068122C" w:rsidRDefault="0068122C" w:rsidP="0068122C">
      <w:pPr>
        <w:spacing w:before="100" w:beforeAutospacing="1" w:after="100" w:afterAutospacing="1"/>
        <w:jc w:val="both"/>
        <w:outlineLvl w:val="0"/>
      </w:pPr>
      <w:r>
        <w:rPr>
          <w:sz w:val="24"/>
          <w:szCs w:val="24"/>
        </w:rPr>
        <w:t>I</w:t>
      </w:r>
      <w:r w:rsidRPr="00682A95">
        <w:rPr>
          <w:sz w:val="24"/>
          <w:szCs w:val="24"/>
        </w:rPr>
        <w:t>n view of the fact that an estimated funding of at least R7,2 billion is required to finance key water resources development projects over the next 10 years, as noted in the National Water and Sanitation Master Plan, where prioritised development projects such as the Crocodile West River system, Olifants River system and Letaba River system may be delayed if funding is not sourced, how will (a) her department source the specified funding and (b) the time frames be met?</w:t>
      </w:r>
      <w:r>
        <w:rPr>
          <w:sz w:val="24"/>
          <w:szCs w:val="24"/>
        </w:rPr>
        <w:tab/>
      </w:r>
      <w:r>
        <w:rPr>
          <w:sz w:val="24"/>
          <w:szCs w:val="24"/>
        </w:rPr>
        <w:tab/>
      </w:r>
      <w:r w:rsidRPr="00682A95">
        <w:t>NW1217E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F5790C" w:rsidRPr="00257043" w:rsidRDefault="00F5790C" w:rsidP="00F5790C">
      <w:pPr>
        <w:pStyle w:val="ListParagraph"/>
        <w:numPr>
          <w:ilvl w:val="0"/>
          <w:numId w:val="13"/>
        </w:numPr>
        <w:spacing w:before="120" w:after="120" w:line="320" w:lineRule="atLeast"/>
        <w:ind w:left="567" w:right="261" w:hanging="567"/>
        <w:jc w:val="both"/>
        <w:rPr>
          <w:rFonts w:eastAsia="Calibri"/>
        </w:rPr>
      </w:pPr>
      <w:r w:rsidRPr="00257043">
        <w:rPr>
          <w:rFonts w:eastAsia="Calibri"/>
        </w:rPr>
        <w:t>The Department of Water and Sanitation (DWS) does not have the financial resources to build all the key infrastructure within a period of 10 years. Therefore, the department relies on the Trans-Caledon Tunnel Authority (TCTA) for implementation of mainly off-budget national water infrastructure. The TCTA does this by progressing projects to a state of bankability and securing finance, followed by the procurement of design and construction services.</w:t>
      </w:r>
      <w:r w:rsidRPr="00257043">
        <w:rPr>
          <w:color w:val="000000"/>
        </w:rPr>
        <w:t xml:space="preserve"> </w:t>
      </w:r>
      <w:r w:rsidRPr="00257043">
        <w:rPr>
          <w:color w:val="FFFFFF"/>
        </w:rPr>
        <w:t>.</w:t>
      </w:r>
      <w:r w:rsidRPr="00257043">
        <w:rPr>
          <w:rFonts w:eastAsia="Calibri"/>
        </w:rPr>
        <w:t>The sustainability of off-budget funding, on which the DWS must increasingly rely</w:t>
      </w:r>
      <w:r>
        <w:rPr>
          <w:rFonts w:eastAsia="Calibri"/>
        </w:rPr>
        <w:t xml:space="preserve"> </w:t>
      </w:r>
      <w:r w:rsidRPr="00257043">
        <w:rPr>
          <w:rFonts w:eastAsia="Calibri"/>
        </w:rPr>
        <w:t xml:space="preserve">to fund infrastructure given the limited fiscal space, means that water sector institutions must be sustainable by ensuring that water tariffs are cost-reflective, fully implemented and can repay debt. </w:t>
      </w:r>
      <w:r>
        <w:rPr>
          <w:rFonts w:eastAsia="Calibri"/>
        </w:rPr>
        <w:t xml:space="preserve">The debt owed by municipalities has a huge impact on our inability to roll out our infrastructure projects. </w:t>
      </w:r>
      <w:r w:rsidRPr="00257043">
        <w:rPr>
          <w:rFonts w:eastAsia="Calibri"/>
        </w:rPr>
        <w:t>If this level of self-sufficiency cannot be achieved, project funders rely heavily on government guarantees, which the fiscus is finding increasingly difficult to accommodate.</w:t>
      </w:r>
    </w:p>
    <w:p w:rsidR="00F5790C" w:rsidRPr="00257043" w:rsidRDefault="00F5790C" w:rsidP="00F5790C">
      <w:pPr>
        <w:pStyle w:val="ListParagraph"/>
        <w:tabs>
          <w:tab w:val="left" w:pos="2830"/>
        </w:tabs>
        <w:spacing w:before="120" w:after="120" w:line="320" w:lineRule="atLeast"/>
        <w:ind w:left="567" w:right="261"/>
        <w:jc w:val="both"/>
        <w:rPr>
          <w:rFonts w:eastAsia="Calibri"/>
        </w:rPr>
      </w:pPr>
      <w:r w:rsidRPr="00257043">
        <w:rPr>
          <w:rFonts w:eastAsia="Calibri"/>
        </w:rPr>
        <w:tab/>
      </w:r>
    </w:p>
    <w:p w:rsidR="00F5790C" w:rsidRPr="00257043" w:rsidRDefault="00F5790C" w:rsidP="00F5790C">
      <w:pPr>
        <w:pStyle w:val="ListParagraph"/>
        <w:numPr>
          <w:ilvl w:val="0"/>
          <w:numId w:val="13"/>
        </w:numPr>
        <w:spacing w:before="120" w:after="120" w:line="320" w:lineRule="atLeast"/>
        <w:ind w:left="567" w:right="261" w:hanging="567"/>
        <w:jc w:val="both"/>
        <w:rPr>
          <w:rFonts w:eastAsia="Calibri"/>
        </w:rPr>
      </w:pPr>
      <w:r w:rsidRPr="00257043">
        <w:rPr>
          <w:rFonts w:eastAsia="Calibri"/>
        </w:rPr>
        <w:lastRenderedPageBreak/>
        <w:t>Notwithstanding the challenges of funding of the mega water projects indicated above</w:t>
      </w:r>
      <w:r>
        <w:rPr>
          <w:rFonts w:eastAsia="Calibri"/>
        </w:rPr>
        <w:t>,</w:t>
      </w:r>
      <w:r w:rsidRPr="00257043">
        <w:rPr>
          <w:rFonts w:eastAsia="Calibri"/>
        </w:rPr>
        <w:t xml:space="preserve"> the following project status can be reported for the Crocodile West River System, the Olifants River system and Letaba River System:</w:t>
      </w:r>
    </w:p>
    <w:p w:rsidR="00F5790C" w:rsidRPr="00257043" w:rsidRDefault="00F5790C" w:rsidP="00F5790C">
      <w:pPr>
        <w:pStyle w:val="ListParagraph"/>
        <w:spacing w:before="120" w:after="120" w:line="320" w:lineRule="atLeast"/>
        <w:ind w:left="567" w:right="261"/>
        <w:jc w:val="both"/>
        <w:rPr>
          <w:rFonts w:eastAsia="Calibri"/>
        </w:rPr>
      </w:pPr>
    </w:p>
    <w:p w:rsidR="00F5790C" w:rsidRPr="00257043" w:rsidRDefault="00F5790C" w:rsidP="00F5790C">
      <w:pPr>
        <w:pStyle w:val="ListParagraph"/>
        <w:numPr>
          <w:ilvl w:val="0"/>
          <w:numId w:val="14"/>
        </w:numPr>
        <w:spacing w:before="120" w:after="120" w:line="320" w:lineRule="atLeast"/>
        <w:ind w:left="993" w:right="261" w:hanging="426"/>
        <w:jc w:val="both"/>
        <w:rPr>
          <w:rFonts w:eastAsia="Calibri"/>
          <w:lang w:val="en-ZA"/>
        </w:rPr>
      </w:pPr>
      <w:r w:rsidRPr="00257043">
        <w:rPr>
          <w:rFonts w:eastAsia="Calibri"/>
          <w:b/>
        </w:rPr>
        <w:t>The Olifants</w:t>
      </w:r>
      <w:r w:rsidRPr="00257043">
        <w:rPr>
          <w:b/>
          <w:color w:val="3E4D5C"/>
          <w:lang/>
        </w:rPr>
        <w:t xml:space="preserve"> </w:t>
      </w:r>
      <w:r w:rsidRPr="00257043">
        <w:rPr>
          <w:rFonts w:eastAsia="Calibri"/>
          <w:b/>
        </w:rPr>
        <w:t xml:space="preserve">River Water Resources Development Project (ORWRDP) </w:t>
      </w:r>
      <w:r w:rsidRPr="00257043">
        <w:rPr>
          <w:rFonts w:eastAsia="Calibri"/>
        </w:rPr>
        <w:t>is intended to</w:t>
      </w:r>
      <w:r w:rsidRPr="00257043">
        <w:rPr>
          <w:rFonts w:eastAsia="Calibri"/>
          <w:b/>
        </w:rPr>
        <w:t xml:space="preserve"> </w:t>
      </w:r>
      <w:r w:rsidRPr="00257043">
        <w:rPr>
          <w:rFonts w:eastAsia="Calibri"/>
        </w:rPr>
        <w:t>supply water to the Waterberg Coal Fields, Eskom the Lephalale Municipality, utilizing surplus return flows from Gauteng being discharged into the Crocodile River Catchment.</w:t>
      </w:r>
      <w:r w:rsidRPr="00257043">
        <w:t xml:space="preserve"> </w:t>
      </w:r>
      <w:r w:rsidRPr="00257043">
        <w:rPr>
          <w:rFonts w:eastAsia="Calibri"/>
        </w:rPr>
        <w:t xml:space="preserve">Due to the unavailability of funding for the implementation of the complete integrated project, </w:t>
      </w:r>
      <w:r w:rsidRPr="00257043">
        <w:rPr>
          <w:rFonts w:eastAsia="Calibri"/>
          <w:lang w:val="en-ZA"/>
        </w:rPr>
        <w:t xml:space="preserve">alternative off-budget funding opportunities and re-sequencing options for phases 2C to 2E) are being explored in order to accelerate implementation. A decision on the latter is imminent in this regard. </w:t>
      </w:r>
      <w:r w:rsidRPr="00257043">
        <w:rPr>
          <w:rFonts w:eastAsia="Calibri"/>
        </w:rPr>
        <w:t>The status of the project is as follows:</w:t>
      </w:r>
    </w:p>
    <w:p w:rsidR="00F5790C" w:rsidRPr="00257043" w:rsidRDefault="00F5790C" w:rsidP="00F5790C">
      <w:pPr>
        <w:pStyle w:val="ListParagraph"/>
        <w:numPr>
          <w:ilvl w:val="1"/>
          <w:numId w:val="19"/>
        </w:numPr>
        <w:tabs>
          <w:tab w:val="left" w:pos="709"/>
        </w:tabs>
        <w:spacing w:line="320" w:lineRule="atLeast"/>
        <w:ind w:right="261"/>
        <w:jc w:val="both"/>
        <w:textAlignment w:val="baseline"/>
        <w:rPr>
          <w:rFonts w:eastAsia="Calibri"/>
        </w:rPr>
      </w:pPr>
      <w:r w:rsidRPr="00257043">
        <w:rPr>
          <w:rFonts w:eastAsia="Calibri"/>
        </w:rPr>
        <w:t>Estimated required budget: R12 billion</w:t>
      </w:r>
    </w:p>
    <w:p w:rsidR="00F5790C" w:rsidRPr="00257043" w:rsidRDefault="00F5790C" w:rsidP="00F5790C">
      <w:pPr>
        <w:pStyle w:val="ListParagraph"/>
        <w:numPr>
          <w:ilvl w:val="1"/>
          <w:numId w:val="19"/>
        </w:numPr>
        <w:tabs>
          <w:tab w:val="left" w:pos="709"/>
        </w:tabs>
        <w:spacing w:line="320" w:lineRule="atLeast"/>
        <w:ind w:right="261"/>
        <w:jc w:val="both"/>
        <w:textAlignment w:val="baseline"/>
        <w:rPr>
          <w:rFonts w:eastAsia="Calibri"/>
        </w:rPr>
      </w:pPr>
      <w:r w:rsidRPr="00257043">
        <w:rPr>
          <w:rFonts w:eastAsia="Calibri"/>
        </w:rPr>
        <w:t>The Record of Implementation Decision has been issued to TCTA for a transfer capacity of 75 million m3/a.</w:t>
      </w:r>
    </w:p>
    <w:p w:rsidR="00F5790C" w:rsidRPr="00257043" w:rsidRDefault="00F5790C" w:rsidP="00F5790C">
      <w:pPr>
        <w:pStyle w:val="ListParagraph"/>
        <w:numPr>
          <w:ilvl w:val="1"/>
          <w:numId w:val="19"/>
        </w:numPr>
        <w:tabs>
          <w:tab w:val="left" w:pos="709"/>
        </w:tabs>
        <w:spacing w:line="320" w:lineRule="atLeast"/>
        <w:ind w:right="261"/>
        <w:jc w:val="both"/>
        <w:textAlignment w:val="baseline"/>
        <w:rPr>
          <w:rFonts w:eastAsia="Calibri"/>
        </w:rPr>
      </w:pPr>
      <w:r w:rsidRPr="00257043">
        <w:rPr>
          <w:rFonts w:eastAsia="Calibri"/>
        </w:rPr>
        <w:t xml:space="preserve">The amended Implementation and Water Supply Agreement were submitted to the DWS for review and sign-off.  </w:t>
      </w:r>
    </w:p>
    <w:p w:rsidR="00F5790C" w:rsidRPr="00257043" w:rsidRDefault="00F5790C" w:rsidP="00F5790C">
      <w:pPr>
        <w:pStyle w:val="ListParagraph"/>
        <w:numPr>
          <w:ilvl w:val="1"/>
          <w:numId w:val="19"/>
        </w:numPr>
        <w:tabs>
          <w:tab w:val="left" w:pos="709"/>
          <w:tab w:val="left" w:pos="851"/>
        </w:tabs>
        <w:spacing w:line="320" w:lineRule="atLeast"/>
        <w:ind w:right="261"/>
        <w:jc w:val="both"/>
        <w:textAlignment w:val="baseline"/>
        <w:rPr>
          <w:rFonts w:eastAsia="Calibri"/>
        </w:rPr>
      </w:pPr>
      <w:r w:rsidRPr="00257043">
        <w:rPr>
          <w:rFonts w:eastAsia="Calibri"/>
        </w:rPr>
        <w:t>Construction contract awarded – October 2021.</w:t>
      </w:r>
    </w:p>
    <w:p w:rsidR="00F5790C" w:rsidRPr="00257043" w:rsidRDefault="00F5790C" w:rsidP="00F5790C">
      <w:pPr>
        <w:pStyle w:val="ListParagraph"/>
        <w:numPr>
          <w:ilvl w:val="1"/>
          <w:numId w:val="19"/>
        </w:numPr>
        <w:tabs>
          <w:tab w:val="left" w:pos="709"/>
          <w:tab w:val="left" w:pos="851"/>
        </w:tabs>
        <w:spacing w:line="320" w:lineRule="atLeast"/>
        <w:ind w:right="261"/>
        <w:jc w:val="both"/>
        <w:textAlignment w:val="baseline"/>
        <w:rPr>
          <w:rFonts w:eastAsia="Calibri"/>
        </w:rPr>
      </w:pPr>
      <w:r w:rsidRPr="00257043">
        <w:rPr>
          <w:rFonts w:eastAsia="Calibri"/>
        </w:rPr>
        <w:t>Start of Construction - January 2022.</w:t>
      </w:r>
    </w:p>
    <w:p w:rsidR="00F5790C" w:rsidRPr="00257043" w:rsidRDefault="00F5790C" w:rsidP="00F5790C">
      <w:pPr>
        <w:pStyle w:val="ListParagraph"/>
        <w:numPr>
          <w:ilvl w:val="1"/>
          <w:numId w:val="19"/>
        </w:numPr>
        <w:tabs>
          <w:tab w:val="left" w:pos="709"/>
          <w:tab w:val="left" w:pos="851"/>
        </w:tabs>
        <w:spacing w:line="320" w:lineRule="atLeast"/>
        <w:ind w:right="261"/>
        <w:jc w:val="both"/>
        <w:textAlignment w:val="baseline"/>
        <w:rPr>
          <w:rFonts w:eastAsia="Calibri"/>
        </w:rPr>
      </w:pPr>
      <w:r w:rsidRPr="00257043">
        <w:rPr>
          <w:rFonts w:eastAsia="+mn-ea"/>
          <w:color w:val="000000"/>
          <w:kern w:val="24"/>
        </w:rPr>
        <w:t>Water</w:t>
      </w:r>
      <w:r w:rsidRPr="00257043">
        <w:rPr>
          <w:rFonts w:eastAsia="Calibri"/>
        </w:rPr>
        <w:t xml:space="preserve"> Delivery – January 2026.</w:t>
      </w:r>
    </w:p>
    <w:p w:rsidR="00F5790C" w:rsidRPr="00257043" w:rsidRDefault="00F5790C" w:rsidP="00F5790C">
      <w:pPr>
        <w:pStyle w:val="ListParagraph"/>
        <w:tabs>
          <w:tab w:val="left" w:pos="709"/>
          <w:tab w:val="left" w:pos="851"/>
        </w:tabs>
        <w:spacing w:line="320" w:lineRule="atLeast"/>
        <w:ind w:left="1276" w:right="261"/>
        <w:jc w:val="both"/>
        <w:textAlignment w:val="baseline"/>
        <w:rPr>
          <w:rFonts w:eastAsia="Calibri"/>
        </w:rPr>
      </w:pPr>
    </w:p>
    <w:p w:rsidR="00F5790C" w:rsidRPr="00257043" w:rsidRDefault="00F5790C" w:rsidP="00F5790C">
      <w:pPr>
        <w:pStyle w:val="ListParagraph"/>
        <w:numPr>
          <w:ilvl w:val="0"/>
          <w:numId w:val="14"/>
        </w:numPr>
        <w:spacing w:before="120" w:after="120" w:line="320" w:lineRule="atLeast"/>
        <w:ind w:left="993" w:right="261" w:hanging="426"/>
        <w:jc w:val="both"/>
        <w:rPr>
          <w:rFonts w:eastAsia="Calibri"/>
          <w:b/>
        </w:rPr>
      </w:pPr>
      <w:r w:rsidRPr="00257043">
        <w:rPr>
          <w:rFonts w:eastAsia="Calibri"/>
          <w:b/>
        </w:rPr>
        <w:t xml:space="preserve">The Mokolo and Crocodile River (West) Water Augmentation Project (MCWAP) </w:t>
      </w:r>
      <w:r w:rsidRPr="00257043">
        <w:rPr>
          <w:rFonts w:eastAsia="Calibri"/>
        </w:rPr>
        <w:t>is intended to increase water supply for energy generation (Medupi Power station) and coal mining development). Phase 1 of this project was commissioned in 2014 and is already in operation. MCWAP-2A consists of an abstraction weir, a 160 km water transfer pipeline with capacity of 75 million m3/annum. Phase 2 of the Project (ORWRDP-2) is meant to implement the remaining of the bulk distribution conveyance system to increase water security for domestic and industrial use in Sekhukhune, Polokwane and Mogalakwena, as well as the mining sector. The status of the project is as follows:</w:t>
      </w:r>
    </w:p>
    <w:p w:rsidR="00F5790C" w:rsidRPr="00257043" w:rsidRDefault="00F5790C" w:rsidP="00F5790C">
      <w:pPr>
        <w:pStyle w:val="ListParagraph"/>
        <w:numPr>
          <w:ilvl w:val="1"/>
          <w:numId w:val="18"/>
        </w:numPr>
        <w:tabs>
          <w:tab w:val="left" w:pos="709"/>
        </w:tabs>
        <w:spacing w:line="320" w:lineRule="atLeast"/>
        <w:ind w:right="261"/>
        <w:jc w:val="both"/>
        <w:textAlignment w:val="baseline"/>
        <w:rPr>
          <w:rFonts w:eastAsia="Calibri"/>
        </w:rPr>
      </w:pPr>
      <w:r w:rsidRPr="00257043">
        <w:rPr>
          <w:rFonts w:eastAsia="Calibri"/>
        </w:rPr>
        <w:t>Estimated costs: R12.4 billion</w:t>
      </w:r>
    </w:p>
    <w:p w:rsidR="00F5790C" w:rsidRPr="00257043" w:rsidRDefault="00F5790C" w:rsidP="00F5790C">
      <w:pPr>
        <w:pStyle w:val="ListParagraph"/>
        <w:numPr>
          <w:ilvl w:val="1"/>
          <w:numId w:val="18"/>
        </w:numPr>
        <w:tabs>
          <w:tab w:val="left" w:pos="709"/>
        </w:tabs>
        <w:spacing w:line="320" w:lineRule="atLeast"/>
        <w:ind w:right="261"/>
        <w:jc w:val="both"/>
        <w:textAlignment w:val="baseline"/>
        <w:rPr>
          <w:rFonts w:eastAsia="Calibri"/>
        </w:rPr>
      </w:pPr>
      <w:r w:rsidRPr="00257043">
        <w:rPr>
          <w:rFonts w:eastAsia="Calibri"/>
        </w:rPr>
        <w:t>Contract Award: 31 October 2021</w:t>
      </w:r>
    </w:p>
    <w:p w:rsidR="00F5790C" w:rsidRPr="00257043" w:rsidRDefault="00F5790C" w:rsidP="00F5790C">
      <w:pPr>
        <w:pStyle w:val="ListParagraph"/>
        <w:numPr>
          <w:ilvl w:val="1"/>
          <w:numId w:val="18"/>
        </w:numPr>
        <w:tabs>
          <w:tab w:val="left" w:pos="709"/>
        </w:tabs>
        <w:spacing w:line="320" w:lineRule="atLeast"/>
        <w:ind w:right="261"/>
        <w:jc w:val="both"/>
        <w:textAlignment w:val="baseline"/>
        <w:rPr>
          <w:rFonts w:eastAsia="Calibri"/>
        </w:rPr>
      </w:pPr>
      <w:r w:rsidRPr="00257043">
        <w:rPr>
          <w:rFonts w:eastAsia="Calibri"/>
        </w:rPr>
        <w:t>Construction start: January 2022</w:t>
      </w:r>
    </w:p>
    <w:p w:rsidR="00F5790C" w:rsidRPr="00257043" w:rsidRDefault="00F5790C" w:rsidP="00F5790C">
      <w:pPr>
        <w:pStyle w:val="ListParagraph"/>
        <w:numPr>
          <w:ilvl w:val="1"/>
          <w:numId w:val="18"/>
        </w:numPr>
        <w:tabs>
          <w:tab w:val="left" w:pos="709"/>
        </w:tabs>
        <w:spacing w:line="320" w:lineRule="atLeast"/>
        <w:ind w:right="261"/>
        <w:jc w:val="both"/>
        <w:textAlignment w:val="baseline"/>
        <w:rPr>
          <w:rFonts w:eastAsia="Calibri"/>
        </w:rPr>
      </w:pPr>
      <w:r w:rsidRPr="00257043">
        <w:rPr>
          <w:rFonts w:eastAsia="Calibri"/>
        </w:rPr>
        <w:t>Water delivery January 2026</w:t>
      </w:r>
    </w:p>
    <w:p w:rsidR="00F5790C" w:rsidRPr="00257043" w:rsidRDefault="00F5790C" w:rsidP="00F5790C">
      <w:pPr>
        <w:pStyle w:val="ListParagraph"/>
        <w:tabs>
          <w:tab w:val="left" w:pos="851"/>
          <w:tab w:val="left" w:pos="993"/>
        </w:tabs>
        <w:spacing w:line="320" w:lineRule="atLeast"/>
        <w:ind w:left="1276" w:right="261"/>
        <w:jc w:val="both"/>
        <w:textAlignment w:val="baseline"/>
        <w:rPr>
          <w:rFonts w:eastAsia="Calibri"/>
        </w:rPr>
      </w:pPr>
    </w:p>
    <w:p w:rsidR="00F5790C" w:rsidRPr="00257043" w:rsidRDefault="00F5790C" w:rsidP="00F5790C">
      <w:pPr>
        <w:pStyle w:val="ListParagraph"/>
        <w:numPr>
          <w:ilvl w:val="0"/>
          <w:numId w:val="14"/>
        </w:numPr>
        <w:spacing w:before="120" w:after="120" w:line="320" w:lineRule="atLeast"/>
        <w:ind w:left="993" w:right="261" w:hanging="426"/>
        <w:jc w:val="both"/>
        <w:rPr>
          <w:rFonts w:eastAsia="Calibri"/>
        </w:rPr>
      </w:pPr>
      <w:r w:rsidRPr="00257043">
        <w:rPr>
          <w:rFonts w:eastAsia="Calibri"/>
          <w:b/>
        </w:rPr>
        <w:t xml:space="preserve">The Groot Letaba River Water Development Project (Nwamitwa Dam) </w:t>
      </w:r>
      <w:r w:rsidRPr="00257043">
        <w:rPr>
          <w:rFonts w:eastAsia="Calibri"/>
        </w:rPr>
        <w:t>entails provision for the ecological water reserve, domestic and irrigation water requirements in the Greater Letaba area of Limpopo. The</w:t>
      </w:r>
      <w:r w:rsidRPr="00257043">
        <w:rPr>
          <w:rFonts w:eastAsia="Calibri"/>
          <w:b/>
        </w:rPr>
        <w:t xml:space="preserve"> </w:t>
      </w:r>
      <w:r w:rsidRPr="00257043">
        <w:rPr>
          <w:rFonts w:eastAsia="Calibri"/>
        </w:rPr>
        <w:t>status of the project is as follows:</w:t>
      </w:r>
      <w:r w:rsidRPr="00257043">
        <w:rPr>
          <w:rFonts w:eastAsia="Calibri"/>
          <w:b/>
        </w:rPr>
        <w:t xml:space="preserve"> </w:t>
      </w:r>
    </w:p>
    <w:p w:rsidR="00F5790C" w:rsidRPr="00257043" w:rsidRDefault="00F5790C" w:rsidP="00F5790C">
      <w:pPr>
        <w:pStyle w:val="ListParagraph"/>
        <w:numPr>
          <w:ilvl w:val="1"/>
          <w:numId w:val="17"/>
        </w:numPr>
        <w:tabs>
          <w:tab w:val="left" w:pos="709"/>
        </w:tabs>
        <w:spacing w:line="320" w:lineRule="atLeast"/>
        <w:ind w:right="261"/>
        <w:jc w:val="both"/>
        <w:textAlignment w:val="baseline"/>
        <w:rPr>
          <w:rFonts w:eastAsia="Calibri"/>
        </w:rPr>
      </w:pPr>
      <w:r w:rsidRPr="00257043">
        <w:rPr>
          <w:rFonts w:eastAsia="Calibri"/>
        </w:rPr>
        <w:t>Estimated costs: R3.8 billion</w:t>
      </w:r>
    </w:p>
    <w:p w:rsidR="00F5790C" w:rsidRPr="00257043" w:rsidRDefault="00F5790C" w:rsidP="00F5790C">
      <w:pPr>
        <w:pStyle w:val="ListParagraph"/>
        <w:numPr>
          <w:ilvl w:val="1"/>
          <w:numId w:val="17"/>
        </w:numPr>
        <w:tabs>
          <w:tab w:val="left" w:pos="709"/>
        </w:tabs>
        <w:spacing w:line="320" w:lineRule="atLeast"/>
        <w:ind w:right="261"/>
        <w:jc w:val="both"/>
        <w:textAlignment w:val="baseline"/>
        <w:rPr>
          <w:rFonts w:eastAsia="Calibri"/>
        </w:rPr>
      </w:pPr>
      <w:r w:rsidRPr="00257043">
        <w:rPr>
          <w:rFonts w:eastAsia="Calibri"/>
        </w:rPr>
        <w:t>Design report and tender documentation completed</w:t>
      </w:r>
    </w:p>
    <w:p w:rsidR="00F5790C" w:rsidRPr="00257043" w:rsidRDefault="00F5790C" w:rsidP="00F5790C">
      <w:pPr>
        <w:numPr>
          <w:ilvl w:val="1"/>
          <w:numId w:val="17"/>
        </w:numPr>
        <w:spacing w:line="320" w:lineRule="atLeast"/>
        <w:jc w:val="both"/>
        <w:rPr>
          <w:b/>
          <w:sz w:val="24"/>
          <w:szCs w:val="24"/>
        </w:rPr>
      </w:pPr>
      <w:r w:rsidRPr="00257043">
        <w:rPr>
          <w:rFonts w:eastAsia="Calibri"/>
          <w:sz w:val="24"/>
          <w:szCs w:val="24"/>
        </w:rPr>
        <w:lastRenderedPageBreak/>
        <w:t>Identification of properties which will be affected by the new dam has been completed</w:t>
      </w:r>
      <w:r>
        <w:rPr>
          <w:rFonts w:eastAsia="Calibri"/>
          <w:sz w:val="24"/>
          <w:szCs w:val="24"/>
        </w:rPr>
        <w:t>.</w:t>
      </w:r>
    </w:p>
    <w:p w:rsidR="00E26AAA" w:rsidRPr="00257043" w:rsidRDefault="00E26AAA" w:rsidP="00F5790C">
      <w:pPr>
        <w:pStyle w:val="ListParagraph"/>
        <w:spacing w:before="120" w:after="120" w:line="320" w:lineRule="atLeast"/>
        <w:ind w:left="567" w:right="261"/>
        <w:jc w:val="both"/>
        <w:rPr>
          <w:b/>
        </w:rPr>
      </w:pPr>
    </w:p>
    <w:sectPr w:rsidR="00E26AAA" w:rsidRPr="00257043"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92" w:rsidRDefault="009A6992" w:rsidP="00054FEC">
      <w:r>
        <w:separator/>
      </w:r>
    </w:p>
  </w:endnote>
  <w:endnote w:type="continuationSeparator" w:id="0">
    <w:p w:rsidR="009A6992" w:rsidRDefault="009A699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92" w:rsidRDefault="009A6992" w:rsidP="00054FEC">
      <w:r>
        <w:separator/>
      </w:r>
    </w:p>
  </w:footnote>
  <w:footnote w:type="continuationSeparator" w:id="0">
    <w:p w:rsidR="009A6992" w:rsidRDefault="009A699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68122C">
      <w:t>034</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E4111"/>
    <w:multiLevelType w:val="hybridMultilevel"/>
    <w:tmpl w:val="35A6A412"/>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4D36627E"/>
    <w:multiLevelType w:val="hybridMultilevel"/>
    <w:tmpl w:val="BA4A55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FA47E4"/>
    <w:multiLevelType w:val="hybridMultilevel"/>
    <w:tmpl w:val="661E299E"/>
    <w:lvl w:ilvl="0" w:tplc="BFE68F10">
      <w:start w:val="1"/>
      <w:numFmt w:val="bullet"/>
      <w:lvlText w:val="•"/>
      <w:lvlJc w:val="left"/>
      <w:pPr>
        <w:tabs>
          <w:tab w:val="num" w:pos="720"/>
        </w:tabs>
        <w:ind w:left="720" w:hanging="360"/>
      </w:pPr>
      <w:rPr>
        <w:rFonts w:ascii="Arial" w:hAnsi="Arial" w:hint="default"/>
      </w:rPr>
    </w:lvl>
    <w:lvl w:ilvl="1" w:tplc="1C09000B">
      <w:start w:val="1"/>
      <w:numFmt w:val="bullet"/>
      <w:lvlText w:val=""/>
      <w:lvlJc w:val="left"/>
      <w:pPr>
        <w:tabs>
          <w:tab w:val="num" w:pos="1440"/>
        </w:tabs>
        <w:ind w:left="1440" w:hanging="360"/>
      </w:pPr>
      <w:rPr>
        <w:rFonts w:ascii="Wingdings" w:hAnsi="Wingdings" w:hint="default"/>
      </w:rPr>
    </w:lvl>
    <w:lvl w:ilvl="2" w:tplc="C70A6988">
      <w:start w:val="1"/>
      <w:numFmt w:val="bullet"/>
      <w:lvlText w:val="•"/>
      <w:lvlJc w:val="left"/>
      <w:pPr>
        <w:tabs>
          <w:tab w:val="num" w:pos="2160"/>
        </w:tabs>
        <w:ind w:left="2160" w:hanging="360"/>
      </w:pPr>
      <w:rPr>
        <w:rFonts w:ascii="Arial" w:hAnsi="Arial" w:hint="default"/>
      </w:rPr>
    </w:lvl>
    <w:lvl w:ilvl="3" w:tplc="DF46261E" w:tentative="1">
      <w:start w:val="1"/>
      <w:numFmt w:val="bullet"/>
      <w:lvlText w:val="•"/>
      <w:lvlJc w:val="left"/>
      <w:pPr>
        <w:tabs>
          <w:tab w:val="num" w:pos="2880"/>
        </w:tabs>
        <w:ind w:left="2880" w:hanging="360"/>
      </w:pPr>
      <w:rPr>
        <w:rFonts w:ascii="Arial" w:hAnsi="Arial" w:hint="default"/>
      </w:rPr>
    </w:lvl>
    <w:lvl w:ilvl="4" w:tplc="B6AA158C" w:tentative="1">
      <w:start w:val="1"/>
      <w:numFmt w:val="bullet"/>
      <w:lvlText w:val="•"/>
      <w:lvlJc w:val="left"/>
      <w:pPr>
        <w:tabs>
          <w:tab w:val="num" w:pos="3600"/>
        </w:tabs>
        <w:ind w:left="3600" w:hanging="360"/>
      </w:pPr>
      <w:rPr>
        <w:rFonts w:ascii="Arial" w:hAnsi="Arial" w:hint="default"/>
      </w:rPr>
    </w:lvl>
    <w:lvl w:ilvl="5" w:tplc="1E260A96" w:tentative="1">
      <w:start w:val="1"/>
      <w:numFmt w:val="bullet"/>
      <w:lvlText w:val="•"/>
      <w:lvlJc w:val="left"/>
      <w:pPr>
        <w:tabs>
          <w:tab w:val="num" w:pos="4320"/>
        </w:tabs>
        <w:ind w:left="4320" w:hanging="360"/>
      </w:pPr>
      <w:rPr>
        <w:rFonts w:ascii="Arial" w:hAnsi="Arial" w:hint="default"/>
      </w:rPr>
    </w:lvl>
    <w:lvl w:ilvl="6" w:tplc="599C3A5C" w:tentative="1">
      <w:start w:val="1"/>
      <w:numFmt w:val="bullet"/>
      <w:lvlText w:val="•"/>
      <w:lvlJc w:val="left"/>
      <w:pPr>
        <w:tabs>
          <w:tab w:val="num" w:pos="5040"/>
        </w:tabs>
        <w:ind w:left="5040" w:hanging="360"/>
      </w:pPr>
      <w:rPr>
        <w:rFonts w:ascii="Arial" w:hAnsi="Arial" w:hint="default"/>
      </w:rPr>
    </w:lvl>
    <w:lvl w:ilvl="7" w:tplc="304E6A44" w:tentative="1">
      <w:start w:val="1"/>
      <w:numFmt w:val="bullet"/>
      <w:lvlText w:val="•"/>
      <w:lvlJc w:val="left"/>
      <w:pPr>
        <w:tabs>
          <w:tab w:val="num" w:pos="5760"/>
        </w:tabs>
        <w:ind w:left="5760" w:hanging="360"/>
      </w:pPr>
      <w:rPr>
        <w:rFonts w:ascii="Arial" w:hAnsi="Arial" w:hint="default"/>
      </w:rPr>
    </w:lvl>
    <w:lvl w:ilvl="8" w:tplc="35268486" w:tentative="1">
      <w:start w:val="1"/>
      <w:numFmt w:val="bullet"/>
      <w:lvlText w:val="•"/>
      <w:lvlJc w:val="left"/>
      <w:pPr>
        <w:tabs>
          <w:tab w:val="num" w:pos="6480"/>
        </w:tabs>
        <w:ind w:left="6480" w:hanging="360"/>
      </w:pPr>
      <w:rPr>
        <w:rFonts w:ascii="Arial" w:hAnsi="Arial" w:hint="default"/>
      </w:rPr>
    </w:lvl>
  </w:abstractNum>
  <w:abstractNum w:abstractNumId="9">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315136C"/>
    <w:multiLevelType w:val="hybridMultilevel"/>
    <w:tmpl w:val="BCE2C6AA"/>
    <w:lvl w:ilvl="0" w:tplc="5A36663E">
      <w:numFmt w:val="bullet"/>
      <w:lvlText w:val="-"/>
      <w:lvlJc w:val="left"/>
      <w:pPr>
        <w:ind w:left="1353" w:hanging="360"/>
      </w:pPr>
      <w:rPr>
        <w:rFonts w:ascii="Times New Roman" w:eastAsia="Calibri" w:hAnsi="Times New Roman" w:cs="Times New Roman" w:hint="default"/>
        <w:b w:val="0"/>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63C24CEC"/>
    <w:multiLevelType w:val="hybridMultilevel"/>
    <w:tmpl w:val="D282535E"/>
    <w:lvl w:ilvl="0" w:tplc="906C1DF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65F53A52"/>
    <w:multiLevelType w:val="hybridMultilevel"/>
    <w:tmpl w:val="14148BF4"/>
    <w:lvl w:ilvl="0" w:tplc="BFE68F10">
      <w:start w:val="1"/>
      <w:numFmt w:val="bullet"/>
      <w:lvlText w:val="•"/>
      <w:lvlJc w:val="left"/>
      <w:pPr>
        <w:tabs>
          <w:tab w:val="num" w:pos="720"/>
        </w:tabs>
        <w:ind w:left="720" w:hanging="360"/>
      </w:pPr>
      <w:rPr>
        <w:rFonts w:ascii="Arial" w:hAnsi="Arial" w:hint="default"/>
      </w:rPr>
    </w:lvl>
    <w:lvl w:ilvl="1" w:tplc="1C09000B">
      <w:start w:val="1"/>
      <w:numFmt w:val="bullet"/>
      <w:lvlText w:val=""/>
      <w:lvlJc w:val="left"/>
      <w:pPr>
        <w:tabs>
          <w:tab w:val="num" w:pos="1440"/>
        </w:tabs>
        <w:ind w:left="1440" w:hanging="360"/>
      </w:pPr>
      <w:rPr>
        <w:rFonts w:ascii="Wingdings" w:hAnsi="Wingdings" w:hint="default"/>
      </w:rPr>
    </w:lvl>
    <w:lvl w:ilvl="2" w:tplc="C70A6988">
      <w:start w:val="1"/>
      <w:numFmt w:val="bullet"/>
      <w:lvlText w:val="•"/>
      <w:lvlJc w:val="left"/>
      <w:pPr>
        <w:tabs>
          <w:tab w:val="num" w:pos="2160"/>
        </w:tabs>
        <w:ind w:left="2160" w:hanging="360"/>
      </w:pPr>
      <w:rPr>
        <w:rFonts w:ascii="Arial" w:hAnsi="Arial" w:hint="default"/>
      </w:rPr>
    </w:lvl>
    <w:lvl w:ilvl="3" w:tplc="DF46261E" w:tentative="1">
      <w:start w:val="1"/>
      <w:numFmt w:val="bullet"/>
      <w:lvlText w:val="•"/>
      <w:lvlJc w:val="left"/>
      <w:pPr>
        <w:tabs>
          <w:tab w:val="num" w:pos="2880"/>
        </w:tabs>
        <w:ind w:left="2880" w:hanging="360"/>
      </w:pPr>
      <w:rPr>
        <w:rFonts w:ascii="Arial" w:hAnsi="Arial" w:hint="default"/>
      </w:rPr>
    </w:lvl>
    <w:lvl w:ilvl="4" w:tplc="B6AA158C" w:tentative="1">
      <w:start w:val="1"/>
      <w:numFmt w:val="bullet"/>
      <w:lvlText w:val="•"/>
      <w:lvlJc w:val="left"/>
      <w:pPr>
        <w:tabs>
          <w:tab w:val="num" w:pos="3600"/>
        </w:tabs>
        <w:ind w:left="3600" w:hanging="360"/>
      </w:pPr>
      <w:rPr>
        <w:rFonts w:ascii="Arial" w:hAnsi="Arial" w:hint="default"/>
      </w:rPr>
    </w:lvl>
    <w:lvl w:ilvl="5" w:tplc="1E260A96" w:tentative="1">
      <w:start w:val="1"/>
      <w:numFmt w:val="bullet"/>
      <w:lvlText w:val="•"/>
      <w:lvlJc w:val="left"/>
      <w:pPr>
        <w:tabs>
          <w:tab w:val="num" w:pos="4320"/>
        </w:tabs>
        <w:ind w:left="4320" w:hanging="360"/>
      </w:pPr>
      <w:rPr>
        <w:rFonts w:ascii="Arial" w:hAnsi="Arial" w:hint="default"/>
      </w:rPr>
    </w:lvl>
    <w:lvl w:ilvl="6" w:tplc="599C3A5C" w:tentative="1">
      <w:start w:val="1"/>
      <w:numFmt w:val="bullet"/>
      <w:lvlText w:val="•"/>
      <w:lvlJc w:val="left"/>
      <w:pPr>
        <w:tabs>
          <w:tab w:val="num" w:pos="5040"/>
        </w:tabs>
        <w:ind w:left="5040" w:hanging="360"/>
      </w:pPr>
      <w:rPr>
        <w:rFonts w:ascii="Arial" w:hAnsi="Arial" w:hint="default"/>
      </w:rPr>
    </w:lvl>
    <w:lvl w:ilvl="7" w:tplc="304E6A44" w:tentative="1">
      <w:start w:val="1"/>
      <w:numFmt w:val="bullet"/>
      <w:lvlText w:val="•"/>
      <w:lvlJc w:val="left"/>
      <w:pPr>
        <w:tabs>
          <w:tab w:val="num" w:pos="5760"/>
        </w:tabs>
        <w:ind w:left="5760" w:hanging="360"/>
      </w:pPr>
      <w:rPr>
        <w:rFonts w:ascii="Arial" w:hAnsi="Arial" w:hint="default"/>
      </w:rPr>
    </w:lvl>
    <w:lvl w:ilvl="8" w:tplc="35268486" w:tentative="1">
      <w:start w:val="1"/>
      <w:numFmt w:val="bullet"/>
      <w:lvlText w:val="•"/>
      <w:lvlJc w:val="left"/>
      <w:pPr>
        <w:tabs>
          <w:tab w:val="num" w:pos="6480"/>
        </w:tabs>
        <w:ind w:left="6480" w:hanging="360"/>
      </w:pPr>
      <w:rPr>
        <w:rFonts w:ascii="Arial" w:hAnsi="Arial" w:hint="default"/>
      </w:rPr>
    </w:lvl>
  </w:abstractNum>
  <w:abstractNum w:abstractNumId="14">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B10FA4"/>
    <w:multiLevelType w:val="hybridMultilevel"/>
    <w:tmpl w:val="66BA489C"/>
    <w:lvl w:ilvl="0" w:tplc="BFE68F10">
      <w:start w:val="1"/>
      <w:numFmt w:val="bullet"/>
      <w:lvlText w:val="•"/>
      <w:lvlJc w:val="left"/>
      <w:pPr>
        <w:tabs>
          <w:tab w:val="num" w:pos="720"/>
        </w:tabs>
        <w:ind w:left="720" w:hanging="360"/>
      </w:pPr>
      <w:rPr>
        <w:rFonts w:ascii="Arial" w:hAnsi="Arial" w:hint="default"/>
      </w:rPr>
    </w:lvl>
    <w:lvl w:ilvl="1" w:tplc="26804BC4">
      <w:start w:val="1"/>
      <w:numFmt w:val="bullet"/>
      <w:lvlText w:val="‒"/>
      <w:lvlJc w:val="left"/>
      <w:pPr>
        <w:tabs>
          <w:tab w:val="num" w:pos="1440"/>
        </w:tabs>
        <w:ind w:left="1440" w:hanging="360"/>
      </w:pPr>
      <w:rPr>
        <w:rFonts w:ascii="Arial" w:hAnsi="Arial" w:hint="default"/>
      </w:rPr>
    </w:lvl>
    <w:lvl w:ilvl="2" w:tplc="C70A6988">
      <w:start w:val="1"/>
      <w:numFmt w:val="bullet"/>
      <w:lvlText w:val="•"/>
      <w:lvlJc w:val="left"/>
      <w:pPr>
        <w:tabs>
          <w:tab w:val="num" w:pos="2160"/>
        </w:tabs>
        <w:ind w:left="2160" w:hanging="360"/>
      </w:pPr>
      <w:rPr>
        <w:rFonts w:ascii="Arial" w:hAnsi="Arial" w:hint="default"/>
      </w:rPr>
    </w:lvl>
    <w:lvl w:ilvl="3" w:tplc="DF46261E" w:tentative="1">
      <w:start w:val="1"/>
      <w:numFmt w:val="bullet"/>
      <w:lvlText w:val="•"/>
      <w:lvlJc w:val="left"/>
      <w:pPr>
        <w:tabs>
          <w:tab w:val="num" w:pos="2880"/>
        </w:tabs>
        <w:ind w:left="2880" w:hanging="360"/>
      </w:pPr>
      <w:rPr>
        <w:rFonts w:ascii="Arial" w:hAnsi="Arial" w:hint="default"/>
      </w:rPr>
    </w:lvl>
    <w:lvl w:ilvl="4" w:tplc="B6AA158C" w:tentative="1">
      <w:start w:val="1"/>
      <w:numFmt w:val="bullet"/>
      <w:lvlText w:val="•"/>
      <w:lvlJc w:val="left"/>
      <w:pPr>
        <w:tabs>
          <w:tab w:val="num" w:pos="3600"/>
        </w:tabs>
        <w:ind w:left="3600" w:hanging="360"/>
      </w:pPr>
      <w:rPr>
        <w:rFonts w:ascii="Arial" w:hAnsi="Arial" w:hint="default"/>
      </w:rPr>
    </w:lvl>
    <w:lvl w:ilvl="5" w:tplc="1E260A96" w:tentative="1">
      <w:start w:val="1"/>
      <w:numFmt w:val="bullet"/>
      <w:lvlText w:val="•"/>
      <w:lvlJc w:val="left"/>
      <w:pPr>
        <w:tabs>
          <w:tab w:val="num" w:pos="4320"/>
        </w:tabs>
        <w:ind w:left="4320" w:hanging="360"/>
      </w:pPr>
      <w:rPr>
        <w:rFonts w:ascii="Arial" w:hAnsi="Arial" w:hint="default"/>
      </w:rPr>
    </w:lvl>
    <w:lvl w:ilvl="6" w:tplc="599C3A5C" w:tentative="1">
      <w:start w:val="1"/>
      <w:numFmt w:val="bullet"/>
      <w:lvlText w:val="•"/>
      <w:lvlJc w:val="left"/>
      <w:pPr>
        <w:tabs>
          <w:tab w:val="num" w:pos="5040"/>
        </w:tabs>
        <w:ind w:left="5040" w:hanging="360"/>
      </w:pPr>
      <w:rPr>
        <w:rFonts w:ascii="Arial" w:hAnsi="Arial" w:hint="default"/>
      </w:rPr>
    </w:lvl>
    <w:lvl w:ilvl="7" w:tplc="304E6A44" w:tentative="1">
      <w:start w:val="1"/>
      <w:numFmt w:val="bullet"/>
      <w:lvlText w:val="•"/>
      <w:lvlJc w:val="left"/>
      <w:pPr>
        <w:tabs>
          <w:tab w:val="num" w:pos="5760"/>
        </w:tabs>
        <w:ind w:left="5760" w:hanging="360"/>
      </w:pPr>
      <w:rPr>
        <w:rFonts w:ascii="Arial" w:hAnsi="Arial" w:hint="default"/>
      </w:rPr>
    </w:lvl>
    <w:lvl w:ilvl="8" w:tplc="3526848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9"/>
  </w:num>
  <w:num w:numId="8">
    <w:abstractNumId w:val="6"/>
  </w:num>
  <w:num w:numId="9">
    <w:abstractNumId w:val="14"/>
  </w:num>
  <w:num w:numId="10">
    <w:abstractNumId w:val="4"/>
  </w:num>
  <w:num w:numId="11">
    <w:abstractNumId w:val="3"/>
  </w:num>
  <w:num w:numId="12">
    <w:abstractNumId w:val="16"/>
  </w:num>
  <w:num w:numId="13">
    <w:abstractNumId w:val="12"/>
  </w:num>
  <w:num w:numId="14">
    <w:abstractNumId w:val="7"/>
  </w:num>
  <w:num w:numId="15">
    <w:abstractNumId w:val="17"/>
  </w:num>
  <w:num w:numId="16">
    <w:abstractNumId w:val="10"/>
  </w:num>
  <w:num w:numId="17">
    <w:abstractNumId w:val="1"/>
  </w:num>
  <w:num w:numId="18">
    <w:abstractNumId w:val="13"/>
  </w:num>
  <w:num w:numId="1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726B"/>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043"/>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096B"/>
    <w:rsid w:val="004E1009"/>
    <w:rsid w:val="004E1F8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7F5DF6"/>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284"/>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A6992"/>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13DC5"/>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309F"/>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26AA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5790C"/>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2021-07-14T11:09:00Z</dcterms:created>
  <dcterms:modified xsi:type="dcterms:W3CDTF">2021-07-14T11:09:00Z</dcterms:modified>
</cp:coreProperties>
</file>