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Pr="00C6423A" w:rsidRDefault="0057007B" w:rsidP="00C6423A">
      <w:pPr>
        <w:tabs>
          <w:tab w:val="num" w:pos="2520"/>
        </w:tabs>
        <w:spacing w:after="0" w:line="360" w:lineRule="auto"/>
        <w:rPr>
          <w:rFonts w:ascii="Arial" w:eastAsia="Times New Roman" w:hAnsi="Arial" w:cs="Arial"/>
          <w:b/>
          <w:bCs/>
          <w:sz w:val="24"/>
          <w:szCs w:val="24"/>
          <w:lang w:val="en-GB"/>
        </w:rPr>
      </w:pPr>
      <w:r w:rsidRPr="00C6423A">
        <w:rPr>
          <w:rFonts w:ascii="Arial" w:eastAsia="Times New Roman" w:hAnsi="Arial" w:cs="Arial"/>
          <w:b/>
          <w:bCs/>
          <w:sz w:val="24"/>
          <w:szCs w:val="24"/>
          <w:lang w:val="en-GB"/>
        </w:rPr>
        <w:t>NATIONAL ASSEMBLY</w:t>
      </w:r>
    </w:p>
    <w:p w:rsidR="006A0ACE" w:rsidRPr="00C6423A" w:rsidRDefault="006A0ACE" w:rsidP="006A0ACE">
      <w:pPr>
        <w:spacing w:after="0" w:line="320" w:lineRule="exact"/>
        <w:jc w:val="both"/>
        <w:rPr>
          <w:rFonts w:ascii="Arial" w:eastAsia="Times New Roman" w:hAnsi="Arial" w:cs="Arial"/>
          <w:b/>
          <w:bCs/>
          <w:sz w:val="24"/>
          <w:szCs w:val="24"/>
          <w:lang w:val="en-GB"/>
        </w:rPr>
      </w:pPr>
      <w:r w:rsidRPr="00C6423A">
        <w:rPr>
          <w:rFonts w:ascii="Arial" w:eastAsia="Times New Roman" w:hAnsi="Arial" w:cs="Arial"/>
          <w:b/>
          <w:bCs/>
          <w:sz w:val="24"/>
          <w:szCs w:val="24"/>
          <w:lang w:val="en-GB"/>
        </w:rPr>
        <w:t>QUESTION FOR WRITTEN REPLY</w:t>
      </w:r>
    </w:p>
    <w:p w:rsidR="006A0ACE" w:rsidRPr="00C6423A" w:rsidRDefault="006A0ACE" w:rsidP="006A0ACE">
      <w:pPr>
        <w:spacing w:after="0" w:line="320" w:lineRule="exact"/>
        <w:jc w:val="both"/>
        <w:rPr>
          <w:rFonts w:ascii="Arial" w:eastAsia="Times New Roman" w:hAnsi="Arial" w:cs="Arial"/>
          <w:b/>
          <w:bCs/>
          <w:sz w:val="24"/>
          <w:szCs w:val="24"/>
          <w:lang w:val="en-GB"/>
        </w:rPr>
      </w:pPr>
    </w:p>
    <w:p w:rsidR="006A0ACE" w:rsidRPr="00C6423A" w:rsidRDefault="006A0ACE" w:rsidP="006A0ACE">
      <w:pPr>
        <w:keepNext/>
        <w:spacing w:after="0" w:line="320" w:lineRule="exact"/>
        <w:jc w:val="both"/>
        <w:outlineLvl w:val="0"/>
        <w:rPr>
          <w:rFonts w:ascii="Arial" w:eastAsia="Times New Roman" w:hAnsi="Arial" w:cs="Arial"/>
          <w:b/>
          <w:bCs/>
          <w:sz w:val="24"/>
          <w:szCs w:val="24"/>
          <w:lang w:val="en-GB"/>
        </w:rPr>
      </w:pPr>
      <w:r w:rsidRPr="00C6423A">
        <w:rPr>
          <w:rFonts w:ascii="Arial" w:eastAsia="Times New Roman" w:hAnsi="Arial" w:cs="Arial"/>
          <w:b/>
          <w:bCs/>
          <w:sz w:val="24"/>
          <w:szCs w:val="24"/>
          <w:lang w:val="en-GB"/>
        </w:rPr>
        <w:t xml:space="preserve">QUESTION NO. </w:t>
      </w:r>
      <w:r w:rsidR="00DE358D" w:rsidRPr="00C6423A">
        <w:rPr>
          <w:rFonts w:ascii="Arial" w:eastAsia="Times New Roman" w:hAnsi="Arial" w:cs="Arial"/>
          <w:b/>
          <w:bCs/>
          <w:sz w:val="24"/>
          <w:szCs w:val="24"/>
          <w:lang w:val="en-GB"/>
        </w:rPr>
        <w:t>103</w:t>
      </w:r>
    </w:p>
    <w:p w:rsidR="006A0ACE" w:rsidRPr="00C6423A" w:rsidRDefault="006A0ACE" w:rsidP="006A0ACE">
      <w:pPr>
        <w:spacing w:after="0" w:line="240" w:lineRule="auto"/>
        <w:rPr>
          <w:rFonts w:ascii="Arial" w:eastAsia="Times New Roman" w:hAnsi="Arial" w:cs="Arial"/>
          <w:sz w:val="24"/>
          <w:szCs w:val="24"/>
          <w:lang w:val="en-GB"/>
        </w:rPr>
      </w:pPr>
    </w:p>
    <w:p w:rsidR="006A0ACE" w:rsidRPr="00C6423A" w:rsidRDefault="006A0ACE" w:rsidP="006A0ACE">
      <w:pPr>
        <w:spacing w:after="0" w:line="320" w:lineRule="exact"/>
        <w:jc w:val="both"/>
        <w:rPr>
          <w:rFonts w:ascii="Arial" w:eastAsia="Times New Roman" w:hAnsi="Arial" w:cs="Arial"/>
          <w:b/>
          <w:bCs/>
          <w:sz w:val="24"/>
          <w:szCs w:val="24"/>
          <w:lang w:val="en-GB"/>
        </w:rPr>
      </w:pPr>
      <w:r w:rsidRPr="00C6423A">
        <w:rPr>
          <w:rFonts w:ascii="Arial" w:eastAsia="Times New Roman" w:hAnsi="Arial" w:cs="Arial"/>
          <w:b/>
          <w:bCs/>
          <w:sz w:val="24"/>
          <w:szCs w:val="24"/>
          <w:lang w:val="en-GB"/>
        </w:rPr>
        <w:t>DATE OF PUBLICATION: THURSDAY, 10 FEBRUARY 2022</w:t>
      </w:r>
    </w:p>
    <w:p w:rsidR="006A0ACE" w:rsidRPr="00C6423A" w:rsidRDefault="006A0ACE" w:rsidP="006A0ACE">
      <w:pPr>
        <w:spacing w:after="0" w:line="320" w:lineRule="exact"/>
        <w:jc w:val="both"/>
        <w:rPr>
          <w:rFonts w:ascii="Arial" w:eastAsia="Times New Roman" w:hAnsi="Arial" w:cs="Arial"/>
          <w:b/>
          <w:bCs/>
          <w:sz w:val="24"/>
          <w:szCs w:val="24"/>
          <w:lang w:val="en-GB"/>
        </w:rPr>
      </w:pPr>
    </w:p>
    <w:p w:rsidR="006A0ACE" w:rsidRPr="00C6423A" w:rsidRDefault="006A0ACE" w:rsidP="006A0ACE">
      <w:pPr>
        <w:keepNext/>
        <w:spacing w:after="0" w:line="320" w:lineRule="exact"/>
        <w:jc w:val="both"/>
        <w:outlineLvl w:val="1"/>
        <w:rPr>
          <w:rFonts w:ascii="Arial" w:eastAsia="Times New Roman" w:hAnsi="Arial" w:cs="Arial"/>
          <w:b/>
          <w:bCs/>
          <w:sz w:val="24"/>
          <w:szCs w:val="24"/>
          <w:lang w:val="en-GB"/>
        </w:rPr>
      </w:pPr>
      <w:r w:rsidRPr="00C6423A">
        <w:rPr>
          <w:rFonts w:ascii="Arial" w:eastAsia="Times New Roman" w:hAnsi="Arial" w:cs="Arial"/>
          <w:b/>
          <w:bCs/>
          <w:sz w:val="24"/>
          <w:szCs w:val="24"/>
          <w:lang w:val="en-GB"/>
        </w:rPr>
        <w:t>INTERNAL QUESTION PAPER 1 – 2022</w:t>
      </w:r>
    </w:p>
    <w:p w:rsidR="006A0ACE" w:rsidRPr="00C6423A" w:rsidRDefault="006A0ACE" w:rsidP="006A0ACE">
      <w:pPr>
        <w:spacing w:after="0" w:line="240" w:lineRule="auto"/>
        <w:rPr>
          <w:rFonts w:ascii="Arial" w:eastAsia="Times New Roman" w:hAnsi="Arial" w:cs="Arial"/>
          <w:sz w:val="24"/>
          <w:szCs w:val="24"/>
          <w:lang w:val="en-GB"/>
        </w:rPr>
      </w:pPr>
    </w:p>
    <w:p w:rsidR="006A0ACE" w:rsidRPr="00C6423A" w:rsidRDefault="00DE358D" w:rsidP="006A0ACE">
      <w:pPr>
        <w:spacing w:before="100" w:beforeAutospacing="1" w:after="100" w:afterAutospacing="1" w:line="240" w:lineRule="auto"/>
        <w:ind w:left="720" w:hanging="720"/>
        <w:jc w:val="both"/>
        <w:outlineLvl w:val="0"/>
        <w:rPr>
          <w:rFonts w:ascii="Arial" w:hAnsi="Arial" w:cs="Arial"/>
          <w:sz w:val="24"/>
          <w:szCs w:val="24"/>
        </w:rPr>
      </w:pPr>
      <w:r w:rsidRPr="00C6423A">
        <w:rPr>
          <w:rFonts w:ascii="Arial" w:hAnsi="Arial" w:cs="Arial"/>
          <w:b/>
          <w:sz w:val="24"/>
          <w:szCs w:val="24"/>
        </w:rPr>
        <w:t>103.</w:t>
      </w:r>
      <w:r w:rsidRPr="00C6423A">
        <w:rPr>
          <w:rFonts w:ascii="Arial" w:hAnsi="Arial" w:cs="Arial"/>
          <w:b/>
          <w:sz w:val="24"/>
          <w:szCs w:val="24"/>
        </w:rPr>
        <w:tab/>
        <w:t>Mr J J Mcgluwa</w:t>
      </w:r>
      <w:r w:rsidR="006A0ACE" w:rsidRPr="00C6423A">
        <w:rPr>
          <w:rFonts w:ascii="Arial" w:hAnsi="Arial" w:cs="Arial"/>
          <w:b/>
          <w:sz w:val="24"/>
          <w:szCs w:val="24"/>
        </w:rPr>
        <w:t xml:space="preserve">  (DA)to ask the Minister of Home Affairs</w:t>
      </w:r>
      <w:r w:rsidR="006A0ACE" w:rsidRPr="00C6423A">
        <w:rPr>
          <w:rFonts w:ascii="Arial" w:hAnsi="Arial" w:cs="Arial"/>
          <w:b/>
          <w:sz w:val="24"/>
          <w:szCs w:val="24"/>
        </w:rPr>
        <w:fldChar w:fldCharType="begin"/>
      </w:r>
      <w:r w:rsidR="006A0ACE" w:rsidRPr="00C6423A">
        <w:rPr>
          <w:rFonts w:ascii="Arial" w:hAnsi="Arial" w:cs="Arial"/>
          <w:sz w:val="24"/>
          <w:szCs w:val="24"/>
        </w:rPr>
        <w:instrText xml:space="preserve"> XE "</w:instrText>
      </w:r>
      <w:r w:rsidR="006A0ACE" w:rsidRPr="00C6423A">
        <w:rPr>
          <w:rFonts w:ascii="Arial" w:hAnsi="Arial" w:cs="Arial"/>
          <w:b/>
          <w:sz w:val="24"/>
          <w:szCs w:val="24"/>
        </w:rPr>
        <w:instrText>Home Affairs</w:instrText>
      </w:r>
      <w:r w:rsidR="006A0ACE" w:rsidRPr="00C6423A">
        <w:rPr>
          <w:rFonts w:ascii="Arial" w:hAnsi="Arial" w:cs="Arial"/>
          <w:sz w:val="24"/>
          <w:szCs w:val="24"/>
        </w:rPr>
        <w:instrText xml:space="preserve">" </w:instrText>
      </w:r>
      <w:r w:rsidR="006A0ACE" w:rsidRPr="00C6423A">
        <w:rPr>
          <w:rFonts w:ascii="Arial" w:hAnsi="Arial" w:cs="Arial"/>
          <w:b/>
          <w:sz w:val="24"/>
          <w:szCs w:val="24"/>
        </w:rPr>
        <w:fldChar w:fldCharType="end"/>
      </w:r>
      <w:r w:rsidR="006A0ACE" w:rsidRPr="00C6423A">
        <w:rPr>
          <w:rFonts w:ascii="Arial" w:hAnsi="Arial" w:cs="Arial"/>
          <w:b/>
          <w:sz w:val="24"/>
          <w:szCs w:val="24"/>
        </w:rPr>
        <w:t xml:space="preserve">: </w:t>
      </w:r>
    </w:p>
    <w:p w:rsidR="00DE358D" w:rsidRPr="00C6423A" w:rsidRDefault="00DE358D" w:rsidP="00DE358D">
      <w:pPr>
        <w:spacing w:before="100" w:beforeAutospacing="1" w:after="100" w:afterAutospacing="1" w:line="240" w:lineRule="auto"/>
        <w:ind w:left="709" w:hanging="709"/>
        <w:jc w:val="both"/>
        <w:outlineLvl w:val="0"/>
        <w:rPr>
          <w:rFonts w:ascii="Arial" w:hAnsi="Arial" w:cs="Arial"/>
          <w:sz w:val="24"/>
          <w:szCs w:val="24"/>
        </w:rPr>
      </w:pPr>
      <w:r w:rsidRPr="00C6423A">
        <w:rPr>
          <w:rFonts w:ascii="Arial" w:hAnsi="Arial" w:cs="Arial"/>
          <w:sz w:val="24"/>
          <w:szCs w:val="24"/>
        </w:rPr>
        <w:t>1)</w:t>
      </w:r>
      <w:r w:rsidRPr="00C6423A">
        <w:rPr>
          <w:rFonts w:ascii="Arial" w:hAnsi="Arial" w:cs="Arial"/>
          <w:sz w:val="24"/>
          <w:szCs w:val="24"/>
        </w:rPr>
        <w:tab/>
        <w:t>What are the reasons that the maintenance and infrastructure of the loose border fence were moved to the Border Management Authority;</w:t>
      </w:r>
    </w:p>
    <w:p w:rsidR="00DE358D" w:rsidRPr="00C6423A" w:rsidRDefault="00DE358D" w:rsidP="00DE358D">
      <w:pPr>
        <w:spacing w:before="100" w:beforeAutospacing="1" w:after="100" w:afterAutospacing="1" w:line="240" w:lineRule="auto"/>
        <w:ind w:left="709" w:hanging="709"/>
        <w:jc w:val="both"/>
        <w:outlineLvl w:val="0"/>
        <w:rPr>
          <w:rFonts w:ascii="Arial" w:eastAsia="Times New Roman" w:hAnsi="Arial" w:cs="Arial"/>
          <w:color w:val="000000"/>
          <w:sz w:val="24"/>
          <w:szCs w:val="24"/>
          <w:lang w:eastAsia="en-GB"/>
        </w:rPr>
      </w:pPr>
      <w:r w:rsidRPr="00C6423A">
        <w:rPr>
          <w:rFonts w:ascii="Arial" w:hAnsi="Arial" w:cs="Arial"/>
          <w:sz w:val="24"/>
          <w:szCs w:val="24"/>
        </w:rPr>
        <w:t>(2)</w:t>
      </w:r>
      <w:r w:rsidRPr="00C6423A">
        <w:rPr>
          <w:rFonts w:ascii="Arial" w:hAnsi="Arial" w:cs="Arial"/>
          <w:sz w:val="24"/>
          <w:szCs w:val="24"/>
        </w:rPr>
        <w:tab/>
        <w:t>whether there are any budgeted funds available to maintain the infrastructure and loose border fence; if not, why not; if so, what is the current status of the loose border fence?</w:t>
      </w:r>
      <w:r w:rsidRPr="00C6423A">
        <w:rPr>
          <w:rFonts w:ascii="Arial" w:hAnsi="Arial" w:cs="Arial"/>
          <w:sz w:val="24"/>
          <w:szCs w:val="24"/>
        </w:rPr>
        <w:tab/>
      </w:r>
      <w:r w:rsidRPr="00C6423A">
        <w:rPr>
          <w:rFonts w:ascii="Arial" w:hAnsi="Arial" w:cs="Arial"/>
          <w:sz w:val="24"/>
          <w:szCs w:val="24"/>
        </w:rPr>
        <w:tab/>
      </w:r>
      <w:r w:rsidRPr="00C6423A">
        <w:rPr>
          <w:rFonts w:ascii="Arial" w:hAnsi="Arial" w:cs="Arial"/>
          <w:sz w:val="24"/>
          <w:szCs w:val="24"/>
        </w:rPr>
        <w:tab/>
      </w:r>
      <w:r w:rsidRPr="00C6423A">
        <w:rPr>
          <w:rFonts w:ascii="Arial" w:hAnsi="Arial" w:cs="Arial"/>
          <w:sz w:val="24"/>
          <w:szCs w:val="24"/>
        </w:rPr>
        <w:tab/>
      </w:r>
      <w:r w:rsidRPr="00C6423A">
        <w:rPr>
          <w:rFonts w:ascii="Arial" w:hAnsi="Arial" w:cs="Arial"/>
          <w:sz w:val="24"/>
          <w:szCs w:val="24"/>
        </w:rPr>
        <w:tab/>
      </w:r>
      <w:r w:rsidRPr="00C6423A">
        <w:rPr>
          <w:rFonts w:ascii="Arial" w:hAnsi="Arial" w:cs="Arial"/>
          <w:sz w:val="24"/>
          <w:szCs w:val="24"/>
        </w:rPr>
        <w:tab/>
      </w:r>
      <w:r w:rsidRPr="00C6423A">
        <w:rPr>
          <w:rFonts w:ascii="Arial" w:hAnsi="Arial" w:cs="Arial"/>
          <w:sz w:val="24"/>
          <w:szCs w:val="24"/>
        </w:rPr>
        <w:tab/>
      </w:r>
      <w:r w:rsidRPr="00C6423A">
        <w:rPr>
          <w:rFonts w:ascii="Arial" w:eastAsia="Times New Roman" w:hAnsi="Arial" w:cs="Arial"/>
          <w:color w:val="000000"/>
          <w:sz w:val="24"/>
          <w:szCs w:val="24"/>
          <w:lang w:eastAsia="en-GB"/>
        </w:rPr>
        <w:t>NW107E</w:t>
      </w:r>
    </w:p>
    <w:p w:rsidR="006A0ACE" w:rsidRPr="00C6423A" w:rsidRDefault="006A0ACE" w:rsidP="00947758">
      <w:pPr>
        <w:jc w:val="both"/>
        <w:rPr>
          <w:rFonts w:ascii="Arial" w:eastAsia="Times New Roman" w:hAnsi="Arial" w:cs="Arial"/>
          <w:sz w:val="24"/>
          <w:szCs w:val="24"/>
          <w:lang w:val="en-GB"/>
        </w:rPr>
      </w:pPr>
      <w:r w:rsidRPr="00C6423A">
        <w:rPr>
          <w:rFonts w:ascii="Arial" w:eastAsia="Times New Roman" w:hAnsi="Arial" w:cs="Arial"/>
          <w:b/>
          <w:sz w:val="24"/>
          <w:szCs w:val="24"/>
          <w:lang w:val="en-GB"/>
        </w:rPr>
        <w:t>REPLY:</w:t>
      </w:r>
    </w:p>
    <w:p w:rsidR="00712436" w:rsidRPr="00C6423A" w:rsidRDefault="00712436" w:rsidP="006A485D">
      <w:pPr>
        <w:autoSpaceDE w:val="0"/>
        <w:autoSpaceDN w:val="0"/>
        <w:adjustRightInd w:val="0"/>
        <w:spacing w:after="0" w:line="240" w:lineRule="auto"/>
        <w:jc w:val="both"/>
        <w:rPr>
          <w:rFonts w:ascii="Arial" w:eastAsia="Times New Roman" w:hAnsi="Arial" w:cs="Arial"/>
          <w:color w:val="000000"/>
          <w:sz w:val="24"/>
          <w:szCs w:val="24"/>
          <w:lang w:val="en-GB"/>
        </w:rPr>
      </w:pPr>
    </w:p>
    <w:p w:rsidR="00DE358D" w:rsidRPr="00C6423A" w:rsidRDefault="00DE358D" w:rsidP="00DE358D">
      <w:pPr>
        <w:numPr>
          <w:ilvl w:val="0"/>
          <w:numId w:val="14"/>
        </w:numPr>
        <w:autoSpaceDE w:val="0"/>
        <w:autoSpaceDN w:val="0"/>
        <w:adjustRightInd w:val="0"/>
        <w:spacing w:after="0" w:line="240" w:lineRule="auto"/>
        <w:jc w:val="both"/>
        <w:rPr>
          <w:rFonts w:ascii="Arial" w:eastAsia="Times New Roman" w:hAnsi="Arial" w:cs="Arial"/>
          <w:color w:val="000000"/>
          <w:sz w:val="24"/>
          <w:szCs w:val="24"/>
          <w:lang w:val="en-GB"/>
        </w:rPr>
      </w:pPr>
      <w:r w:rsidRPr="00C6423A">
        <w:rPr>
          <w:rFonts w:ascii="Arial" w:eastAsia="Times New Roman" w:hAnsi="Arial" w:cs="Arial"/>
          <w:color w:val="000000"/>
          <w:sz w:val="24"/>
          <w:szCs w:val="24"/>
          <w:lang w:val="en-GB"/>
        </w:rPr>
        <w:t>Firstly, it should be clarified that the maintenance and infrastructure of the border fence has not yet been moved to the Border Management Authority (BMA). However, it should clearly be noted that the process to do so is underway as provided for in section 38 of the Border Management Authority Act, 2020.  In this case, the vehicle to be used to achieve the objective is section 97 of the RSA Constitution, 1996 which empowers the State President to transfer certain functions from one Cabinet member to another.  Therefore, the rationale for the transfer of border related assets, liabilities and funds from the Department of Public Works and Infrastructure (DPWI) to the Border Management Authority (BMA) is embedded on the fact that BMA will be operating as a schedule 3(A) public entity outside the public service but within public administration.  As such, the BMA has to assume the full responsibility in the management and administration of the relevant border management assets, particularly those located at land borders.  To this end, the legal clarity on this matter is located within section 38 (2) of the BMA Act which provides that, “all assets, rights, obligations and liabilities, including the unexpected balance of appropriations, authorisations, allocations and other funds held in connection with the management and administration of border law enforcement, are transferred to the Authority”.</w:t>
      </w:r>
    </w:p>
    <w:p w:rsidR="00DE358D" w:rsidRPr="00C6423A" w:rsidRDefault="00DE358D" w:rsidP="00DE358D">
      <w:pPr>
        <w:autoSpaceDE w:val="0"/>
        <w:autoSpaceDN w:val="0"/>
        <w:adjustRightInd w:val="0"/>
        <w:spacing w:after="0" w:line="240" w:lineRule="auto"/>
        <w:jc w:val="both"/>
        <w:rPr>
          <w:rFonts w:ascii="Arial" w:eastAsia="Times New Roman" w:hAnsi="Arial" w:cs="Arial"/>
          <w:color w:val="000000"/>
          <w:sz w:val="24"/>
          <w:szCs w:val="24"/>
          <w:lang w:val="en-GB"/>
        </w:rPr>
      </w:pPr>
      <w:r w:rsidRPr="00C6423A">
        <w:rPr>
          <w:rFonts w:ascii="Arial" w:eastAsia="Times New Roman" w:hAnsi="Arial" w:cs="Arial"/>
          <w:color w:val="000000"/>
          <w:sz w:val="24"/>
          <w:szCs w:val="24"/>
          <w:lang w:val="en-GB"/>
        </w:rPr>
        <w:t xml:space="preserve"> </w:t>
      </w:r>
    </w:p>
    <w:p w:rsidR="00DE358D" w:rsidRPr="00C6423A" w:rsidRDefault="00DE358D" w:rsidP="00DE358D">
      <w:pPr>
        <w:numPr>
          <w:ilvl w:val="0"/>
          <w:numId w:val="14"/>
        </w:numPr>
        <w:autoSpaceDE w:val="0"/>
        <w:autoSpaceDN w:val="0"/>
        <w:adjustRightInd w:val="0"/>
        <w:spacing w:after="0" w:line="240" w:lineRule="auto"/>
        <w:jc w:val="both"/>
        <w:rPr>
          <w:rFonts w:ascii="Arial" w:eastAsia="Times New Roman" w:hAnsi="Arial" w:cs="Arial"/>
          <w:color w:val="000000"/>
          <w:sz w:val="24"/>
          <w:szCs w:val="24"/>
        </w:rPr>
      </w:pPr>
      <w:r w:rsidRPr="00C6423A">
        <w:rPr>
          <w:rFonts w:ascii="Arial" w:eastAsia="Times New Roman" w:hAnsi="Arial" w:cs="Arial"/>
          <w:color w:val="000000"/>
          <w:sz w:val="24"/>
          <w:szCs w:val="24"/>
        </w:rPr>
        <w:t xml:space="preserve">As clearly reflected in section 38 (1) of the BMA Act, the funds currently budgeted and used to maintain the border related infrastructure and the fences by the DPWI would be transferred to the BMA in accordance with the requirements of the Public Financial Management Act, 1999.  Therefore, the conclusion of the section 97 proclamation processes would locate such maintenance responsibilities to the Authority.  As such, the BMA would then </w:t>
      </w:r>
      <w:r w:rsidRPr="00C6423A">
        <w:rPr>
          <w:rFonts w:ascii="Arial" w:eastAsia="Times New Roman" w:hAnsi="Arial" w:cs="Arial"/>
          <w:color w:val="000000"/>
          <w:sz w:val="24"/>
          <w:szCs w:val="24"/>
        </w:rPr>
        <w:lastRenderedPageBreak/>
        <w:t xml:space="preserve">resume the responsibility of updating the nation regarding the status of the border fence and all other related border infrastructure.       </w:t>
      </w:r>
      <w:r w:rsidRPr="00C6423A">
        <w:rPr>
          <w:rFonts w:ascii="Arial" w:eastAsia="Times New Roman" w:hAnsi="Arial" w:cs="Arial"/>
          <w:color w:val="000000"/>
          <w:sz w:val="24"/>
          <w:szCs w:val="24"/>
        </w:rPr>
        <w:tab/>
      </w:r>
    </w:p>
    <w:p w:rsidR="00712436" w:rsidRPr="00C6423A" w:rsidRDefault="00712436" w:rsidP="00DE358D">
      <w:pPr>
        <w:autoSpaceDE w:val="0"/>
        <w:autoSpaceDN w:val="0"/>
        <w:adjustRightInd w:val="0"/>
        <w:spacing w:after="0" w:line="240" w:lineRule="auto"/>
        <w:ind w:left="740"/>
        <w:jc w:val="both"/>
        <w:rPr>
          <w:rFonts w:ascii="Arial" w:eastAsia="Times New Roman" w:hAnsi="Arial" w:cs="Arial"/>
          <w:color w:val="000000"/>
          <w:sz w:val="24"/>
          <w:szCs w:val="24"/>
          <w:lang w:val="en-GB"/>
        </w:rPr>
      </w:pPr>
    </w:p>
    <w:p w:rsidR="00712436" w:rsidRPr="00C6423A" w:rsidRDefault="00712436" w:rsidP="00712436">
      <w:pPr>
        <w:autoSpaceDE w:val="0"/>
        <w:autoSpaceDN w:val="0"/>
        <w:adjustRightInd w:val="0"/>
        <w:spacing w:after="0" w:line="240" w:lineRule="auto"/>
        <w:ind w:left="709"/>
        <w:jc w:val="both"/>
        <w:rPr>
          <w:rFonts w:ascii="Arial" w:eastAsia="Times New Roman" w:hAnsi="Arial" w:cs="Arial"/>
          <w:color w:val="000000"/>
          <w:sz w:val="24"/>
          <w:szCs w:val="24"/>
          <w:lang w:val="en-GB"/>
        </w:rPr>
      </w:pPr>
    </w:p>
    <w:p w:rsidR="00712436" w:rsidRPr="00C6423A" w:rsidRDefault="00712436" w:rsidP="00712436">
      <w:pPr>
        <w:autoSpaceDE w:val="0"/>
        <w:autoSpaceDN w:val="0"/>
        <w:adjustRightInd w:val="0"/>
        <w:spacing w:after="0" w:line="240" w:lineRule="auto"/>
        <w:ind w:left="709"/>
        <w:jc w:val="both"/>
        <w:rPr>
          <w:rFonts w:ascii="Arial" w:eastAsia="Times New Roman" w:hAnsi="Arial" w:cs="Arial"/>
          <w:color w:val="000000"/>
          <w:sz w:val="24"/>
          <w:szCs w:val="24"/>
          <w:lang w:val="en-GB"/>
        </w:rPr>
      </w:pPr>
    </w:p>
    <w:p w:rsidR="00DE358D" w:rsidRPr="00C6423A" w:rsidRDefault="00C6423A" w:rsidP="00C6423A">
      <w:pPr>
        <w:tabs>
          <w:tab w:val="left" w:pos="0"/>
        </w:tabs>
        <w:spacing w:after="0" w:line="320" w:lineRule="exact"/>
        <w:jc w:val="both"/>
        <w:rPr>
          <w:rFonts w:ascii="Arial" w:eastAsia="Times New Roman" w:hAnsi="Arial" w:cs="Arial"/>
          <w:b/>
          <w:sz w:val="24"/>
          <w:szCs w:val="24"/>
          <w:lang w:eastAsia="en-ZA"/>
        </w:rPr>
      </w:pPr>
      <w:r w:rsidRPr="00C6423A">
        <w:rPr>
          <w:rFonts w:ascii="Arial" w:eastAsia="Times New Roman" w:hAnsi="Arial" w:cs="Arial"/>
          <w:b/>
          <w:sz w:val="24"/>
          <w:szCs w:val="24"/>
          <w:lang w:val="en-GB"/>
        </w:rPr>
        <w:t>END</w:t>
      </w:r>
    </w:p>
    <w:p w:rsidR="00DE358D" w:rsidRPr="00C6423A" w:rsidRDefault="00DE358D" w:rsidP="00DE358D">
      <w:pPr>
        <w:rPr>
          <w:rFonts w:ascii="Arial" w:eastAsia="Times New Roman" w:hAnsi="Arial" w:cs="Arial"/>
          <w:b/>
          <w:sz w:val="24"/>
          <w:szCs w:val="24"/>
          <w:lang w:eastAsia="en-ZA"/>
        </w:rPr>
      </w:pPr>
    </w:p>
    <w:p w:rsidR="00DE358D" w:rsidRPr="00C6423A" w:rsidRDefault="00DE358D" w:rsidP="00DE358D">
      <w:pPr>
        <w:rPr>
          <w:rFonts w:ascii="Arial" w:eastAsia="Times New Roman" w:hAnsi="Arial" w:cs="Arial"/>
          <w:sz w:val="24"/>
          <w:szCs w:val="24"/>
          <w:lang w:eastAsia="en-ZA"/>
        </w:rPr>
      </w:pPr>
    </w:p>
    <w:p w:rsidR="00DE358D" w:rsidRPr="00C6423A" w:rsidRDefault="00DE358D" w:rsidP="00DE358D">
      <w:pPr>
        <w:rPr>
          <w:rFonts w:ascii="Arial" w:eastAsia="Times New Roman" w:hAnsi="Arial" w:cs="Arial"/>
          <w:sz w:val="24"/>
          <w:szCs w:val="24"/>
          <w:lang w:eastAsia="en-ZA"/>
        </w:rPr>
      </w:pPr>
    </w:p>
    <w:p w:rsidR="00380B20" w:rsidRPr="00C6423A" w:rsidRDefault="00DE358D" w:rsidP="00DE358D">
      <w:pPr>
        <w:tabs>
          <w:tab w:val="left" w:pos="1595"/>
        </w:tabs>
        <w:rPr>
          <w:rFonts w:ascii="Arial" w:eastAsia="Times New Roman" w:hAnsi="Arial" w:cs="Arial"/>
          <w:sz w:val="24"/>
          <w:szCs w:val="24"/>
          <w:lang w:eastAsia="en-ZA"/>
        </w:rPr>
      </w:pPr>
      <w:r w:rsidRPr="00C6423A">
        <w:rPr>
          <w:rFonts w:ascii="Arial" w:eastAsia="Times New Roman" w:hAnsi="Arial" w:cs="Arial"/>
          <w:sz w:val="24"/>
          <w:szCs w:val="24"/>
          <w:lang w:eastAsia="en-ZA"/>
        </w:rPr>
        <w:tab/>
      </w:r>
    </w:p>
    <w:sectPr w:rsidR="00380B20" w:rsidRPr="00C6423A" w:rsidSect="00947758">
      <w:headerReference w:type="default" r:id="rId8"/>
      <w:footerReference w:type="even" r:id="rId9"/>
      <w:footerReference w:type="default" r:id="rId10"/>
      <w:footerReference w:type="first" r:id="rId11"/>
      <w:pgSz w:w="12240" w:h="15840" w:code="1"/>
      <w:pgMar w:top="993" w:right="1800" w:bottom="568" w:left="1418" w:header="706" w:footer="3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347" w:rsidRDefault="00B46347" w:rsidP="00670234">
      <w:pPr>
        <w:spacing w:after="0" w:line="240" w:lineRule="auto"/>
      </w:pPr>
      <w:r>
        <w:separator/>
      </w:r>
    </w:p>
  </w:endnote>
  <w:endnote w:type="continuationSeparator" w:id="0">
    <w:p w:rsidR="00B46347" w:rsidRDefault="00B4634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DE358D"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103. Mr J J Mcgluwa</w:t>
    </w:r>
    <w:r w:rsidRPr="005A1D47">
      <w:rPr>
        <w:rFonts w:ascii="Cambria" w:eastAsia="Times New Roman" w:hAnsi="Cambria"/>
        <w:b/>
      </w:rPr>
      <w:t xml:space="preserve"> (</w:t>
    </w:r>
    <w:r w:rsidR="005A1D47" w:rsidRPr="005A1D47">
      <w:rPr>
        <w:rFonts w:ascii="Cambria" w:eastAsia="Times New Roman" w:hAnsi="Cambria"/>
        <w:b/>
      </w:rPr>
      <w:t xml:space="preserve">DA) </w:t>
    </w:r>
    <w:r w:rsidR="006A0ACE" w:rsidRPr="006A0ACE">
      <w:rPr>
        <w:rFonts w:ascii="Cambria" w:eastAsia="Times New Roman" w:hAnsi="Cambria"/>
        <w:b/>
      </w:rPr>
      <w:t>to ask the Minister of Home Affairs</w:t>
    </w:r>
    <w:r w:rsidR="006A0ACE" w:rsidRPr="00784949">
      <w:rPr>
        <w:rFonts w:ascii="Cambria" w:eastAsia="Times New Roman" w:hAnsi="Cambria"/>
      </w:rPr>
      <w:t xml:space="preserve"> </w:t>
    </w:r>
    <w:r w:rsidR="0057007B">
      <w:rPr>
        <w:rFonts w:ascii="Cambria" w:eastAsia="Times New Roman" w:hAnsi="Cambria"/>
      </w:rPr>
      <w:t xml:space="preserve">                                           </w:t>
    </w:r>
  </w:p>
  <w:p w:rsidR="007E76BD" w:rsidRDefault="00DE358D" w:rsidP="00DE358D">
    <w:pPr>
      <w:pStyle w:val="Footer"/>
      <w:tabs>
        <w:tab w:val="clear" w:pos="4513"/>
        <w:tab w:val="clear" w:pos="9026"/>
        <w:tab w:val="left" w:pos="223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DE358D"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103. Mr J J Mgcluwa</w:t>
    </w:r>
    <w:r w:rsidR="0057007B" w:rsidRPr="005A1D47">
      <w:rPr>
        <w:rFonts w:ascii="Cambria" w:eastAsia="Times New Roman" w:hAnsi="Cambria"/>
        <w:b/>
      </w:rPr>
      <w:t xml:space="preserve"> </w:t>
    </w:r>
    <w:r w:rsidR="0057007B">
      <w:rPr>
        <w:rFonts w:ascii="Cambria" w:eastAsia="Times New Roman" w:hAnsi="Cambria"/>
        <w:b/>
      </w:rPr>
      <w:t>(</w:t>
    </w:r>
    <w:r w:rsidR="005A1D47" w:rsidRPr="005A1D47">
      <w:rPr>
        <w:rFonts w:ascii="Cambria" w:eastAsia="Times New Roman" w:hAnsi="Cambria"/>
        <w:b/>
      </w:rPr>
      <w:t>DA)</w:t>
    </w:r>
    <w:r w:rsidR="005A1D47">
      <w:rPr>
        <w:rFonts w:ascii="Cambria" w:eastAsia="Times New Roman" w:hAnsi="Cambria"/>
        <w:b/>
      </w:rPr>
      <w:t xml:space="preserve"> </w:t>
    </w:r>
    <w:r w:rsidR="006A0ACE" w:rsidRPr="006A0ACE">
      <w:rPr>
        <w:rFonts w:ascii="Cambria" w:eastAsia="Times New Roman" w:hAnsi="Cambria"/>
        <w:b/>
      </w:rPr>
      <w:t>to ask the Minister of Home Affairs</w:t>
    </w:r>
    <w:r w:rsidR="007E76BD" w:rsidRPr="00D104F9">
      <w:rPr>
        <w:rFonts w:ascii="Cambria" w:eastAsia="Times New Roman" w:hAnsi="Cambria"/>
      </w:rPr>
      <w:tab/>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347" w:rsidRDefault="00B46347" w:rsidP="00670234">
      <w:pPr>
        <w:spacing w:after="0" w:line="240" w:lineRule="auto"/>
      </w:pPr>
      <w:r>
        <w:separator/>
      </w:r>
    </w:p>
  </w:footnote>
  <w:footnote w:type="continuationSeparator" w:id="0">
    <w:p w:rsidR="00B46347" w:rsidRDefault="00B4634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48" w:rsidRDefault="00E77D48">
    <w:pPr>
      <w:pStyle w:val="Header"/>
      <w:jc w:val="center"/>
    </w:pPr>
    <w:fldSimple w:instr=" PAGE   \* MERGEFORMAT ">
      <w:r w:rsidR="0068333A">
        <w:rPr>
          <w:noProof/>
        </w:rPr>
        <w:t>2</w:t>
      </w:r>
    </w:fldSimple>
  </w:p>
  <w:p w:rsidR="00E77D48" w:rsidRDefault="00E77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851F6E"/>
    <w:multiLevelType w:val="hybridMultilevel"/>
    <w:tmpl w:val="A6405DF6"/>
    <w:lvl w:ilvl="0" w:tplc="11F07CB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AC5A6F"/>
    <w:multiLevelType w:val="hybridMultilevel"/>
    <w:tmpl w:val="B3C62572"/>
    <w:lvl w:ilvl="0" w:tplc="C840B866">
      <w:start w:val="2"/>
      <w:numFmt w:val="upperLetter"/>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BA078B2"/>
    <w:multiLevelType w:val="hybridMultilevel"/>
    <w:tmpl w:val="19089452"/>
    <w:lvl w:ilvl="0" w:tplc="A5FC25E4">
      <w:start w:val="27"/>
      <w:numFmt w:val="lowerLetter"/>
      <w:lvlText w:val="(%1)"/>
      <w:lvlJc w:val="left"/>
      <w:pPr>
        <w:ind w:left="1860" w:hanging="4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4F0C4D76"/>
    <w:multiLevelType w:val="hybridMultilevel"/>
    <w:tmpl w:val="31B07EA2"/>
    <w:lvl w:ilvl="0" w:tplc="A01E3E52">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2001450"/>
    <w:multiLevelType w:val="hybridMultilevel"/>
    <w:tmpl w:val="E770403E"/>
    <w:lvl w:ilvl="0" w:tplc="D15C3C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1">
    <w:nsid w:val="65815290"/>
    <w:multiLevelType w:val="hybridMultilevel"/>
    <w:tmpl w:val="40CC348E"/>
    <w:lvl w:ilvl="0" w:tplc="FFD63D70">
      <w:start w:val="1"/>
      <w:numFmt w:val="lowerLetter"/>
      <w:lvlText w:val="(%1)"/>
      <w:lvlJc w:val="left"/>
      <w:pPr>
        <w:ind w:left="1110" w:hanging="45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12">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5"/>
  </w:num>
  <w:num w:numId="3">
    <w:abstractNumId w:val="12"/>
  </w:num>
  <w:num w:numId="4">
    <w:abstractNumId w:val="3"/>
  </w:num>
  <w:num w:numId="5">
    <w:abstractNumId w:val="2"/>
  </w:num>
  <w:num w:numId="6">
    <w:abstractNumId w:val="13"/>
  </w:num>
  <w:num w:numId="7">
    <w:abstractNumId w:val="10"/>
  </w:num>
  <w:num w:numId="8">
    <w:abstractNumId w:val="4"/>
  </w:num>
  <w:num w:numId="9">
    <w:abstractNumId w:val="11"/>
  </w:num>
  <w:num w:numId="10">
    <w:abstractNumId w:val="6"/>
  </w:num>
  <w:num w:numId="11">
    <w:abstractNumId w:val="9"/>
  </w:num>
  <w:num w:numId="12">
    <w:abstractNumId w:val="7"/>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F706E"/>
    <w:rsid w:val="00110627"/>
    <w:rsid w:val="00137A6F"/>
    <w:rsid w:val="001957F9"/>
    <w:rsid w:val="00217B37"/>
    <w:rsid w:val="0022775E"/>
    <w:rsid w:val="0026140E"/>
    <w:rsid w:val="002A60EC"/>
    <w:rsid w:val="002C1B1C"/>
    <w:rsid w:val="002D0D0F"/>
    <w:rsid w:val="00324909"/>
    <w:rsid w:val="0033176B"/>
    <w:rsid w:val="0033573E"/>
    <w:rsid w:val="003717CC"/>
    <w:rsid w:val="00380B20"/>
    <w:rsid w:val="003C098A"/>
    <w:rsid w:val="003E09EF"/>
    <w:rsid w:val="003F101E"/>
    <w:rsid w:val="004561F4"/>
    <w:rsid w:val="004A4714"/>
    <w:rsid w:val="00525C51"/>
    <w:rsid w:val="00530701"/>
    <w:rsid w:val="0053608E"/>
    <w:rsid w:val="0057007B"/>
    <w:rsid w:val="00577006"/>
    <w:rsid w:val="005863B2"/>
    <w:rsid w:val="005A1D47"/>
    <w:rsid w:val="005D6920"/>
    <w:rsid w:val="006000B4"/>
    <w:rsid w:val="006072D5"/>
    <w:rsid w:val="006248F0"/>
    <w:rsid w:val="00670234"/>
    <w:rsid w:val="0068333A"/>
    <w:rsid w:val="006A0ACE"/>
    <w:rsid w:val="006A485D"/>
    <w:rsid w:val="006E6509"/>
    <w:rsid w:val="007051F9"/>
    <w:rsid w:val="00712436"/>
    <w:rsid w:val="0077221D"/>
    <w:rsid w:val="00784949"/>
    <w:rsid w:val="007D332B"/>
    <w:rsid w:val="007D7585"/>
    <w:rsid w:val="007E76BD"/>
    <w:rsid w:val="0082237C"/>
    <w:rsid w:val="00880A83"/>
    <w:rsid w:val="008B068E"/>
    <w:rsid w:val="00947758"/>
    <w:rsid w:val="00996BE6"/>
    <w:rsid w:val="009A78C7"/>
    <w:rsid w:val="009F0997"/>
    <w:rsid w:val="00A85775"/>
    <w:rsid w:val="00A8766D"/>
    <w:rsid w:val="00A929AF"/>
    <w:rsid w:val="00AA0FFE"/>
    <w:rsid w:val="00B46347"/>
    <w:rsid w:val="00BC5BCA"/>
    <w:rsid w:val="00C06E94"/>
    <w:rsid w:val="00C545BF"/>
    <w:rsid w:val="00C6423A"/>
    <w:rsid w:val="00C83BD7"/>
    <w:rsid w:val="00D037FE"/>
    <w:rsid w:val="00D104F9"/>
    <w:rsid w:val="00D37A81"/>
    <w:rsid w:val="00D82A1D"/>
    <w:rsid w:val="00DB2A39"/>
    <w:rsid w:val="00DD0089"/>
    <w:rsid w:val="00DE358D"/>
    <w:rsid w:val="00E23E9C"/>
    <w:rsid w:val="00E343C2"/>
    <w:rsid w:val="00E35CAC"/>
    <w:rsid w:val="00E77D48"/>
    <w:rsid w:val="00EA5A87"/>
    <w:rsid w:val="00EA77EE"/>
    <w:rsid w:val="00ED0F29"/>
    <w:rsid w:val="00F021BF"/>
    <w:rsid w:val="00F0768F"/>
    <w:rsid w:val="00F30A23"/>
    <w:rsid w:val="00F47CB3"/>
    <w:rsid w:val="00F52429"/>
    <w:rsid w:val="00F61818"/>
    <w:rsid w:val="00F63167"/>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table" w:styleId="TableGrid">
    <w:name w:val="Table Grid"/>
    <w:basedOn w:val="TableNormal"/>
    <w:uiPriority w:val="59"/>
    <w:rsid w:val="005A1D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F707-0330-42F0-9EBA-A910F35B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2022-02-21T11:22:00Z</cp:lastPrinted>
  <dcterms:created xsi:type="dcterms:W3CDTF">2022-03-01T12:02:00Z</dcterms:created>
  <dcterms:modified xsi:type="dcterms:W3CDTF">2022-03-01T12:02:00Z</dcterms:modified>
</cp:coreProperties>
</file>