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A" w:rsidRDefault="00A96EFA">
      <w:pPr>
        <w:ind w:left="-540"/>
        <w:rPr>
          <w:color w:val="000000"/>
          <w:sz w:val="22"/>
        </w:rPr>
      </w:pPr>
      <w:bookmarkStart w:id="0" w:name="_GoBack"/>
      <w:bookmarkEnd w:id="0"/>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9" r:link="rId10"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D35463">
        <w:rPr>
          <w:rFonts w:ascii="Arial" w:hAnsi="Arial" w:cs="Arial"/>
          <w:b/>
          <w:bCs/>
          <w:sz w:val="20"/>
        </w:rPr>
        <w:t>1014</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D35463">
        <w:rPr>
          <w:sz w:val="20"/>
        </w:rPr>
        <w:t>5 MAY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D35463">
        <w:rPr>
          <w:rFonts w:ascii="Arial" w:hAnsi="Arial" w:cs="Arial"/>
          <w:sz w:val="20"/>
          <w:szCs w:val="20"/>
        </w:rPr>
        <w:t>1014</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1"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D35463">
        <w:rPr>
          <w:rFonts w:ascii="Tahoma" w:hAnsi="Tahoma" w:cs="Tahoma"/>
          <w:b/>
          <w:bCs/>
          <w:sz w:val="22"/>
          <w:szCs w:val="22"/>
          <w:lang w:val="en-ZA"/>
        </w:rPr>
        <w:t>1014</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D35463">
        <w:rPr>
          <w:rFonts w:ascii="Tahoma" w:hAnsi="Tahoma" w:cs="Tahoma"/>
          <w:b/>
          <w:bCs/>
          <w:sz w:val="22"/>
          <w:szCs w:val="22"/>
          <w:lang w:val="en-ZA"/>
        </w:rPr>
        <w:t>5 MAY 2017</w:t>
      </w:r>
    </w:p>
    <w:p w:rsidR="008960B2" w:rsidRDefault="008960B2" w:rsidP="008960B2">
      <w:pPr>
        <w:rPr>
          <w:rFonts w:ascii="Tahoma" w:hAnsi="Tahoma" w:cs="Tahoma"/>
          <w:b/>
          <w:bCs/>
          <w:sz w:val="22"/>
          <w:szCs w:val="22"/>
        </w:rPr>
      </w:pPr>
    </w:p>
    <w:p w:rsidR="00D35463" w:rsidRDefault="00D35463" w:rsidP="00D35463">
      <w:pPr>
        <w:spacing w:line="360" w:lineRule="auto"/>
        <w:ind w:left="34"/>
        <w:jc w:val="both"/>
        <w:rPr>
          <w:rFonts w:ascii="Arial" w:hAnsi="Arial" w:cs="Arial"/>
          <w:bCs/>
          <w:sz w:val="22"/>
          <w:szCs w:val="22"/>
        </w:rPr>
      </w:pPr>
    </w:p>
    <w:p w:rsidR="00D35463" w:rsidRPr="00EB2D9B" w:rsidRDefault="00D35463" w:rsidP="00D35463">
      <w:pPr>
        <w:spacing w:line="360" w:lineRule="auto"/>
        <w:ind w:left="34"/>
        <w:jc w:val="both"/>
        <w:rPr>
          <w:rFonts w:ascii="Arial" w:hAnsi="Arial" w:cs="Arial"/>
          <w:sz w:val="22"/>
          <w:szCs w:val="22"/>
        </w:rPr>
      </w:pPr>
      <w:r w:rsidRPr="00EB2D9B">
        <w:rPr>
          <w:rFonts w:ascii="Arial" w:hAnsi="Arial" w:cs="Arial"/>
          <w:bCs/>
          <w:sz w:val="22"/>
          <w:szCs w:val="22"/>
        </w:rPr>
        <w:t xml:space="preserve">Ms N W A Mazzone (DA) </w:t>
      </w:r>
      <w:r w:rsidRPr="00EB2D9B">
        <w:rPr>
          <w:rFonts w:ascii="Arial" w:hAnsi="Arial" w:cs="Arial"/>
          <w:sz w:val="22"/>
          <w:szCs w:val="22"/>
        </w:rPr>
        <w:t>to ask the Minister of Public Enterprises:</w:t>
      </w:r>
      <w:r w:rsidRPr="00EB2D9B">
        <w:rPr>
          <w:rFonts w:ascii="Arial" w:hAnsi="Arial" w:cs="Arial"/>
          <w:bCs/>
          <w:sz w:val="22"/>
          <w:szCs w:val="22"/>
        </w:rPr>
        <w:t xml:space="preserve"> </w:t>
      </w:r>
      <w:r w:rsidRPr="00EB2D9B">
        <w:rPr>
          <w:rFonts w:ascii="Arial" w:hAnsi="Arial" w:cs="Arial"/>
          <w:sz w:val="22"/>
          <w:szCs w:val="22"/>
        </w:rPr>
        <w:t>With reference to the recent Cabinet reshuffle and the fact that there is much uncertainty over whether the renewable independent power producers (IPPs) projects will be signed off by Eskom, (a) why has there been such a long delay in signing off the remaining IPPs, (b) what are the exact dates on which they will be signed off, (c) how many IPPs have been signed off by Eskom in total and (d) how many projects are outstanding due to the delay in signing? NW1142E</w:t>
      </w:r>
    </w:p>
    <w:p w:rsidR="00D35463" w:rsidRDefault="00D35463" w:rsidP="00D35463">
      <w:pPr>
        <w:spacing w:before="100" w:beforeAutospacing="1" w:after="100" w:afterAutospacing="1"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9E5971" w:rsidRPr="009E5971" w:rsidRDefault="00A96357" w:rsidP="00A96357">
      <w:pPr>
        <w:spacing w:line="360" w:lineRule="auto"/>
        <w:jc w:val="both"/>
        <w:rPr>
          <w:rFonts w:ascii="Arial" w:hAnsi="Arial" w:cs="Arial"/>
          <w:sz w:val="22"/>
          <w:szCs w:val="22"/>
        </w:rPr>
      </w:pPr>
      <w:r w:rsidRPr="00456DC5">
        <w:rPr>
          <w:rFonts w:ascii="Arial" w:hAnsi="Arial" w:cs="Arial"/>
          <w:b/>
          <w:sz w:val="22"/>
          <w:szCs w:val="22"/>
        </w:rPr>
        <w:t>(a)</w:t>
      </w:r>
      <w:r w:rsidR="009E5971" w:rsidRPr="009E5971">
        <w:rPr>
          <w:rFonts w:ascii="Arial" w:hAnsi="Arial" w:cs="Arial"/>
          <w:sz w:val="22"/>
          <w:szCs w:val="22"/>
        </w:rPr>
        <w:t xml:space="preserve">, </w:t>
      </w:r>
      <w:r w:rsidR="009730EA">
        <w:rPr>
          <w:rFonts w:ascii="Arial" w:hAnsi="Arial" w:cs="Arial"/>
          <w:sz w:val="22"/>
          <w:szCs w:val="22"/>
        </w:rPr>
        <w:t>A</w:t>
      </w:r>
      <w:r w:rsidR="009E5971" w:rsidRPr="00D5634A">
        <w:rPr>
          <w:rFonts w:ascii="Arial" w:hAnsi="Arial" w:cs="Arial"/>
          <w:sz w:val="22"/>
          <w:szCs w:val="22"/>
          <w:lang w:val="en-ZA"/>
        </w:rPr>
        <w:t xml:space="preserve"> Government Task team comprising of representatives from NT, the DPE and the DoE under the leadership of the Directors-General (DGs) of these Departments, was established with the aim of resolving Eskom’s concerns and agreeing on a proposed solution. After numerous engagements with Eskom and the IPP office, resolutions by the task team was communicated by Minister of Energy as reflected in </w:t>
      </w:r>
      <w:r w:rsidR="009E5971" w:rsidRPr="00D5634A">
        <w:rPr>
          <w:rFonts w:ascii="Arial" w:hAnsi="Arial" w:cs="Arial"/>
          <w:b/>
          <w:sz w:val="22"/>
          <w:szCs w:val="22"/>
          <w:lang w:val="en-ZA"/>
        </w:rPr>
        <w:t>(“b”)</w:t>
      </w:r>
      <w:r w:rsidR="009E5971" w:rsidRPr="00D5634A">
        <w:rPr>
          <w:rFonts w:ascii="Arial" w:hAnsi="Arial" w:cs="Arial"/>
          <w:sz w:val="22"/>
          <w:szCs w:val="22"/>
          <w:lang w:val="en-ZA"/>
        </w:rPr>
        <w:t xml:space="preserve"> below.</w:t>
      </w:r>
    </w:p>
    <w:p w:rsidR="009730EA" w:rsidRDefault="009730EA">
      <w:pPr>
        <w:rPr>
          <w:rFonts w:ascii="Tahoma" w:eastAsia="Times" w:hAnsi="Tahoma" w:cs="Tahoma"/>
          <w:sz w:val="22"/>
          <w:szCs w:val="22"/>
        </w:rPr>
      </w:pPr>
      <w:r>
        <w:rPr>
          <w:rFonts w:ascii="Tahoma" w:eastAsia="Times" w:hAnsi="Tahoma" w:cs="Tahoma"/>
          <w:sz w:val="22"/>
          <w:szCs w:val="22"/>
        </w:rPr>
        <w:br w:type="page"/>
      </w:r>
    </w:p>
    <w:p w:rsidR="009E5971" w:rsidRPr="004B76EF" w:rsidRDefault="009E5971" w:rsidP="00A96357">
      <w:pPr>
        <w:spacing w:line="360" w:lineRule="auto"/>
        <w:jc w:val="both"/>
        <w:rPr>
          <w:rFonts w:ascii="Tahoma" w:eastAsia="Times" w:hAnsi="Tahoma" w:cs="Tahoma"/>
          <w:sz w:val="22"/>
          <w:szCs w:val="22"/>
        </w:rPr>
      </w:pPr>
    </w:p>
    <w:p w:rsidR="00A96357" w:rsidRPr="00456DC5" w:rsidRDefault="00A96357" w:rsidP="00A96357">
      <w:pPr>
        <w:spacing w:line="360" w:lineRule="auto"/>
        <w:jc w:val="both"/>
        <w:rPr>
          <w:rFonts w:ascii="Arial" w:hAnsi="Arial" w:cs="Arial"/>
          <w:b/>
          <w:sz w:val="22"/>
          <w:szCs w:val="22"/>
        </w:rPr>
      </w:pPr>
      <w:r>
        <w:rPr>
          <w:rFonts w:ascii="Arial" w:hAnsi="Arial" w:cs="Arial"/>
          <w:b/>
          <w:sz w:val="22"/>
          <w:szCs w:val="22"/>
        </w:rPr>
        <w:t>(</w:t>
      </w:r>
      <w:r w:rsidRPr="00456DC5">
        <w:rPr>
          <w:rFonts w:ascii="Arial" w:hAnsi="Arial" w:cs="Arial"/>
          <w:b/>
          <w:sz w:val="22"/>
          <w:szCs w:val="22"/>
        </w:rPr>
        <w:t>b)</w:t>
      </w:r>
    </w:p>
    <w:p w:rsidR="009E5971" w:rsidRDefault="009E5971" w:rsidP="00D5634A">
      <w:pPr>
        <w:spacing w:line="360" w:lineRule="auto"/>
        <w:jc w:val="both"/>
        <w:rPr>
          <w:rFonts w:ascii="Arial" w:hAnsi="Arial" w:cs="Arial"/>
          <w:sz w:val="22"/>
          <w:szCs w:val="22"/>
        </w:rPr>
      </w:pPr>
      <w:r w:rsidRPr="00D5634A">
        <w:rPr>
          <w:rFonts w:ascii="Arial" w:hAnsi="Arial" w:cs="Arial"/>
          <w:sz w:val="22"/>
          <w:szCs w:val="22"/>
        </w:rPr>
        <w:t>On Friday 01 September 2017, Government, led by Minister of Energy announced the following:</w:t>
      </w:r>
    </w:p>
    <w:p w:rsidR="004760C9" w:rsidRPr="00D5634A" w:rsidRDefault="004760C9" w:rsidP="00D5634A">
      <w:pPr>
        <w:spacing w:line="360" w:lineRule="auto"/>
        <w:jc w:val="both"/>
        <w:rPr>
          <w:rFonts w:ascii="Arial" w:hAnsi="Arial" w:cs="Arial"/>
          <w:sz w:val="22"/>
          <w:szCs w:val="22"/>
        </w:rPr>
      </w:pPr>
    </w:p>
    <w:p w:rsidR="009E5971" w:rsidRPr="00D5634A" w:rsidRDefault="009E5971" w:rsidP="00D5634A">
      <w:pPr>
        <w:pStyle w:val="ListParagraph"/>
        <w:numPr>
          <w:ilvl w:val="0"/>
          <w:numId w:val="11"/>
        </w:numPr>
        <w:spacing w:after="160" w:line="360" w:lineRule="auto"/>
        <w:jc w:val="both"/>
        <w:rPr>
          <w:rFonts w:ascii="Arial" w:hAnsi="Arial" w:cs="Arial"/>
          <w:sz w:val="22"/>
          <w:szCs w:val="22"/>
        </w:rPr>
      </w:pPr>
      <w:r w:rsidRPr="00D5634A">
        <w:rPr>
          <w:rFonts w:ascii="Arial" w:hAnsi="Arial" w:cs="Arial"/>
          <w:sz w:val="22"/>
          <w:szCs w:val="22"/>
        </w:rPr>
        <w:t>The PPA for Bid Window 3.5 and 4 will be signed by the end of October 2017</w:t>
      </w:r>
    </w:p>
    <w:p w:rsidR="009E5971" w:rsidRPr="00D5634A" w:rsidRDefault="009E5971" w:rsidP="00D5634A">
      <w:pPr>
        <w:pStyle w:val="ListParagraph"/>
        <w:numPr>
          <w:ilvl w:val="0"/>
          <w:numId w:val="11"/>
        </w:numPr>
        <w:spacing w:after="160" w:line="360" w:lineRule="auto"/>
        <w:jc w:val="both"/>
        <w:rPr>
          <w:rFonts w:ascii="Arial" w:hAnsi="Arial" w:cs="Arial"/>
          <w:sz w:val="22"/>
          <w:szCs w:val="22"/>
        </w:rPr>
      </w:pPr>
      <w:r w:rsidRPr="00D5634A">
        <w:rPr>
          <w:rFonts w:ascii="Arial" w:hAnsi="Arial" w:cs="Arial"/>
          <w:sz w:val="22"/>
          <w:szCs w:val="22"/>
        </w:rPr>
        <w:t>The Department of Energy (“DoE”) through the IPP office will engage with all affected parties for Bid Windows 3.5 and 4 to re-negotiate not above 77c/kWh. This will assist in reducing the requirements for additional government guarantees which would impact negatively in current economic climate and constraints in the fiscus.</w:t>
      </w:r>
    </w:p>
    <w:p w:rsidR="009E5971" w:rsidRPr="00D5634A" w:rsidRDefault="009E5971" w:rsidP="00D5634A">
      <w:pPr>
        <w:pStyle w:val="ListParagraph"/>
        <w:numPr>
          <w:ilvl w:val="0"/>
          <w:numId w:val="11"/>
        </w:numPr>
        <w:spacing w:after="160" w:line="360" w:lineRule="auto"/>
        <w:jc w:val="both"/>
        <w:rPr>
          <w:rFonts w:ascii="Arial" w:hAnsi="Arial" w:cs="Arial"/>
          <w:sz w:val="22"/>
          <w:szCs w:val="22"/>
        </w:rPr>
      </w:pPr>
      <w:r w:rsidRPr="00D5634A">
        <w:rPr>
          <w:rFonts w:ascii="Arial" w:hAnsi="Arial" w:cs="Arial"/>
          <w:sz w:val="22"/>
          <w:szCs w:val="22"/>
        </w:rPr>
        <w:t>Eskom to ensure that all contracts are in place for signing on 28 October 2017</w:t>
      </w:r>
    </w:p>
    <w:p w:rsidR="009E5971" w:rsidRPr="00D5634A" w:rsidRDefault="009E5971" w:rsidP="00D5634A">
      <w:pPr>
        <w:pStyle w:val="ListParagraph"/>
        <w:numPr>
          <w:ilvl w:val="0"/>
          <w:numId w:val="11"/>
        </w:numPr>
        <w:spacing w:after="160" w:line="360" w:lineRule="auto"/>
        <w:jc w:val="both"/>
        <w:rPr>
          <w:rFonts w:ascii="Arial" w:hAnsi="Arial" w:cs="Arial"/>
          <w:sz w:val="22"/>
          <w:szCs w:val="22"/>
        </w:rPr>
      </w:pPr>
      <w:r w:rsidRPr="00D5634A">
        <w:rPr>
          <w:rFonts w:ascii="Arial" w:hAnsi="Arial" w:cs="Arial"/>
          <w:sz w:val="22"/>
          <w:szCs w:val="22"/>
        </w:rPr>
        <w:t>Minister of Energy will meet all IPP participants in all Bid Windows to discuss issues and concerns from IPPs and for Government to give feedback on how to address the concerns before the date of signing.</w:t>
      </w:r>
    </w:p>
    <w:p w:rsidR="009E5971" w:rsidRPr="00D5634A" w:rsidRDefault="009E5971" w:rsidP="00D5634A">
      <w:pPr>
        <w:pStyle w:val="ListParagraph"/>
        <w:numPr>
          <w:ilvl w:val="0"/>
          <w:numId w:val="11"/>
        </w:numPr>
        <w:spacing w:after="160" w:line="360" w:lineRule="auto"/>
        <w:jc w:val="both"/>
        <w:rPr>
          <w:rFonts w:ascii="Arial" w:hAnsi="Arial" w:cs="Arial"/>
          <w:sz w:val="22"/>
          <w:szCs w:val="22"/>
        </w:rPr>
      </w:pPr>
      <w:r w:rsidRPr="00D5634A">
        <w:rPr>
          <w:rFonts w:ascii="Arial" w:hAnsi="Arial" w:cs="Arial"/>
          <w:sz w:val="22"/>
          <w:szCs w:val="22"/>
        </w:rPr>
        <w:t>With regards to the review of the level of participation by historically disadvantaged, there is work underway in this regard that will inform the implementation of the programme.</w:t>
      </w:r>
    </w:p>
    <w:p w:rsidR="009E5971" w:rsidRPr="00D5634A" w:rsidRDefault="009E5971" w:rsidP="00D5634A">
      <w:pPr>
        <w:pStyle w:val="ListParagraph"/>
        <w:numPr>
          <w:ilvl w:val="0"/>
          <w:numId w:val="11"/>
        </w:numPr>
        <w:spacing w:after="160" w:line="360" w:lineRule="auto"/>
        <w:jc w:val="both"/>
        <w:rPr>
          <w:sz w:val="22"/>
          <w:szCs w:val="22"/>
        </w:rPr>
      </w:pPr>
      <w:r w:rsidRPr="00D5634A">
        <w:rPr>
          <w:rFonts w:ascii="Arial" w:hAnsi="Arial" w:cs="Arial"/>
          <w:sz w:val="22"/>
          <w:szCs w:val="22"/>
        </w:rPr>
        <w:t>All future programmes will be put on hold until a proper review is done and to allow the IEP and IRP to be concluded giving an indication of how much capacity the country needs.</w:t>
      </w:r>
    </w:p>
    <w:p w:rsidR="00A96357" w:rsidRPr="00456DC5" w:rsidRDefault="00A96357" w:rsidP="00A96357">
      <w:pPr>
        <w:spacing w:line="360" w:lineRule="auto"/>
        <w:jc w:val="both"/>
        <w:rPr>
          <w:rFonts w:ascii="Arial" w:hAnsi="Arial" w:cs="Arial"/>
          <w:b/>
          <w:sz w:val="22"/>
          <w:szCs w:val="22"/>
        </w:rPr>
      </w:pPr>
      <w:r w:rsidRPr="00456DC5">
        <w:rPr>
          <w:rFonts w:ascii="Arial" w:hAnsi="Arial" w:cs="Arial"/>
          <w:b/>
          <w:sz w:val="22"/>
          <w:szCs w:val="22"/>
        </w:rPr>
        <w:t>1(c)</w:t>
      </w:r>
    </w:p>
    <w:p w:rsidR="00A96357" w:rsidRDefault="00A96357" w:rsidP="00A96357">
      <w:pPr>
        <w:spacing w:line="360" w:lineRule="auto"/>
        <w:jc w:val="both"/>
        <w:rPr>
          <w:rFonts w:ascii="Arial" w:hAnsi="Arial" w:cs="Arial"/>
          <w:sz w:val="22"/>
          <w:szCs w:val="22"/>
        </w:rPr>
      </w:pPr>
      <w:r w:rsidRPr="00EB2D9B">
        <w:rPr>
          <w:rFonts w:ascii="Arial" w:hAnsi="Arial" w:cs="Arial"/>
          <w:sz w:val="22"/>
          <w:szCs w:val="22"/>
        </w:rPr>
        <w:t>Eskom has signed 66 IPP projects</w:t>
      </w:r>
      <w:r>
        <w:rPr>
          <w:rFonts w:ascii="Arial" w:hAnsi="Arial" w:cs="Arial"/>
          <w:sz w:val="22"/>
          <w:szCs w:val="22"/>
        </w:rPr>
        <w:t xml:space="preserve"> indicated in the table below:</w:t>
      </w:r>
    </w:p>
    <w:tbl>
      <w:tblPr>
        <w:tblStyle w:val="TableGrid"/>
        <w:tblW w:w="0" w:type="auto"/>
        <w:tblLook w:val="04A0" w:firstRow="1" w:lastRow="0" w:firstColumn="1" w:lastColumn="0" w:noHBand="0" w:noVBand="1"/>
      </w:tblPr>
      <w:tblGrid>
        <w:gridCol w:w="3231"/>
        <w:gridCol w:w="2780"/>
        <w:gridCol w:w="2845"/>
      </w:tblGrid>
      <w:tr w:rsidR="00A96357" w:rsidTr="00C3187A">
        <w:tc>
          <w:tcPr>
            <w:tcW w:w="6204" w:type="dxa"/>
            <w:gridSpan w:val="2"/>
          </w:tcPr>
          <w:p w:rsidR="00A96357" w:rsidRDefault="00A96357" w:rsidP="00C3187A">
            <w:pPr>
              <w:spacing w:line="360" w:lineRule="auto"/>
              <w:jc w:val="both"/>
              <w:rPr>
                <w:rFonts w:ascii="Arial" w:hAnsi="Arial" w:cs="Arial"/>
                <w:sz w:val="22"/>
                <w:szCs w:val="22"/>
              </w:rPr>
            </w:pPr>
            <w:r>
              <w:rPr>
                <w:rFonts w:ascii="Arial" w:hAnsi="Arial" w:cs="Arial"/>
                <w:sz w:val="22"/>
                <w:szCs w:val="22"/>
              </w:rPr>
              <w:t>DoE IPPPP</w:t>
            </w:r>
          </w:p>
        </w:tc>
        <w:tc>
          <w:tcPr>
            <w:tcW w:w="294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No. of projects</w:t>
            </w:r>
          </w:p>
        </w:tc>
      </w:tr>
      <w:tr w:rsidR="00A96357" w:rsidTr="00C3187A">
        <w:tc>
          <w:tcPr>
            <w:tcW w:w="3332" w:type="dxa"/>
            <w:vMerge w:val="restart"/>
            <w:vAlign w:val="center"/>
          </w:tcPr>
          <w:p w:rsidR="00A96357" w:rsidRDefault="00A96357" w:rsidP="00C3187A">
            <w:pPr>
              <w:spacing w:line="360" w:lineRule="auto"/>
              <w:rPr>
                <w:rFonts w:ascii="Arial" w:hAnsi="Arial" w:cs="Arial"/>
                <w:sz w:val="22"/>
                <w:szCs w:val="22"/>
              </w:rPr>
            </w:pPr>
            <w:r>
              <w:rPr>
                <w:rFonts w:ascii="Arial" w:hAnsi="Arial" w:cs="Arial"/>
                <w:sz w:val="22"/>
                <w:szCs w:val="22"/>
              </w:rPr>
              <w:t>Renewable Energy IPPs</w:t>
            </w:r>
          </w:p>
        </w:tc>
        <w:tc>
          <w:tcPr>
            <w:tcW w:w="287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Bid 1</w:t>
            </w:r>
          </w:p>
        </w:tc>
        <w:tc>
          <w:tcPr>
            <w:tcW w:w="294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28</w:t>
            </w:r>
          </w:p>
        </w:tc>
      </w:tr>
      <w:tr w:rsidR="00A96357" w:rsidTr="00C3187A">
        <w:tc>
          <w:tcPr>
            <w:tcW w:w="3332" w:type="dxa"/>
            <w:vMerge/>
          </w:tcPr>
          <w:p w:rsidR="00A96357" w:rsidRDefault="00A96357" w:rsidP="00C3187A">
            <w:pPr>
              <w:spacing w:line="360" w:lineRule="auto"/>
              <w:jc w:val="both"/>
              <w:rPr>
                <w:rFonts w:ascii="Arial" w:hAnsi="Arial" w:cs="Arial"/>
                <w:sz w:val="22"/>
                <w:szCs w:val="22"/>
              </w:rPr>
            </w:pPr>
          </w:p>
        </w:tc>
        <w:tc>
          <w:tcPr>
            <w:tcW w:w="287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Bid 2</w:t>
            </w:r>
          </w:p>
        </w:tc>
        <w:tc>
          <w:tcPr>
            <w:tcW w:w="294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19</w:t>
            </w:r>
          </w:p>
        </w:tc>
      </w:tr>
      <w:tr w:rsidR="00A96357" w:rsidTr="00C3187A">
        <w:tc>
          <w:tcPr>
            <w:tcW w:w="3332" w:type="dxa"/>
            <w:vMerge/>
          </w:tcPr>
          <w:p w:rsidR="00A96357" w:rsidRDefault="00A96357" w:rsidP="00C3187A">
            <w:pPr>
              <w:spacing w:line="360" w:lineRule="auto"/>
              <w:jc w:val="both"/>
              <w:rPr>
                <w:rFonts w:ascii="Arial" w:hAnsi="Arial" w:cs="Arial"/>
                <w:sz w:val="22"/>
                <w:szCs w:val="22"/>
              </w:rPr>
            </w:pPr>
          </w:p>
        </w:tc>
        <w:tc>
          <w:tcPr>
            <w:tcW w:w="287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Bid 3</w:t>
            </w:r>
          </w:p>
        </w:tc>
        <w:tc>
          <w:tcPr>
            <w:tcW w:w="294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16</w:t>
            </w:r>
          </w:p>
        </w:tc>
      </w:tr>
      <w:tr w:rsidR="00A96357" w:rsidTr="00C3187A">
        <w:tc>
          <w:tcPr>
            <w:tcW w:w="3332" w:type="dxa"/>
            <w:vMerge/>
            <w:tcBorders>
              <w:bottom w:val="single" w:sz="4" w:space="0" w:color="auto"/>
            </w:tcBorders>
          </w:tcPr>
          <w:p w:rsidR="00A96357" w:rsidRDefault="00A96357" w:rsidP="00C3187A">
            <w:pPr>
              <w:spacing w:line="360" w:lineRule="auto"/>
              <w:jc w:val="both"/>
              <w:rPr>
                <w:rFonts w:ascii="Arial" w:hAnsi="Arial" w:cs="Arial"/>
                <w:sz w:val="22"/>
                <w:szCs w:val="22"/>
              </w:rPr>
            </w:pPr>
          </w:p>
        </w:tc>
        <w:tc>
          <w:tcPr>
            <w:tcW w:w="287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Bid 3.5</w:t>
            </w:r>
          </w:p>
        </w:tc>
        <w:tc>
          <w:tcPr>
            <w:tcW w:w="294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1</w:t>
            </w:r>
          </w:p>
        </w:tc>
      </w:tr>
      <w:tr w:rsidR="00A96357" w:rsidTr="00C3187A">
        <w:tc>
          <w:tcPr>
            <w:tcW w:w="3332" w:type="dxa"/>
            <w:tcBorders>
              <w:bottom w:val="single" w:sz="4" w:space="0" w:color="auto"/>
            </w:tcBorders>
          </w:tcPr>
          <w:p w:rsidR="00A96357" w:rsidRDefault="00A96357" w:rsidP="00C3187A">
            <w:pPr>
              <w:spacing w:line="360" w:lineRule="auto"/>
              <w:jc w:val="both"/>
              <w:rPr>
                <w:rFonts w:ascii="Arial" w:hAnsi="Arial" w:cs="Arial"/>
                <w:sz w:val="22"/>
                <w:szCs w:val="22"/>
              </w:rPr>
            </w:pPr>
            <w:r>
              <w:rPr>
                <w:rFonts w:ascii="Arial" w:hAnsi="Arial" w:cs="Arial"/>
                <w:sz w:val="22"/>
                <w:szCs w:val="22"/>
              </w:rPr>
              <w:t>Peakers</w:t>
            </w:r>
          </w:p>
        </w:tc>
        <w:tc>
          <w:tcPr>
            <w:tcW w:w="2872" w:type="dxa"/>
            <w:tcBorders>
              <w:bottom w:val="single" w:sz="4" w:space="0" w:color="auto"/>
            </w:tcBorders>
          </w:tcPr>
          <w:p w:rsidR="00A96357" w:rsidRDefault="00A96357" w:rsidP="00C3187A">
            <w:pPr>
              <w:spacing w:line="360" w:lineRule="auto"/>
              <w:jc w:val="both"/>
              <w:rPr>
                <w:rFonts w:ascii="Arial" w:hAnsi="Arial" w:cs="Arial"/>
                <w:sz w:val="22"/>
                <w:szCs w:val="22"/>
              </w:rPr>
            </w:pPr>
            <w:r>
              <w:rPr>
                <w:rFonts w:ascii="Arial" w:hAnsi="Arial" w:cs="Arial"/>
                <w:sz w:val="22"/>
                <w:szCs w:val="22"/>
              </w:rPr>
              <w:t>DoE Peakers</w:t>
            </w:r>
          </w:p>
        </w:tc>
        <w:tc>
          <w:tcPr>
            <w:tcW w:w="2942" w:type="dxa"/>
          </w:tcPr>
          <w:p w:rsidR="00A96357" w:rsidRDefault="00A96357" w:rsidP="00C3187A">
            <w:pPr>
              <w:spacing w:line="360" w:lineRule="auto"/>
              <w:jc w:val="both"/>
              <w:rPr>
                <w:rFonts w:ascii="Arial" w:hAnsi="Arial" w:cs="Arial"/>
                <w:sz w:val="22"/>
                <w:szCs w:val="22"/>
              </w:rPr>
            </w:pPr>
            <w:r>
              <w:rPr>
                <w:rFonts w:ascii="Arial" w:hAnsi="Arial" w:cs="Arial"/>
                <w:sz w:val="22"/>
                <w:szCs w:val="22"/>
              </w:rPr>
              <w:t>2</w:t>
            </w:r>
          </w:p>
        </w:tc>
      </w:tr>
      <w:tr w:rsidR="00A96357" w:rsidTr="00C3187A">
        <w:tc>
          <w:tcPr>
            <w:tcW w:w="3332" w:type="dxa"/>
            <w:tcBorders>
              <w:top w:val="single" w:sz="4" w:space="0" w:color="auto"/>
              <w:left w:val="nil"/>
              <w:bottom w:val="nil"/>
              <w:right w:val="single" w:sz="4" w:space="0" w:color="auto"/>
            </w:tcBorders>
          </w:tcPr>
          <w:p w:rsidR="00A96357" w:rsidRDefault="00A96357" w:rsidP="00C3187A">
            <w:pPr>
              <w:spacing w:line="360" w:lineRule="auto"/>
              <w:jc w:val="both"/>
              <w:rPr>
                <w:rFonts w:ascii="Arial" w:hAnsi="Arial" w:cs="Arial"/>
                <w:sz w:val="22"/>
                <w:szCs w:val="22"/>
              </w:rPr>
            </w:pPr>
          </w:p>
        </w:tc>
        <w:tc>
          <w:tcPr>
            <w:tcW w:w="2872" w:type="dxa"/>
            <w:tcBorders>
              <w:left w:val="single" w:sz="4" w:space="0" w:color="auto"/>
            </w:tcBorders>
          </w:tcPr>
          <w:p w:rsidR="00A96357" w:rsidRPr="00EF55ED" w:rsidRDefault="00A96357" w:rsidP="00C3187A">
            <w:pPr>
              <w:spacing w:line="360" w:lineRule="auto"/>
              <w:jc w:val="both"/>
              <w:rPr>
                <w:rFonts w:ascii="Arial" w:hAnsi="Arial" w:cs="Arial"/>
                <w:b/>
                <w:sz w:val="22"/>
                <w:szCs w:val="22"/>
              </w:rPr>
            </w:pPr>
            <w:r w:rsidRPr="00EF55ED">
              <w:rPr>
                <w:rFonts w:ascii="Arial" w:hAnsi="Arial" w:cs="Arial"/>
                <w:b/>
                <w:sz w:val="22"/>
                <w:szCs w:val="22"/>
              </w:rPr>
              <w:t>Total</w:t>
            </w:r>
          </w:p>
        </w:tc>
        <w:tc>
          <w:tcPr>
            <w:tcW w:w="2942" w:type="dxa"/>
          </w:tcPr>
          <w:p w:rsidR="00A96357" w:rsidRPr="00EF55ED" w:rsidRDefault="00A96357" w:rsidP="00C3187A">
            <w:pPr>
              <w:spacing w:line="360" w:lineRule="auto"/>
              <w:jc w:val="both"/>
              <w:rPr>
                <w:rFonts w:ascii="Arial" w:hAnsi="Arial" w:cs="Arial"/>
                <w:b/>
                <w:sz w:val="22"/>
                <w:szCs w:val="22"/>
              </w:rPr>
            </w:pPr>
            <w:r>
              <w:rPr>
                <w:rFonts w:ascii="Arial" w:hAnsi="Arial" w:cs="Arial"/>
                <w:b/>
                <w:sz w:val="22"/>
                <w:szCs w:val="22"/>
              </w:rPr>
              <w:t>66</w:t>
            </w:r>
          </w:p>
        </w:tc>
      </w:tr>
    </w:tbl>
    <w:p w:rsidR="00A96357" w:rsidRDefault="00A96357" w:rsidP="00A96357">
      <w:pPr>
        <w:spacing w:line="360" w:lineRule="auto"/>
        <w:jc w:val="both"/>
        <w:rPr>
          <w:rFonts w:ascii="Arial" w:hAnsi="Arial" w:cs="Arial"/>
          <w:sz w:val="22"/>
          <w:szCs w:val="22"/>
        </w:rPr>
      </w:pPr>
    </w:p>
    <w:p w:rsidR="00D449D0" w:rsidRDefault="00D449D0">
      <w:pPr>
        <w:rPr>
          <w:rFonts w:ascii="Arial" w:hAnsi="Arial" w:cs="Arial"/>
          <w:b/>
          <w:sz w:val="22"/>
          <w:szCs w:val="22"/>
        </w:rPr>
      </w:pPr>
      <w:r>
        <w:rPr>
          <w:rFonts w:ascii="Arial" w:hAnsi="Arial" w:cs="Arial"/>
          <w:b/>
          <w:sz w:val="22"/>
          <w:szCs w:val="22"/>
        </w:rPr>
        <w:br w:type="page"/>
      </w:r>
    </w:p>
    <w:p w:rsidR="00D449D0" w:rsidRDefault="00D449D0" w:rsidP="00A96357">
      <w:pPr>
        <w:spacing w:line="360" w:lineRule="auto"/>
        <w:jc w:val="both"/>
        <w:rPr>
          <w:rFonts w:ascii="Arial" w:hAnsi="Arial" w:cs="Arial"/>
          <w:b/>
          <w:sz w:val="22"/>
          <w:szCs w:val="22"/>
        </w:rPr>
      </w:pPr>
    </w:p>
    <w:p w:rsidR="00A96357" w:rsidRPr="00456DC5" w:rsidRDefault="00A96357" w:rsidP="00A96357">
      <w:pPr>
        <w:spacing w:line="360" w:lineRule="auto"/>
        <w:jc w:val="both"/>
        <w:rPr>
          <w:rFonts w:ascii="Arial" w:hAnsi="Arial" w:cs="Arial"/>
          <w:b/>
          <w:sz w:val="22"/>
          <w:szCs w:val="22"/>
        </w:rPr>
      </w:pPr>
      <w:r w:rsidRPr="00456DC5">
        <w:rPr>
          <w:rFonts w:ascii="Arial" w:hAnsi="Arial" w:cs="Arial"/>
          <w:b/>
          <w:sz w:val="22"/>
          <w:szCs w:val="22"/>
        </w:rPr>
        <w:t>(</w:t>
      </w:r>
      <w:r>
        <w:rPr>
          <w:rFonts w:ascii="Arial" w:hAnsi="Arial" w:cs="Arial"/>
          <w:b/>
          <w:sz w:val="22"/>
          <w:szCs w:val="22"/>
        </w:rPr>
        <w:t>d</w:t>
      </w:r>
      <w:r w:rsidRPr="00456DC5">
        <w:rPr>
          <w:rFonts w:ascii="Arial" w:hAnsi="Arial" w:cs="Arial"/>
          <w:b/>
          <w:sz w:val="22"/>
          <w:szCs w:val="22"/>
        </w:rPr>
        <w:t>)</w:t>
      </w:r>
    </w:p>
    <w:p w:rsidR="00A96357" w:rsidRDefault="00A96357" w:rsidP="00A96357">
      <w:pPr>
        <w:spacing w:line="360" w:lineRule="auto"/>
        <w:jc w:val="both"/>
        <w:rPr>
          <w:rFonts w:ascii="Arial" w:hAnsi="Arial" w:cs="Arial"/>
          <w:sz w:val="22"/>
          <w:szCs w:val="22"/>
        </w:rPr>
      </w:pPr>
      <w:r>
        <w:rPr>
          <w:rFonts w:ascii="Arial" w:hAnsi="Arial" w:cs="Arial"/>
          <w:sz w:val="22"/>
          <w:szCs w:val="22"/>
        </w:rPr>
        <w:t xml:space="preserve">There are 38 Renewable IPP </w:t>
      </w:r>
      <w:r w:rsidRPr="00EF55ED">
        <w:rPr>
          <w:rFonts w:ascii="Arial" w:hAnsi="Arial" w:cs="Arial"/>
          <w:sz w:val="22"/>
          <w:szCs w:val="22"/>
        </w:rPr>
        <w:t xml:space="preserve">Projects and 1 Cogeneration Project which has been awarded Preferred Bidder Status by the DoE and are awaiting signing by Eskom. </w:t>
      </w:r>
    </w:p>
    <w:p w:rsidR="00A96357" w:rsidRDefault="00A96357" w:rsidP="00A96357">
      <w:pPr>
        <w:spacing w:line="360" w:lineRule="auto"/>
        <w:jc w:val="both"/>
        <w:rPr>
          <w:rFonts w:ascii="Arial" w:hAnsi="Arial" w:cs="Arial"/>
          <w:sz w:val="22"/>
          <w:szCs w:val="22"/>
        </w:rPr>
      </w:pPr>
    </w:p>
    <w:p w:rsidR="005D1885" w:rsidRPr="009B15F9" w:rsidRDefault="005D1885" w:rsidP="005D1885">
      <w:pPr>
        <w:spacing w:line="360" w:lineRule="auto"/>
        <w:ind w:left="720" w:hanging="720"/>
        <w:jc w:val="both"/>
        <w:rPr>
          <w:rFonts w:ascii="Arial" w:hAnsi="Arial" w:cs="Arial"/>
          <w:b/>
          <w:sz w:val="22"/>
          <w:szCs w:val="22"/>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522234"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8960B2" w:rsidRPr="003946E5" w:rsidRDefault="008960B2" w:rsidP="008960B2">
      <w:pPr>
        <w:contextualSpacing/>
        <w:rPr>
          <w:rFonts w:ascii="Arial" w:hAnsi="Arial" w:cs="Arial"/>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sectPr w:rsidR="008960B2" w:rsidRPr="003946E5" w:rsidSect="00767C12">
      <w:footerReference w:type="default" r:id="rId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A8" w:rsidRDefault="00365CA8" w:rsidP="006A43DE">
      <w:r>
        <w:separator/>
      </w:r>
    </w:p>
  </w:endnote>
  <w:endnote w:type="continuationSeparator" w:id="0">
    <w:p w:rsidR="00365CA8" w:rsidRDefault="00365CA8"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D35463">
      <w:rPr>
        <w:rFonts w:asciiTheme="majorHAnsi" w:eastAsiaTheme="majorEastAsia" w:hAnsiTheme="majorHAnsi" w:cstheme="majorBidi"/>
      </w:rPr>
      <w:t>1014</w:t>
    </w:r>
    <w:r w:rsidR="005206AC">
      <w:rPr>
        <w:rFonts w:asciiTheme="majorHAnsi" w:eastAsiaTheme="majorEastAsia" w:hAnsiTheme="majorHAnsi" w:cstheme="majorBidi"/>
      </w:rPr>
      <w:t>_</w:t>
    </w:r>
    <w:r w:rsidR="00D35463">
      <w:rPr>
        <w:rFonts w:asciiTheme="majorHAnsi" w:eastAsiaTheme="majorEastAsia" w:hAnsiTheme="majorHAnsi" w:cstheme="majorBidi"/>
      </w:rPr>
      <w:t xml:space="preserve">5 May </w:t>
    </w:r>
    <w:r w:rsidR="005206AC">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65FB5" w:rsidRPr="00965FB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A8" w:rsidRDefault="00365CA8" w:rsidP="006A43DE">
      <w:r>
        <w:separator/>
      </w:r>
    </w:p>
  </w:footnote>
  <w:footnote w:type="continuationSeparator" w:id="0">
    <w:p w:rsidR="00365CA8" w:rsidRDefault="00365CA8"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7">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0">
    <w:nsid w:val="78716208"/>
    <w:multiLevelType w:val="hybridMultilevel"/>
    <w:tmpl w:val="D63EADF0"/>
    <w:lvl w:ilvl="0" w:tplc="7BE4675E">
      <w:start w:val="1"/>
      <w:numFmt w:val="decimal"/>
      <w:lvlText w:val="%1."/>
      <w:lvlJc w:val="left"/>
      <w:pPr>
        <w:ind w:left="770" w:hanging="360"/>
      </w:pPr>
      <w:rPr>
        <w:rFonts w:hint="default"/>
      </w:r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num w:numId="1">
    <w:abstractNumId w:val="6"/>
  </w:num>
  <w:num w:numId="2">
    <w:abstractNumId w:val="9"/>
  </w:num>
  <w:num w:numId="3">
    <w:abstractNumId w:val="3"/>
  </w:num>
  <w:num w:numId="4">
    <w:abstractNumId w:val="8"/>
  </w:num>
  <w:num w:numId="5">
    <w:abstractNumId w:val="4"/>
  </w:num>
  <w:num w:numId="6">
    <w:abstractNumId w:val="2"/>
  </w:num>
  <w:num w:numId="7">
    <w:abstractNumId w:val="1"/>
  </w:num>
  <w:num w:numId="8">
    <w:abstractNumId w:val="7"/>
  </w:num>
  <w:num w:numId="9">
    <w:abstractNumId w:val="5"/>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bile  Mbatha">
    <w15:presenceInfo w15:providerId="AD" w15:userId="S-1-5-21-1771316258-2036276928-4547331-33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B3F"/>
    <w:rsid w:val="00005888"/>
    <w:rsid w:val="000629C6"/>
    <w:rsid w:val="000B6791"/>
    <w:rsid w:val="000F6FB5"/>
    <w:rsid w:val="001204BE"/>
    <w:rsid w:val="00125D8E"/>
    <w:rsid w:val="00141EAA"/>
    <w:rsid w:val="00152E8D"/>
    <w:rsid w:val="00162952"/>
    <w:rsid w:val="00164073"/>
    <w:rsid w:val="00190B29"/>
    <w:rsid w:val="001B13C2"/>
    <w:rsid w:val="001C647A"/>
    <w:rsid w:val="001E09A9"/>
    <w:rsid w:val="001E1264"/>
    <w:rsid w:val="00203FBE"/>
    <w:rsid w:val="00210533"/>
    <w:rsid w:val="00225771"/>
    <w:rsid w:val="00243068"/>
    <w:rsid w:val="00246DF8"/>
    <w:rsid w:val="00254818"/>
    <w:rsid w:val="0026770C"/>
    <w:rsid w:val="00271AFC"/>
    <w:rsid w:val="002C030C"/>
    <w:rsid w:val="002D1D62"/>
    <w:rsid w:val="002F1297"/>
    <w:rsid w:val="002F5F24"/>
    <w:rsid w:val="00307D62"/>
    <w:rsid w:val="003468A9"/>
    <w:rsid w:val="00365CA8"/>
    <w:rsid w:val="00374B91"/>
    <w:rsid w:val="00374F17"/>
    <w:rsid w:val="00420395"/>
    <w:rsid w:val="00435FE3"/>
    <w:rsid w:val="00450239"/>
    <w:rsid w:val="0046053A"/>
    <w:rsid w:val="004760C9"/>
    <w:rsid w:val="0047791E"/>
    <w:rsid w:val="00496DEF"/>
    <w:rsid w:val="004A4357"/>
    <w:rsid w:val="004C6935"/>
    <w:rsid w:val="004E4E93"/>
    <w:rsid w:val="004F5833"/>
    <w:rsid w:val="004F6D7D"/>
    <w:rsid w:val="00500074"/>
    <w:rsid w:val="00512022"/>
    <w:rsid w:val="005206AC"/>
    <w:rsid w:val="00534DDF"/>
    <w:rsid w:val="0054518F"/>
    <w:rsid w:val="005703CE"/>
    <w:rsid w:val="005D1885"/>
    <w:rsid w:val="005D4F0C"/>
    <w:rsid w:val="00612054"/>
    <w:rsid w:val="0065694F"/>
    <w:rsid w:val="0066527A"/>
    <w:rsid w:val="00665425"/>
    <w:rsid w:val="006807DC"/>
    <w:rsid w:val="006A43DE"/>
    <w:rsid w:val="006D650A"/>
    <w:rsid w:val="006E226F"/>
    <w:rsid w:val="006E28F9"/>
    <w:rsid w:val="00716A5F"/>
    <w:rsid w:val="007410D8"/>
    <w:rsid w:val="00741768"/>
    <w:rsid w:val="00753188"/>
    <w:rsid w:val="00763854"/>
    <w:rsid w:val="00767C12"/>
    <w:rsid w:val="00780828"/>
    <w:rsid w:val="007840BD"/>
    <w:rsid w:val="007A77D7"/>
    <w:rsid w:val="007B2942"/>
    <w:rsid w:val="007C48D9"/>
    <w:rsid w:val="00824E8E"/>
    <w:rsid w:val="00892DFB"/>
    <w:rsid w:val="008960B2"/>
    <w:rsid w:val="008968F5"/>
    <w:rsid w:val="008E1A9C"/>
    <w:rsid w:val="0090365F"/>
    <w:rsid w:val="00905B7B"/>
    <w:rsid w:val="00930D31"/>
    <w:rsid w:val="00942881"/>
    <w:rsid w:val="00956AE9"/>
    <w:rsid w:val="00957EA0"/>
    <w:rsid w:val="00961B9E"/>
    <w:rsid w:val="00965FB5"/>
    <w:rsid w:val="009730EA"/>
    <w:rsid w:val="009A53BF"/>
    <w:rsid w:val="009B4F7B"/>
    <w:rsid w:val="009B6439"/>
    <w:rsid w:val="009C4542"/>
    <w:rsid w:val="009E5971"/>
    <w:rsid w:val="009E6C64"/>
    <w:rsid w:val="00A00E8D"/>
    <w:rsid w:val="00A164FA"/>
    <w:rsid w:val="00A207A4"/>
    <w:rsid w:val="00A21970"/>
    <w:rsid w:val="00A2660A"/>
    <w:rsid w:val="00A3548B"/>
    <w:rsid w:val="00A45C08"/>
    <w:rsid w:val="00A77EA7"/>
    <w:rsid w:val="00A83BB5"/>
    <w:rsid w:val="00A9377A"/>
    <w:rsid w:val="00A96357"/>
    <w:rsid w:val="00A96EFA"/>
    <w:rsid w:val="00AB620F"/>
    <w:rsid w:val="00AD433D"/>
    <w:rsid w:val="00AE07A0"/>
    <w:rsid w:val="00B34D01"/>
    <w:rsid w:val="00B43A3C"/>
    <w:rsid w:val="00B66A10"/>
    <w:rsid w:val="00B81C28"/>
    <w:rsid w:val="00B81C99"/>
    <w:rsid w:val="00BA7FA4"/>
    <w:rsid w:val="00BB2CDD"/>
    <w:rsid w:val="00BB480D"/>
    <w:rsid w:val="00BC24E0"/>
    <w:rsid w:val="00BC60BD"/>
    <w:rsid w:val="00BD0503"/>
    <w:rsid w:val="00C11460"/>
    <w:rsid w:val="00C376CE"/>
    <w:rsid w:val="00C46606"/>
    <w:rsid w:val="00C6140B"/>
    <w:rsid w:val="00C71A4E"/>
    <w:rsid w:val="00C76C58"/>
    <w:rsid w:val="00CB5194"/>
    <w:rsid w:val="00CB7B00"/>
    <w:rsid w:val="00CC6424"/>
    <w:rsid w:val="00CE72A9"/>
    <w:rsid w:val="00CF1AE8"/>
    <w:rsid w:val="00D25359"/>
    <w:rsid w:val="00D35463"/>
    <w:rsid w:val="00D449D0"/>
    <w:rsid w:val="00D53A9C"/>
    <w:rsid w:val="00D543BA"/>
    <w:rsid w:val="00D5634A"/>
    <w:rsid w:val="00D6168F"/>
    <w:rsid w:val="00D7334D"/>
    <w:rsid w:val="00D80F16"/>
    <w:rsid w:val="00DE52C7"/>
    <w:rsid w:val="00DF2645"/>
    <w:rsid w:val="00E06376"/>
    <w:rsid w:val="00E25C2E"/>
    <w:rsid w:val="00E36A15"/>
    <w:rsid w:val="00E4134B"/>
    <w:rsid w:val="00E46280"/>
    <w:rsid w:val="00E46F4E"/>
    <w:rsid w:val="00E73ABB"/>
    <w:rsid w:val="00E82E1D"/>
    <w:rsid w:val="00E83FF9"/>
    <w:rsid w:val="00EB2717"/>
    <w:rsid w:val="00EE2266"/>
    <w:rsid w:val="00EE5757"/>
    <w:rsid w:val="00F31673"/>
    <w:rsid w:val="00F45181"/>
    <w:rsid w:val="00F62BDA"/>
    <w:rsid w:val="00F63886"/>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file:///C:\Users\cruywagenc\Documents\PQs\DPE%20Stationery:DPE%20log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22AF-153F-4E53-A3A8-E7FD89E8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3453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2017-09-08T11:41:00Z</cp:lastPrinted>
  <dcterms:created xsi:type="dcterms:W3CDTF">2017-09-26T09:28:00Z</dcterms:created>
  <dcterms:modified xsi:type="dcterms:W3CDTF">2017-09-26T09:28:00Z</dcterms:modified>
</cp:coreProperties>
</file>