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DB" w:rsidRPr="008C0966" w:rsidRDefault="00130BDB" w:rsidP="008F5258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8F5258" w:rsidP="008F5258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8F5258" w:rsidP="008F5258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2764C9">
        <w:rPr>
          <w:rFonts w:ascii="Arial" w:eastAsia="Calibri" w:hAnsi="Arial" w:cs="Arial"/>
          <w:b/>
          <w:bCs/>
          <w:lang w:val="en-GB"/>
        </w:rPr>
        <w:t>1008</w:t>
      </w:r>
    </w:p>
    <w:p w:rsidR="00130BDB" w:rsidRPr="008F5258" w:rsidRDefault="00130BDB" w:rsidP="008F5258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F5258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C73758" w:rsidRPr="008F5258">
        <w:rPr>
          <w:rFonts w:ascii="Arial" w:eastAsia="Calibri" w:hAnsi="Arial" w:cs="Arial"/>
          <w:b/>
          <w:bCs/>
          <w:lang w:val="en-GB"/>
        </w:rPr>
        <w:t>19</w:t>
      </w:r>
      <w:r w:rsidR="008F5258" w:rsidRPr="008F5258">
        <w:rPr>
          <w:rFonts w:ascii="Arial" w:eastAsia="Calibri" w:hAnsi="Arial" w:cs="Arial"/>
          <w:b/>
          <w:bCs/>
          <w:lang w:val="en-GB"/>
        </w:rPr>
        <w:t xml:space="preserve"> MAY </w:t>
      </w:r>
      <w:r w:rsidRPr="008F5258">
        <w:rPr>
          <w:rFonts w:ascii="Arial" w:eastAsia="Calibri" w:hAnsi="Arial" w:cs="Arial"/>
          <w:b/>
          <w:bCs/>
          <w:lang w:val="en-GB"/>
        </w:rPr>
        <w:t>20</w:t>
      </w:r>
      <w:r w:rsidR="003F2E8D" w:rsidRPr="008F5258">
        <w:rPr>
          <w:rFonts w:ascii="Arial" w:eastAsia="Calibri" w:hAnsi="Arial" w:cs="Arial"/>
          <w:b/>
          <w:bCs/>
          <w:lang w:val="en-GB"/>
        </w:rPr>
        <w:t>2</w:t>
      </w:r>
      <w:r w:rsidR="000F7117" w:rsidRPr="008F5258">
        <w:rPr>
          <w:rFonts w:ascii="Arial" w:eastAsia="Calibri" w:hAnsi="Arial" w:cs="Arial"/>
          <w:b/>
          <w:bCs/>
          <w:lang w:val="en-GB"/>
        </w:rPr>
        <w:t>1</w:t>
      </w:r>
    </w:p>
    <w:p w:rsidR="008F5258" w:rsidRPr="008F5258" w:rsidRDefault="008F5258" w:rsidP="008F5258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F5258">
        <w:rPr>
          <w:rFonts w:ascii="Arial" w:eastAsia="Calibri" w:hAnsi="Arial" w:cs="Arial"/>
          <w:b/>
          <w:bCs/>
          <w:lang w:val="en-GB"/>
        </w:rPr>
        <w:t>DATE OF SUBMISSION: 07 APRIL 2021</w:t>
      </w:r>
    </w:p>
    <w:p w:rsidR="002764C9" w:rsidRPr="002764C9" w:rsidRDefault="002764C9" w:rsidP="002764C9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2764C9">
        <w:rPr>
          <w:rFonts w:ascii="Arial" w:hAnsi="Arial" w:cs="Arial"/>
          <w:b/>
          <w:bCs/>
          <w:lang w:val="en-ZA"/>
        </w:rPr>
        <w:t xml:space="preserve">Mrs A Steyn (DA) to ask the Minister of Justice and Correctional Services: </w:t>
      </w:r>
    </w:p>
    <w:p w:rsidR="002764C9" w:rsidRPr="002764C9" w:rsidRDefault="002764C9" w:rsidP="002764C9">
      <w:pPr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2764C9">
        <w:rPr>
          <w:rFonts w:ascii="Arial" w:hAnsi="Arial" w:cs="Arial"/>
          <w:lang w:val="en-ZA"/>
        </w:rPr>
        <w:t xml:space="preserve">What total number of cases of stock theft are currently on the court roll; </w:t>
      </w:r>
    </w:p>
    <w:p w:rsidR="002764C9" w:rsidRPr="002764C9" w:rsidRDefault="002764C9" w:rsidP="002764C9">
      <w:pPr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2764C9">
        <w:rPr>
          <w:rFonts w:ascii="Arial" w:hAnsi="Arial" w:cs="Arial"/>
          <w:lang w:val="en-ZA"/>
        </w:rPr>
        <w:t xml:space="preserve">what is the total number of cases of stock theft (a) that the court has dealt with since 1 January 2019 and (b) in respect of which the court secured convictions in the specified period; </w:t>
      </w:r>
    </w:p>
    <w:p w:rsidR="002764C9" w:rsidRPr="002764C9" w:rsidRDefault="002764C9" w:rsidP="002764C9">
      <w:pPr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b/>
        </w:rPr>
      </w:pPr>
      <w:proofErr w:type="gramStart"/>
      <w:r w:rsidRPr="002764C9">
        <w:rPr>
          <w:rFonts w:ascii="Arial" w:hAnsi="Arial" w:cs="Arial"/>
          <w:lang w:val="en-ZA"/>
        </w:rPr>
        <w:t>what</w:t>
      </w:r>
      <w:proofErr w:type="gramEnd"/>
      <w:r w:rsidRPr="002764C9">
        <w:rPr>
          <w:rFonts w:ascii="Arial" w:hAnsi="Arial" w:cs="Arial"/>
          <w:lang w:val="en-ZA"/>
        </w:rPr>
        <w:t xml:space="preserve"> (a) is the total number of cases of stock theft that were thrown out of court since 1 January 2019 and (b) were the main reasons for c</w:t>
      </w:r>
      <w:r>
        <w:rPr>
          <w:rFonts w:ascii="Arial" w:hAnsi="Arial" w:cs="Arial"/>
          <w:lang w:val="en-ZA"/>
        </w:rPr>
        <w:t>ases to be thrown out of court?</w:t>
      </w:r>
    </w:p>
    <w:p w:rsidR="00B45E45" w:rsidRDefault="002764C9" w:rsidP="002764C9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2764C9">
        <w:rPr>
          <w:rFonts w:ascii="Arial" w:hAnsi="Arial" w:cs="Arial"/>
          <w:b/>
          <w:lang w:val="en-ZA"/>
        </w:rPr>
        <w:t xml:space="preserve">NW1176E </w:t>
      </w:r>
    </w:p>
    <w:tbl>
      <w:tblPr>
        <w:tblW w:w="71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4"/>
      </w:tblGrid>
      <w:tr w:rsidR="00B45E45" w:rsidRPr="00B45E45" w:rsidTr="00494849">
        <w:trPr>
          <w:trHeight w:val="177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E45" w:rsidRPr="00B45E45" w:rsidRDefault="00B45E45" w:rsidP="00E935F8">
            <w:pPr>
              <w:rPr>
                <w:rFonts w:ascii="Segoe UI" w:hAnsi="Segoe UI" w:cs="Segoe UI"/>
                <w:color w:val="605E5C"/>
                <w:sz w:val="18"/>
                <w:szCs w:val="18"/>
                <w:lang w:val="en-ZA" w:eastAsia="en-ZA"/>
              </w:rPr>
            </w:pPr>
          </w:p>
        </w:tc>
      </w:tr>
    </w:tbl>
    <w:p w:rsidR="00542F7B" w:rsidRDefault="00542F7B" w:rsidP="00542F7B">
      <w:pPr>
        <w:spacing w:before="120" w:after="120" w:line="360" w:lineRule="auto"/>
        <w:rPr>
          <w:rFonts w:ascii="Arial" w:hAnsi="Arial" w:cs="Arial"/>
          <w:b/>
        </w:rPr>
      </w:pPr>
    </w:p>
    <w:p w:rsidR="00542F7B" w:rsidRDefault="00542F7B" w:rsidP="00542F7B">
      <w:pPr>
        <w:spacing w:before="120" w:after="120" w:line="360" w:lineRule="auto"/>
        <w:rPr>
          <w:rFonts w:ascii="Arial" w:hAnsi="Arial" w:cs="Arial"/>
          <w:b/>
        </w:rPr>
      </w:pPr>
    </w:p>
    <w:p w:rsidR="00542F7B" w:rsidRDefault="00542F7B" w:rsidP="00542F7B">
      <w:pPr>
        <w:spacing w:before="120" w:after="120" w:line="360" w:lineRule="auto"/>
        <w:rPr>
          <w:rFonts w:ascii="Arial" w:hAnsi="Arial" w:cs="Arial"/>
          <w:b/>
        </w:rPr>
      </w:pPr>
    </w:p>
    <w:p w:rsidR="00542F7B" w:rsidRDefault="00542F7B" w:rsidP="00542F7B">
      <w:pPr>
        <w:spacing w:before="120" w:after="120" w:line="360" w:lineRule="auto"/>
        <w:rPr>
          <w:rFonts w:ascii="Arial" w:hAnsi="Arial" w:cs="Arial"/>
          <w:b/>
        </w:rPr>
      </w:pPr>
    </w:p>
    <w:p w:rsidR="00542F7B" w:rsidRDefault="00542F7B" w:rsidP="00542F7B">
      <w:pPr>
        <w:spacing w:before="120" w:after="120" w:line="360" w:lineRule="auto"/>
        <w:rPr>
          <w:rFonts w:ascii="Arial" w:hAnsi="Arial" w:cs="Arial"/>
          <w:b/>
        </w:rPr>
      </w:pPr>
    </w:p>
    <w:p w:rsidR="00542F7B" w:rsidRDefault="00542F7B" w:rsidP="00542F7B">
      <w:pPr>
        <w:spacing w:before="120" w:after="120" w:line="360" w:lineRule="auto"/>
        <w:rPr>
          <w:rFonts w:ascii="Arial" w:hAnsi="Arial" w:cs="Arial"/>
          <w:b/>
        </w:rPr>
      </w:pPr>
    </w:p>
    <w:p w:rsidR="00542F7B" w:rsidRDefault="00542F7B" w:rsidP="00542F7B">
      <w:pPr>
        <w:spacing w:before="120" w:after="120" w:line="360" w:lineRule="auto"/>
        <w:rPr>
          <w:rFonts w:ascii="Arial" w:hAnsi="Arial" w:cs="Arial"/>
          <w:b/>
        </w:rPr>
      </w:pPr>
    </w:p>
    <w:p w:rsidR="00542F7B" w:rsidRDefault="00542F7B" w:rsidP="00542F7B">
      <w:pPr>
        <w:spacing w:before="120" w:after="120" w:line="360" w:lineRule="auto"/>
        <w:rPr>
          <w:rFonts w:ascii="Arial" w:hAnsi="Arial" w:cs="Arial"/>
          <w:b/>
        </w:rPr>
      </w:pPr>
    </w:p>
    <w:p w:rsidR="00542F7B" w:rsidRDefault="00542F7B" w:rsidP="00542F7B">
      <w:pPr>
        <w:spacing w:before="120" w:after="120" w:line="360" w:lineRule="auto"/>
        <w:rPr>
          <w:rFonts w:ascii="Arial" w:hAnsi="Arial" w:cs="Arial"/>
          <w:b/>
        </w:rPr>
      </w:pPr>
    </w:p>
    <w:p w:rsidR="00542F7B" w:rsidRDefault="00542F7B" w:rsidP="00542F7B">
      <w:pPr>
        <w:spacing w:before="120" w:after="120" w:line="360" w:lineRule="auto"/>
        <w:rPr>
          <w:rFonts w:ascii="Arial" w:hAnsi="Arial" w:cs="Arial"/>
          <w:b/>
        </w:rPr>
      </w:pPr>
    </w:p>
    <w:p w:rsidR="00983C6B" w:rsidRDefault="0007655F" w:rsidP="00542F7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REPLY:</w:t>
      </w:r>
    </w:p>
    <w:p w:rsidR="00542F7B" w:rsidRDefault="00542F7B" w:rsidP="00542F7B">
      <w:pPr>
        <w:spacing w:line="360" w:lineRule="auto"/>
        <w:rPr>
          <w:rFonts w:ascii="Arial" w:hAnsi="Arial" w:cs="Arial"/>
          <w:b/>
        </w:rPr>
      </w:pPr>
    </w:p>
    <w:p w:rsidR="00542F7B" w:rsidRDefault="00542F7B" w:rsidP="00542F7B">
      <w:pPr>
        <w:numPr>
          <w:ilvl w:val="0"/>
          <w:numId w:val="48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As at 16 March 2021, a</w:t>
      </w:r>
      <w:r w:rsidR="00494849">
        <w:rPr>
          <w:rFonts w:ascii="Arial" w:hAnsi="Arial" w:cs="Arial"/>
          <w:lang w:val="en-ZA"/>
        </w:rPr>
        <w:t xml:space="preserve"> total of 1 5</w:t>
      </w:r>
      <w:r w:rsidR="00E935F8">
        <w:rPr>
          <w:rFonts w:ascii="Arial" w:hAnsi="Arial" w:cs="Arial"/>
          <w:lang w:val="en-ZA"/>
        </w:rPr>
        <w:t>6</w:t>
      </w:r>
      <w:r w:rsidR="00494849">
        <w:rPr>
          <w:rFonts w:ascii="Arial" w:hAnsi="Arial" w:cs="Arial"/>
          <w:lang w:val="en-ZA"/>
        </w:rPr>
        <w:t>8 cases a</w:t>
      </w:r>
      <w:r>
        <w:rPr>
          <w:rFonts w:ascii="Arial" w:hAnsi="Arial" w:cs="Arial"/>
          <w:lang w:val="en-ZA"/>
        </w:rPr>
        <w:t>re currently on the court rolls</w:t>
      </w:r>
      <w:r w:rsidR="00E935F8">
        <w:rPr>
          <w:rFonts w:ascii="Arial" w:hAnsi="Arial" w:cs="Arial"/>
          <w:lang w:val="en-ZA"/>
        </w:rPr>
        <w:t>. This only relates to stock theft and does not include related offences such as attempted stock theft, receiving or possession of stole</w:t>
      </w:r>
      <w:r w:rsidR="00225963">
        <w:rPr>
          <w:rFonts w:ascii="Arial" w:hAnsi="Arial" w:cs="Arial"/>
          <w:lang w:val="en-ZA"/>
        </w:rPr>
        <w:t>n</w:t>
      </w:r>
      <w:r w:rsidR="00E935F8">
        <w:rPr>
          <w:rFonts w:ascii="Arial" w:hAnsi="Arial" w:cs="Arial"/>
          <w:lang w:val="en-ZA"/>
        </w:rPr>
        <w:t xml:space="preserve"> stock, etc</w:t>
      </w:r>
      <w:r w:rsidR="00506219">
        <w:rPr>
          <w:rFonts w:ascii="Arial" w:hAnsi="Arial" w:cs="Arial"/>
          <w:lang w:val="en-ZA"/>
        </w:rPr>
        <w:t>.</w:t>
      </w:r>
      <w:r>
        <w:rPr>
          <w:rFonts w:ascii="Arial" w:hAnsi="Arial" w:cs="Arial"/>
          <w:lang w:val="en-ZA"/>
        </w:rPr>
        <w:t xml:space="preserve"> </w:t>
      </w:r>
      <w:r w:rsidR="00E935F8">
        <w:rPr>
          <w:rFonts w:ascii="Arial" w:hAnsi="Arial" w:cs="Arial"/>
          <w:lang w:val="en-ZA"/>
        </w:rPr>
        <w:t>The same applies to the responses below</w:t>
      </w:r>
      <w:r w:rsidR="00225963">
        <w:rPr>
          <w:rFonts w:ascii="Arial" w:hAnsi="Arial" w:cs="Arial"/>
          <w:lang w:val="en-ZA"/>
        </w:rPr>
        <w:t>.</w:t>
      </w:r>
      <w:r w:rsidR="00E935F8">
        <w:rPr>
          <w:rFonts w:ascii="Arial" w:hAnsi="Arial" w:cs="Arial"/>
          <w:lang w:val="en-ZA"/>
        </w:rPr>
        <w:t xml:space="preserve"> </w:t>
      </w:r>
    </w:p>
    <w:p w:rsidR="00542F7B" w:rsidRDefault="00542F7B" w:rsidP="00542F7B">
      <w:pPr>
        <w:numPr>
          <w:ilvl w:val="0"/>
          <w:numId w:val="48"/>
        </w:numPr>
        <w:spacing w:line="360" w:lineRule="auto"/>
        <w:ind w:left="357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(a) </w:t>
      </w:r>
      <w:r w:rsidRPr="00542F7B">
        <w:rPr>
          <w:rFonts w:ascii="Arial" w:hAnsi="Arial" w:cs="Arial"/>
          <w:lang w:val="en-ZA"/>
        </w:rPr>
        <w:t xml:space="preserve">The courts have dealt with 4 631 cases during the period 1 January </w:t>
      </w:r>
      <w:r>
        <w:rPr>
          <w:rFonts w:ascii="Arial" w:hAnsi="Arial" w:cs="Arial"/>
          <w:lang w:val="en-ZA"/>
        </w:rPr>
        <w:t xml:space="preserve">2019 to </w:t>
      </w:r>
    </w:p>
    <w:p w:rsidR="00542F7B" w:rsidRDefault="00542F7B" w:rsidP="00542F7B">
      <w:pPr>
        <w:spacing w:line="360" w:lineRule="auto"/>
        <w:ind w:left="357" w:firstLine="360"/>
        <w:jc w:val="both"/>
        <w:rPr>
          <w:rFonts w:ascii="Arial" w:hAnsi="Arial" w:cs="Arial"/>
          <w:lang w:val="en-ZA"/>
        </w:rPr>
      </w:pPr>
      <w:r w:rsidRPr="00542F7B">
        <w:rPr>
          <w:rFonts w:ascii="Arial" w:hAnsi="Arial" w:cs="Arial"/>
          <w:lang w:val="en-ZA"/>
        </w:rPr>
        <w:t>March 2021</w:t>
      </w:r>
    </w:p>
    <w:p w:rsidR="00542F7B" w:rsidRDefault="00542F7B" w:rsidP="00542F7B">
      <w:pPr>
        <w:spacing w:line="360" w:lineRule="auto"/>
        <w:ind w:left="357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(b) Convictions were secured in 1 553 cases during the afore-mentioned period and </w:t>
      </w:r>
    </w:p>
    <w:p w:rsidR="00542F7B" w:rsidRDefault="00542F7B" w:rsidP="00542F7B">
      <w:pPr>
        <w:spacing w:line="360" w:lineRule="auto"/>
        <w:ind w:left="357" w:firstLine="363"/>
        <w:jc w:val="both"/>
        <w:rPr>
          <w:rFonts w:ascii="Arial" w:hAnsi="Arial" w:cs="Arial"/>
          <w:lang w:val="en-ZA"/>
        </w:rPr>
      </w:pPr>
      <w:proofErr w:type="gramStart"/>
      <w:r>
        <w:rPr>
          <w:rFonts w:ascii="Arial" w:hAnsi="Arial" w:cs="Arial"/>
          <w:lang w:val="en-ZA"/>
        </w:rPr>
        <w:t>there</w:t>
      </w:r>
      <w:proofErr w:type="gramEnd"/>
      <w:r>
        <w:rPr>
          <w:rFonts w:ascii="Arial" w:hAnsi="Arial" w:cs="Arial"/>
          <w:lang w:val="en-ZA"/>
        </w:rPr>
        <w:t xml:space="preserve"> were 382 acquittals. </w:t>
      </w:r>
    </w:p>
    <w:p w:rsidR="00542F7B" w:rsidRPr="00542F7B" w:rsidRDefault="00542F7B" w:rsidP="00542F7B">
      <w:pPr>
        <w:numPr>
          <w:ilvl w:val="0"/>
          <w:numId w:val="48"/>
        </w:numPr>
        <w:spacing w:line="360" w:lineRule="auto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n-ZA"/>
        </w:rPr>
        <w:t xml:space="preserve">(a) </w:t>
      </w:r>
      <w:r w:rsidR="00494849" w:rsidRPr="00542F7B">
        <w:rPr>
          <w:rFonts w:ascii="Arial" w:hAnsi="Arial" w:cs="Arial"/>
          <w:lang w:val="en-ZA"/>
        </w:rPr>
        <w:t>During th</w:t>
      </w:r>
      <w:r w:rsidR="00506219" w:rsidRPr="00542F7B">
        <w:rPr>
          <w:rFonts w:ascii="Arial" w:hAnsi="Arial" w:cs="Arial"/>
          <w:lang w:val="en-ZA"/>
        </w:rPr>
        <w:t>is</w:t>
      </w:r>
      <w:r w:rsidR="00494849" w:rsidRPr="00542F7B">
        <w:rPr>
          <w:rFonts w:ascii="Arial" w:hAnsi="Arial" w:cs="Arial"/>
          <w:lang w:val="en-ZA"/>
        </w:rPr>
        <w:t xml:space="preserve"> period, </w:t>
      </w:r>
      <w:r w:rsidR="00AE62B0" w:rsidRPr="00542F7B">
        <w:rPr>
          <w:rFonts w:ascii="Arial" w:hAnsi="Arial" w:cs="Arial"/>
          <w:lang w:val="en-ZA"/>
        </w:rPr>
        <w:t>2 315</w:t>
      </w:r>
      <w:r w:rsidR="00494849" w:rsidRPr="00542F7B">
        <w:rPr>
          <w:rFonts w:ascii="Arial" w:hAnsi="Arial" w:cs="Arial"/>
          <w:lang w:val="en-ZA"/>
        </w:rPr>
        <w:t xml:space="preserve"> cases were withdrawn from the court rolls. Some of </w:t>
      </w:r>
    </w:p>
    <w:p w:rsidR="00543605" w:rsidRDefault="00494849" w:rsidP="00543605">
      <w:pPr>
        <w:spacing w:line="360" w:lineRule="auto"/>
        <w:ind w:left="720"/>
        <w:jc w:val="both"/>
        <w:rPr>
          <w:rFonts w:ascii="Arial" w:hAnsi="Arial" w:cs="Arial"/>
          <w:b/>
        </w:rPr>
      </w:pPr>
      <w:proofErr w:type="gramStart"/>
      <w:r w:rsidRPr="00542F7B">
        <w:rPr>
          <w:rFonts w:ascii="Arial" w:hAnsi="Arial" w:cs="Arial"/>
          <w:lang w:val="en-ZA"/>
        </w:rPr>
        <w:t>these</w:t>
      </w:r>
      <w:proofErr w:type="gramEnd"/>
      <w:r w:rsidRPr="00542F7B">
        <w:rPr>
          <w:rFonts w:ascii="Arial" w:hAnsi="Arial" w:cs="Arial"/>
          <w:lang w:val="en-ZA"/>
        </w:rPr>
        <w:t xml:space="preserve"> cases were again enrolled after investigation</w:t>
      </w:r>
      <w:r w:rsidR="00542F7B">
        <w:rPr>
          <w:rFonts w:ascii="Arial" w:hAnsi="Arial" w:cs="Arial"/>
          <w:lang w:val="en-ZA"/>
        </w:rPr>
        <w:t>s</w:t>
      </w:r>
      <w:r w:rsidRPr="00542F7B">
        <w:rPr>
          <w:rFonts w:ascii="Arial" w:hAnsi="Arial" w:cs="Arial"/>
          <w:lang w:val="en-ZA"/>
        </w:rPr>
        <w:t xml:space="preserve"> w</w:t>
      </w:r>
      <w:r w:rsidR="00542F7B">
        <w:rPr>
          <w:rFonts w:ascii="Arial" w:hAnsi="Arial" w:cs="Arial"/>
          <w:lang w:val="en-ZA"/>
        </w:rPr>
        <w:t>ere</w:t>
      </w:r>
      <w:r w:rsidRPr="00542F7B">
        <w:rPr>
          <w:rFonts w:ascii="Arial" w:hAnsi="Arial" w:cs="Arial"/>
          <w:lang w:val="en-ZA"/>
        </w:rPr>
        <w:t xml:space="preserve"> finalised, new evidence </w:t>
      </w:r>
      <w:r w:rsidR="001D66DF">
        <w:rPr>
          <w:rFonts w:ascii="Arial" w:hAnsi="Arial" w:cs="Arial"/>
          <w:lang w:val="en-ZA"/>
        </w:rPr>
        <w:t xml:space="preserve">were </w:t>
      </w:r>
      <w:r w:rsidRPr="00542F7B">
        <w:rPr>
          <w:rFonts w:ascii="Arial" w:hAnsi="Arial" w:cs="Arial"/>
          <w:lang w:val="en-ZA"/>
        </w:rPr>
        <w:t>obtained or facts in the matters changed. The number of cases re-enrolled is</w:t>
      </w:r>
      <w:r w:rsidR="00506219" w:rsidRPr="00542F7B">
        <w:rPr>
          <w:rFonts w:ascii="Arial" w:hAnsi="Arial" w:cs="Arial"/>
          <w:lang w:val="en-ZA"/>
        </w:rPr>
        <w:t xml:space="preserve"> part of information contained in decision dockets, </w:t>
      </w:r>
      <w:proofErr w:type="gramStart"/>
      <w:r w:rsidR="00506219" w:rsidRPr="00542F7B">
        <w:rPr>
          <w:rFonts w:ascii="Arial" w:hAnsi="Arial" w:cs="Arial"/>
          <w:lang w:val="en-ZA"/>
        </w:rPr>
        <w:t xml:space="preserve">which </w:t>
      </w:r>
      <w:r w:rsidRPr="00542F7B">
        <w:rPr>
          <w:rFonts w:ascii="Arial" w:hAnsi="Arial" w:cs="Arial"/>
          <w:lang w:val="en-ZA"/>
        </w:rPr>
        <w:t xml:space="preserve">is not recorded </w:t>
      </w:r>
      <w:r w:rsidR="00506219" w:rsidRPr="00542F7B">
        <w:rPr>
          <w:rFonts w:ascii="Arial" w:hAnsi="Arial" w:cs="Arial"/>
          <w:lang w:val="en-ZA"/>
        </w:rPr>
        <w:t>electronically and therefore not available for reporting purposes</w:t>
      </w:r>
      <w:proofErr w:type="gramEnd"/>
      <w:r w:rsidR="00506219" w:rsidRPr="00542F7B">
        <w:rPr>
          <w:rFonts w:ascii="Arial" w:hAnsi="Arial" w:cs="Arial"/>
          <w:lang w:val="en-ZA"/>
        </w:rPr>
        <w:t xml:space="preserve">. </w:t>
      </w:r>
      <w:r w:rsidR="00AE62B0" w:rsidRPr="00542F7B">
        <w:rPr>
          <w:rFonts w:ascii="Arial" w:hAnsi="Arial" w:cs="Arial"/>
          <w:lang w:val="en-ZA"/>
        </w:rPr>
        <w:t xml:space="preserve">There were also 816 cases struck </w:t>
      </w:r>
      <w:r w:rsidR="00506219" w:rsidRPr="00542F7B">
        <w:rPr>
          <w:rFonts w:ascii="Arial" w:hAnsi="Arial" w:cs="Arial"/>
          <w:lang w:val="en-ZA"/>
        </w:rPr>
        <w:t>off</w:t>
      </w:r>
      <w:r w:rsidR="00AE62B0" w:rsidRPr="00542F7B">
        <w:rPr>
          <w:rFonts w:ascii="Arial" w:hAnsi="Arial" w:cs="Arial"/>
          <w:lang w:val="en-ZA"/>
        </w:rPr>
        <w:t xml:space="preserve"> the roll during this period.</w:t>
      </w:r>
    </w:p>
    <w:p w:rsidR="00542F7B" w:rsidRDefault="005703A4" w:rsidP="00543605">
      <w:pPr>
        <w:numPr>
          <w:ilvl w:val="0"/>
          <w:numId w:val="50"/>
        </w:numPr>
        <w:spacing w:line="360" w:lineRule="auto"/>
        <w:jc w:val="both"/>
        <w:rPr>
          <w:rFonts w:ascii="Arial" w:hAnsi="Arial" w:cs="Arial"/>
          <w:b/>
        </w:rPr>
      </w:pPr>
      <w:r w:rsidRPr="00543605">
        <w:rPr>
          <w:rFonts w:ascii="Arial" w:hAnsi="Arial" w:cs="Arial"/>
          <w:lang w:val="en-ZA"/>
        </w:rPr>
        <w:t xml:space="preserve">The reasons </w:t>
      </w:r>
      <w:r w:rsidR="00494849" w:rsidRPr="005703A4">
        <w:rPr>
          <w:rFonts w:ascii="Arial" w:hAnsi="Arial" w:cs="Arial"/>
          <w:lang w:val="en-ZA"/>
        </w:rPr>
        <w:t xml:space="preserve">for withdrawals are currently </w:t>
      </w:r>
      <w:r w:rsidR="00543605" w:rsidRPr="005703A4">
        <w:rPr>
          <w:rFonts w:ascii="Arial" w:hAnsi="Arial" w:cs="Arial"/>
          <w:lang w:val="en-ZA"/>
        </w:rPr>
        <w:t xml:space="preserve">not </w:t>
      </w:r>
      <w:r w:rsidR="00494849" w:rsidRPr="005703A4">
        <w:rPr>
          <w:rFonts w:ascii="Arial" w:hAnsi="Arial" w:cs="Arial"/>
          <w:lang w:val="en-ZA"/>
        </w:rPr>
        <w:t>recorded</w:t>
      </w:r>
      <w:r w:rsidR="00543605">
        <w:rPr>
          <w:rFonts w:ascii="Arial" w:hAnsi="Arial" w:cs="Arial"/>
          <w:lang w:val="en-ZA"/>
        </w:rPr>
        <w:t xml:space="preserve">, </w:t>
      </w:r>
      <w:r w:rsidR="00494849" w:rsidRPr="005703A4">
        <w:rPr>
          <w:rFonts w:ascii="Arial" w:hAnsi="Arial" w:cs="Arial"/>
          <w:lang w:val="en-ZA"/>
        </w:rPr>
        <w:t xml:space="preserve">although reasons for withdrawals </w:t>
      </w:r>
      <w:r w:rsidR="00E935F8" w:rsidRPr="005703A4">
        <w:rPr>
          <w:rFonts w:ascii="Arial" w:hAnsi="Arial" w:cs="Arial"/>
          <w:lang w:val="en-ZA"/>
        </w:rPr>
        <w:t xml:space="preserve">or decisions not to prosecute </w:t>
      </w:r>
      <w:r w:rsidR="00494849" w:rsidRPr="005703A4">
        <w:rPr>
          <w:rFonts w:ascii="Arial" w:hAnsi="Arial" w:cs="Arial"/>
          <w:lang w:val="en-ZA"/>
        </w:rPr>
        <w:t>are recorded on each case docket manually.</w:t>
      </w:r>
      <w:r w:rsidR="00543605">
        <w:rPr>
          <w:rFonts w:ascii="Arial" w:hAnsi="Arial" w:cs="Arial"/>
          <w:lang w:val="en-ZA"/>
        </w:rPr>
        <w:t xml:space="preserve"> The general reasons</w:t>
      </w:r>
      <w:r w:rsidR="008E0316" w:rsidRPr="005703A4">
        <w:rPr>
          <w:rFonts w:ascii="Arial" w:hAnsi="Arial" w:cs="Arial"/>
          <w:lang w:val="en-ZA"/>
        </w:rPr>
        <w:t xml:space="preserve"> include the</w:t>
      </w:r>
      <w:r w:rsidR="00822C96">
        <w:rPr>
          <w:rFonts w:ascii="Arial" w:hAnsi="Arial" w:cs="Arial"/>
          <w:lang w:val="en-ZA"/>
        </w:rPr>
        <w:t xml:space="preserve"> unclear</w:t>
      </w:r>
      <w:r w:rsidR="008E0316" w:rsidRPr="005703A4">
        <w:rPr>
          <w:rFonts w:ascii="Arial" w:hAnsi="Arial" w:cs="Arial"/>
          <w:lang w:val="en-ZA"/>
        </w:rPr>
        <w:t xml:space="preserve"> identification of </w:t>
      </w:r>
      <w:r w:rsidR="00822C96">
        <w:rPr>
          <w:rFonts w:ascii="Arial" w:hAnsi="Arial" w:cs="Arial"/>
          <w:lang w:val="en-ZA"/>
        </w:rPr>
        <w:t>the</w:t>
      </w:r>
      <w:r w:rsidR="008E0316" w:rsidRPr="005703A4">
        <w:rPr>
          <w:rFonts w:ascii="Arial" w:hAnsi="Arial" w:cs="Arial"/>
          <w:lang w:val="en-ZA"/>
        </w:rPr>
        <w:t xml:space="preserve"> stock</w:t>
      </w:r>
      <w:r w:rsidR="00822C96">
        <w:rPr>
          <w:rFonts w:ascii="Arial" w:hAnsi="Arial" w:cs="Arial"/>
          <w:lang w:val="en-ZA"/>
        </w:rPr>
        <w:t xml:space="preserve"> in dispute (which is not marked or not properly marked</w:t>
      </w:r>
      <w:r w:rsidR="00543605">
        <w:rPr>
          <w:rFonts w:ascii="Arial" w:hAnsi="Arial" w:cs="Arial"/>
          <w:lang w:val="en-ZA"/>
        </w:rPr>
        <w:t>,</w:t>
      </w:r>
      <w:r w:rsidR="00822C96">
        <w:rPr>
          <w:rFonts w:ascii="Arial" w:hAnsi="Arial" w:cs="Arial"/>
          <w:lang w:val="en-ZA"/>
        </w:rPr>
        <w:t xml:space="preserve"> and ownership is in dispute). </w:t>
      </w:r>
      <w:r w:rsidRPr="005703A4">
        <w:rPr>
          <w:rFonts w:ascii="Arial" w:hAnsi="Arial" w:cs="Arial"/>
          <w:lang w:val="en-ZA"/>
        </w:rPr>
        <w:t>I</w:t>
      </w:r>
      <w:r w:rsidR="008E0316" w:rsidRPr="005703A4">
        <w:rPr>
          <w:rFonts w:ascii="Arial" w:hAnsi="Arial" w:cs="Arial"/>
          <w:lang w:val="en-ZA"/>
        </w:rPr>
        <w:t>n some instances</w:t>
      </w:r>
      <w:r w:rsidR="00542F7B">
        <w:rPr>
          <w:rFonts w:ascii="Arial" w:hAnsi="Arial" w:cs="Arial"/>
          <w:lang w:val="en-ZA"/>
        </w:rPr>
        <w:t>,</w:t>
      </w:r>
      <w:r w:rsidR="00822C96">
        <w:rPr>
          <w:rFonts w:ascii="Arial" w:hAnsi="Arial" w:cs="Arial"/>
          <w:lang w:val="en-ZA"/>
        </w:rPr>
        <w:t xml:space="preserve"> </w:t>
      </w:r>
      <w:r w:rsidR="008E0316" w:rsidRPr="005703A4">
        <w:rPr>
          <w:rFonts w:ascii="Arial" w:hAnsi="Arial" w:cs="Arial"/>
          <w:lang w:val="en-ZA"/>
        </w:rPr>
        <w:t xml:space="preserve">witnesses become unavailable, evidence </w:t>
      </w:r>
      <w:r w:rsidRPr="005703A4">
        <w:rPr>
          <w:rFonts w:ascii="Arial" w:hAnsi="Arial" w:cs="Arial"/>
          <w:lang w:val="en-ZA"/>
        </w:rPr>
        <w:t xml:space="preserve">is </w:t>
      </w:r>
      <w:r w:rsidR="008E0316" w:rsidRPr="005703A4">
        <w:rPr>
          <w:rFonts w:ascii="Arial" w:hAnsi="Arial" w:cs="Arial"/>
          <w:lang w:val="en-ZA"/>
        </w:rPr>
        <w:t xml:space="preserve">obtained that disproves allegations contained in the docket initially, </w:t>
      </w:r>
      <w:r w:rsidRPr="005703A4">
        <w:rPr>
          <w:rFonts w:ascii="Arial" w:hAnsi="Arial" w:cs="Arial"/>
          <w:lang w:val="en-ZA"/>
        </w:rPr>
        <w:t xml:space="preserve">or </w:t>
      </w:r>
      <w:r w:rsidR="008E0316" w:rsidRPr="005703A4">
        <w:rPr>
          <w:rFonts w:ascii="Arial" w:hAnsi="Arial" w:cs="Arial"/>
          <w:lang w:val="en-ZA"/>
        </w:rPr>
        <w:t>the complainant request</w:t>
      </w:r>
      <w:r w:rsidRPr="005703A4">
        <w:rPr>
          <w:rFonts w:ascii="Arial" w:hAnsi="Arial" w:cs="Arial"/>
          <w:lang w:val="en-ZA"/>
        </w:rPr>
        <w:t>s</w:t>
      </w:r>
      <w:r w:rsidR="008E0316" w:rsidRPr="005703A4">
        <w:rPr>
          <w:rFonts w:ascii="Arial" w:hAnsi="Arial" w:cs="Arial"/>
          <w:lang w:val="en-ZA"/>
        </w:rPr>
        <w:t xml:space="preserve"> the matter to be withdrawn</w:t>
      </w:r>
      <w:r w:rsidRPr="005703A4">
        <w:rPr>
          <w:rFonts w:ascii="Arial" w:hAnsi="Arial" w:cs="Arial"/>
          <w:lang w:val="en-ZA"/>
        </w:rPr>
        <w:t>.</w:t>
      </w:r>
      <w:r w:rsidR="008E0316" w:rsidRPr="005703A4">
        <w:rPr>
          <w:rFonts w:ascii="Arial" w:hAnsi="Arial" w:cs="Arial"/>
          <w:lang w:val="en-ZA"/>
        </w:rPr>
        <w:t xml:space="preserve"> </w:t>
      </w:r>
    </w:p>
    <w:p w:rsidR="00542F7B" w:rsidRDefault="00542F7B" w:rsidP="00542F7B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:rsidR="00542F7B" w:rsidRDefault="00994FDF" w:rsidP="00542F7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n-ZA"/>
        </w:rPr>
        <w:t xml:space="preserve">In addition to the above, it should be noted that stock theft is regarded as a serious offence to which </w:t>
      </w:r>
      <w:r w:rsidR="00543605">
        <w:rPr>
          <w:rFonts w:ascii="Arial" w:hAnsi="Arial" w:cs="Arial"/>
          <w:lang w:val="en-ZA"/>
        </w:rPr>
        <w:t>priority and focus</w:t>
      </w:r>
      <w:r>
        <w:rPr>
          <w:rFonts w:ascii="Arial" w:hAnsi="Arial" w:cs="Arial"/>
          <w:lang w:val="en-ZA"/>
        </w:rPr>
        <w:t>ed attention is provided within the N</w:t>
      </w:r>
      <w:r w:rsidR="00543605">
        <w:rPr>
          <w:rFonts w:ascii="Arial" w:hAnsi="Arial" w:cs="Arial"/>
          <w:lang w:val="en-ZA"/>
        </w:rPr>
        <w:t>ational Prosecuting Authority (N</w:t>
      </w:r>
      <w:r>
        <w:rPr>
          <w:rFonts w:ascii="Arial" w:hAnsi="Arial" w:cs="Arial"/>
          <w:lang w:val="en-ZA"/>
        </w:rPr>
        <w:t>PA</w:t>
      </w:r>
      <w:r w:rsidR="00543605">
        <w:rPr>
          <w:rFonts w:ascii="Arial" w:hAnsi="Arial" w:cs="Arial"/>
          <w:lang w:val="en-ZA"/>
        </w:rPr>
        <w:t>)</w:t>
      </w:r>
      <w:r>
        <w:rPr>
          <w:rFonts w:ascii="Arial" w:hAnsi="Arial" w:cs="Arial"/>
          <w:lang w:val="en-ZA"/>
        </w:rPr>
        <w:t xml:space="preserve">. </w:t>
      </w:r>
      <w:r w:rsidRPr="00994FDF">
        <w:rPr>
          <w:rFonts w:ascii="Arial" w:hAnsi="Arial" w:cs="Arial"/>
          <w:lang w:val="en-ZA"/>
        </w:rPr>
        <w:t>Stock theft has a crippling effect on commercial as well as communal farmers (representing 40%) of stock owners. The effect of stock theft is not confined to the actual monetary loss, but it also has a ripple effect that compromises the job security of the workers on the farms.</w:t>
      </w:r>
      <w:r>
        <w:rPr>
          <w:rFonts w:ascii="Arial" w:hAnsi="Arial" w:cs="Arial"/>
          <w:lang w:val="en-ZA"/>
        </w:rPr>
        <w:t xml:space="preserve"> </w:t>
      </w:r>
      <w:r w:rsidR="00A86266">
        <w:rPr>
          <w:rFonts w:ascii="Arial" w:hAnsi="Arial" w:cs="Arial"/>
          <w:lang w:val="en-ZA"/>
        </w:rPr>
        <w:t>Although training was hampered by lack of budget and resources in recent years, the NPA</w:t>
      </w:r>
      <w:r w:rsidR="00A86266" w:rsidRPr="00A86266">
        <w:rPr>
          <w:rFonts w:ascii="Arial" w:hAnsi="Arial" w:cs="Arial"/>
          <w:lang w:val="en-ZA"/>
        </w:rPr>
        <w:t xml:space="preserve"> </w:t>
      </w:r>
      <w:r w:rsidR="00A86266">
        <w:rPr>
          <w:rFonts w:ascii="Arial" w:hAnsi="Arial" w:cs="Arial"/>
          <w:lang w:val="en-ZA"/>
        </w:rPr>
        <w:t>in collaboration with Justice College</w:t>
      </w:r>
      <w:r w:rsidRPr="00994FDF">
        <w:rPr>
          <w:rFonts w:ascii="Arial" w:hAnsi="Arial" w:cs="Arial"/>
          <w:lang w:val="en-ZA"/>
        </w:rPr>
        <w:t xml:space="preserve"> conduct</w:t>
      </w:r>
      <w:r w:rsidR="008C1068">
        <w:rPr>
          <w:rFonts w:ascii="Arial" w:hAnsi="Arial" w:cs="Arial"/>
          <w:lang w:val="en-ZA"/>
        </w:rPr>
        <w:t>ed</w:t>
      </w:r>
      <w:r w:rsidRPr="00994FDF">
        <w:rPr>
          <w:rFonts w:ascii="Arial" w:hAnsi="Arial" w:cs="Arial"/>
          <w:lang w:val="en-ZA"/>
        </w:rPr>
        <w:t xml:space="preserve"> four </w:t>
      </w:r>
      <w:r w:rsidR="00543605">
        <w:rPr>
          <w:rFonts w:ascii="Arial" w:hAnsi="Arial" w:cs="Arial"/>
          <w:lang w:val="en-ZA"/>
        </w:rPr>
        <w:t xml:space="preserve">(4) </w:t>
      </w:r>
      <w:r w:rsidRPr="00994FDF">
        <w:rPr>
          <w:rFonts w:ascii="Arial" w:hAnsi="Arial" w:cs="Arial"/>
          <w:lang w:val="en-ZA"/>
        </w:rPr>
        <w:t xml:space="preserve">courses </w:t>
      </w:r>
      <w:r w:rsidR="008C1068">
        <w:rPr>
          <w:rFonts w:ascii="Arial" w:hAnsi="Arial" w:cs="Arial"/>
          <w:lang w:val="en-ZA"/>
        </w:rPr>
        <w:t>i</w:t>
      </w:r>
      <w:r w:rsidR="008C1068" w:rsidRPr="00994FDF">
        <w:rPr>
          <w:rFonts w:ascii="Arial" w:hAnsi="Arial" w:cs="Arial"/>
          <w:lang w:val="en-ZA"/>
        </w:rPr>
        <w:t>n 2016</w:t>
      </w:r>
      <w:r w:rsidR="008C1068">
        <w:rPr>
          <w:rFonts w:ascii="Arial" w:hAnsi="Arial" w:cs="Arial"/>
          <w:lang w:val="en-ZA"/>
        </w:rPr>
        <w:t xml:space="preserve">, </w:t>
      </w:r>
      <w:r w:rsidR="008C1068">
        <w:rPr>
          <w:rFonts w:ascii="Arial" w:hAnsi="Arial" w:cs="Arial"/>
          <w:lang w:val="en-ZA"/>
        </w:rPr>
        <w:lastRenderedPageBreak/>
        <w:t xml:space="preserve">where </w:t>
      </w:r>
      <w:r w:rsidRPr="00994FDF">
        <w:rPr>
          <w:rFonts w:ascii="Arial" w:hAnsi="Arial" w:cs="Arial"/>
          <w:lang w:val="en-ZA"/>
        </w:rPr>
        <w:t xml:space="preserve">87 prosecutors </w:t>
      </w:r>
      <w:r w:rsidR="00543605">
        <w:rPr>
          <w:rFonts w:ascii="Arial" w:hAnsi="Arial" w:cs="Arial"/>
          <w:lang w:val="en-ZA"/>
        </w:rPr>
        <w:t>attend</w:t>
      </w:r>
      <w:r w:rsidR="008C1068">
        <w:rPr>
          <w:rFonts w:ascii="Arial" w:hAnsi="Arial" w:cs="Arial"/>
          <w:lang w:val="en-ZA"/>
        </w:rPr>
        <w:t>ed</w:t>
      </w:r>
      <w:r w:rsidR="00543605">
        <w:rPr>
          <w:rFonts w:ascii="Arial" w:hAnsi="Arial" w:cs="Arial"/>
          <w:lang w:val="en-ZA"/>
        </w:rPr>
        <w:t xml:space="preserve"> </w:t>
      </w:r>
      <w:r w:rsidR="008C1068">
        <w:rPr>
          <w:rFonts w:ascii="Arial" w:hAnsi="Arial" w:cs="Arial"/>
          <w:lang w:val="en-ZA"/>
        </w:rPr>
        <w:t xml:space="preserve">the courses </w:t>
      </w:r>
      <w:r w:rsidR="00543605">
        <w:rPr>
          <w:rFonts w:ascii="Arial" w:hAnsi="Arial" w:cs="Arial"/>
          <w:lang w:val="en-ZA"/>
        </w:rPr>
        <w:t>including five</w:t>
      </w:r>
      <w:r w:rsidRPr="00994FDF">
        <w:rPr>
          <w:rFonts w:ascii="Arial" w:hAnsi="Arial" w:cs="Arial"/>
          <w:lang w:val="en-ZA"/>
        </w:rPr>
        <w:t xml:space="preserve"> </w:t>
      </w:r>
      <w:r w:rsidR="00543605">
        <w:rPr>
          <w:rFonts w:ascii="Arial" w:hAnsi="Arial" w:cs="Arial"/>
          <w:lang w:val="en-ZA"/>
        </w:rPr>
        <w:t>(</w:t>
      </w:r>
      <w:r w:rsidRPr="00994FDF">
        <w:rPr>
          <w:rFonts w:ascii="Arial" w:hAnsi="Arial" w:cs="Arial"/>
          <w:lang w:val="en-ZA"/>
        </w:rPr>
        <w:t>5</w:t>
      </w:r>
      <w:r w:rsidR="00543605">
        <w:rPr>
          <w:rFonts w:ascii="Arial" w:hAnsi="Arial" w:cs="Arial"/>
          <w:lang w:val="en-ZA"/>
        </w:rPr>
        <w:t>)</w:t>
      </w:r>
      <w:r w:rsidRPr="00994FDF">
        <w:rPr>
          <w:rFonts w:ascii="Arial" w:hAnsi="Arial" w:cs="Arial"/>
          <w:lang w:val="en-ZA"/>
        </w:rPr>
        <w:t xml:space="preserve"> pr</w:t>
      </w:r>
      <w:r w:rsidR="00543605">
        <w:rPr>
          <w:rFonts w:ascii="Arial" w:hAnsi="Arial" w:cs="Arial"/>
          <w:lang w:val="en-ZA"/>
        </w:rPr>
        <w:t>osecutors from Botswana</w:t>
      </w:r>
      <w:r w:rsidRPr="00994FDF">
        <w:rPr>
          <w:rFonts w:ascii="Arial" w:hAnsi="Arial" w:cs="Arial"/>
          <w:lang w:val="en-ZA"/>
        </w:rPr>
        <w:t>.</w:t>
      </w:r>
      <w:r>
        <w:rPr>
          <w:rFonts w:ascii="Arial" w:hAnsi="Arial" w:cs="Arial"/>
          <w:lang w:val="en-ZA"/>
        </w:rPr>
        <w:t xml:space="preserve"> As part of the internal Community Prosecution Initiative, three </w:t>
      </w:r>
      <w:r w:rsidR="00543605">
        <w:rPr>
          <w:rFonts w:ascii="Arial" w:hAnsi="Arial" w:cs="Arial"/>
          <w:lang w:val="en-ZA"/>
        </w:rPr>
        <w:t xml:space="preserve">(3) </w:t>
      </w:r>
      <w:r>
        <w:rPr>
          <w:rFonts w:ascii="Arial" w:hAnsi="Arial" w:cs="Arial"/>
          <w:lang w:val="en-ZA"/>
        </w:rPr>
        <w:t>areas have identified stock theft as priorities in their areas</w:t>
      </w:r>
      <w:r w:rsidR="0017560C">
        <w:rPr>
          <w:rFonts w:ascii="Arial" w:hAnsi="Arial" w:cs="Arial"/>
          <w:lang w:val="en-ZA"/>
        </w:rPr>
        <w:t>,</w:t>
      </w:r>
      <w:r>
        <w:rPr>
          <w:rFonts w:ascii="Arial" w:hAnsi="Arial" w:cs="Arial"/>
          <w:lang w:val="en-ZA"/>
        </w:rPr>
        <w:t xml:space="preserve"> namely</w:t>
      </w:r>
      <w:r w:rsidR="0017560C">
        <w:rPr>
          <w:rFonts w:ascii="Arial" w:hAnsi="Arial" w:cs="Arial"/>
          <w:lang w:val="en-ZA"/>
        </w:rPr>
        <w:t>:</w:t>
      </w:r>
      <w:r>
        <w:rPr>
          <w:rFonts w:ascii="Arial" w:hAnsi="Arial" w:cs="Arial"/>
          <w:lang w:val="en-ZA"/>
        </w:rPr>
        <w:t xml:space="preserve"> Ermelo in Mpumalanga as well as Molopo and Odi offices in North West.</w:t>
      </w:r>
      <w:r w:rsidR="00A86266">
        <w:rPr>
          <w:rFonts w:ascii="Arial" w:hAnsi="Arial" w:cs="Arial"/>
          <w:lang w:val="en-ZA"/>
        </w:rPr>
        <w:t xml:space="preserve"> Prosecutors will be working with all stakeholders and the community in these regions to address the </w:t>
      </w:r>
      <w:r w:rsidR="0017560C">
        <w:rPr>
          <w:rFonts w:ascii="Arial" w:hAnsi="Arial" w:cs="Arial"/>
          <w:lang w:val="en-ZA"/>
        </w:rPr>
        <w:t xml:space="preserve">crimes on </w:t>
      </w:r>
      <w:r w:rsidR="00A86266">
        <w:rPr>
          <w:rFonts w:ascii="Arial" w:hAnsi="Arial" w:cs="Arial"/>
          <w:lang w:val="en-ZA"/>
        </w:rPr>
        <w:t>stock theft.</w:t>
      </w:r>
    </w:p>
    <w:p w:rsidR="00542F7B" w:rsidRDefault="00542F7B" w:rsidP="00542F7B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:rsidR="00994FDF" w:rsidRPr="00542F7B" w:rsidRDefault="000D5604" w:rsidP="00542F7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n-ZA"/>
        </w:rPr>
        <w:t>C</w:t>
      </w:r>
      <w:r w:rsidR="00994FDF">
        <w:rPr>
          <w:rFonts w:ascii="Arial" w:hAnsi="Arial" w:cs="Arial"/>
          <w:lang w:val="en-ZA"/>
        </w:rPr>
        <w:t>urrently, one</w:t>
      </w:r>
      <w:r w:rsidR="0017560C">
        <w:rPr>
          <w:rFonts w:ascii="Arial" w:hAnsi="Arial" w:cs="Arial"/>
          <w:lang w:val="en-ZA"/>
        </w:rPr>
        <w:t xml:space="preserve"> (1)</w:t>
      </w:r>
      <w:r w:rsidR="00994FDF">
        <w:rPr>
          <w:rFonts w:ascii="Arial" w:hAnsi="Arial" w:cs="Arial"/>
          <w:lang w:val="en-ZA"/>
        </w:rPr>
        <w:t xml:space="preserve"> of the cases in court relat</w:t>
      </w:r>
      <w:r>
        <w:rPr>
          <w:rFonts w:ascii="Arial" w:hAnsi="Arial" w:cs="Arial"/>
          <w:lang w:val="en-ZA"/>
        </w:rPr>
        <w:t>ing</w:t>
      </w:r>
      <w:r w:rsidR="00994FDF">
        <w:rPr>
          <w:rFonts w:ascii="Arial" w:hAnsi="Arial" w:cs="Arial"/>
          <w:lang w:val="en-ZA"/>
        </w:rPr>
        <w:t xml:space="preserve"> to stock theft</w:t>
      </w:r>
      <w:r w:rsidR="0017560C">
        <w:rPr>
          <w:rFonts w:ascii="Arial" w:hAnsi="Arial" w:cs="Arial"/>
          <w:lang w:val="en-ZA"/>
        </w:rPr>
        <w:t xml:space="preserve"> </w:t>
      </w:r>
      <w:r w:rsidR="00994FDF">
        <w:rPr>
          <w:rFonts w:ascii="Arial" w:hAnsi="Arial" w:cs="Arial"/>
          <w:lang w:val="en-ZA"/>
        </w:rPr>
        <w:t xml:space="preserve">involves </w:t>
      </w:r>
      <w:r>
        <w:rPr>
          <w:rFonts w:ascii="Arial" w:hAnsi="Arial" w:cs="Arial"/>
          <w:lang w:val="en-ZA"/>
        </w:rPr>
        <w:t xml:space="preserve">a charge of </w:t>
      </w:r>
      <w:r w:rsidR="00994FDF">
        <w:rPr>
          <w:rFonts w:ascii="Arial" w:hAnsi="Arial" w:cs="Arial"/>
          <w:lang w:val="en-ZA"/>
        </w:rPr>
        <w:t>racketeering</w:t>
      </w:r>
      <w:r>
        <w:rPr>
          <w:rFonts w:ascii="Arial" w:hAnsi="Arial" w:cs="Arial"/>
          <w:lang w:val="en-ZA"/>
        </w:rPr>
        <w:t xml:space="preserve"> </w:t>
      </w:r>
      <w:r w:rsidR="0017560C">
        <w:rPr>
          <w:rFonts w:ascii="Arial" w:hAnsi="Arial" w:cs="Arial"/>
          <w:lang w:val="en-ZA"/>
        </w:rPr>
        <w:t>which</w:t>
      </w:r>
      <w:r>
        <w:rPr>
          <w:rFonts w:ascii="Arial" w:hAnsi="Arial" w:cs="Arial"/>
          <w:lang w:val="en-ZA"/>
        </w:rPr>
        <w:t xml:space="preserve"> has already been authorised by the N</w:t>
      </w:r>
      <w:r w:rsidR="0017560C">
        <w:rPr>
          <w:rFonts w:ascii="Arial" w:hAnsi="Arial" w:cs="Arial"/>
          <w:lang w:val="en-ZA"/>
        </w:rPr>
        <w:t xml:space="preserve">ational </w:t>
      </w:r>
      <w:r>
        <w:rPr>
          <w:rFonts w:ascii="Arial" w:hAnsi="Arial" w:cs="Arial"/>
          <w:lang w:val="en-ZA"/>
        </w:rPr>
        <w:t>D</w:t>
      </w:r>
      <w:r w:rsidR="0017560C">
        <w:rPr>
          <w:rFonts w:ascii="Arial" w:hAnsi="Arial" w:cs="Arial"/>
          <w:lang w:val="en-ZA"/>
        </w:rPr>
        <w:t xml:space="preserve">irector of </w:t>
      </w:r>
      <w:r>
        <w:rPr>
          <w:rFonts w:ascii="Arial" w:hAnsi="Arial" w:cs="Arial"/>
          <w:lang w:val="en-ZA"/>
        </w:rPr>
        <w:t>P</w:t>
      </w:r>
      <w:r w:rsidR="0017560C">
        <w:rPr>
          <w:rFonts w:ascii="Arial" w:hAnsi="Arial" w:cs="Arial"/>
          <w:lang w:val="en-ZA"/>
        </w:rPr>
        <w:t xml:space="preserve">ublic </w:t>
      </w:r>
      <w:r>
        <w:rPr>
          <w:rFonts w:ascii="Arial" w:hAnsi="Arial" w:cs="Arial"/>
          <w:lang w:val="en-ZA"/>
        </w:rPr>
        <w:t>P</w:t>
      </w:r>
      <w:r w:rsidR="0017560C">
        <w:rPr>
          <w:rFonts w:ascii="Arial" w:hAnsi="Arial" w:cs="Arial"/>
          <w:lang w:val="en-ZA"/>
        </w:rPr>
        <w:t>rosecutions</w:t>
      </w:r>
      <w:r w:rsidR="00994FDF">
        <w:rPr>
          <w:rFonts w:ascii="Arial" w:hAnsi="Arial" w:cs="Arial"/>
          <w:lang w:val="en-ZA"/>
        </w:rPr>
        <w:t>. The case, which also involves a police official, is in Ermelo Regional court and includes charges of:</w:t>
      </w:r>
    </w:p>
    <w:p w:rsidR="00994FDF" w:rsidRDefault="00994FDF" w:rsidP="00542F7B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bCs/>
        </w:rPr>
      </w:pPr>
      <w:r w:rsidRPr="00994FDF">
        <w:rPr>
          <w:rFonts w:ascii="Arial" w:hAnsi="Arial" w:cs="Arial"/>
          <w:bCs/>
        </w:rPr>
        <w:t>Con</w:t>
      </w:r>
      <w:r w:rsidR="000A4BF0">
        <w:rPr>
          <w:rFonts w:ascii="Arial" w:hAnsi="Arial" w:cs="Arial"/>
          <w:bCs/>
        </w:rPr>
        <w:t xml:space="preserve">travention of section 2(1)(f): </w:t>
      </w:r>
      <w:r w:rsidRPr="00994FDF">
        <w:rPr>
          <w:rFonts w:ascii="Arial" w:hAnsi="Arial" w:cs="Arial"/>
          <w:bCs/>
        </w:rPr>
        <w:t>Managing an Enterprise - Accused 1, 2 and 4;</w:t>
      </w:r>
    </w:p>
    <w:p w:rsidR="00994FDF" w:rsidRDefault="00994FDF" w:rsidP="00542F7B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bCs/>
        </w:rPr>
      </w:pPr>
      <w:r w:rsidRPr="00994FDF">
        <w:rPr>
          <w:rFonts w:ascii="Arial" w:hAnsi="Arial" w:cs="Arial"/>
          <w:bCs/>
        </w:rPr>
        <w:t>C</w:t>
      </w:r>
      <w:r w:rsidR="000A4BF0">
        <w:rPr>
          <w:rFonts w:ascii="Arial" w:hAnsi="Arial" w:cs="Arial"/>
          <w:bCs/>
        </w:rPr>
        <w:t xml:space="preserve">ontravention of section 2(1)(e): </w:t>
      </w:r>
      <w:r w:rsidRPr="00994FDF">
        <w:rPr>
          <w:rFonts w:ascii="Arial" w:hAnsi="Arial" w:cs="Arial"/>
          <w:bCs/>
        </w:rPr>
        <w:t xml:space="preserve">Conducting or Participating in an Enterprise Through </w:t>
      </w:r>
      <w:r w:rsidR="00542F7B">
        <w:rPr>
          <w:rFonts w:ascii="Arial" w:hAnsi="Arial" w:cs="Arial"/>
          <w:bCs/>
        </w:rPr>
        <w:t>a</w:t>
      </w:r>
      <w:r w:rsidRPr="00994FDF">
        <w:rPr>
          <w:rFonts w:ascii="Arial" w:hAnsi="Arial" w:cs="Arial"/>
          <w:bCs/>
        </w:rPr>
        <w:t xml:space="preserve"> Pattern </w:t>
      </w:r>
      <w:r w:rsidR="00542F7B">
        <w:rPr>
          <w:rFonts w:ascii="Arial" w:hAnsi="Arial" w:cs="Arial"/>
          <w:bCs/>
        </w:rPr>
        <w:t>o</w:t>
      </w:r>
      <w:r w:rsidRPr="00994FDF">
        <w:rPr>
          <w:rFonts w:ascii="Arial" w:hAnsi="Arial" w:cs="Arial"/>
          <w:bCs/>
        </w:rPr>
        <w:t>f Racketeering Activities (Accused 1-7)</w:t>
      </w:r>
      <w:r>
        <w:rPr>
          <w:rFonts w:ascii="Arial" w:hAnsi="Arial" w:cs="Arial"/>
          <w:bCs/>
        </w:rPr>
        <w:t>;</w:t>
      </w:r>
    </w:p>
    <w:p w:rsidR="00994FDF" w:rsidRDefault="00994FDF" w:rsidP="00542F7B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bCs/>
        </w:rPr>
      </w:pPr>
      <w:r w:rsidRPr="00994FDF">
        <w:rPr>
          <w:rFonts w:ascii="Arial" w:hAnsi="Arial" w:cs="Arial"/>
          <w:bCs/>
        </w:rPr>
        <w:t>Theft read with the provisions of the s</w:t>
      </w:r>
      <w:r w:rsidR="000A4BF0">
        <w:rPr>
          <w:rFonts w:ascii="Arial" w:hAnsi="Arial" w:cs="Arial"/>
          <w:bCs/>
        </w:rPr>
        <w:t xml:space="preserve">tock Theft Act, Act 57 of 1959 - </w:t>
      </w:r>
      <w:r w:rsidRPr="00994FDF">
        <w:rPr>
          <w:rFonts w:ascii="Arial" w:hAnsi="Arial" w:cs="Arial"/>
          <w:bCs/>
        </w:rPr>
        <w:t>All accused;</w:t>
      </w:r>
    </w:p>
    <w:p w:rsidR="00994FDF" w:rsidRDefault="00994FDF" w:rsidP="00542F7B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bCs/>
        </w:rPr>
      </w:pPr>
      <w:r w:rsidRPr="00994FDF">
        <w:rPr>
          <w:rFonts w:ascii="Arial" w:hAnsi="Arial" w:cs="Arial"/>
          <w:bCs/>
        </w:rPr>
        <w:t>Defeating the Ends of Justice - Accused 6;</w:t>
      </w:r>
    </w:p>
    <w:p w:rsidR="00994FDF" w:rsidRDefault="00542F7B" w:rsidP="00542F7B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Housebreaking w</w:t>
      </w:r>
      <w:r w:rsidR="00994FDF" w:rsidRPr="00994FDF">
        <w:rPr>
          <w:rFonts w:ascii="Arial" w:hAnsi="Arial" w:cs="Arial"/>
          <w:bCs/>
        </w:rPr>
        <w:t xml:space="preserve">ith </w:t>
      </w:r>
      <w:r>
        <w:rPr>
          <w:rFonts w:ascii="Arial" w:hAnsi="Arial" w:cs="Arial"/>
          <w:bCs/>
        </w:rPr>
        <w:t>the i</w:t>
      </w:r>
      <w:r w:rsidR="00994FDF" w:rsidRPr="00994FDF">
        <w:rPr>
          <w:rFonts w:ascii="Arial" w:hAnsi="Arial" w:cs="Arial"/>
          <w:bCs/>
        </w:rPr>
        <w:t>ntent</w:t>
      </w:r>
      <w:r>
        <w:rPr>
          <w:rFonts w:ascii="Arial" w:hAnsi="Arial" w:cs="Arial"/>
          <w:bCs/>
        </w:rPr>
        <w:t xml:space="preserve"> t</w:t>
      </w:r>
      <w:r w:rsidR="00994FDF" w:rsidRPr="00994FDF">
        <w:rPr>
          <w:rFonts w:ascii="Arial" w:hAnsi="Arial" w:cs="Arial"/>
          <w:bCs/>
        </w:rPr>
        <w:t xml:space="preserve">o </w:t>
      </w:r>
      <w:r>
        <w:rPr>
          <w:rFonts w:ascii="Arial" w:hAnsi="Arial" w:cs="Arial"/>
          <w:bCs/>
        </w:rPr>
        <w:t>r</w:t>
      </w:r>
      <w:r w:rsidR="00994FDF" w:rsidRPr="00994FDF">
        <w:rPr>
          <w:rFonts w:ascii="Arial" w:hAnsi="Arial" w:cs="Arial"/>
          <w:bCs/>
        </w:rPr>
        <w:t xml:space="preserve">ob - Accused 3, 4 and 5; </w:t>
      </w:r>
    </w:p>
    <w:p w:rsidR="00542F7B" w:rsidRDefault="00994FDF" w:rsidP="00542F7B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bCs/>
        </w:rPr>
      </w:pPr>
      <w:r w:rsidRPr="00994FDF">
        <w:rPr>
          <w:rFonts w:ascii="Arial" w:hAnsi="Arial" w:cs="Arial"/>
          <w:bCs/>
        </w:rPr>
        <w:t>Robbery with Aggravating Circumstances - Accused 3, 4 and 5</w:t>
      </w:r>
      <w:r w:rsidR="002A2B47">
        <w:rPr>
          <w:rFonts w:ascii="Arial" w:hAnsi="Arial" w:cs="Arial"/>
          <w:bCs/>
        </w:rPr>
        <w:t>; and</w:t>
      </w:r>
    </w:p>
    <w:p w:rsidR="00994FDF" w:rsidRPr="00542F7B" w:rsidRDefault="00994FDF" w:rsidP="00542F7B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bCs/>
        </w:rPr>
      </w:pPr>
      <w:r w:rsidRPr="00542F7B">
        <w:rPr>
          <w:rFonts w:ascii="Arial" w:hAnsi="Arial" w:cs="Arial"/>
          <w:bCs/>
        </w:rPr>
        <w:t>Kidnapping - Accused 3, 4 and 5</w:t>
      </w:r>
    </w:p>
    <w:sectPr w:rsidR="00994FDF" w:rsidRPr="00542F7B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BC4" w:rsidRDefault="00B24BC4" w:rsidP="00913892">
      <w:r>
        <w:separator/>
      </w:r>
    </w:p>
  </w:endnote>
  <w:endnote w:type="continuationSeparator" w:id="0">
    <w:p w:rsidR="00B24BC4" w:rsidRDefault="00B24BC4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2120C0" w:rsidRPr="002120C0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BC4" w:rsidRDefault="00B24BC4" w:rsidP="00913892">
      <w:r>
        <w:separator/>
      </w:r>
    </w:p>
  </w:footnote>
  <w:footnote w:type="continuationSeparator" w:id="0">
    <w:p w:rsidR="00B24BC4" w:rsidRDefault="00B24BC4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2E36E20"/>
    <w:multiLevelType w:val="hybridMultilevel"/>
    <w:tmpl w:val="EBBA0192"/>
    <w:lvl w:ilvl="0" w:tplc="81D89FF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876A0"/>
    <w:multiLevelType w:val="hybridMultilevel"/>
    <w:tmpl w:val="1B24B42E"/>
    <w:lvl w:ilvl="0" w:tplc="DF10146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6F2C20"/>
    <w:multiLevelType w:val="hybridMultilevel"/>
    <w:tmpl w:val="5C300CFE"/>
    <w:lvl w:ilvl="0" w:tplc="121294D6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56479A"/>
    <w:multiLevelType w:val="hybridMultilevel"/>
    <w:tmpl w:val="3A563F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4C1069"/>
    <w:multiLevelType w:val="hybridMultilevel"/>
    <w:tmpl w:val="7E90C46A"/>
    <w:lvl w:ilvl="0" w:tplc="FA80ABC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22B73AD"/>
    <w:multiLevelType w:val="hybridMultilevel"/>
    <w:tmpl w:val="9C7A82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32F00C8"/>
    <w:multiLevelType w:val="hybridMultilevel"/>
    <w:tmpl w:val="24E24902"/>
    <w:lvl w:ilvl="0" w:tplc="7AAA6870">
      <w:start w:val="2"/>
      <w:numFmt w:val="lowerLetter"/>
      <w:lvlText w:val="(%1)"/>
      <w:lvlJc w:val="left"/>
      <w:pPr>
        <w:ind w:left="717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37" w:hanging="360"/>
      </w:pPr>
    </w:lvl>
    <w:lvl w:ilvl="2" w:tplc="1C09001B" w:tentative="1">
      <w:start w:val="1"/>
      <w:numFmt w:val="lowerRoman"/>
      <w:lvlText w:val="%3."/>
      <w:lvlJc w:val="right"/>
      <w:pPr>
        <w:ind w:left="2157" w:hanging="180"/>
      </w:pPr>
    </w:lvl>
    <w:lvl w:ilvl="3" w:tplc="1C09000F" w:tentative="1">
      <w:start w:val="1"/>
      <w:numFmt w:val="decimal"/>
      <w:lvlText w:val="%4."/>
      <w:lvlJc w:val="left"/>
      <w:pPr>
        <w:ind w:left="2877" w:hanging="360"/>
      </w:pPr>
    </w:lvl>
    <w:lvl w:ilvl="4" w:tplc="1C090019" w:tentative="1">
      <w:start w:val="1"/>
      <w:numFmt w:val="lowerLetter"/>
      <w:lvlText w:val="%5."/>
      <w:lvlJc w:val="left"/>
      <w:pPr>
        <w:ind w:left="3597" w:hanging="360"/>
      </w:pPr>
    </w:lvl>
    <w:lvl w:ilvl="5" w:tplc="1C09001B" w:tentative="1">
      <w:start w:val="1"/>
      <w:numFmt w:val="lowerRoman"/>
      <w:lvlText w:val="%6."/>
      <w:lvlJc w:val="right"/>
      <w:pPr>
        <w:ind w:left="4317" w:hanging="180"/>
      </w:pPr>
    </w:lvl>
    <w:lvl w:ilvl="6" w:tplc="1C09000F" w:tentative="1">
      <w:start w:val="1"/>
      <w:numFmt w:val="decimal"/>
      <w:lvlText w:val="%7."/>
      <w:lvlJc w:val="left"/>
      <w:pPr>
        <w:ind w:left="5037" w:hanging="360"/>
      </w:pPr>
    </w:lvl>
    <w:lvl w:ilvl="7" w:tplc="1C090019" w:tentative="1">
      <w:start w:val="1"/>
      <w:numFmt w:val="lowerLetter"/>
      <w:lvlText w:val="%8."/>
      <w:lvlJc w:val="left"/>
      <w:pPr>
        <w:ind w:left="5757" w:hanging="360"/>
      </w:pPr>
    </w:lvl>
    <w:lvl w:ilvl="8" w:tplc="1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26816A44"/>
    <w:multiLevelType w:val="hybridMultilevel"/>
    <w:tmpl w:val="ED7EB2BA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A52557E"/>
    <w:multiLevelType w:val="hybridMultilevel"/>
    <w:tmpl w:val="E95AB5CE"/>
    <w:lvl w:ilvl="0" w:tplc="7B5AA38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23139"/>
    <w:multiLevelType w:val="hybridMultilevel"/>
    <w:tmpl w:val="13E0D70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>
    <w:nsid w:val="2EC45F84"/>
    <w:multiLevelType w:val="hybridMultilevel"/>
    <w:tmpl w:val="1E70F5FE"/>
    <w:lvl w:ilvl="0" w:tplc="6DBE6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8060FBA"/>
    <w:multiLevelType w:val="hybridMultilevel"/>
    <w:tmpl w:val="9F1EEB78"/>
    <w:lvl w:ilvl="0" w:tplc="E0CEEFD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EB5371"/>
    <w:multiLevelType w:val="hybridMultilevel"/>
    <w:tmpl w:val="CCFC81BA"/>
    <w:lvl w:ilvl="0" w:tplc="5ED8196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2D93954"/>
    <w:multiLevelType w:val="hybridMultilevel"/>
    <w:tmpl w:val="A4A85E08"/>
    <w:lvl w:ilvl="0" w:tplc="5964AF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A7B24B2"/>
    <w:multiLevelType w:val="hybridMultilevel"/>
    <w:tmpl w:val="E1AC0B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A340AB"/>
    <w:multiLevelType w:val="hybridMultilevel"/>
    <w:tmpl w:val="EBBA0192"/>
    <w:lvl w:ilvl="0" w:tplc="81D89FF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CD7382"/>
    <w:multiLevelType w:val="hybridMultilevel"/>
    <w:tmpl w:val="EBBA0192"/>
    <w:lvl w:ilvl="0" w:tplc="81D89FF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292613"/>
    <w:multiLevelType w:val="hybridMultilevel"/>
    <w:tmpl w:val="E19A8104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4A904D8"/>
    <w:multiLevelType w:val="hybridMultilevel"/>
    <w:tmpl w:val="48AEB16A"/>
    <w:lvl w:ilvl="0" w:tplc="BD9CB564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69B51224"/>
    <w:multiLevelType w:val="hybridMultilevel"/>
    <w:tmpl w:val="51C0B9B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B6F59A4"/>
    <w:multiLevelType w:val="hybridMultilevel"/>
    <w:tmpl w:val="5CBE4F4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72090903"/>
    <w:multiLevelType w:val="hybridMultilevel"/>
    <w:tmpl w:val="04360782"/>
    <w:lvl w:ilvl="0" w:tplc="13C25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3B1599"/>
    <w:multiLevelType w:val="hybridMultilevel"/>
    <w:tmpl w:val="0D18B80E"/>
    <w:lvl w:ilvl="0" w:tplc="46CC7B3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7D865785"/>
    <w:multiLevelType w:val="hybridMultilevel"/>
    <w:tmpl w:val="3B72DCC2"/>
    <w:lvl w:ilvl="0" w:tplc="EBF834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1"/>
  </w:num>
  <w:num w:numId="5">
    <w:abstractNumId w:val="39"/>
  </w:num>
  <w:num w:numId="6">
    <w:abstractNumId w:val="4"/>
  </w:num>
  <w:num w:numId="7">
    <w:abstractNumId w:val="48"/>
  </w:num>
  <w:num w:numId="8">
    <w:abstractNumId w:val="14"/>
  </w:num>
  <w:num w:numId="9">
    <w:abstractNumId w:val="23"/>
  </w:num>
  <w:num w:numId="10">
    <w:abstractNumId w:val="41"/>
  </w:num>
  <w:num w:numId="11">
    <w:abstractNumId w:val="3"/>
  </w:num>
  <w:num w:numId="12">
    <w:abstractNumId w:val="29"/>
  </w:num>
  <w:num w:numId="13">
    <w:abstractNumId w:val="21"/>
  </w:num>
  <w:num w:numId="14">
    <w:abstractNumId w:val="24"/>
  </w:num>
  <w:num w:numId="15">
    <w:abstractNumId w:val="12"/>
  </w:num>
  <w:num w:numId="16">
    <w:abstractNumId w:val="22"/>
  </w:num>
  <w:num w:numId="17">
    <w:abstractNumId w:val="45"/>
  </w:num>
  <w:num w:numId="18">
    <w:abstractNumId w:val="30"/>
  </w:num>
  <w:num w:numId="19">
    <w:abstractNumId w:val="26"/>
  </w:num>
  <w:num w:numId="20">
    <w:abstractNumId w:val="44"/>
  </w:num>
  <w:num w:numId="21">
    <w:abstractNumId w:val="35"/>
  </w:num>
  <w:num w:numId="22">
    <w:abstractNumId w:val="36"/>
  </w:num>
  <w:num w:numId="23">
    <w:abstractNumId w:val="11"/>
  </w:num>
  <w:num w:numId="24">
    <w:abstractNumId w:val="37"/>
  </w:num>
  <w:num w:numId="25">
    <w:abstractNumId w:val="6"/>
  </w:num>
  <w:num w:numId="26">
    <w:abstractNumId w:val="10"/>
  </w:num>
  <w:num w:numId="27">
    <w:abstractNumId w:val="32"/>
  </w:num>
  <w:num w:numId="28">
    <w:abstractNumId w:val="46"/>
  </w:num>
  <w:num w:numId="29">
    <w:abstractNumId w:val="8"/>
  </w:num>
  <w:num w:numId="30">
    <w:abstractNumId w:val="17"/>
  </w:num>
  <w:num w:numId="31">
    <w:abstractNumId w:val="2"/>
  </w:num>
  <w:num w:numId="32">
    <w:abstractNumId w:val="18"/>
  </w:num>
  <w:num w:numId="33">
    <w:abstractNumId w:val="25"/>
  </w:num>
  <w:num w:numId="34">
    <w:abstractNumId w:val="43"/>
  </w:num>
  <w:num w:numId="35">
    <w:abstractNumId w:val="49"/>
  </w:num>
  <w:num w:numId="36">
    <w:abstractNumId w:val="38"/>
  </w:num>
  <w:num w:numId="37">
    <w:abstractNumId w:val="9"/>
  </w:num>
  <w:num w:numId="38">
    <w:abstractNumId w:val="40"/>
  </w:num>
  <w:num w:numId="39">
    <w:abstractNumId w:val="42"/>
  </w:num>
  <w:num w:numId="40">
    <w:abstractNumId w:val="7"/>
  </w:num>
  <w:num w:numId="41">
    <w:abstractNumId w:val="1"/>
  </w:num>
  <w:num w:numId="42">
    <w:abstractNumId w:val="20"/>
  </w:num>
  <w:num w:numId="43">
    <w:abstractNumId w:val="13"/>
  </w:num>
  <w:num w:numId="44">
    <w:abstractNumId w:val="28"/>
  </w:num>
  <w:num w:numId="45">
    <w:abstractNumId w:val="47"/>
  </w:num>
  <w:num w:numId="46">
    <w:abstractNumId w:val="16"/>
  </w:num>
  <w:num w:numId="47">
    <w:abstractNumId w:val="34"/>
  </w:num>
  <w:num w:numId="48">
    <w:abstractNumId w:val="33"/>
  </w:num>
  <w:num w:numId="49">
    <w:abstractNumId w:val="27"/>
  </w:num>
  <w:num w:numId="50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4105D"/>
    <w:rsid w:val="0004190C"/>
    <w:rsid w:val="00046588"/>
    <w:rsid w:val="0005194E"/>
    <w:rsid w:val="00052CE2"/>
    <w:rsid w:val="00070401"/>
    <w:rsid w:val="0007147A"/>
    <w:rsid w:val="00072E1B"/>
    <w:rsid w:val="0007655F"/>
    <w:rsid w:val="00080B73"/>
    <w:rsid w:val="000A10FA"/>
    <w:rsid w:val="000A3DA5"/>
    <w:rsid w:val="000A4BF0"/>
    <w:rsid w:val="000B5E45"/>
    <w:rsid w:val="000C01D4"/>
    <w:rsid w:val="000D4F57"/>
    <w:rsid w:val="000D5604"/>
    <w:rsid w:val="000E6772"/>
    <w:rsid w:val="000E7085"/>
    <w:rsid w:val="000E76BA"/>
    <w:rsid w:val="000F24EB"/>
    <w:rsid w:val="000F7117"/>
    <w:rsid w:val="00105174"/>
    <w:rsid w:val="00110B8F"/>
    <w:rsid w:val="00120775"/>
    <w:rsid w:val="001215F7"/>
    <w:rsid w:val="00130BDB"/>
    <w:rsid w:val="001314B9"/>
    <w:rsid w:val="00134C16"/>
    <w:rsid w:val="001354F5"/>
    <w:rsid w:val="00144111"/>
    <w:rsid w:val="00156483"/>
    <w:rsid w:val="001702F2"/>
    <w:rsid w:val="00173403"/>
    <w:rsid w:val="0017560C"/>
    <w:rsid w:val="00176E20"/>
    <w:rsid w:val="001774BC"/>
    <w:rsid w:val="00177C3D"/>
    <w:rsid w:val="001848C4"/>
    <w:rsid w:val="00186EAE"/>
    <w:rsid w:val="00192D26"/>
    <w:rsid w:val="00194B05"/>
    <w:rsid w:val="0019515C"/>
    <w:rsid w:val="001A6D2A"/>
    <w:rsid w:val="001B00F0"/>
    <w:rsid w:val="001D2E53"/>
    <w:rsid w:val="001D4F07"/>
    <w:rsid w:val="001D66DF"/>
    <w:rsid w:val="001E1BE7"/>
    <w:rsid w:val="001F41F3"/>
    <w:rsid w:val="001F445E"/>
    <w:rsid w:val="00203F6A"/>
    <w:rsid w:val="002120C0"/>
    <w:rsid w:val="00213182"/>
    <w:rsid w:val="0021549B"/>
    <w:rsid w:val="00225963"/>
    <w:rsid w:val="002269FD"/>
    <w:rsid w:val="00262ACE"/>
    <w:rsid w:val="002764C9"/>
    <w:rsid w:val="00281574"/>
    <w:rsid w:val="002857B6"/>
    <w:rsid w:val="00286311"/>
    <w:rsid w:val="00291065"/>
    <w:rsid w:val="002A0DB1"/>
    <w:rsid w:val="002A2B47"/>
    <w:rsid w:val="002B2B31"/>
    <w:rsid w:val="002B6D18"/>
    <w:rsid w:val="002C719B"/>
    <w:rsid w:val="002D5BF7"/>
    <w:rsid w:val="002D7BBD"/>
    <w:rsid w:val="002E16F9"/>
    <w:rsid w:val="002E7253"/>
    <w:rsid w:val="002F22DD"/>
    <w:rsid w:val="0031652F"/>
    <w:rsid w:val="00322BA4"/>
    <w:rsid w:val="003401CA"/>
    <w:rsid w:val="00346942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D0A94"/>
    <w:rsid w:val="003D526D"/>
    <w:rsid w:val="003D780B"/>
    <w:rsid w:val="003E0CEE"/>
    <w:rsid w:val="003F2E8D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443E6"/>
    <w:rsid w:val="00447BA5"/>
    <w:rsid w:val="004572CE"/>
    <w:rsid w:val="00465448"/>
    <w:rsid w:val="00465A51"/>
    <w:rsid w:val="004926BD"/>
    <w:rsid w:val="00494849"/>
    <w:rsid w:val="004B6B6B"/>
    <w:rsid w:val="004E7CD4"/>
    <w:rsid w:val="004F6FEC"/>
    <w:rsid w:val="00502868"/>
    <w:rsid w:val="00506219"/>
    <w:rsid w:val="00515B6A"/>
    <w:rsid w:val="005160F8"/>
    <w:rsid w:val="00524D8E"/>
    <w:rsid w:val="0054211D"/>
    <w:rsid w:val="00542F7B"/>
    <w:rsid w:val="00543605"/>
    <w:rsid w:val="005454FB"/>
    <w:rsid w:val="005601A1"/>
    <w:rsid w:val="005703A4"/>
    <w:rsid w:val="00572F09"/>
    <w:rsid w:val="005772C1"/>
    <w:rsid w:val="005835BC"/>
    <w:rsid w:val="005856A7"/>
    <w:rsid w:val="00585897"/>
    <w:rsid w:val="005A42CF"/>
    <w:rsid w:val="005B6209"/>
    <w:rsid w:val="005D1EEF"/>
    <w:rsid w:val="005E365A"/>
    <w:rsid w:val="005E6608"/>
    <w:rsid w:val="00612214"/>
    <w:rsid w:val="00617A8A"/>
    <w:rsid w:val="00625CD7"/>
    <w:rsid w:val="00630932"/>
    <w:rsid w:val="006312CE"/>
    <w:rsid w:val="00653FE5"/>
    <w:rsid w:val="00661BE2"/>
    <w:rsid w:val="00664174"/>
    <w:rsid w:val="00670788"/>
    <w:rsid w:val="0067545A"/>
    <w:rsid w:val="006959E4"/>
    <w:rsid w:val="006A1DDE"/>
    <w:rsid w:val="006B0F80"/>
    <w:rsid w:val="006C04FD"/>
    <w:rsid w:val="006C0567"/>
    <w:rsid w:val="006D21F9"/>
    <w:rsid w:val="006D7E71"/>
    <w:rsid w:val="006F2454"/>
    <w:rsid w:val="006F63D7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65301"/>
    <w:rsid w:val="00774F8F"/>
    <w:rsid w:val="00777A77"/>
    <w:rsid w:val="0078425B"/>
    <w:rsid w:val="00791471"/>
    <w:rsid w:val="007961D4"/>
    <w:rsid w:val="007B6293"/>
    <w:rsid w:val="007B7829"/>
    <w:rsid w:val="007C0AC3"/>
    <w:rsid w:val="007C1863"/>
    <w:rsid w:val="007E6925"/>
    <w:rsid w:val="007E7201"/>
    <w:rsid w:val="007F2B0B"/>
    <w:rsid w:val="007F3217"/>
    <w:rsid w:val="008169B8"/>
    <w:rsid w:val="00822C96"/>
    <w:rsid w:val="00846897"/>
    <w:rsid w:val="00865132"/>
    <w:rsid w:val="008769EF"/>
    <w:rsid w:val="00881381"/>
    <w:rsid w:val="00892846"/>
    <w:rsid w:val="00896F33"/>
    <w:rsid w:val="008A1398"/>
    <w:rsid w:val="008A1837"/>
    <w:rsid w:val="008B1BCF"/>
    <w:rsid w:val="008C1068"/>
    <w:rsid w:val="008C1A56"/>
    <w:rsid w:val="008D4373"/>
    <w:rsid w:val="008E0316"/>
    <w:rsid w:val="008E312C"/>
    <w:rsid w:val="008E78E6"/>
    <w:rsid w:val="008F366F"/>
    <w:rsid w:val="008F5258"/>
    <w:rsid w:val="008F6A5A"/>
    <w:rsid w:val="009025C1"/>
    <w:rsid w:val="00905C38"/>
    <w:rsid w:val="00911E50"/>
    <w:rsid w:val="00913892"/>
    <w:rsid w:val="0092193B"/>
    <w:rsid w:val="009229AD"/>
    <w:rsid w:val="00930DCE"/>
    <w:rsid w:val="0094372F"/>
    <w:rsid w:val="009541F2"/>
    <w:rsid w:val="009551F2"/>
    <w:rsid w:val="00973033"/>
    <w:rsid w:val="009761A7"/>
    <w:rsid w:val="00983C6B"/>
    <w:rsid w:val="00985525"/>
    <w:rsid w:val="009868D6"/>
    <w:rsid w:val="0098762D"/>
    <w:rsid w:val="00994FDF"/>
    <w:rsid w:val="009A053C"/>
    <w:rsid w:val="009A755B"/>
    <w:rsid w:val="009B0CAB"/>
    <w:rsid w:val="009C333E"/>
    <w:rsid w:val="009D4F78"/>
    <w:rsid w:val="009D6016"/>
    <w:rsid w:val="009E0268"/>
    <w:rsid w:val="009E1C96"/>
    <w:rsid w:val="009F17AE"/>
    <w:rsid w:val="009F1B70"/>
    <w:rsid w:val="009F2D5C"/>
    <w:rsid w:val="00A13BBD"/>
    <w:rsid w:val="00A2406F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86266"/>
    <w:rsid w:val="00A900AA"/>
    <w:rsid w:val="00AA2AB0"/>
    <w:rsid w:val="00AA39AC"/>
    <w:rsid w:val="00AD7B7A"/>
    <w:rsid w:val="00AE62B0"/>
    <w:rsid w:val="00AF0F1A"/>
    <w:rsid w:val="00AF196D"/>
    <w:rsid w:val="00AF5D91"/>
    <w:rsid w:val="00B021CE"/>
    <w:rsid w:val="00B13369"/>
    <w:rsid w:val="00B170EA"/>
    <w:rsid w:val="00B24BC4"/>
    <w:rsid w:val="00B26AB3"/>
    <w:rsid w:val="00B26D76"/>
    <w:rsid w:val="00B40A2F"/>
    <w:rsid w:val="00B45E45"/>
    <w:rsid w:val="00B46E62"/>
    <w:rsid w:val="00B553A6"/>
    <w:rsid w:val="00B8345D"/>
    <w:rsid w:val="00B958BA"/>
    <w:rsid w:val="00BA3361"/>
    <w:rsid w:val="00BA3A67"/>
    <w:rsid w:val="00BA61AF"/>
    <w:rsid w:val="00BB53A8"/>
    <w:rsid w:val="00BB7991"/>
    <w:rsid w:val="00BC1021"/>
    <w:rsid w:val="00BC7AFB"/>
    <w:rsid w:val="00BD597B"/>
    <w:rsid w:val="00BD6D36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73758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D042D"/>
    <w:rsid w:val="00CD3DB4"/>
    <w:rsid w:val="00CD4D18"/>
    <w:rsid w:val="00CE0598"/>
    <w:rsid w:val="00CE5D18"/>
    <w:rsid w:val="00CF1B81"/>
    <w:rsid w:val="00D0607D"/>
    <w:rsid w:val="00D209A0"/>
    <w:rsid w:val="00D222F0"/>
    <w:rsid w:val="00D24750"/>
    <w:rsid w:val="00D3067D"/>
    <w:rsid w:val="00D41538"/>
    <w:rsid w:val="00D44828"/>
    <w:rsid w:val="00D463C8"/>
    <w:rsid w:val="00D50C5D"/>
    <w:rsid w:val="00D56B43"/>
    <w:rsid w:val="00D6158A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F2638"/>
    <w:rsid w:val="00E1080E"/>
    <w:rsid w:val="00E17F42"/>
    <w:rsid w:val="00E21A66"/>
    <w:rsid w:val="00E30F9B"/>
    <w:rsid w:val="00E44AFC"/>
    <w:rsid w:val="00E55AFD"/>
    <w:rsid w:val="00E935F8"/>
    <w:rsid w:val="00EA4D5C"/>
    <w:rsid w:val="00EA53D2"/>
    <w:rsid w:val="00EA7A64"/>
    <w:rsid w:val="00EB54FA"/>
    <w:rsid w:val="00EB5C9A"/>
    <w:rsid w:val="00EC5379"/>
    <w:rsid w:val="00ED072E"/>
    <w:rsid w:val="00ED5CF6"/>
    <w:rsid w:val="00EE1177"/>
    <w:rsid w:val="00EE6AD6"/>
    <w:rsid w:val="00EF081C"/>
    <w:rsid w:val="00EF2E4B"/>
    <w:rsid w:val="00EF32C9"/>
    <w:rsid w:val="00F20EAD"/>
    <w:rsid w:val="00F220CD"/>
    <w:rsid w:val="00F26B86"/>
    <w:rsid w:val="00F31805"/>
    <w:rsid w:val="00F3487E"/>
    <w:rsid w:val="00F36003"/>
    <w:rsid w:val="00F400F2"/>
    <w:rsid w:val="00F475A6"/>
    <w:rsid w:val="00F5419D"/>
    <w:rsid w:val="00F55893"/>
    <w:rsid w:val="00F63F57"/>
    <w:rsid w:val="00F646C9"/>
    <w:rsid w:val="00F64DCD"/>
    <w:rsid w:val="00F72C8D"/>
    <w:rsid w:val="00F739F4"/>
    <w:rsid w:val="00F845F2"/>
    <w:rsid w:val="00F86709"/>
    <w:rsid w:val="00F91926"/>
    <w:rsid w:val="00F95D9E"/>
    <w:rsid w:val="00FA26A6"/>
    <w:rsid w:val="00FA4D8E"/>
    <w:rsid w:val="00FD32ED"/>
    <w:rsid w:val="00FD54AD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B45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ZA" w:eastAsia="en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  <w:style w:type="character" w:customStyle="1" w:styleId="Heading1Char">
    <w:name w:val="Heading 1 Char"/>
    <w:link w:val="Heading1"/>
    <w:uiPriority w:val="9"/>
    <w:rsid w:val="00B45E4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B45E4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25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59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25963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9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5963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2021-04-26T05:17:00Z</cp:lastPrinted>
  <dcterms:created xsi:type="dcterms:W3CDTF">2021-07-09T14:19:00Z</dcterms:created>
  <dcterms:modified xsi:type="dcterms:W3CDTF">2021-07-09T14:19:00Z</dcterms:modified>
</cp:coreProperties>
</file>