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9176D6"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6B7DDE">
        <w:rPr>
          <w:b/>
          <w:sz w:val="24"/>
          <w:szCs w:val="24"/>
        </w:rPr>
        <w:t>1005</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142C4F">
        <w:rPr>
          <w:b/>
          <w:sz w:val="24"/>
          <w:szCs w:val="24"/>
        </w:rPr>
        <w:t>20</w:t>
      </w:r>
      <w:r w:rsidR="00B473D5">
        <w:rPr>
          <w:b/>
          <w:sz w:val="24"/>
          <w:szCs w:val="24"/>
        </w:rPr>
        <w:t xml:space="preserve"> SEPTEMBER </w:t>
      </w:r>
      <w:r w:rsidR="00B52604">
        <w:rPr>
          <w:b/>
          <w:sz w:val="24"/>
          <w:szCs w:val="24"/>
        </w:rPr>
        <w:t>2019</w:t>
      </w:r>
    </w:p>
    <w:p w:rsidR="00B177C5" w:rsidRDefault="00B177C5" w:rsidP="00B177C5">
      <w:pPr>
        <w:rPr>
          <w:b/>
          <w:sz w:val="24"/>
          <w:szCs w:val="24"/>
        </w:rPr>
      </w:pPr>
    </w:p>
    <w:p w:rsidR="006B7DDE" w:rsidRPr="00726A55" w:rsidRDefault="006B7DDE" w:rsidP="006B7DDE">
      <w:pPr>
        <w:spacing w:before="100" w:beforeAutospacing="1" w:after="100" w:afterAutospacing="1"/>
        <w:ind w:left="720" w:hanging="720"/>
        <w:jc w:val="both"/>
        <w:outlineLvl w:val="0"/>
        <w:rPr>
          <w:sz w:val="24"/>
        </w:rPr>
      </w:pPr>
      <w:r w:rsidRPr="00726A55">
        <w:rPr>
          <w:b/>
          <w:sz w:val="24"/>
        </w:rPr>
        <w:t xml:space="preserve">Ms E L Powell (DA) to ask the Minister of Human Settlements, Water and </w:t>
      </w:r>
      <w:r w:rsidRPr="00973A8A">
        <w:rPr>
          <w:b/>
          <w:sz w:val="24"/>
          <w:szCs w:val="24"/>
          <w:lang w:val="en-US"/>
        </w:rPr>
        <w:t>Sanitation</w:t>
      </w:r>
      <w:r>
        <w:rPr>
          <w:b/>
          <w:sz w:val="24"/>
          <w:szCs w:val="24"/>
          <w:lang w:val="en-US"/>
        </w:rPr>
        <w:fldChar w:fldCharType="begin"/>
      </w:r>
      <w:r>
        <w:instrText xml:space="preserve"> XE "</w:instrText>
      </w:r>
      <w:r w:rsidRPr="00A34FA1">
        <w:rPr>
          <w:b/>
          <w:sz w:val="24"/>
          <w:szCs w:val="24"/>
        </w:rPr>
        <w:instrText xml:space="preserve">Human Settlements, Water and </w:instrText>
      </w:r>
      <w:r w:rsidRPr="00A34FA1">
        <w:rPr>
          <w:b/>
          <w:sz w:val="24"/>
          <w:szCs w:val="24"/>
          <w:lang w:val="en-US"/>
        </w:rPr>
        <w:instrText>Sanitation</w:instrText>
      </w:r>
      <w:r>
        <w:instrText xml:space="preserve">" </w:instrText>
      </w:r>
      <w:r>
        <w:rPr>
          <w:b/>
          <w:sz w:val="24"/>
          <w:szCs w:val="24"/>
          <w:lang w:val="en-US"/>
        </w:rPr>
        <w:fldChar w:fldCharType="end"/>
      </w:r>
      <w:r w:rsidRPr="00726A55">
        <w:rPr>
          <w:b/>
          <w:sz w:val="24"/>
        </w:rPr>
        <w:t>:</w:t>
      </w:r>
    </w:p>
    <w:p w:rsidR="006B7DDE" w:rsidRPr="00726A55" w:rsidRDefault="006B7DDE" w:rsidP="00570911">
      <w:pPr>
        <w:spacing w:line="336" w:lineRule="auto"/>
        <w:ind w:left="720" w:hanging="720"/>
        <w:jc w:val="both"/>
        <w:rPr>
          <w:sz w:val="24"/>
        </w:rPr>
      </w:pPr>
      <w:r w:rsidRPr="00726A55">
        <w:rPr>
          <w:rFonts w:eastAsia="Calibri"/>
          <w:color w:val="000000"/>
          <w:sz w:val="24"/>
        </w:rPr>
        <w:t>(1)</w:t>
      </w:r>
      <w:r w:rsidRPr="00726A55">
        <w:rPr>
          <w:rFonts w:eastAsia="Calibri"/>
          <w:color w:val="000000"/>
          <w:sz w:val="24"/>
        </w:rPr>
        <w:tab/>
      </w:r>
      <w:r w:rsidRPr="00726A55">
        <w:rPr>
          <w:sz w:val="24"/>
        </w:rPr>
        <w:t xml:space="preserve">What (a) total amount did her department allocate to the Ekurhuleni Metropolitan Municipality in the Urban Settlement Development Grant for the current municipal financial </w:t>
      </w:r>
      <w:r w:rsidRPr="00726A55">
        <w:rPr>
          <w:rFonts w:eastAsia="Calibri"/>
          <w:color w:val="000000"/>
          <w:sz w:val="24"/>
        </w:rPr>
        <w:t>year</w:t>
      </w:r>
      <w:r w:rsidRPr="00726A55">
        <w:rPr>
          <w:sz w:val="24"/>
        </w:rPr>
        <w:t>, (b) portion of the specified amount did the specified municipality designate to install water and sanitation infrastructure and (c) portion of the amount allocated for water and sanitation infrastructure will be used in the Lindelani informal settlement;</w:t>
      </w:r>
    </w:p>
    <w:p w:rsidR="006B7DDE" w:rsidRPr="00726A55" w:rsidRDefault="006B7DDE" w:rsidP="00570911">
      <w:pPr>
        <w:spacing w:line="336" w:lineRule="auto"/>
        <w:ind w:left="720" w:hanging="720"/>
        <w:jc w:val="both"/>
        <w:rPr>
          <w:sz w:val="24"/>
        </w:rPr>
      </w:pPr>
      <w:r w:rsidRPr="00726A55">
        <w:rPr>
          <w:rFonts w:eastAsia="Calibri"/>
          <w:color w:val="000000"/>
          <w:sz w:val="24"/>
        </w:rPr>
        <w:t>(2)</w:t>
      </w:r>
      <w:r w:rsidRPr="00726A55">
        <w:rPr>
          <w:rFonts w:eastAsia="Calibri"/>
          <w:color w:val="000000"/>
          <w:sz w:val="24"/>
        </w:rPr>
        <w:tab/>
        <w:t>b</w:t>
      </w:r>
      <w:r w:rsidRPr="00726A55">
        <w:rPr>
          <w:sz w:val="24"/>
        </w:rPr>
        <w:t xml:space="preserve">y what date </w:t>
      </w:r>
      <w:r w:rsidRPr="00726A55">
        <w:rPr>
          <w:rFonts w:eastAsia="Calibri"/>
          <w:color w:val="000000"/>
          <w:sz w:val="24"/>
        </w:rPr>
        <w:t>will</w:t>
      </w:r>
      <w:r w:rsidRPr="00726A55">
        <w:rPr>
          <w:sz w:val="24"/>
        </w:rPr>
        <w:t xml:space="preserve"> all residents of Lindelani have access to piped, potable water within a 100 metre radius of their homes;</w:t>
      </w:r>
    </w:p>
    <w:p w:rsidR="006B7DDE" w:rsidRPr="00D12D85" w:rsidRDefault="006B7DDE" w:rsidP="00570911">
      <w:pPr>
        <w:spacing w:line="336" w:lineRule="auto"/>
        <w:ind w:left="720" w:hanging="720"/>
        <w:jc w:val="both"/>
      </w:pPr>
      <w:r w:rsidRPr="00726A55">
        <w:rPr>
          <w:rFonts w:eastAsia="Calibri"/>
          <w:color w:val="000000"/>
          <w:sz w:val="24"/>
        </w:rPr>
        <w:t>(3)</w:t>
      </w:r>
      <w:r w:rsidRPr="00726A55">
        <w:rPr>
          <w:sz w:val="24"/>
        </w:rPr>
        <w:t xml:space="preserve"> </w:t>
      </w:r>
      <w:r w:rsidRPr="00726A55">
        <w:rPr>
          <w:sz w:val="24"/>
        </w:rPr>
        <w:tab/>
        <w:t xml:space="preserve">(a) what number of chemical and container toilets are currently provided to residents in Lindelani, (b) what is the name of the company that was contracted to provide the chemical and </w:t>
      </w:r>
      <w:r w:rsidRPr="00726A55">
        <w:rPr>
          <w:rFonts w:eastAsia="Calibri"/>
          <w:color w:val="000000"/>
          <w:sz w:val="24"/>
        </w:rPr>
        <w:t>container</w:t>
      </w:r>
      <w:r w:rsidRPr="00726A55">
        <w:rPr>
          <w:sz w:val="24"/>
        </w:rPr>
        <w:t xml:space="preserve"> toilets, (c) what amount has the specified company been paid to date, (d) how often are the toilets serviced and (e) what remedial action is available to residents who experience broken toilets?</w:t>
      </w:r>
      <w:r w:rsidRPr="00726A55">
        <w:rPr>
          <w:sz w:val="24"/>
        </w:rPr>
        <w:tab/>
      </w:r>
      <w:r w:rsidRPr="00726A55">
        <w:rPr>
          <w:sz w:val="24"/>
        </w:rPr>
        <w:tab/>
      </w:r>
      <w:r w:rsidRPr="00726A55">
        <w:rPr>
          <w:sz w:val="24"/>
        </w:rPr>
        <w:tab/>
      </w:r>
      <w:r w:rsidRPr="00D12D85">
        <w:tab/>
      </w:r>
      <w:r>
        <w:tab/>
      </w:r>
      <w:r>
        <w:tab/>
      </w:r>
      <w:r>
        <w:tab/>
      </w:r>
      <w:r>
        <w:tab/>
      </w:r>
      <w:r>
        <w:tab/>
      </w:r>
      <w:r>
        <w:tab/>
      </w:r>
      <w:r>
        <w:tab/>
        <w:t xml:space="preserve">          </w:t>
      </w:r>
      <w:r w:rsidRPr="006B7DDE">
        <w:rPr>
          <w:b/>
        </w:rPr>
        <w:t>NW2157E</w:t>
      </w:r>
    </w:p>
    <w:p w:rsidR="00E161DB" w:rsidRDefault="00E161DB" w:rsidP="00832AD2">
      <w:pPr>
        <w:spacing w:line="276" w:lineRule="auto"/>
        <w:ind w:left="720" w:hanging="720"/>
        <w:jc w:val="both"/>
        <w:rPr>
          <w:b/>
          <w:sz w:val="24"/>
          <w:szCs w:val="24"/>
        </w:rPr>
      </w:pPr>
    </w:p>
    <w:p w:rsidR="00B52604" w:rsidRDefault="00B52604"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371AFD" w:rsidRDefault="00371AFD" w:rsidP="00832AD2">
      <w:pPr>
        <w:spacing w:line="276" w:lineRule="auto"/>
        <w:ind w:left="720" w:hanging="720"/>
        <w:jc w:val="both"/>
        <w:rPr>
          <w:b/>
          <w:sz w:val="24"/>
          <w:szCs w:val="24"/>
        </w:rPr>
      </w:pPr>
    </w:p>
    <w:p w:rsidR="001C1CC8" w:rsidRPr="00AC34CC" w:rsidRDefault="001C1CC8" w:rsidP="001C1CC8">
      <w:pPr>
        <w:spacing w:line="336" w:lineRule="auto"/>
        <w:ind w:left="720" w:hanging="720"/>
        <w:jc w:val="both"/>
        <w:rPr>
          <w:b/>
          <w:sz w:val="24"/>
          <w:szCs w:val="24"/>
        </w:rPr>
      </w:pPr>
      <w:r w:rsidRPr="00AC34CC">
        <w:rPr>
          <w:sz w:val="24"/>
          <w:szCs w:val="24"/>
        </w:rPr>
        <w:t>(1)(a)</w:t>
      </w:r>
      <w:r w:rsidRPr="00AC34CC">
        <w:rPr>
          <w:sz w:val="24"/>
          <w:szCs w:val="24"/>
        </w:rPr>
        <w:tab/>
        <w:t xml:space="preserve">The Urban Settlement Development Grant for the current municipal financial </w:t>
      </w:r>
      <w:r w:rsidR="00C416F1" w:rsidRPr="00AC34CC">
        <w:rPr>
          <w:sz w:val="24"/>
          <w:szCs w:val="24"/>
        </w:rPr>
        <w:t>year allocated</w:t>
      </w:r>
      <w:r w:rsidRPr="00AC34CC">
        <w:rPr>
          <w:sz w:val="24"/>
          <w:szCs w:val="24"/>
        </w:rPr>
        <w:t xml:space="preserve"> to the City of Ekurhuleni is R2.092 billion.</w:t>
      </w:r>
    </w:p>
    <w:p w:rsidR="001C1CC8" w:rsidRPr="00AC34CC" w:rsidRDefault="001C1CC8" w:rsidP="001C1CC8">
      <w:pPr>
        <w:pStyle w:val="ListParagraph"/>
        <w:spacing w:line="336" w:lineRule="auto"/>
        <w:ind w:left="643"/>
        <w:jc w:val="both"/>
      </w:pPr>
    </w:p>
    <w:p w:rsidR="001C1CC8" w:rsidRPr="00AC34CC" w:rsidRDefault="001C1CC8" w:rsidP="001C1CC8">
      <w:pPr>
        <w:spacing w:line="336" w:lineRule="auto"/>
        <w:ind w:left="720" w:hanging="720"/>
        <w:jc w:val="both"/>
        <w:rPr>
          <w:sz w:val="24"/>
          <w:szCs w:val="24"/>
        </w:rPr>
      </w:pPr>
      <w:r w:rsidRPr="00AC34CC">
        <w:rPr>
          <w:sz w:val="24"/>
          <w:szCs w:val="24"/>
        </w:rPr>
        <w:lastRenderedPageBreak/>
        <w:t xml:space="preserve">    (b) </w:t>
      </w:r>
      <w:r w:rsidRPr="00AC34CC">
        <w:rPr>
          <w:sz w:val="24"/>
          <w:szCs w:val="24"/>
        </w:rPr>
        <w:tab/>
        <w:t>A total of R25</w:t>
      </w:r>
      <w:r w:rsidR="002D050D">
        <w:rPr>
          <w:sz w:val="24"/>
          <w:szCs w:val="24"/>
        </w:rPr>
        <w:t xml:space="preserve"> </w:t>
      </w:r>
      <w:r w:rsidRPr="00AC34CC">
        <w:rPr>
          <w:sz w:val="24"/>
          <w:szCs w:val="24"/>
        </w:rPr>
        <w:t>000</w:t>
      </w:r>
      <w:r w:rsidR="002D050D">
        <w:rPr>
          <w:sz w:val="24"/>
          <w:szCs w:val="24"/>
        </w:rPr>
        <w:t xml:space="preserve"> </w:t>
      </w:r>
      <w:r w:rsidRPr="00AC34CC">
        <w:rPr>
          <w:sz w:val="24"/>
          <w:szCs w:val="24"/>
        </w:rPr>
        <w:t xml:space="preserve">000 was allocated to install water and sanitation infrastructure                        for both formal and informal settlements. </w:t>
      </w:r>
    </w:p>
    <w:p w:rsidR="001C1CC8" w:rsidRPr="00AC34CC" w:rsidRDefault="001C1CC8" w:rsidP="001C1CC8">
      <w:pPr>
        <w:spacing w:line="336" w:lineRule="auto"/>
        <w:ind w:left="360" w:firstLine="360"/>
        <w:jc w:val="both"/>
        <w:rPr>
          <w:sz w:val="24"/>
          <w:szCs w:val="24"/>
        </w:rPr>
      </w:pPr>
    </w:p>
    <w:p w:rsidR="001C1CC8" w:rsidRPr="00AC34CC" w:rsidRDefault="001C1CC8" w:rsidP="001C1CC8">
      <w:pPr>
        <w:spacing w:line="336" w:lineRule="auto"/>
        <w:ind w:left="709" w:hanging="709"/>
        <w:jc w:val="both"/>
        <w:rPr>
          <w:sz w:val="24"/>
          <w:szCs w:val="24"/>
        </w:rPr>
      </w:pPr>
      <w:r w:rsidRPr="00AC34CC">
        <w:rPr>
          <w:sz w:val="24"/>
          <w:szCs w:val="24"/>
        </w:rPr>
        <w:t xml:space="preserve">    (c) </w:t>
      </w:r>
      <w:r w:rsidRPr="00AC34CC">
        <w:rPr>
          <w:sz w:val="24"/>
          <w:szCs w:val="24"/>
        </w:rPr>
        <w:tab/>
        <w:t>The water and sanitation service ratio for Lindelani Informal Settlement is adequate and in certain instances exceeds the minimum standard, therefore no budget was allocated.</w:t>
      </w:r>
    </w:p>
    <w:p w:rsidR="001C1CC8" w:rsidRPr="00AC34CC" w:rsidRDefault="001C1CC8" w:rsidP="001C1CC8">
      <w:pPr>
        <w:spacing w:line="336" w:lineRule="auto"/>
        <w:ind w:left="709" w:hanging="709"/>
        <w:jc w:val="both"/>
        <w:rPr>
          <w:sz w:val="24"/>
          <w:szCs w:val="24"/>
        </w:rPr>
      </w:pPr>
    </w:p>
    <w:p w:rsidR="001C1CC8" w:rsidRPr="00AC34CC" w:rsidRDefault="001C1CC8" w:rsidP="00AC34CC">
      <w:pPr>
        <w:spacing w:line="336" w:lineRule="auto"/>
        <w:ind w:left="709" w:hanging="709"/>
        <w:jc w:val="both"/>
        <w:rPr>
          <w:sz w:val="24"/>
          <w:szCs w:val="24"/>
        </w:rPr>
      </w:pPr>
      <w:r w:rsidRPr="00AC34CC">
        <w:rPr>
          <w:sz w:val="24"/>
          <w:szCs w:val="24"/>
        </w:rPr>
        <w:t>(2)</w:t>
      </w:r>
      <w:r w:rsidRPr="00AC34CC">
        <w:rPr>
          <w:sz w:val="24"/>
          <w:szCs w:val="24"/>
        </w:rPr>
        <w:tab/>
        <w:t xml:space="preserve">There are three permanent stand pipes that have been provided to the community of Lindelani and four (4) water tankers deliver water on a daily basis within a radius of 100 meters from every household. </w:t>
      </w:r>
      <w:r w:rsidR="00AC34CC">
        <w:rPr>
          <w:sz w:val="24"/>
          <w:szCs w:val="24"/>
        </w:rPr>
        <w:t>T</w:t>
      </w:r>
      <w:r w:rsidRPr="00AC34CC">
        <w:rPr>
          <w:sz w:val="24"/>
          <w:szCs w:val="24"/>
        </w:rPr>
        <w:t xml:space="preserve">he residents of Lindelani have access to piped and potable water within a radius of 100 meters from their homes. The City of Ekurhuleni is installing more water points in the areas that are expanding. </w:t>
      </w:r>
    </w:p>
    <w:p w:rsidR="001C1CC8" w:rsidRPr="00AC34CC" w:rsidRDefault="001C1CC8" w:rsidP="001C1CC8">
      <w:pPr>
        <w:spacing w:line="336" w:lineRule="auto"/>
        <w:ind w:left="720" w:hanging="720"/>
        <w:jc w:val="both"/>
        <w:rPr>
          <w:sz w:val="24"/>
          <w:szCs w:val="24"/>
        </w:rPr>
      </w:pPr>
      <w:r w:rsidRPr="00AC34CC">
        <w:rPr>
          <w:sz w:val="24"/>
          <w:szCs w:val="24"/>
        </w:rPr>
        <w:tab/>
      </w:r>
    </w:p>
    <w:p w:rsidR="001C1CC8" w:rsidRPr="00AC34CC" w:rsidRDefault="001C1CC8" w:rsidP="001C1CC8">
      <w:pPr>
        <w:spacing w:line="336" w:lineRule="auto"/>
        <w:ind w:left="720" w:hanging="720"/>
        <w:jc w:val="both"/>
        <w:rPr>
          <w:rFonts w:eastAsia="Calibri"/>
          <w:sz w:val="24"/>
          <w:szCs w:val="24"/>
        </w:rPr>
      </w:pPr>
      <w:r w:rsidRPr="00AC34CC">
        <w:rPr>
          <w:rFonts w:eastAsia="Calibri"/>
          <w:color w:val="000000"/>
          <w:sz w:val="24"/>
          <w:szCs w:val="24"/>
        </w:rPr>
        <w:t>(3)</w:t>
      </w:r>
      <w:r w:rsidRPr="00AC34CC">
        <w:rPr>
          <w:sz w:val="24"/>
          <w:szCs w:val="24"/>
        </w:rPr>
        <w:t xml:space="preserve"> (a)</w:t>
      </w:r>
      <w:r w:rsidRPr="00AC34CC">
        <w:rPr>
          <w:sz w:val="24"/>
          <w:szCs w:val="24"/>
        </w:rPr>
        <w:tab/>
      </w:r>
      <w:r w:rsidRPr="00AC34CC">
        <w:rPr>
          <w:rFonts w:eastAsia="Calibri"/>
          <w:sz w:val="24"/>
          <w:szCs w:val="24"/>
        </w:rPr>
        <w:t>A total of 2</w:t>
      </w:r>
      <w:r w:rsidR="002D050D">
        <w:rPr>
          <w:rFonts w:eastAsia="Calibri"/>
          <w:sz w:val="24"/>
          <w:szCs w:val="24"/>
        </w:rPr>
        <w:t xml:space="preserve"> </w:t>
      </w:r>
      <w:r w:rsidRPr="00AC34CC">
        <w:rPr>
          <w:rFonts w:eastAsia="Calibri"/>
          <w:sz w:val="24"/>
          <w:szCs w:val="24"/>
        </w:rPr>
        <w:t>157 chemical toilets are provided for the Lindelani Informal settlement.</w:t>
      </w:r>
    </w:p>
    <w:p w:rsidR="001C1CC8" w:rsidRPr="00AC34CC" w:rsidRDefault="001C1CC8" w:rsidP="001C1CC8">
      <w:pPr>
        <w:spacing w:line="336" w:lineRule="auto"/>
        <w:ind w:left="720" w:hanging="720"/>
        <w:jc w:val="both"/>
        <w:rPr>
          <w:rFonts w:eastAsia="Calibri"/>
          <w:sz w:val="24"/>
          <w:szCs w:val="24"/>
        </w:rPr>
      </w:pPr>
    </w:p>
    <w:p w:rsidR="001C1CC8" w:rsidRPr="00AC34CC" w:rsidRDefault="001C1CC8" w:rsidP="001C1CC8">
      <w:pPr>
        <w:spacing w:line="336" w:lineRule="auto"/>
        <w:ind w:left="720" w:hanging="720"/>
        <w:jc w:val="both"/>
        <w:rPr>
          <w:sz w:val="24"/>
          <w:szCs w:val="24"/>
        </w:rPr>
      </w:pPr>
      <w:r w:rsidRPr="00AC34CC">
        <w:rPr>
          <w:rFonts w:eastAsia="Calibri"/>
          <w:color w:val="000000"/>
          <w:sz w:val="24"/>
          <w:szCs w:val="24"/>
        </w:rPr>
        <w:t xml:space="preserve">     (b)</w:t>
      </w:r>
      <w:r w:rsidRPr="00AC34CC">
        <w:rPr>
          <w:rFonts w:eastAsia="Calibri"/>
          <w:color w:val="000000"/>
          <w:sz w:val="24"/>
          <w:szCs w:val="24"/>
        </w:rPr>
        <w:tab/>
      </w:r>
      <w:r w:rsidRPr="00AC34CC">
        <w:rPr>
          <w:sz w:val="24"/>
          <w:szCs w:val="24"/>
        </w:rPr>
        <w:t xml:space="preserve">The company currently providing chemical toilets in Lindelani Informal Settlement is </w:t>
      </w:r>
    </w:p>
    <w:p w:rsidR="001C1CC8" w:rsidRPr="00AC34CC" w:rsidRDefault="001C1CC8" w:rsidP="001C1CC8">
      <w:pPr>
        <w:spacing w:line="336" w:lineRule="auto"/>
        <w:ind w:left="720" w:hanging="720"/>
        <w:jc w:val="both"/>
        <w:rPr>
          <w:sz w:val="24"/>
          <w:szCs w:val="24"/>
        </w:rPr>
      </w:pPr>
    </w:p>
    <w:p w:rsidR="001C1CC8" w:rsidRPr="00AC34CC" w:rsidRDefault="001C1CC8" w:rsidP="001C1CC8">
      <w:pPr>
        <w:spacing w:line="336" w:lineRule="auto"/>
        <w:ind w:left="720" w:hanging="720"/>
        <w:jc w:val="both"/>
        <w:rPr>
          <w:sz w:val="24"/>
          <w:szCs w:val="24"/>
        </w:rPr>
      </w:pPr>
      <w:r w:rsidRPr="00AC34CC">
        <w:rPr>
          <w:sz w:val="24"/>
          <w:szCs w:val="24"/>
        </w:rPr>
        <w:t xml:space="preserve">     (c) </w:t>
      </w:r>
      <w:r w:rsidRPr="00AC34CC">
        <w:rPr>
          <w:sz w:val="24"/>
          <w:szCs w:val="24"/>
        </w:rPr>
        <w:tab/>
        <w:t>A total of R 2 584 733, 10 has been paid since the new contract commenced on the 1</w:t>
      </w:r>
      <w:r w:rsidRPr="00AC34CC">
        <w:rPr>
          <w:sz w:val="24"/>
          <w:szCs w:val="24"/>
          <w:vertAlign w:val="superscript"/>
        </w:rPr>
        <w:t>st</w:t>
      </w:r>
      <w:r w:rsidRPr="00AC34CC">
        <w:rPr>
          <w:sz w:val="24"/>
          <w:szCs w:val="24"/>
        </w:rPr>
        <w:t xml:space="preserve"> of July 2019 </w:t>
      </w:r>
    </w:p>
    <w:p w:rsidR="001C1CC8" w:rsidRPr="00AC34CC" w:rsidRDefault="001C1CC8" w:rsidP="001C1CC8">
      <w:pPr>
        <w:spacing w:line="336" w:lineRule="auto"/>
        <w:ind w:left="720" w:hanging="720"/>
        <w:jc w:val="both"/>
        <w:rPr>
          <w:sz w:val="24"/>
          <w:szCs w:val="24"/>
        </w:rPr>
      </w:pPr>
    </w:p>
    <w:p w:rsidR="001C1CC8" w:rsidRPr="00AC34CC" w:rsidRDefault="001C1CC8" w:rsidP="001C1CC8">
      <w:pPr>
        <w:spacing w:line="336" w:lineRule="auto"/>
        <w:ind w:left="720" w:hanging="720"/>
        <w:jc w:val="both"/>
        <w:rPr>
          <w:sz w:val="24"/>
          <w:szCs w:val="24"/>
        </w:rPr>
      </w:pPr>
      <w:r w:rsidRPr="00AC34CC">
        <w:rPr>
          <w:sz w:val="24"/>
          <w:szCs w:val="24"/>
        </w:rPr>
        <w:t xml:space="preserve">     (d) </w:t>
      </w:r>
      <w:r w:rsidRPr="00AC34CC">
        <w:rPr>
          <w:sz w:val="24"/>
          <w:szCs w:val="24"/>
        </w:rPr>
        <w:tab/>
        <w:t xml:space="preserve">The toilets are serviced once a week. </w:t>
      </w:r>
    </w:p>
    <w:p w:rsidR="001C1CC8" w:rsidRPr="00AC34CC" w:rsidRDefault="001C1CC8" w:rsidP="001C1CC8">
      <w:pPr>
        <w:spacing w:line="336" w:lineRule="auto"/>
        <w:ind w:left="720" w:hanging="720"/>
        <w:jc w:val="both"/>
        <w:rPr>
          <w:sz w:val="24"/>
          <w:szCs w:val="24"/>
        </w:rPr>
      </w:pPr>
    </w:p>
    <w:p w:rsidR="001C1CC8" w:rsidRPr="00AC34CC" w:rsidRDefault="001C1CC8" w:rsidP="001C1CC8">
      <w:pPr>
        <w:spacing w:line="336" w:lineRule="auto"/>
        <w:ind w:left="720" w:hanging="720"/>
        <w:jc w:val="both"/>
        <w:rPr>
          <w:sz w:val="24"/>
          <w:szCs w:val="24"/>
        </w:rPr>
      </w:pPr>
      <w:r w:rsidRPr="00AC34CC">
        <w:rPr>
          <w:sz w:val="24"/>
          <w:szCs w:val="24"/>
        </w:rPr>
        <w:t xml:space="preserve">     (e) </w:t>
      </w:r>
      <w:r w:rsidRPr="00AC34CC">
        <w:rPr>
          <w:sz w:val="24"/>
          <w:szCs w:val="24"/>
        </w:rPr>
        <w:tab/>
        <w:t>In terms of the existing Service Level Agreement</w:t>
      </w:r>
      <w:r w:rsidR="00AC34CC">
        <w:rPr>
          <w:sz w:val="24"/>
          <w:szCs w:val="24"/>
        </w:rPr>
        <w:t>,</w:t>
      </w:r>
      <w:r w:rsidRPr="00AC34CC">
        <w:rPr>
          <w:sz w:val="24"/>
          <w:szCs w:val="24"/>
        </w:rPr>
        <w:t xml:space="preserve"> the service provider is responsible for the maintenance of the toilets. The City of Ekurhuleni provides oversight by ensuring that the service providers adhere to the contractual turnaround times for repairs.  </w:t>
      </w:r>
    </w:p>
    <w:p w:rsidR="001C1CC8" w:rsidRDefault="001C1CC8" w:rsidP="001C1CC8">
      <w:pPr>
        <w:spacing w:line="336" w:lineRule="auto"/>
        <w:ind w:left="720" w:hanging="720"/>
        <w:jc w:val="both"/>
      </w:pPr>
    </w:p>
    <w:p w:rsidR="00371AFD" w:rsidRPr="00371AFD" w:rsidRDefault="00FC40D3" w:rsidP="00FC40D3">
      <w:pPr>
        <w:tabs>
          <w:tab w:val="left" w:pos="2070"/>
        </w:tabs>
        <w:rPr>
          <w:sz w:val="24"/>
          <w:szCs w:val="24"/>
        </w:rPr>
      </w:pPr>
      <w:r>
        <w:rPr>
          <w:sz w:val="24"/>
          <w:szCs w:val="24"/>
        </w:rPr>
        <w:tab/>
      </w: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Pr="00371AFD" w:rsidRDefault="00371AFD" w:rsidP="00371AFD">
      <w:pPr>
        <w:rPr>
          <w:sz w:val="24"/>
          <w:szCs w:val="24"/>
        </w:rPr>
      </w:pPr>
    </w:p>
    <w:p w:rsidR="00371AFD" w:rsidRDefault="00371AFD" w:rsidP="00371AFD">
      <w:pPr>
        <w:rPr>
          <w:sz w:val="24"/>
          <w:szCs w:val="24"/>
        </w:rPr>
      </w:pPr>
    </w:p>
    <w:p w:rsidR="00371AFD" w:rsidRDefault="00371AFD" w:rsidP="00371AFD">
      <w:pPr>
        <w:rPr>
          <w:sz w:val="24"/>
          <w:szCs w:val="24"/>
        </w:rPr>
      </w:pPr>
    </w:p>
    <w:p w:rsidR="000F7154" w:rsidRPr="00371AFD" w:rsidRDefault="00371AFD" w:rsidP="00371AFD">
      <w:pPr>
        <w:tabs>
          <w:tab w:val="left" w:pos="8640"/>
        </w:tabs>
        <w:rPr>
          <w:sz w:val="24"/>
          <w:szCs w:val="24"/>
        </w:rPr>
      </w:pPr>
      <w:r>
        <w:rPr>
          <w:sz w:val="24"/>
          <w:szCs w:val="24"/>
        </w:rPr>
        <w:tab/>
      </w:r>
    </w:p>
    <w:sectPr w:rsidR="000F7154" w:rsidRPr="00371AF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A5" w:rsidRDefault="00BA40A5" w:rsidP="00054FEC">
      <w:r>
        <w:separator/>
      </w:r>
    </w:p>
  </w:endnote>
  <w:endnote w:type="continuationSeparator" w:id="0">
    <w:p w:rsidR="00BA40A5" w:rsidRDefault="00BA40A5"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A5" w:rsidRDefault="00BA40A5" w:rsidP="00054FEC">
      <w:r>
        <w:separator/>
      </w:r>
    </w:p>
  </w:footnote>
  <w:footnote w:type="continuationSeparator" w:id="0">
    <w:p w:rsidR="00BA40A5" w:rsidRDefault="00BA40A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1005</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6D6"/>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A40A5"/>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A705A"/>
    <w:rsid w:val="00EB6AA1"/>
    <w:rsid w:val="00EC171E"/>
    <w:rsid w:val="00EC1A90"/>
    <w:rsid w:val="00EC5D81"/>
    <w:rsid w:val="00EC6A09"/>
    <w:rsid w:val="00ED344E"/>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2019-10-07T13:44:00Z</dcterms:created>
  <dcterms:modified xsi:type="dcterms:W3CDTF">2019-10-07T13:44:00Z</dcterms:modified>
</cp:coreProperties>
</file>