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Start w:id="1" w:name="_Hlk34206045"/>
      <w:bookmarkStart w:id="2" w:name="_Hlk74243434"/>
      <w:bookmarkStart w:id="3" w:name="_Hlk95472905"/>
      <w:bookmarkEnd w:id="0"/>
      <w:r w:rsidRPr="002D596F">
        <w:rPr>
          <w:rFonts w:ascii="Arial" w:hAnsi="Arial" w:cs="Arial"/>
          <w:b/>
        </w:rPr>
        <w:t>NATIONAL ASSEMBLY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QUESTION FOR WRITTEN REPLY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4" w:name="_Hlk65832587"/>
      <w:bookmarkStart w:id="5" w:name="_Hlk55548705"/>
      <w:r w:rsidRPr="002D596F">
        <w:rPr>
          <w:rFonts w:ascii="Arial" w:hAnsi="Arial" w:cs="Arial"/>
          <w:b/>
        </w:rPr>
        <w:t xml:space="preserve">QUESTION NUMBER: </w:t>
      </w:r>
      <w:bookmarkStart w:id="6" w:name="_Hlk34208942"/>
      <w:bookmarkStart w:id="7" w:name="_Hlk49113957"/>
      <w:r w:rsidR="00900714" w:rsidRPr="00900714">
        <w:rPr>
          <w:rFonts w:ascii="Arial" w:hAnsi="Arial" w:cs="Arial"/>
          <w:b/>
          <w:lang w:val="en-GB"/>
        </w:rPr>
        <w:t>1001</w:t>
      </w:r>
      <w:r w:rsidR="00B75149">
        <w:rPr>
          <w:rFonts w:ascii="Arial" w:hAnsi="Arial" w:cs="Arial"/>
          <w:b/>
        </w:rPr>
        <w:t xml:space="preserve"> </w:t>
      </w:r>
      <w:bookmarkStart w:id="8" w:name="_Hlk128734672"/>
      <w:r w:rsidRPr="002D596F">
        <w:rPr>
          <w:rFonts w:ascii="Arial" w:hAnsi="Arial" w:cs="Arial"/>
          <w:b/>
        </w:rPr>
        <w:t>[</w:t>
      </w:r>
      <w:r w:rsidR="00900714" w:rsidRPr="00900714">
        <w:rPr>
          <w:rFonts w:ascii="Arial" w:hAnsi="Arial" w:cs="Arial"/>
          <w:b/>
        </w:rPr>
        <w:t>NW1131E</w:t>
      </w:r>
      <w:r w:rsidRPr="002D596F">
        <w:rPr>
          <w:rFonts w:ascii="Arial" w:hAnsi="Arial" w:cs="Arial"/>
          <w:b/>
        </w:rPr>
        <w:t>]</w:t>
      </w:r>
      <w:bookmarkEnd w:id="6"/>
      <w:bookmarkEnd w:id="8"/>
    </w:p>
    <w:p w:rsidR="005C4707" w:rsidRPr="002D596F" w:rsidRDefault="005C4707" w:rsidP="004E3C6A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 xml:space="preserve">DATE OF PUBLICATION: </w:t>
      </w:r>
      <w:bookmarkEnd w:id="1"/>
      <w:bookmarkEnd w:id="2"/>
      <w:bookmarkEnd w:id="3"/>
      <w:bookmarkEnd w:id="4"/>
      <w:bookmarkEnd w:id="5"/>
      <w:bookmarkEnd w:id="7"/>
      <w:r w:rsidR="00900714">
        <w:rPr>
          <w:rFonts w:ascii="Arial" w:hAnsi="Arial" w:cs="Arial"/>
          <w:b/>
        </w:rPr>
        <w:t>17</w:t>
      </w:r>
      <w:r w:rsidR="002D596F" w:rsidRPr="002D596F">
        <w:rPr>
          <w:rFonts w:ascii="Arial" w:hAnsi="Arial" w:cs="Arial"/>
          <w:b/>
        </w:rPr>
        <w:t xml:space="preserve"> </w:t>
      </w:r>
      <w:r w:rsidR="0040249A">
        <w:rPr>
          <w:rFonts w:ascii="Arial" w:hAnsi="Arial" w:cs="Arial"/>
          <w:b/>
        </w:rPr>
        <w:t>MARCH</w:t>
      </w:r>
      <w:r w:rsidR="002D596F" w:rsidRPr="002D596F">
        <w:rPr>
          <w:rFonts w:ascii="Arial" w:hAnsi="Arial" w:cs="Arial"/>
          <w:b/>
        </w:rPr>
        <w:t xml:space="preserve"> 2023</w:t>
      </w:r>
    </w:p>
    <w:p w:rsidR="005C4707" w:rsidRDefault="005C4707" w:rsidP="005C4707">
      <w:pPr>
        <w:ind w:right="26"/>
        <w:jc w:val="both"/>
      </w:pPr>
    </w:p>
    <w:p w:rsidR="00900714" w:rsidRPr="00900714" w:rsidRDefault="00900714" w:rsidP="00900714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lang w:val="en-GB"/>
        </w:rPr>
      </w:pPr>
      <w:r w:rsidRPr="00900714">
        <w:rPr>
          <w:rFonts w:ascii="Arial" w:hAnsi="Arial" w:cs="Arial"/>
          <w:b/>
          <w:lang w:val="en-GB"/>
        </w:rPr>
        <w:t>1001.</w:t>
      </w:r>
      <w:r w:rsidRPr="00900714">
        <w:rPr>
          <w:rFonts w:ascii="Arial" w:hAnsi="Arial" w:cs="Arial"/>
          <w:b/>
          <w:lang w:val="en-GB"/>
        </w:rPr>
        <w:tab/>
        <w:t>Mr A M Shaik Emam (NFP) to ask the Minister of Finance</w:t>
      </w:r>
      <w:r w:rsidR="00B37B64" w:rsidRPr="00900714">
        <w:rPr>
          <w:rFonts w:ascii="Arial" w:hAnsi="Arial" w:cs="Arial"/>
          <w:b/>
          <w:lang w:val="en-GB"/>
        </w:rPr>
        <w:fldChar w:fldCharType="begin"/>
      </w:r>
      <w:r w:rsidRPr="00900714">
        <w:rPr>
          <w:rFonts w:ascii="Arial" w:hAnsi="Arial" w:cs="Arial"/>
        </w:rPr>
        <w:instrText xml:space="preserve"> XE "</w:instrText>
      </w:r>
      <w:r w:rsidRPr="00900714">
        <w:rPr>
          <w:rFonts w:ascii="Arial" w:hAnsi="Arial" w:cs="Arial"/>
          <w:b/>
        </w:rPr>
        <w:instrText>Minister of Finance</w:instrText>
      </w:r>
      <w:r w:rsidRPr="00900714">
        <w:rPr>
          <w:rFonts w:ascii="Arial" w:hAnsi="Arial" w:cs="Arial"/>
        </w:rPr>
        <w:instrText xml:space="preserve">" </w:instrText>
      </w:r>
      <w:r w:rsidR="00B37B64" w:rsidRPr="00900714">
        <w:rPr>
          <w:rFonts w:ascii="Arial" w:hAnsi="Arial" w:cs="Arial"/>
          <w:b/>
          <w:lang w:val="en-GB"/>
        </w:rPr>
        <w:fldChar w:fldCharType="end"/>
      </w:r>
      <w:r w:rsidRPr="00900714">
        <w:rPr>
          <w:rFonts w:ascii="Arial" w:hAnsi="Arial" w:cs="Arial"/>
          <w:b/>
          <w:lang w:val="en-GB"/>
        </w:rPr>
        <w:t xml:space="preserve">: </w:t>
      </w:r>
    </w:p>
    <w:p w:rsidR="00900714" w:rsidRPr="00900714" w:rsidRDefault="00900714" w:rsidP="00900714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00714">
        <w:rPr>
          <w:rFonts w:ascii="Arial" w:hAnsi="Arial" w:cs="Arial"/>
        </w:rPr>
        <w:t xml:space="preserve">What (a) is the </w:t>
      </w:r>
      <w:r w:rsidRPr="00900714">
        <w:rPr>
          <w:rFonts w:ascii="Arial" w:hAnsi="Arial" w:cs="Arial"/>
          <w:lang w:val="en-GB"/>
        </w:rPr>
        <w:t>total</w:t>
      </w:r>
      <w:r w:rsidRPr="00900714">
        <w:rPr>
          <w:rFonts w:ascii="Arial" w:hAnsi="Arial" w:cs="Arial"/>
        </w:rPr>
        <w:t xml:space="preserve"> </w:t>
      </w:r>
      <w:bookmarkStart w:id="9" w:name="_Hlk129936654"/>
      <w:r w:rsidRPr="00900714">
        <w:rPr>
          <w:rFonts w:ascii="Arial" w:hAnsi="Arial" w:cs="Arial"/>
        </w:rPr>
        <w:t xml:space="preserve">debt owed by the eThekwini Metropolitan Municipality </w:t>
      </w:r>
      <w:bookmarkEnd w:id="9"/>
      <w:r w:rsidRPr="00900714">
        <w:rPr>
          <w:rFonts w:ascii="Arial" w:hAnsi="Arial" w:cs="Arial"/>
        </w:rPr>
        <w:t>to (i) local and (ii) foreign lenders and (b) measures does the National Treasury have in place to ensure some oversight over local municipal borrowing from financial institutions?</w:t>
      </w:r>
      <w:r w:rsidRPr="00900714">
        <w:rPr>
          <w:rFonts w:ascii="Arial" w:hAnsi="Arial" w:cs="Arial"/>
        </w:rPr>
        <w:tab/>
      </w:r>
      <w:r w:rsidRPr="009007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900714">
        <w:rPr>
          <w:rFonts w:ascii="Arial" w:hAnsi="Arial" w:cs="Arial"/>
          <w:sz w:val="20"/>
          <w:szCs w:val="20"/>
        </w:rPr>
        <w:t>NW1131E</w:t>
      </w:r>
    </w:p>
    <w:p w:rsidR="00057FDF" w:rsidRPr="00057FDF" w:rsidRDefault="00057FDF" w:rsidP="00057F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C4707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REPLY</w:t>
      </w:r>
    </w:p>
    <w:p w:rsidR="00DC4E1E" w:rsidRDefault="00DC4E1E" w:rsidP="009F72A1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  <w:r w:rsidRPr="009F72A1">
        <w:rPr>
          <w:rFonts w:ascii="Arial" w:hAnsi="Arial" w:cs="Arial"/>
          <w:bCs/>
        </w:rPr>
        <w:t xml:space="preserve">The </w:t>
      </w:r>
      <w:r w:rsidR="009F72A1">
        <w:rPr>
          <w:rFonts w:ascii="Arial" w:hAnsi="Arial" w:cs="Arial"/>
          <w:bCs/>
        </w:rPr>
        <w:t xml:space="preserve">Consolidated </w:t>
      </w:r>
      <w:r w:rsidRPr="009F72A1">
        <w:rPr>
          <w:rFonts w:ascii="Arial" w:hAnsi="Arial" w:cs="Arial"/>
          <w:bCs/>
        </w:rPr>
        <w:t xml:space="preserve">2021/22 Audited Annual Financial Statements for eThekwini Metropolitan Municipality reported the following breakdown on Borrowings: </w:t>
      </w:r>
    </w:p>
    <w:p w:rsidR="009F72A1" w:rsidRPr="009F72A1" w:rsidRDefault="009F72A1" w:rsidP="009F72A1">
      <w:pPr>
        <w:pStyle w:val="ListParagraph"/>
        <w:spacing w:before="100" w:beforeAutospacing="1" w:after="100" w:afterAutospacing="1" w:line="276" w:lineRule="auto"/>
        <w:ind w:left="360"/>
        <w:jc w:val="both"/>
        <w:outlineLvl w:val="0"/>
        <w:rPr>
          <w:rFonts w:ascii="Arial" w:hAnsi="Arial" w:cs="Arial"/>
          <w:bCs/>
        </w:rPr>
      </w:pPr>
    </w:p>
    <w:p w:rsidR="00DC4E1E" w:rsidRDefault="000753FB" w:rsidP="009F72A1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Lenders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4422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= R</w:t>
      </w:r>
      <w:r w:rsidR="00CE11A0">
        <w:rPr>
          <w:rFonts w:ascii="Arial" w:hAnsi="Arial" w:cs="Arial"/>
          <w:bCs/>
        </w:rPr>
        <w:t xml:space="preserve">9 </w:t>
      </w:r>
      <w:r>
        <w:rPr>
          <w:rFonts w:ascii="Arial" w:hAnsi="Arial" w:cs="Arial"/>
          <w:bCs/>
        </w:rPr>
        <w:t xml:space="preserve">billion </w:t>
      </w:r>
      <w:r>
        <w:rPr>
          <w:rFonts w:ascii="Arial" w:hAnsi="Arial" w:cs="Arial"/>
          <w:bCs/>
        </w:rPr>
        <w:tab/>
      </w:r>
    </w:p>
    <w:p w:rsidR="000753FB" w:rsidRDefault="000753FB" w:rsidP="009F72A1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Foreign </w:t>
      </w:r>
      <w:r w:rsidR="0074422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enders – Agence Francaise de Developpement (AFD)  = R233 </w:t>
      </w:r>
      <w:r w:rsidR="00323C4B">
        <w:rPr>
          <w:rFonts w:ascii="Arial" w:hAnsi="Arial" w:cs="Arial"/>
          <w:bCs/>
        </w:rPr>
        <w:t>million</w:t>
      </w:r>
    </w:p>
    <w:p w:rsidR="003F031F" w:rsidRDefault="000753FB" w:rsidP="000753FB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Total </w:t>
      </w:r>
      <w:r w:rsidR="00323C4B">
        <w:rPr>
          <w:rFonts w:ascii="Arial" w:hAnsi="Arial" w:cs="Arial"/>
          <w:bCs/>
        </w:rPr>
        <w:tab/>
      </w:r>
      <w:r w:rsidR="00CE11A0">
        <w:rPr>
          <w:rFonts w:ascii="Arial" w:hAnsi="Arial" w:cs="Arial"/>
          <w:bCs/>
        </w:rPr>
        <w:tab/>
      </w:r>
      <w:r w:rsidR="00CE11A0">
        <w:rPr>
          <w:rFonts w:ascii="Arial" w:hAnsi="Arial" w:cs="Arial"/>
          <w:bCs/>
        </w:rPr>
        <w:tab/>
      </w:r>
      <w:r w:rsidR="00CE11A0">
        <w:rPr>
          <w:rFonts w:ascii="Arial" w:hAnsi="Arial" w:cs="Arial"/>
          <w:bCs/>
        </w:rPr>
        <w:tab/>
      </w:r>
      <w:r w:rsidR="00CE11A0">
        <w:rPr>
          <w:rFonts w:ascii="Arial" w:hAnsi="Arial" w:cs="Arial"/>
          <w:bCs/>
        </w:rPr>
        <w:tab/>
      </w:r>
      <w:r w:rsidR="00CE11A0">
        <w:rPr>
          <w:rFonts w:ascii="Arial" w:hAnsi="Arial" w:cs="Arial"/>
          <w:bCs/>
        </w:rPr>
        <w:tab/>
      </w:r>
      <w:r w:rsidR="00CE11A0">
        <w:rPr>
          <w:rFonts w:ascii="Arial" w:hAnsi="Arial" w:cs="Arial"/>
          <w:bCs/>
        </w:rPr>
        <w:tab/>
      </w:r>
      <w:r w:rsidR="00CE11A0">
        <w:rPr>
          <w:rFonts w:ascii="Arial" w:hAnsi="Arial" w:cs="Arial"/>
          <w:bCs/>
        </w:rPr>
        <w:tab/>
      </w:r>
      <w:r w:rsidR="00CE11A0">
        <w:rPr>
          <w:rFonts w:ascii="Arial" w:hAnsi="Arial" w:cs="Arial"/>
          <w:bCs/>
        </w:rPr>
        <w:tab/>
      </w:r>
      <w:r w:rsidR="00CE11A0">
        <w:rPr>
          <w:rFonts w:ascii="Arial" w:hAnsi="Arial" w:cs="Arial"/>
          <w:bCs/>
        </w:rPr>
        <w:tab/>
        <w:t xml:space="preserve">       = R9.2 billion</w:t>
      </w:r>
    </w:p>
    <w:p w:rsidR="000753FB" w:rsidRPr="000753FB" w:rsidRDefault="003F031F" w:rsidP="000753FB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should be noted that in terms of S</w:t>
      </w:r>
      <w:r w:rsidR="00195555">
        <w:rPr>
          <w:rFonts w:ascii="Arial" w:hAnsi="Arial" w:cs="Arial"/>
          <w:bCs/>
        </w:rPr>
        <w:t xml:space="preserve">ection </w:t>
      </w:r>
      <w:r>
        <w:rPr>
          <w:rFonts w:ascii="Arial" w:hAnsi="Arial" w:cs="Arial"/>
          <w:bCs/>
        </w:rPr>
        <w:t>47 of the Municipal Finance Management Act, municipalities are not allowed to incur any debt in any foreign currency, and must ensure its debt is denominated in Rands.</w:t>
      </w:r>
      <w:r w:rsidR="00CE11A0">
        <w:rPr>
          <w:rFonts w:ascii="Arial" w:hAnsi="Arial" w:cs="Arial"/>
          <w:bCs/>
        </w:rPr>
        <w:t xml:space="preserve"> </w:t>
      </w:r>
      <w:r w:rsidR="00323C4B">
        <w:rPr>
          <w:rFonts w:ascii="Arial" w:hAnsi="Arial" w:cs="Arial"/>
          <w:bCs/>
        </w:rPr>
        <w:tab/>
      </w:r>
      <w:r w:rsidR="00323C4B">
        <w:rPr>
          <w:rFonts w:ascii="Arial" w:hAnsi="Arial" w:cs="Arial"/>
          <w:bCs/>
        </w:rPr>
        <w:tab/>
      </w:r>
      <w:r w:rsidR="00323C4B">
        <w:rPr>
          <w:rFonts w:ascii="Arial" w:hAnsi="Arial" w:cs="Arial"/>
          <w:bCs/>
        </w:rPr>
        <w:tab/>
      </w:r>
      <w:r w:rsidR="00323C4B">
        <w:rPr>
          <w:rFonts w:ascii="Arial" w:hAnsi="Arial" w:cs="Arial"/>
          <w:bCs/>
        </w:rPr>
        <w:tab/>
      </w:r>
      <w:r w:rsidR="00323C4B">
        <w:rPr>
          <w:rFonts w:ascii="Arial" w:hAnsi="Arial" w:cs="Arial"/>
          <w:bCs/>
        </w:rPr>
        <w:tab/>
      </w:r>
      <w:r w:rsidR="00323C4B">
        <w:rPr>
          <w:rFonts w:ascii="Arial" w:hAnsi="Arial" w:cs="Arial"/>
          <w:bCs/>
        </w:rPr>
        <w:tab/>
      </w:r>
    </w:p>
    <w:p w:rsidR="003517B9" w:rsidRDefault="003517B9" w:rsidP="009F72A1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  <w:r w:rsidRPr="009F72A1">
        <w:rPr>
          <w:rFonts w:ascii="Arial" w:hAnsi="Arial" w:cs="Arial"/>
          <w:bCs/>
        </w:rPr>
        <w:t>As part of the oversight responsibilities</w:t>
      </w:r>
      <w:r w:rsidR="00CE11A0" w:rsidRPr="009F72A1">
        <w:rPr>
          <w:rFonts w:ascii="Arial" w:hAnsi="Arial" w:cs="Arial"/>
          <w:bCs/>
        </w:rPr>
        <w:t>,</w:t>
      </w:r>
      <w:r w:rsidRPr="009F72A1">
        <w:rPr>
          <w:rFonts w:ascii="Arial" w:hAnsi="Arial" w:cs="Arial"/>
          <w:bCs/>
        </w:rPr>
        <w:t xml:space="preserve"> the National Treasury performs the following:</w:t>
      </w:r>
    </w:p>
    <w:p w:rsidR="009F72A1" w:rsidRPr="009F72A1" w:rsidRDefault="009F72A1" w:rsidP="009F72A1">
      <w:pPr>
        <w:pStyle w:val="ListParagraph"/>
        <w:spacing w:before="100" w:beforeAutospacing="1" w:after="100" w:afterAutospacing="1" w:line="276" w:lineRule="auto"/>
        <w:ind w:left="360"/>
        <w:jc w:val="both"/>
        <w:outlineLvl w:val="0"/>
        <w:rPr>
          <w:rFonts w:ascii="Arial" w:hAnsi="Arial" w:cs="Arial"/>
          <w:bCs/>
        </w:rPr>
      </w:pPr>
    </w:p>
    <w:p w:rsidR="003517B9" w:rsidRDefault="003517B9" w:rsidP="009F72A1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  <w:r w:rsidRPr="003517B9">
        <w:rPr>
          <w:rFonts w:ascii="Arial" w:hAnsi="Arial" w:cs="Arial"/>
          <w:bCs/>
        </w:rPr>
        <w:t>The National Treasury analyses the borrowing capacity of a municipality by evaluating the size of the Gearing Ratios</w:t>
      </w:r>
      <w:r w:rsidR="00B4341B">
        <w:rPr>
          <w:rFonts w:ascii="Arial" w:hAnsi="Arial" w:cs="Arial"/>
          <w:bCs/>
        </w:rPr>
        <w:t xml:space="preserve"> – total borrowing liabilities divided by the total operating revenue</w:t>
      </w:r>
      <w:r w:rsidR="00025585">
        <w:rPr>
          <w:rFonts w:ascii="Arial" w:hAnsi="Arial" w:cs="Arial"/>
          <w:bCs/>
        </w:rPr>
        <w:t xml:space="preserve"> (also an indicator used to determine if a municipality is in financial distress)</w:t>
      </w:r>
      <w:r w:rsidR="009F72A1">
        <w:rPr>
          <w:rFonts w:ascii="Arial" w:hAnsi="Arial" w:cs="Arial"/>
          <w:bCs/>
        </w:rPr>
        <w:t>.</w:t>
      </w:r>
    </w:p>
    <w:p w:rsidR="00B4341B" w:rsidRPr="003517B9" w:rsidRDefault="00B4341B" w:rsidP="00B4341B">
      <w:pPr>
        <w:pStyle w:val="ListParagraph"/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</w:p>
    <w:p w:rsidR="00025585" w:rsidRDefault="00B4341B" w:rsidP="009F72A1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When a municipality intends to borrow from </w:t>
      </w:r>
      <w:r w:rsidR="004773B8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authorised </w:t>
      </w:r>
      <w:r w:rsidR="004773B8">
        <w:rPr>
          <w:rFonts w:ascii="Arial" w:hAnsi="Arial" w:cs="Arial"/>
          <w:bCs/>
        </w:rPr>
        <w:t>financial service providers (</w:t>
      </w:r>
      <w:r>
        <w:rPr>
          <w:rFonts w:ascii="Arial" w:hAnsi="Arial" w:cs="Arial"/>
          <w:bCs/>
        </w:rPr>
        <w:t>lenders</w:t>
      </w:r>
      <w:r w:rsidR="004773B8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, they are required to obtain National Treasury’s views in terms of Section 46 of the Municipal Finance Management Act, 200</w:t>
      </w:r>
      <w:r w:rsidR="009E38F3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="0050240D">
        <w:rPr>
          <w:rFonts w:ascii="Arial" w:hAnsi="Arial" w:cs="Arial"/>
          <w:bCs/>
        </w:rPr>
        <w:t xml:space="preserve"> A decision to borrow or not is the prerogative of a municipal council. </w:t>
      </w:r>
    </w:p>
    <w:p w:rsidR="00B66073" w:rsidRPr="00B66073" w:rsidRDefault="00B66073" w:rsidP="0050240D">
      <w:pPr>
        <w:pStyle w:val="ListParagraph"/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</w:p>
    <w:p w:rsidR="0050240D" w:rsidRPr="0050240D" w:rsidRDefault="0050240D" w:rsidP="009F72A1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  <w:r w:rsidRPr="0050240D">
        <w:rPr>
          <w:rFonts w:ascii="Arial" w:hAnsi="Arial" w:cs="Arial"/>
          <w:bCs/>
        </w:rPr>
        <w:lastRenderedPageBreak/>
        <w:t xml:space="preserve">National Treasury has put in a place a Borrowing </w:t>
      </w:r>
      <w:r w:rsidR="009F72A1">
        <w:rPr>
          <w:rFonts w:ascii="Arial" w:hAnsi="Arial" w:cs="Arial"/>
          <w:bCs/>
        </w:rPr>
        <w:t xml:space="preserve">Policy Framework </w:t>
      </w:r>
      <w:r w:rsidRPr="0050240D">
        <w:rPr>
          <w:rFonts w:ascii="Arial" w:hAnsi="Arial" w:cs="Arial"/>
          <w:bCs/>
        </w:rPr>
        <w:t xml:space="preserve">(which has been endorsed by Cabinet on the 17th of August 2022). The Policy </w:t>
      </w:r>
      <w:r>
        <w:rPr>
          <w:rFonts w:ascii="Arial" w:hAnsi="Arial" w:cs="Arial"/>
          <w:bCs/>
        </w:rPr>
        <w:t xml:space="preserve">sets out the following </w:t>
      </w:r>
      <w:r w:rsidRPr="0050240D">
        <w:rPr>
          <w:rFonts w:ascii="Arial" w:hAnsi="Arial" w:cs="Arial"/>
          <w:bCs/>
        </w:rPr>
        <w:t xml:space="preserve">principles: </w:t>
      </w:r>
    </w:p>
    <w:p w:rsidR="0050240D" w:rsidRDefault="0050240D" w:rsidP="0050240D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lang w:val="en-ZA"/>
        </w:rPr>
      </w:pPr>
      <w:r w:rsidRPr="0050240D">
        <w:rPr>
          <w:rFonts w:ascii="Arial" w:hAnsi="Arial" w:cs="Arial"/>
          <w:lang w:val="en-ZA"/>
        </w:rPr>
        <w:t xml:space="preserve">Creditworthy municipalities should </w:t>
      </w:r>
      <w:r w:rsidRPr="0050240D">
        <w:rPr>
          <w:rFonts w:ascii="Arial" w:hAnsi="Arial" w:cs="Arial"/>
          <w:b/>
          <w:bCs/>
          <w:i/>
          <w:iCs/>
          <w:lang w:val="en-ZA"/>
        </w:rPr>
        <w:t xml:space="preserve">borrow prudently </w:t>
      </w:r>
      <w:r w:rsidRPr="0050240D">
        <w:rPr>
          <w:rFonts w:ascii="Arial" w:hAnsi="Arial" w:cs="Arial"/>
          <w:lang w:val="en-ZA"/>
        </w:rPr>
        <w:t>to finance capital investment and fulfil their constitutional responsibilities</w:t>
      </w:r>
      <w:r>
        <w:rPr>
          <w:rFonts w:ascii="Arial" w:hAnsi="Arial" w:cs="Arial"/>
          <w:lang w:val="en-ZA"/>
        </w:rPr>
        <w:t>;</w:t>
      </w:r>
    </w:p>
    <w:p w:rsidR="0050240D" w:rsidRPr="0050240D" w:rsidRDefault="0050240D" w:rsidP="0050240D">
      <w:pPr>
        <w:ind w:left="1080"/>
        <w:jc w:val="both"/>
        <w:rPr>
          <w:rFonts w:ascii="Arial" w:hAnsi="Arial" w:cs="Arial"/>
          <w:lang w:val="en-ZA"/>
        </w:rPr>
      </w:pPr>
    </w:p>
    <w:p w:rsidR="0050240D" w:rsidRDefault="0050240D" w:rsidP="0050240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lang w:val="en-ZA"/>
        </w:rPr>
      </w:pPr>
      <w:r w:rsidRPr="0050240D">
        <w:rPr>
          <w:rFonts w:ascii="Arial" w:hAnsi="Arial" w:cs="Arial"/>
          <w:lang w:val="en-ZA"/>
        </w:rPr>
        <w:t xml:space="preserve">Municipal access to private capital, </w:t>
      </w:r>
      <w:r w:rsidRPr="0050240D">
        <w:rPr>
          <w:rFonts w:ascii="Arial" w:hAnsi="Arial" w:cs="Arial"/>
          <w:b/>
          <w:bCs/>
          <w:i/>
          <w:iCs/>
          <w:lang w:val="en-ZA"/>
        </w:rPr>
        <w:t>based on investors’ evaluation of municipal creditworthiness</w:t>
      </w:r>
      <w:r w:rsidRPr="0050240D">
        <w:rPr>
          <w:rFonts w:ascii="Arial" w:hAnsi="Arial" w:cs="Arial"/>
          <w:lang w:val="en-ZA"/>
        </w:rPr>
        <w:t xml:space="preserve">, this is </w:t>
      </w:r>
      <w:r w:rsidRPr="0050240D">
        <w:rPr>
          <w:rFonts w:ascii="Arial" w:hAnsi="Arial" w:cs="Arial"/>
          <w:i/>
          <w:iCs/>
          <w:lang w:val="en-ZA"/>
        </w:rPr>
        <w:t xml:space="preserve">key to efficient local government </w:t>
      </w:r>
      <w:r w:rsidRPr="0050240D">
        <w:rPr>
          <w:rFonts w:ascii="Arial" w:hAnsi="Arial" w:cs="Arial"/>
          <w:lang w:val="en-ZA"/>
        </w:rPr>
        <w:t>and fiscal discipline as their financial sustainability is seen from an objective perspective</w:t>
      </w:r>
      <w:r>
        <w:rPr>
          <w:rFonts w:ascii="Arial" w:hAnsi="Arial" w:cs="Arial"/>
          <w:lang w:val="en-ZA"/>
        </w:rPr>
        <w:t>;</w:t>
      </w:r>
    </w:p>
    <w:p w:rsidR="0050240D" w:rsidRPr="0050240D" w:rsidRDefault="0050240D" w:rsidP="0050240D">
      <w:pPr>
        <w:ind w:left="1080"/>
        <w:jc w:val="both"/>
        <w:rPr>
          <w:rFonts w:ascii="Arial" w:hAnsi="Arial" w:cs="Arial"/>
          <w:lang w:val="en-ZA"/>
        </w:rPr>
      </w:pPr>
    </w:p>
    <w:p w:rsidR="0050240D" w:rsidRDefault="0050240D" w:rsidP="0050240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lang w:val="en-ZA"/>
        </w:rPr>
      </w:pPr>
      <w:r w:rsidRPr="0050240D">
        <w:rPr>
          <w:rFonts w:ascii="Arial" w:hAnsi="Arial" w:cs="Arial"/>
          <w:lang w:val="en-ZA"/>
        </w:rPr>
        <w:t xml:space="preserve">Municipalities should </w:t>
      </w:r>
      <w:r w:rsidRPr="0050240D">
        <w:rPr>
          <w:rFonts w:ascii="Arial" w:hAnsi="Arial" w:cs="Arial"/>
          <w:b/>
          <w:bCs/>
          <w:i/>
          <w:iCs/>
          <w:lang w:val="en-ZA"/>
        </w:rPr>
        <w:t>borrow in the context of long-term financial strategies</w:t>
      </w:r>
      <w:r w:rsidRPr="0050240D">
        <w:rPr>
          <w:rFonts w:ascii="Arial" w:hAnsi="Arial" w:cs="Arial"/>
          <w:lang w:val="en-ZA"/>
        </w:rPr>
        <w:t>, which reflect clear priorities and the useful life of assets</w:t>
      </w:r>
      <w:r>
        <w:rPr>
          <w:rFonts w:ascii="Arial" w:hAnsi="Arial" w:cs="Arial"/>
          <w:lang w:val="en-ZA"/>
        </w:rPr>
        <w:t>;</w:t>
      </w:r>
      <w:r w:rsidR="009B7115">
        <w:rPr>
          <w:rFonts w:ascii="Arial" w:hAnsi="Arial" w:cs="Arial"/>
          <w:lang w:val="en-ZA"/>
        </w:rPr>
        <w:t xml:space="preserve"> and</w:t>
      </w:r>
    </w:p>
    <w:p w:rsidR="0050240D" w:rsidRDefault="0050240D" w:rsidP="0050240D">
      <w:pPr>
        <w:pStyle w:val="ListParagraph"/>
        <w:jc w:val="both"/>
        <w:rPr>
          <w:rFonts w:ascii="Arial" w:hAnsi="Arial" w:cs="Arial"/>
        </w:rPr>
      </w:pPr>
    </w:p>
    <w:p w:rsidR="0050240D" w:rsidRPr="0050240D" w:rsidRDefault="0050240D" w:rsidP="0050240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lang w:val="en-ZA"/>
        </w:rPr>
      </w:pPr>
      <w:r w:rsidRPr="0050240D">
        <w:rPr>
          <w:rFonts w:ascii="Arial" w:hAnsi="Arial" w:cs="Arial"/>
          <w:lang w:val="en-ZA"/>
        </w:rPr>
        <w:t xml:space="preserve">Neither national nor provincial government will </w:t>
      </w:r>
      <w:r w:rsidRPr="0050240D">
        <w:rPr>
          <w:rFonts w:ascii="Arial" w:hAnsi="Arial" w:cs="Arial"/>
          <w:b/>
          <w:bCs/>
          <w:i/>
          <w:iCs/>
          <w:lang w:val="en-ZA"/>
        </w:rPr>
        <w:t xml:space="preserve">underwrite or guarantee </w:t>
      </w:r>
      <w:r w:rsidRPr="0050240D">
        <w:rPr>
          <w:rFonts w:ascii="Arial" w:hAnsi="Arial" w:cs="Arial"/>
          <w:lang w:val="en-ZA"/>
        </w:rPr>
        <w:t>municipal borrowing, again contributing to fiscal discipline as it would lead local government to think carefully on how they approach the borrowing market.</w:t>
      </w:r>
    </w:p>
    <w:p w:rsidR="005C4707" w:rsidRDefault="005C4707" w:rsidP="002D596F">
      <w:pPr>
        <w:rPr>
          <w:rFonts w:ascii="Arial" w:hAnsi="Arial" w:cs="Arial"/>
        </w:rPr>
      </w:pPr>
    </w:p>
    <w:p w:rsidR="0050240D" w:rsidRDefault="0050240D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</w:p>
    <w:sectPr w:rsidR="0050240D" w:rsidSect="00D537FD">
      <w:footerReference w:type="default" r:id="rId7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72" w:rsidRDefault="00FF6E72">
      <w:r>
        <w:separator/>
      </w:r>
    </w:p>
  </w:endnote>
  <w:endnote w:type="continuationSeparator" w:id="0">
    <w:p w:rsidR="00FF6E72" w:rsidRDefault="00FF6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B37B64">
        <w:pPr>
          <w:pStyle w:val="Footer"/>
          <w:jc w:val="center"/>
        </w:pPr>
        <w:r>
          <w:fldChar w:fldCharType="begin"/>
        </w:r>
        <w:r w:rsidR="00C64881">
          <w:instrText xml:space="preserve"> PAGE   \* MERGEFORMAT </w:instrText>
        </w:r>
        <w:r>
          <w:fldChar w:fldCharType="separate"/>
        </w:r>
        <w:r w:rsidR="00FF6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FF6E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72" w:rsidRDefault="00FF6E72">
      <w:r>
        <w:separator/>
      </w:r>
    </w:p>
  </w:footnote>
  <w:footnote w:type="continuationSeparator" w:id="0">
    <w:p w:rsidR="00FF6E72" w:rsidRDefault="00FF6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0B9E"/>
    <w:multiLevelType w:val="hybridMultilevel"/>
    <w:tmpl w:val="1DCEDD8C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902A1"/>
    <w:multiLevelType w:val="hybridMultilevel"/>
    <w:tmpl w:val="ADAC2272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B387D"/>
    <w:multiLevelType w:val="hybridMultilevel"/>
    <w:tmpl w:val="8D30FCAA"/>
    <w:lvl w:ilvl="0" w:tplc="0C36ED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307F49"/>
    <w:multiLevelType w:val="hybridMultilevel"/>
    <w:tmpl w:val="4B5446A0"/>
    <w:lvl w:ilvl="0" w:tplc="7832AF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83277"/>
    <w:multiLevelType w:val="hybridMultilevel"/>
    <w:tmpl w:val="6E7A9A8E"/>
    <w:lvl w:ilvl="0" w:tplc="A5844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A77242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105C1A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E59085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DF64AD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B7D880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450EB8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E23A72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4484DF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5">
    <w:nsid w:val="6B8C20D5"/>
    <w:multiLevelType w:val="hybridMultilevel"/>
    <w:tmpl w:val="85B87946"/>
    <w:lvl w:ilvl="0" w:tplc="0C36ED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47580"/>
    <w:multiLevelType w:val="hybridMultilevel"/>
    <w:tmpl w:val="16E84AA8"/>
    <w:lvl w:ilvl="0" w:tplc="865A9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5DEE0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4524A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3E0C3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B6CFB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E1E07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86429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F3C13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1D6D6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YyMjIzMjM3MTAyNbNU0lEKTi0uzszPAykwrwUAF0nqkCwAAAA="/>
  </w:docVars>
  <w:rsids>
    <w:rsidRoot w:val="005C4707"/>
    <w:rsid w:val="000031AE"/>
    <w:rsid w:val="00025585"/>
    <w:rsid w:val="00057FDF"/>
    <w:rsid w:val="000753FB"/>
    <w:rsid w:val="000914A1"/>
    <w:rsid w:val="000E2F26"/>
    <w:rsid w:val="00112895"/>
    <w:rsid w:val="001451DF"/>
    <w:rsid w:val="00195555"/>
    <w:rsid w:val="001D26A9"/>
    <w:rsid w:val="001E5071"/>
    <w:rsid w:val="00204A1C"/>
    <w:rsid w:val="002278CB"/>
    <w:rsid w:val="0026000E"/>
    <w:rsid w:val="00297A5E"/>
    <w:rsid w:val="002B5062"/>
    <w:rsid w:val="002D596F"/>
    <w:rsid w:val="00317AC4"/>
    <w:rsid w:val="00323C4B"/>
    <w:rsid w:val="003517B9"/>
    <w:rsid w:val="003F031F"/>
    <w:rsid w:val="0040249A"/>
    <w:rsid w:val="00403E43"/>
    <w:rsid w:val="00440716"/>
    <w:rsid w:val="00476EA2"/>
    <w:rsid w:val="004773B8"/>
    <w:rsid w:val="004E3C6A"/>
    <w:rsid w:val="0050240D"/>
    <w:rsid w:val="00524FD3"/>
    <w:rsid w:val="0055321F"/>
    <w:rsid w:val="005634CC"/>
    <w:rsid w:val="005808B6"/>
    <w:rsid w:val="005866A9"/>
    <w:rsid w:val="005C4707"/>
    <w:rsid w:val="006E1981"/>
    <w:rsid w:val="006F2B2E"/>
    <w:rsid w:val="00744226"/>
    <w:rsid w:val="007525EF"/>
    <w:rsid w:val="00756882"/>
    <w:rsid w:val="007E169F"/>
    <w:rsid w:val="007F4F7D"/>
    <w:rsid w:val="007F7E46"/>
    <w:rsid w:val="008472CA"/>
    <w:rsid w:val="00900714"/>
    <w:rsid w:val="009433B9"/>
    <w:rsid w:val="009B7115"/>
    <w:rsid w:val="009C00E3"/>
    <w:rsid w:val="009E38F3"/>
    <w:rsid w:val="009E3A1D"/>
    <w:rsid w:val="009F72A1"/>
    <w:rsid w:val="00A1144A"/>
    <w:rsid w:val="00A33523"/>
    <w:rsid w:val="00A84AD6"/>
    <w:rsid w:val="00AB259E"/>
    <w:rsid w:val="00AC7835"/>
    <w:rsid w:val="00AD7666"/>
    <w:rsid w:val="00B22C27"/>
    <w:rsid w:val="00B37B64"/>
    <w:rsid w:val="00B4341B"/>
    <w:rsid w:val="00B66073"/>
    <w:rsid w:val="00B73CAD"/>
    <w:rsid w:val="00B75149"/>
    <w:rsid w:val="00BC4E19"/>
    <w:rsid w:val="00BF4E3A"/>
    <w:rsid w:val="00C64881"/>
    <w:rsid w:val="00CB5E0A"/>
    <w:rsid w:val="00CE11A0"/>
    <w:rsid w:val="00CF5324"/>
    <w:rsid w:val="00D53E55"/>
    <w:rsid w:val="00D902C6"/>
    <w:rsid w:val="00D96D81"/>
    <w:rsid w:val="00DC4E1E"/>
    <w:rsid w:val="00DF28C4"/>
    <w:rsid w:val="00E01E99"/>
    <w:rsid w:val="00E241A2"/>
    <w:rsid w:val="00E324AC"/>
    <w:rsid w:val="00E83B6D"/>
    <w:rsid w:val="00FC29AB"/>
    <w:rsid w:val="00F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B37B64"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914A1"/>
    <w:rPr>
      <w:rFonts w:ascii="Calibri" w:eastAsia="SimSun" w:hAnsi="Calibri" w:cs="Times New Roman"/>
      <w:sz w:val="24"/>
      <w:szCs w:val="24"/>
      <w:lang w:eastAsia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0914A1"/>
    <w:pPr>
      <w:ind w:left="720"/>
      <w:contextualSpacing/>
    </w:pPr>
    <w:rPr>
      <w:rFonts w:ascii="Calibri" w:eastAsia="SimSun" w:hAnsi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cp:lastPrinted>2023-04-03T05:31:00Z</cp:lastPrinted>
  <dcterms:created xsi:type="dcterms:W3CDTF">2023-04-25T10:34:00Z</dcterms:created>
  <dcterms:modified xsi:type="dcterms:W3CDTF">2023-04-25T10:34:00Z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