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1" w:name="_Hlk65832587"/>
      <w:bookmarkStart w:id="2" w:name="_Hlk55548705"/>
      <w:r w:rsidRPr="00C60A55">
        <w:rPr>
          <w:rFonts w:ascii="Arial" w:hAnsi="Arial" w:cs="Arial"/>
          <w:b/>
          <w:sz w:val="22"/>
          <w:szCs w:val="22"/>
        </w:rPr>
        <w:t xml:space="preserve">QUESTION NUMBER: </w:t>
      </w:r>
      <w:bookmarkStart w:id="3" w:name="_Hlk34208942"/>
      <w:bookmarkStart w:id="4" w:name="_Hlk49113957"/>
      <w:r w:rsidR="00704DC7">
        <w:rPr>
          <w:rFonts w:ascii="Arial" w:hAnsi="Arial" w:cs="Arial"/>
          <w:b/>
          <w:bCs/>
          <w:sz w:val="22"/>
          <w:lang w:val="en-GB"/>
        </w:rPr>
        <w:t>1000</w:t>
      </w:r>
      <w:r w:rsidR="008D3E86">
        <w:rPr>
          <w:rFonts w:ascii="Arial" w:hAnsi="Arial" w:cs="Arial"/>
          <w:b/>
          <w:bCs/>
          <w:sz w:val="22"/>
          <w:lang w:val="en-GB"/>
        </w:rPr>
        <w:t xml:space="preserve"> </w:t>
      </w:r>
      <w:r w:rsidRPr="000147EE">
        <w:rPr>
          <w:rFonts w:ascii="Arial" w:hAnsi="Arial" w:cs="Arial"/>
          <w:b/>
          <w:sz w:val="22"/>
          <w:szCs w:val="22"/>
        </w:rPr>
        <w:t>[</w:t>
      </w:r>
      <w:r w:rsidR="00732A53" w:rsidRPr="00732A53">
        <w:rPr>
          <w:rFonts w:ascii="Arial" w:hAnsi="Arial" w:cs="Arial"/>
          <w:b/>
          <w:sz w:val="22"/>
          <w:szCs w:val="22"/>
        </w:rPr>
        <w:t>NW</w:t>
      </w:r>
      <w:r w:rsidR="00A97C66">
        <w:rPr>
          <w:rFonts w:ascii="Arial" w:hAnsi="Arial" w:cs="Arial"/>
          <w:b/>
          <w:sz w:val="22"/>
          <w:szCs w:val="22"/>
        </w:rPr>
        <w:t>11</w:t>
      </w:r>
      <w:r w:rsidR="00704DC7">
        <w:rPr>
          <w:rFonts w:ascii="Arial" w:hAnsi="Arial" w:cs="Arial"/>
          <w:b/>
          <w:sz w:val="22"/>
          <w:szCs w:val="22"/>
        </w:rPr>
        <w:t>68</w:t>
      </w:r>
      <w:r w:rsidR="00732A53" w:rsidRPr="00732A53">
        <w:rPr>
          <w:rFonts w:ascii="Arial" w:hAnsi="Arial" w:cs="Arial"/>
          <w:b/>
          <w:sz w:val="22"/>
          <w:szCs w:val="22"/>
        </w:rPr>
        <w:t>E</w:t>
      </w:r>
      <w:r w:rsidRPr="000147EE">
        <w:rPr>
          <w:rFonts w:ascii="Arial" w:hAnsi="Arial" w:cs="Arial"/>
          <w:b/>
          <w:sz w:val="22"/>
          <w:szCs w:val="22"/>
        </w:rPr>
        <w:t>]</w:t>
      </w:r>
      <w:bookmarkEnd w:id="3"/>
    </w:p>
    <w:bookmarkEnd w:id="0"/>
    <w:bookmarkEnd w:id="1"/>
    <w:bookmarkEnd w:id="2"/>
    <w:bookmarkEnd w:id="4"/>
    <w:p w:rsidR="00704DC7" w:rsidRPr="00704DC7" w:rsidRDefault="00704DC7" w:rsidP="00704DC7">
      <w:pPr>
        <w:spacing w:before="100" w:beforeAutospacing="1" w:after="100" w:afterAutospacing="1"/>
        <w:ind w:left="720" w:hanging="720"/>
        <w:jc w:val="both"/>
        <w:outlineLvl w:val="0"/>
        <w:rPr>
          <w:rFonts w:ascii="Arial" w:hAnsi="Arial" w:cs="Arial"/>
          <w:b/>
          <w:bCs/>
          <w:sz w:val="22"/>
          <w:szCs w:val="22"/>
        </w:rPr>
      </w:pPr>
      <w:r w:rsidRPr="00704DC7">
        <w:rPr>
          <w:rFonts w:ascii="Arial" w:hAnsi="Arial" w:cs="Arial"/>
          <w:b/>
          <w:bCs/>
          <w:sz w:val="22"/>
          <w:szCs w:val="22"/>
        </w:rPr>
        <w:t>1000.</w:t>
      </w:r>
      <w:r w:rsidRPr="00704DC7">
        <w:rPr>
          <w:rFonts w:ascii="Arial" w:hAnsi="Arial" w:cs="Arial"/>
          <w:b/>
          <w:bCs/>
          <w:sz w:val="22"/>
          <w:szCs w:val="22"/>
        </w:rPr>
        <w:tab/>
        <w:t>Dr D T George (DA) to ask the Minister of Finance</w:t>
      </w:r>
      <w:r w:rsidR="00F8391C" w:rsidRPr="00704DC7">
        <w:rPr>
          <w:rFonts w:ascii="Arial" w:hAnsi="Arial" w:cs="Arial"/>
          <w:b/>
          <w:bCs/>
          <w:sz w:val="22"/>
          <w:szCs w:val="22"/>
        </w:rPr>
        <w:fldChar w:fldCharType="begin"/>
      </w:r>
      <w:r w:rsidRPr="00704DC7">
        <w:rPr>
          <w:rFonts w:ascii="Arial" w:hAnsi="Arial" w:cs="Arial"/>
          <w:sz w:val="22"/>
          <w:szCs w:val="22"/>
        </w:rPr>
        <w:instrText xml:space="preserve"> XE "</w:instrText>
      </w:r>
      <w:r w:rsidRPr="00704DC7">
        <w:rPr>
          <w:rFonts w:ascii="Arial" w:hAnsi="Arial" w:cs="Arial"/>
          <w:b/>
          <w:sz w:val="22"/>
          <w:szCs w:val="22"/>
        </w:rPr>
        <w:instrText>Finance</w:instrText>
      </w:r>
      <w:r w:rsidRPr="00704DC7">
        <w:rPr>
          <w:rFonts w:ascii="Arial" w:hAnsi="Arial" w:cs="Arial"/>
          <w:sz w:val="22"/>
          <w:szCs w:val="22"/>
        </w:rPr>
        <w:instrText xml:space="preserve">" </w:instrText>
      </w:r>
      <w:r w:rsidR="00F8391C" w:rsidRPr="00704DC7">
        <w:rPr>
          <w:rFonts w:ascii="Arial" w:hAnsi="Arial" w:cs="Arial"/>
          <w:b/>
          <w:bCs/>
          <w:sz w:val="22"/>
          <w:szCs w:val="22"/>
        </w:rPr>
        <w:fldChar w:fldCharType="end"/>
      </w:r>
      <w:r w:rsidRPr="00704DC7">
        <w:rPr>
          <w:rFonts w:ascii="Arial" w:hAnsi="Arial" w:cs="Arial"/>
          <w:b/>
          <w:bCs/>
          <w:sz w:val="22"/>
          <w:szCs w:val="22"/>
        </w:rPr>
        <w:t>:</w:t>
      </w:r>
    </w:p>
    <w:p w:rsidR="00704DC7" w:rsidRDefault="00704DC7" w:rsidP="00704DC7">
      <w:pPr>
        <w:ind w:left="720"/>
        <w:jc w:val="both"/>
        <w:rPr>
          <w:rFonts w:ascii="Arial" w:hAnsi="Arial" w:cs="Arial"/>
          <w:sz w:val="22"/>
          <w:szCs w:val="22"/>
        </w:rPr>
      </w:pPr>
      <w:r w:rsidRPr="00704DC7">
        <w:rPr>
          <w:rFonts w:ascii="Arial" w:hAnsi="Arial" w:cs="Arial"/>
          <w:sz w:val="22"/>
          <w:szCs w:val="22"/>
        </w:rPr>
        <w:t>In light of the scourge of violent crime in the Republic, how does the National Treasury justify the 5</w:t>
      </w:r>
      <w:proofErr w:type="gramStart"/>
      <w:r w:rsidRPr="00704DC7">
        <w:rPr>
          <w:rFonts w:ascii="Arial" w:hAnsi="Arial" w:cs="Arial"/>
          <w:sz w:val="22"/>
          <w:szCs w:val="22"/>
        </w:rPr>
        <w:t>,27</w:t>
      </w:r>
      <w:proofErr w:type="gramEnd"/>
      <w:r w:rsidRPr="00704DC7">
        <w:rPr>
          <w:rFonts w:ascii="Arial" w:hAnsi="Arial" w:cs="Arial"/>
          <w:sz w:val="22"/>
          <w:szCs w:val="22"/>
        </w:rPr>
        <w:t>% nominal cut to Vote 28: Police for the 2021-22 financial year relative t</w:t>
      </w:r>
      <w:r w:rsidR="00812D7B">
        <w:rPr>
          <w:rFonts w:ascii="Arial" w:hAnsi="Arial" w:cs="Arial"/>
          <w:sz w:val="22"/>
          <w:szCs w:val="22"/>
        </w:rPr>
        <w:t>o the 2020-21 financial year?</w:t>
      </w:r>
    </w:p>
    <w:p w:rsidR="004E2318" w:rsidRDefault="004E2318" w:rsidP="00704DC7">
      <w:pPr>
        <w:ind w:left="720"/>
        <w:jc w:val="both"/>
        <w:rPr>
          <w:rFonts w:ascii="Arial" w:hAnsi="Arial" w:cs="Arial"/>
          <w:sz w:val="22"/>
          <w:szCs w:val="22"/>
        </w:rPr>
      </w:pPr>
    </w:p>
    <w:p w:rsidR="00704DC7" w:rsidRPr="00704DC7" w:rsidRDefault="00704DC7" w:rsidP="007515A5">
      <w:pPr>
        <w:ind w:left="720"/>
        <w:jc w:val="right"/>
        <w:rPr>
          <w:rFonts w:ascii="Arial" w:hAnsi="Arial" w:cs="Arial"/>
          <w:sz w:val="22"/>
          <w:szCs w:val="22"/>
        </w:rPr>
      </w:pPr>
      <w:bookmarkStart w:id="5" w:name="_GoBack"/>
      <w:r w:rsidRPr="00704DC7">
        <w:rPr>
          <w:rFonts w:ascii="Arial" w:hAnsi="Arial" w:cs="Arial"/>
          <w:sz w:val="22"/>
          <w:szCs w:val="22"/>
        </w:rPr>
        <w:t>NW1168E</w:t>
      </w:r>
    </w:p>
    <w:bookmarkEnd w:id="5"/>
    <w:p w:rsidR="00812D7B" w:rsidRDefault="00812D7B" w:rsidP="00812D7B">
      <w:pPr>
        <w:autoSpaceDE w:val="0"/>
        <w:autoSpaceDN w:val="0"/>
        <w:adjustRightInd w:val="0"/>
        <w:jc w:val="both"/>
        <w:rPr>
          <w:rFonts w:ascii="Arial" w:hAnsi="Arial" w:cs="Arial"/>
          <w:b/>
          <w:sz w:val="22"/>
          <w:szCs w:val="22"/>
        </w:rPr>
      </w:pPr>
    </w:p>
    <w:p w:rsidR="007515A5" w:rsidRDefault="008E3D62" w:rsidP="00812D7B">
      <w:pPr>
        <w:autoSpaceDE w:val="0"/>
        <w:autoSpaceDN w:val="0"/>
        <w:adjustRightInd w:val="0"/>
        <w:jc w:val="both"/>
        <w:rPr>
          <w:rFonts w:ascii="Arial" w:hAnsi="Arial" w:cs="Arial"/>
          <w:sz w:val="22"/>
          <w:szCs w:val="22"/>
        </w:rPr>
      </w:pPr>
      <w:r w:rsidRPr="00704DC7">
        <w:rPr>
          <w:rFonts w:ascii="Arial" w:hAnsi="Arial" w:cs="Arial"/>
          <w:b/>
          <w:sz w:val="22"/>
          <w:szCs w:val="22"/>
        </w:rPr>
        <w:t>REPLY</w:t>
      </w:r>
      <w:r w:rsidRPr="00704DC7">
        <w:rPr>
          <w:rFonts w:ascii="Arial" w:hAnsi="Arial" w:cs="Arial"/>
          <w:sz w:val="22"/>
          <w:szCs w:val="22"/>
        </w:rPr>
        <w:t>:</w:t>
      </w:r>
      <w:r w:rsidR="00AD1D64">
        <w:rPr>
          <w:rFonts w:ascii="Arial" w:hAnsi="Arial" w:cs="Arial"/>
          <w:sz w:val="22"/>
          <w:szCs w:val="22"/>
        </w:rPr>
        <w:t xml:space="preserve"> </w:t>
      </w:r>
    </w:p>
    <w:p w:rsidR="007515A5" w:rsidRDefault="007515A5" w:rsidP="00812D7B">
      <w:pPr>
        <w:autoSpaceDE w:val="0"/>
        <w:autoSpaceDN w:val="0"/>
        <w:adjustRightInd w:val="0"/>
        <w:jc w:val="both"/>
        <w:rPr>
          <w:rFonts w:ascii="Arial" w:hAnsi="Arial" w:cs="Arial"/>
          <w:sz w:val="22"/>
          <w:szCs w:val="22"/>
        </w:rPr>
      </w:pPr>
    </w:p>
    <w:p w:rsidR="00C505E6" w:rsidRDefault="00C505E6" w:rsidP="00812D7B">
      <w:pPr>
        <w:autoSpaceDE w:val="0"/>
        <w:autoSpaceDN w:val="0"/>
        <w:adjustRightInd w:val="0"/>
        <w:jc w:val="both"/>
        <w:rPr>
          <w:rFonts w:ascii="Arial" w:hAnsi="Arial" w:cs="Arial"/>
          <w:sz w:val="22"/>
          <w:szCs w:val="22"/>
        </w:rPr>
      </w:pPr>
      <w:r>
        <w:rPr>
          <w:rFonts w:ascii="Arial" w:hAnsi="Arial" w:cs="Arial"/>
          <w:sz w:val="22"/>
          <w:szCs w:val="22"/>
        </w:rPr>
        <w:t xml:space="preserve">Parliament approved a fiscal framework that proposes significant adjustments to spending over the medium term in order to stabilize government debt and reduce the pace of growth in debt servicing costs in October 2020. </w:t>
      </w:r>
      <w:r w:rsidR="007515A5">
        <w:rPr>
          <w:rFonts w:ascii="Arial" w:hAnsi="Arial" w:cs="Arial"/>
          <w:sz w:val="22"/>
          <w:szCs w:val="22"/>
        </w:rPr>
        <w:t xml:space="preserve"> </w:t>
      </w:r>
      <w:r>
        <w:rPr>
          <w:rFonts w:ascii="Arial" w:hAnsi="Arial" w:cs="Arial"/>
          <w:sz w:val="22"/>
          <w:szCs w:val="22"/>
        </w:rPr>
        <w:t xml:space="preserve">This approval by Parliament meant all spheres of government and all department’s budgets would be reduced to achieve debt stabilization. </w:t>
      </w:r>
      <w:r w:rsidR="007515A5">
        <w:rPr>
          <w:rFonts w:ascii="Arial" w:hAnsi="Arial" w:cs="Arial"/>
          <w:sz w:val="22"/>
          <w:szCs w:val="22"/>
        </w:rPr>
        <w:t xml:space="preserve"> </w:t>
      </w:r>
      <w:r>
        <w:rPr>
          <w:rFonts w:ascii="Arial" w:hAnsi="Arial" w:cs="Arial"/>
          <w:sz w:val="22"/>
          <w:szCs w:val="22"/>
        </w:rPr>
        <w:t xml:space="preserve">Furthermore, Parliament passed the 2021 fiscal framework tabled by the Minister of Finance in February 2021 proposing the same fiscal consolidation through lowering the levels of expenditure. </w:t>
      </w:r>
      <w:r w:rsidR="007515A5">
        <w:rPr>
          <w:rFonts w:ascii="Arial" w:hAnsi="Arial" w:cs="Arial"/>
          <w:sz w:val="22"/>
          <w:szCs w:val="22"/>
        </w:rPr>
        <w:t xml:space="preserve"> </w:t>
      </w:r>
      <w:r>
        <w:rPr>
          <w:rFonts w:ascii="Arial" w:hAnsi="Arial" w:cs="Arial"/>
          <w:sz w:val="22"/>
          <w:szCs w:val="22"/>
        </w:rPr>
        <w:t xml:space="preserve">The decision to reduce departmental budgets was not a National Treasury decision but a Cabinet decision. </w:t>
      </w:r>
    </w:p>
    <w:p w:rsidR="00C505E6" w:rsidRDefault="00C505E6" w:rsidP="00812D7B">
      <w:pPr>
        <w:autoSpaceDE w:val="0"/>
        <w:autoSpaceDN w:val="0"/>
        <w:adjustRightInd w:val="0"/>
        <w:jc w:val="both"/>
        <w:rPr>
          <w:rFonts w:ascii="Arial" w:hAnsi="Arial" w:cs="Arial"/>
          <w:sz w:val="22"/>
          <w:szCs w:val="22"/>
        </w:rPr>
      </w:pPr>
    </w:p>
    <w:p w:rsidR="00401CD9" w:rsidRDefault="00F310D2" w:rsidP="00812D7B">
      <w:pPr>
        <w:autoSpaceDE w:val="0"/>
        <w:autoSpaceDN w:val="0"/>
        <w:adjustRightInd w:val="0"/>
        <w:jc w:val="both"/>
        <w:rPr>
          <w:rFonts w:ascii="Arial" w:hAnsi="Arial" w:cs="Arial"/>
          <w:sz w:val="22"/>
          <w:szCs w:val="22"/>
        </w:rPr>
      </w:pPr>
      <w:r>
        <w:rPr>
          <w:rFonts w:ascii="Arial" w:hAnsi="Arial" w:cs="Arial"/>
          <w:sz w:val="22"/>
          <w:szCs w:val="22"/>
        </w:rPr>
        <w:t>Table 1</w:t>
      </w:r>
      <w:r w:rsidR="00757975">
        <w:rPr>
          <w:rFonts w:ascii="Arial" w:hAnsi="Arial" w:cs="Arial"/>
          <w:sz w:val="22"/>
          <w:szCs w:val="22"/>
        </w:rPr>
        <w:t xml:space="preserve"> provides a summary of expenditure trends and estimates for Vote 28: Police. </w:t>
      </w:r>
      <w:r w:rsidR="007515A5">
        <w:rPr>
          <w:rFonts w:ascii="Arial" w:hAnsi="Arial" w:cs="Arial"/>
          <w:sz w:val="22"/>
          <w:szCs w:val="22"/>
        </w:rPr>
        <w:t xml:space="preserve"> </w:t>
      </w:r>
      <w:r w:rsidR="00757975">
        <w:rPr>
          <w:rFonts w:ascii="Arial" w:hAnsi="Arial" w:cs="Arial"/>
          <w:sz w:val="22"/>
          <w:szCs w:val="22"/>
        </w:rPr>
        <w:t>Between 2020/21 and 2021/22, t</w:t>
      </w:r>
      <w:r w:rsidR="004606C0">
        <w:rPr>
          <w:rFonts w:ascii="Arial" w:hAnsi="Arial" w:cs="Arial"/>
          <w:sz w:val="22"/>
          <w:szCs w:val="22"/>
        </w:rPr>
        <w:t xml:space="preserve">he department’s budget for </w:t>
      </w:r>
      <w:r w:rsidR="001A531F">
        <w:rPr>
          <w:rFonts w:ascii="Arial" w:hAnsi="Arial" w:cs="Arial"/>
          <w:sz w:val="22"/>
          <w:szCs w:val="22"/>
        </w:rPr>
        <w:t xml:space="preserve">compensation of employees </w:t>
      </w:r>
      <w:r w:rsidR="00970231">
        <w:rPr>
          <w:rFonts w:ascii="Arial" w:hAnsi="Arial" w:cs="Arial"/>
          <w:sz w:val="22"/>
          <w:szCs w:val="22"/>
        </w:rPr>
        <w:t xml:space="preserve">is expected to </w:t>
      </w:r>
      <w:r w:rsidR="001A531F">
        <w:rPr>
          <w:rFonts w:ascii="Arial" w:hAnsi="Arial" w:cs="Arial"/>
          <w:sz w:val="22"/>
          <w:szCs w:val="22"/>
        </w:rPr>
        <w:t xml:space="preserve">decrease from R76.1 billion to R75.3 billion, </w:t>
      </w:r>
      <w:r w:rsidR="00970231">
        <w:rPr>
          <w:rFonts w:ascii="Arial" w:hAnsi="Arial" w:cs="Arial"/>
          <w:sz w:val="22"/>
          <w:szCs w:val="22"/>
        </w:rPr>
        <w:t xml:space="preserve">while its </w:t>
      </w:r>
      <w:r w:rsidR="001A531F">
        <w:rPr>
          <w:rFonts w:ascii="Arial" w:hAnsi="Arial" w:cs="Arial"/>
          <w:sz w:val="22"/>
          <w:szCs w:val="22"/>
        </w:rPr>
        <w:t>budget for g</w:t>
      </w:r>
      <w:r w:rsidR="004606C0">
        <w:rPr>
          <w:rFonts w:ascii="Arial" w:hAnsi="Arial" w:cs="Arial"/>
          <w:sz w:val="22"/>
          <w:szCs w:val="22"/>
        </w:rPr>
        <w:t xml:space="preserve">oods and services </w:t>
      </w:r>
      <w:r w:rsidR="00970231">
        <w:rPr>
          <w:rFonts w:ascii="Arial" w:hAnsi="Arial" w:cs="Arial"/>
          <w:sz w:val="22"/>
          <w:szCs w:val="22"/>
        </w:rPr>
        <w:t xml:space="preserve">is expected to </w:t>
      </w:r>
      <w:r w:rsidR="004606C0">
        <w:rPr>
          <w:rFonts w:ascii="Arial" w:hAnsi="Arial" w:cs="Arial"/>
          <w:sz w:val="22"/>
          <w:szCs w:val="22"/>
        </w:rPr>
        <w:t>decrease from R19.2 billion</w:t>
      </w:r>
      <w:r w:rsidR="001A531F">
        <w:rPr>
          <w:rFonts w:ascii="Arial" w:hAnsi="Arial" w:cs="Arial"/>
          <w:sz w:val="22"/>
          <w:szCs w:val="22"/>
        </w:rPr>
        <w:t xml:space="preserve"> </w:t>
      </w:r>
      <w:r w:rsidR="004606C0">
        <w:rPr>
          <w:rFonts w:ascii="Arial" w:hAnsi="Arial" w:cs="Arial"/>
          <w:sz w:val="22"/>
          <w:szCs w:val="22"/>
        </w:rPr>
        <w:t xml:space="preserve">to R16.3 billion. </w:t>
      </w:r>
      <w:r w:rsidR="007515A5">
        <w:rPr>
          <w:rFonts w:ascii="Arial" w:hAnsi="Arial" w:cs="Arial"/>
          <w:sz w:val="22"/>
          <w:szCs w:val="22"/>
        </w:rPr>
        <w:t xml:space="preserve"> </w:t>
      </w:r>
      <w:r w:rsidR="004606C0">
        <w:rPr>
          <w:rFonts w:ascii="Arial" w:hAnsi="Arial" w:cs="Arial"/>
          <w:sz w:val="22"/>
          <w:szCs w:val="22"/>
        </w:rPr>
        <w:t xml:space="preserve">The main items </w:t>
      </w:r>
      <w:r w:rsidR="001A531F">
        <w:rPr>
          <w:rFonts w:ascii="Arial" w:hAnsi="Arial" w:cs="Arial"/>
          <w:sz w:val="22"/>
          <w:szCs w:val="22"/>
        </w:rPr>
        <w:t xml:space="preserve">influenced under goods and services </w:t>
      </w:r>
      <w:r w:rsidR="00FA1E91">
        <w:rPr>
          <w:rFonts w:ascii="Arial" w:hAnsi="Arial" w:cs="Arial"/>
          <w:sz w:val="22"/>
          <w:szCs w:val="22"/>
        </w:rPr>
        <w:t>are</w:t>
      </w:r>
      <w:r w:rsidR="004606C0">
        <w:rPr>
          <w:rFonts w:ascii="Arial" w:hAnsi="Arial" w:cs="Arial"/>
          <w:sz w:val="22"/>
          <w:szCs w:val="22"/>
        </w:rPr>
        <w:t xml:space="preserve"> </w:t>
      </w:r>
      <w:r w:rsidR="00FA1E91">
        <w:rPr>
          <w:rFonts w:ascii="Arial" w:hAnsi="Arial" w:cs="Arial"/>
          <w:sz w:val="22"/>
          <w:szCs w:val="22"/>
        </w:rPr>
        <w:t>non-essential in nature</w:t>
      </w:r>
      <w:r w:rsidR="001A531F">
        <w:rPr>
          <w:rFonts w:ascii="Arial" w:hAnsi="Arial" w:cs="Arial"/>
          <w:sz w:val="22"/>
          <w:szCs w:val="22"/>
        </w:rPr>
        <w:t>, e.g. a</w:t>
      </w:r>
      <w:r w:rsidR="00FA1E91">
        <w:rPr>
          <w:rFonts w:ascii="Arial" w:hAnsi="Arial" w:cs="Arial"/>
          <w:sz w:val="22"/>
          <w:szCs w:val="22"/>
        </w:rPr>
        <w:t>dvertising</w:t>
      </w:r>
      <w:r w:rsidR="007F04C7">
        <w:rPr>
          <w:rFonts w:ascii="Arial" w:hAnsi="Arial" w:cs="Arial"/>
          <w:sz w:val="22"/>
          <w:szCs w:val="22"/>
        </w:rPr>
        <w:t xml:space="preserve">, </w:t>
      </w:r>
      <w:r w:rsidR="00FA1E91">
        <w:rPr>
          <w:rFonts w:ascii="Arial" w:hAnsi="Arial" w:cs="Arial"/>
          <w:sz w:val="22"/>
          <w:szCs w:val="22"/>
        </w:rPr>
        <w:t>consultants</w:t>
      </w:r>
      <w:r w:rsidR="001A531F">
        <w:rPr>
          <w:rFonts w:ascii="Arial" w:hAnsi="Arial" w:cs="Arial"/>
          <w:sz w:val="22"/>
          <w:szCs w:val="22"/>
        </w:rPr>
        <w:t xml:space="preserve">, catering, and travel and subsistence, and will be managed </w:t>
      </w:r>
      <w:r w:rsidR="00F06E8B">
        <w:rPr>
          <w:rFonts w:ascii="Arial" w:hAnsi="Arial" w:cs="Arial"/>
          <w:sz w:val="22"/>
          <w:szCs w:val="22"/>
        </w:rPr>
        <w:t>through</w:t>
      </w:r>
      <w:r w:rsidR="00452353">
        <w:rPr>
          <w:rFonts w:ascii="Arial" w:hAnsi="Arial" w:cs="Arial"/>
          <w:sz w:val="22"/>
          <w:szCs w:val="22"/>
        </w:rPr>
        <w:t xml:space="preserve"> cost-containment</w:t>
      </w:r>
      <w:r w:rsidR="001A531F">
        <w:rPr>
          <w:rFonts w:ascii="Arial" w:hAnsi="Arial" w:cs="Arial"/>
          <w:sz w:val="22"/>
          <w:szCs w:val="22"/>
        </w:rPr>
        <w:t xml:space="preserve">. </w:t>
      </w:r>
      <w:r w:rsidR="007515A5">
        <w:rPr>
          <w:rFonts w:ascii="Arial" w:hAnsi="Arial" w:cs="Arial"/>
          <w:sz w:val="22"/>
          <w:szCs w:val="22"/>
        </w:rPr>
        <w:t xml:space="preserve"> </w:t>
      </w:r>
      <w:r w:rsidR="001A531F">
        <w:rPr>
          <w:rFonts w:ascii="Arial" w:hAnsi="Arial" w:cs="Arial"/>
          <w:sz w:val="22"/>
          <w:szCs w:val="22"/>
        </w:rPr>
        <w:t xml:space="preserve">Reductions on compensation of employees will be managed through salary freezes and </w:t>
      </w:r>
      <w:r w:rsidR="00A3362E">
        <w:rPr>
          <w:rFonts w:ascii="Arial" w:hAnsi="Arial" w:cs="Arial"/>
          <w:sz w:val="22"/>
          <w:szCs w:val="22"/>
        </w:rPr>
        <w:t xml:space="preserve">non-filling of less critical </w:t>
      </w:r>
      <w:r w:rsidR="00970231">
        <w:rPr>
          <w:rFonts w:ascii="Arial" w:hAnsi="Arial" w:cs="Arial"/>
          <w:sz w:val="22"/>
          <w:szCs w:val="22"/>
        </w:rPr>
        <w:t xml:space="preserve">post </w:t>
      </w:r>
      <w:r w:rsidR="00A3362E">
        <w:rPr>
          <w:rFonts w:ascii="Arial" w:hAnsi="Arial" w:cs="Arial"/>
          <w:sz w:val="22"/>
          <w:szCs w:val="22"/>
        </w:rPr>
        <w:t>vacancies</w:t>
      </w:r>
      <w:r w:rsidR="00440329">
        <w:rPr>
          <w:rFonts w:ascii="Arial" w:hAnsi="Arial" w:cs="Arial"/>
          <w:sz w:val="22"/>
          <w:szCs w:val="22"/>
        </w:rPr>
        <w:t>.</w:t>
      </w:r>
    </w:p>
    <w:p w:rsidR="000D40F1" w:rsidRPr="000D40F1" w:rsidRDefault="000D40F1" w:rsidP="000D40F1">
      <w:pPr>
        <w:autoSpaceDE w:val="0"/>
        <w:autoSpaceDN w:val="0"/>
        <w:adjustRightInd w:val="0"/>
        <w:spacing w:after="20"/>
        <w:jc w:val="both"/>
        <w:rPr>
          <w:rFonts w:ascii="Arial" w:hAnsi="Arial" w:cs="Arial"/>
          <w:b/>
          <w:sz w:val="20"/>
          <w:szCs w:val="20"/>
          <w:u w:val="single"/>
        </w:rPr>
      </w:pPr>
    </w:p>
    <w:bookmarkStart w:id="6" w:name="ProgSum" w:displacedByCustomXml="next"/>
    <w:sdt>
      <w:sdtPr>
        <w:rPr>
          <w:rFonts w:ascii="Arial" w:hAnsi="Arial" w:cs="Arial"/>
          <w:b/>
          <w:bCs/>
          <w:color w:val="000000"/>
          <w:sz w:val="18"/>
          <w:szCs w:val="18"/>
        </w:rPr>
        <w:id w:val="1182093457"/>
        <w:placeholder>
          <w:docPart w:val="14BBD599225F44A8A70EE9043113FD22"/>
        </w:placeholder>
      </w:sdtPr>
      <w:sdtEndPr>
        <w:rPr>
          <w:b w:val="0"/>
          <w:bCs w:val="0"/>
          <w:i/>
          <w:iCs/>
          <w:sz w:val="12"/>
          <w:szCs w:val="12"/>
        </w:rPr>
      </w:sdtEndPr>
      <w:sdtContent>
        <w:tbl>
          <w:tblPr>
            <w:tblW w:w="5032" w:type="pct"/>
            <w:tblLook w:val="0000"/>
          </w:tblPr>
          <w:tblGrid>
            <w:gridCol w:w="1777"/>
            <w:gridCol w:w="745"/>
            <w:gridCol w:w="745"/>
            <w:gridCol w:w="743"/>
            <w:gridCol w:w="916"/>
            <w:gridCol w:w="608"/>
            <w:gridCol w:w="651"/>
            <w:gridCol w:w="746"/>
            <w:gridCol w:w="746"/>
            <w:gridCol w:w="746"/>
            <w:gridCol w:w="608"/>
            <w:gridCol w:w="651"/>
          </w:tblGrid>
          <w:tr w:rsidR="004606C0" w:rsidRPr="00456C22" w:rsidTr="007143E9">
            <w:trPr>
              <w:trHeight w:val="25"/>
            </w:trPr>
            <w:tc>
              <w:tcPr>
                <w:tcW w:w="5000" w:type="pct"/>
                <w:gridSpan w:val="12"/>
                <w:tcBorders>
                  <w:top w:val="nil"/>
                  <w:left w:val="nil"/>
                  <w:bottom w:val="single" w:sz="6" w:space="0" w:color="auto"/>
                  <w:right w:val="nil"/>
                </w:tcBorders>
                <w:shd w:val="clear" w:color="auto" w:fill="auto"/>
                <w:vAlign w:val="bottom"/>
              </w:tcPr>
              <w:p w:rsidR="004606C0" w:rsidRPr="00F34945" w:rsidRDefault="004606C0" w:rsidP="00757975">
                <w:pPr>
                  <w:autoSpaceDE w:val="0"/>
                  <w:autoSpaceDN w:val="0"/>
                  <w:adjustRightInd w:val="0"/>
                  <w:ind w:left="-99" w:right="-57"/>
                  <w:rPr>
                    <w:rFonts w:ascii="Arial" w:hAnsi="Arial" w:cs="Arial"/>
                    <w:b/>
                    <w:bCs/>
                    <w:color w:val="000000"/>
                    <w:sz w:val="18"/>
                    <w:szCs w:val="18"/>
                  </w:rPr>
                </w:pPr>
                <w:r w:rsidRPr="00F34945">
                  <w:rPr>
                    <w:rFonts w:ascii="Arial" w:hAnsi="Arial" w:cs="Arial"/>
                    <w:b/>
                    <w:bCs/>
                    <w:color w:val="000000"/>
                    <w:sz w:val="18"/>
                    <w:szCs w:val="18"/>
                  </w:rPr>
                  <w:t xml:space="preserve">Table 1. </w:t>
                </w:r>
                <w:r w:rsidR="00F310D2">
                  <w:rPr>
                    <w:rFonts w:ascii="Arial" w:hAnsi="Arial" w:cs="Arial"/>
                    <w:b/>
                    <w:bCs/>
                    <w:color w:val="000000"/>
                    <w:sz w:val="18"/>
                    <w:szCs w:val="18"/>
                  </w:rPr>
                  <w:t>Expenditure t</w:t>
                </w:r>
                <w:r w:rsidRPr="00F34945">
                  <w:rPr>
                    <w:rFonts w:ascii="Arial" w:hAnsi="Arial" w:cs="Arial"/>
                    <w:b/>
                    <w:bCs/>
                    <w:color w:val="000000"/>
                    <w:sz w:val="18"/>
                    <w:szCs w:val="18"/>
                  </w:rPr>
                  <w:t>rends and estimates</w:t>
                </w:r>
                <w:r w:rsidR="00757975">
                  <w:rPr>
                    <w:rFonts w:ascii="Arial" w:hAnsi="Arial" w:cs="Arial"/>
                    <w:b/>
                    <w:bCs/>
                    <w:color w:val="000000"/>
                    <w:sz w:val="18"/>
                    <w:szCs w:val="18"/>
                  </w:rPr>
                  <w:t xml:space="preserve">: </w:t>
                </w:r>
                <w:r w:rsidR="00F310D2">
                  <w:rPr>
                    <w:rFonts w:ascii="Arial" w:hAnsi="Arial" w:cs="Arial"/>
                    <w:b/>
                    <w:bCs/>
                    <w:color w:val="000000"/>
                    <w:sz w:val="18"/>
                    <w:szCs w:val="18"/>
                  </w:rPr>
                  <w:t>Vote 28 (Police)</w:t>
                </w:r>
              </w:p>
            </w:tc>
          </w:tr>
          <w:tr w:rsidR="004606C0" w:rsidRPr="00456C22" w:rsidTr="007143E9">
            <w:trPr>
              <w:trHeight w:val="25"/>
            </w:trPr>
            <w:tc>
              <w:tcPr>
                <w:tcW w:w="918" w:type="pct"/>
                <w:tcBorders>
                  <w:top w:val="single" w:sz="6" w:space="0" w:color="auto"/>
                  <w:left w:val="nil"/>
                  <w:bottom w:val="nil"/>
                  <w:right w:val="nil"/>
                </w:tcBorders>
                <w:shd w:val="clear" w:color="auto" w:fill="auto"/>
              </w:tcPr>
              <w:p w:rsidR="004606C0" w:rsidRPr="00456C22" w:rsidRDefault="00F310D2" w:rsidP="004606C0">
                <w:pPr>
                  <w:autoSpaceDE w:val="0"/>
                  <w:autoSpaceDN w:val="0"/>
                  <w:adjustRightInd w:val="0"/>
                  <w:ind w:left="-99" w:right="-57"/>
                  <w:rPr>
                    <w:rFonts w:ascii="Arial" w:hAnsi="Arial" w:cs="Arial"/>
                    <w:b/>
                    <w:bCs/>
                    <w:color w:val="000000"/>
                    <w:sz w:val="12"/>
                    <w:szCs w:val="12"/>
                  </w:rPr>
                </w:pPr>
                <w:r>
                  <w:rPr>
                    <w:rFonts w:ascii="Arial" w:hAnsi="Arial" w:cs="Arial"/>
                    <w:b/>
                    <w:bCs/>
                    <w:color w:val="000000"/>
                    <w:sz w:val="12"/>
                    <w:szCs w:val="12"/>
                  </w:rPr>
                  <w:t>Economic classification</w:t>
                </w:r>
              </w:p>
            </w:tc>
            <w:tc>
              <w:tcPr>
                <w:tcW w:w="1153" w:type="pct"/>
                <w:gridSpan w:val="3"/>
                <w:tcBorders>
                  <w:top w:val="single" w:sz="6" w:space="0" w:color="auto"/>
                  <w:left w:val="nil"/>
                  <w:bottom w:val="single" w:sz="2" w:space="0" w:color="auto"/>
                  <w:right w:val="single" w:sz="2" w:space="0" w:color="auto"/>
                </w:tcBorders>
                <w:shd w:val="clear" w:color="auto" w:fill="auto"/>
                <w:vAlign w:val="bottom"/>
              </w:tcPr>
              <w:p w:rsidR="004606C0" w:rsidRPr="00456C22" w:rsidRDefault="004606C0" w:rsidP="004606C0">
                <w:pPr>
                  <w:autoSpaceDE w:val="0"/>
                  <w:autoSpaceDN w:val="0"/>
                  <w:adjustRightInd w:val="0"/>
                  <w:ind w:left="-99" w:right="-57"/>
                  <w:jc w:val="center"/>
                  <w:rPr>
                    <w:rFonts w:ascii="Arial" w:hAnsi="Arial" w:cs="Arial"/>
                    <w:b/>
                    <w:bCs/>
                    <w:color w:val="000000"/>
                    <w:sz w:val="12"/>
                    <w:szCs w:val="12"/>
                  </w:rPr>
                </w:pPr>
                <w:r w:rsidRPr="00456C22">
                  <w:rPr>
                    <w:rFonts w:ascii="Arial" w:hAnsi="Arial" w:cs="Arial"/>
                    <w:b/>
                    <w:bCs/>
                    <w:color w:val="000000"/>
                    <w:sz w:val="12"/>
                    <w:szCs w:val="12"/>
                  </w:rPr>
                  <w:t xml:space="preserve"> Audited outcome </w:t>
                </w:r>
              </w:p>
            </w:tc>
            <w:tc>
              <w:tcPr>
                <w:tcW w:w="473" w:type="pct"/>
                <w:tcBorders>
                  <w:top w:val="single" w:sz="6" w:space="0" w:color="auto"/>
                  <w:left w:val="single" w:sz="2" w:space="0" w:color="auto"/>
                  <w:bottom w:val="single" w:sz="2" w:space="0" w:color="auto"/>
                  <w:right w:val="single" w:sz="2" w:space="0" w:color="auto"/>
                </w:tcBorders>
                <w:shd w:val="clear" w:color="auto" w:fill="auto"/>
                <w:vAlign w:val="bottom"/>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 Adjusted </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appropriation </w:t>
                </w:r>
              </w:p>
            </w:tc>
            <w:tc>
              <w:tcPr>
                <w:tcW w:w="314" w:type="pct"/>
                <w:tcBorders>
                  <w:top w:val="single" w:sz="6" w:space="0" w:color="auto"/>
                  <w:left w:val="single" w:sz="2" w:space="0" w:color="auto"/>
                  <w:bottom w:val="single" w:sz="2" w:space="0" w:color="auto"/>
                  <w:right w:val="single" w:sz="2" w:space="0" w:color="auto"/>
                </w:tcBorders>
                <w:shd w:val="clear" w:color="auto" w:fill="auto"/>
                <w:vAlign w:val="bottom"/>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Average</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growth</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rate</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w:t>
                </w:r>
              </w:p>
            </w:tc>
            <w:tc>
              <w:tcPr>
                <w:tcW w:w="336" w:type="pct"/>
                <w:tcBorders>
                  <w:top w:val="single" w:sz="6" w:space="0" w:color="auto"/>
                  <w:left w:val="single" w:sz="2" w:space="0" w:color="auto"/>
                  <w:bottom w:val="single" w:sz="2" w:space="0" w:color="auto"/>
                  <w:right w:val="single" w:sz="2" w:space="0" w:color="auto"/>
                </w:tcBorders>
                <w:shd w:val="clear" w:color="auto" w:fill="auto"/>
                <w:vAlign w:val="bottom"/>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Average: </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proofErr w:type="spellStart"/>
                <w:r w:rsidRPr="00456C22">
                  <w:rPr>
                    <w:rFonts w:ascii="Arial" w:hAnsi="Arial" w:cs="Arial"/>
                    <w:b/>
                    <w:bCs/>
                    <w:color w:val="000000"/>
                    <w:sz w:val="12"/>
                    <w:szCs w:val="12"/>
                  </w:rPr>
                  <w:t>Expen</w:t>
                </w:r>
                <w:proofErr w:type="spellEnd"/>
                <w:r w:rsidRPr="00456C22">
                  <w:rPr>
                    <w:rFonts w:ascii="Arial" w:hAnsi="Arial" w:cs="Arial"/>
                    <w:b/>
                    <w:bCs/>
                    <w:color w:val="000000"/>
                    <w:sz w:val="12"/>
                    <w:szCs w:val="12"/>
                  </w:rPr>
                  <w:t>-</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proofErr w:type="spellStart"/>
                <w:r w:rsidRPr="00456C22">
                  <w:rPr>
                    <w:rFonts w:ascii="Arial" w:hAnsi="Arial" w:cs="Arial"/>
                    <w:b/>
                    <w:bCs/>
                    <w:color w:val="000000"/>
                    <w:sz w:val="12"/>
                    <w:szCs w:val="12"/>
                  </w:rPr>
                  <w:t>diture</w:t>
                </w:r>
                <w:proofErr w:type="spellEnd"/>
                <w:r w:rsidRPr="00456C22">
                  <w:rPr>
                    <w:rFonts w:ascii="Arial" w:hAnsi="Arial" w:cs="Arial"/>
                    <w:b/>
                    <w:bCs/>
                    <w:color w:val="000000"/>
                    <w:sz w:val="12"/>
                    <w:szCs w:val="12"/>
                  </w:rPr>
                  <w:t>/</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Total</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w:t>
                </w:r>
              </w:p>
            </w:tc>
            <w:tc>
              <w:tcPr>
                <w:tcW w:w="1154" w:type="pct"/>
                <w:gridSpan w:val="3"/>
                <w:tcBorders>
                  <w:top w:val="single" w:sz="6" w:space="0" w:color="auto"/>
                  <w:left w:val="single" w:sz="2" w:space="0" w:color="auto"/>
                  <w:bottom w:val="single" w:sz="2" w:space="0" w:color="auto"/>
                  <w:right w:val="single" w:sz="2" w:space="0" w:color="auto"/>
                </w:tcBorders>
                <w:shd w:val="clear" w:color="auto" w:fill="auto"/>
                <w:vAlign w:val="bottom"/>
              </w:tcPr>
              <w:p w:rsidR="004606C0" w:rsidRPr="00456C22" w:rsidRDefault="004606C0" w:rsidP="004606C0">
                <w:pPr>
                  <w:autoSpaceDE w:val="0"/>
                  <w:autoSpaceDN w:val="0"/>
                  <w:adjustRightInd w:val="0"/>
                  <w:ind w:left="-99" w:right="-57"/>
                  <w:jc w:val="center"/>
                  <w:rPr>
                    <w:rFonts w:ascii="Arial" w:hAnsi="Arial" w:cs="Arial"/>
                    <w:b/>
                    <w:bCs/>
                    <w:color w:val="000000"/>
                    <w:sz w:val="12"/>
                    <w:szCs w:val="12"/>
                  </w:rPr>
                </w:pPr>
                <w:r w:rsidRPr="00456C22">
                  <w:rPr>
                    <w:rFonts w:ascii="Arial" w:hAnsi="Arial" w:cs="Arial"/>
                    <w:b/>
                    <w:bCs/>
                    <w:color w:val="000000"/>
                    <w:sz w:val="12"/>
                    <w:szCs w:val="12"/>
                  </w:rPr>
                  <w:t xml:space="preserve"> Medium-term expenditure </w:t>
                </w:r>
              </w:p>
              <w:p w:rsidR="004606C0" w:rsidRPr="00456C22" w:rsidRDefault="004606C0" w:rsidP="004606C0">
                <w:pPr>
                  <w:autoSpaceDE w:val="0"/>
                  <w:autoSpaceDN w:val="0"/>
                  <w:adjustRightInd w:val="0"/>
                  <w:ind w:left="-99" w:right="-57"/>
                  <w:jc w:val="center"/>
                  <w:rPr>
                    <w:rFonts w:ascii="Arial" w:hAnsi="Arial" w:cs="Arial"/>
                    <w:b/>
                    <w:bCs/>
                    <w:color w:val="000000"/>
                    <w:sz w:val="12"/>
                    <w:szCs w:val="12"/>
                  </w:rPr>
                </w:pPr>
                <w:r w:rsidRPr="00456C22">
                  <w:rPr>
                    <w:rFonts w:ascii="Arial" w:hAnsi="Arial" w:cs="Arial"/>
                    <w:b/>
                    <w:bCs/>
                    <w:color w:val="000000"/>
                    <w:sz w:val="12"/>
                    <w:szCs w:val="12"/>
                  </w:rPr>
                  <w:t xml:space="preserve">estimate </w:t>
                </w:r>
              </w:p>
            </w:tc>
            <w:tc>
              <w:tcPr>
                <w:tcW w:w="314" w:type="pct"/>
                <w:tcBorders>
                  <w:top w:val="single" w:sz="6" w:space="0" w:color="auto"/>
                  <w:left w:val="single" w:sz="2" w:space="0" w:color="auto"/>
                  <w:bottom w:val="single" w:sz="2" w:space="0" w:color="auto"/>
                  <w:right w:val="single" w:sz="2" w:space="0" w:color="auto"/>
                </w:tcBorders>
                <w:shd w:val="clear" w:color="auto" w:fill="auto"/>
                <w:vAlign w:val="bottom"/>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Average</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growth</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rate</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w:t>
                </w:r>
              </w:p>
            </w:tc>
            <w:tc>
              <w:tcPr>
                <w:tcW w:w="335" w:type="pct"/>
                <w:tcBorders>
                  <w:top w:val="single" w:sz="6" w:space="0" w:color="auto"/>
                  <w:left w:val="single" w:sz="2" w:space="0" w:color="auto"/>
                  <w:bottom w:val="single" w:sz="2" w:space="0" w:color="auto"/>
                  <w:right w:val="nil"/>
                </w:tcBorders>
                <w:shd w:val="clear" w:color="auto" w:fill="auto"/>
                <w:vAlign w:val="bottom"/>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Average:</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proofErr w:type="spellStart"/>
                <w:r w:rsidRPr="00456C22">
                  <w:rPr>
                    <w:rFonts w:ascii="Arial" w:hAnsi="Arial" w:cs="Arial"/>
                    <w:b/>
                    <w:bCs/>
                    <w:color w:val="000000"/>
                    <w:sz w:val="12"/>
                    <w:szCs w:val="12"/>
                  </w:rPr>
                  <w:t>Expen</w:t>
                </w:r>
                <w:proofErr w:type="spellEnd"/>
                <w:r w:rsidRPr="00456C22">
                  <w:rPr>
                    <w:rFonts w:ascii="Arial" w:hAnsi="Arial" w:cs="Arial"/>
                    <w:b/>
                    <w:bCs/>
                    <w:color w:val="000000"/>
                    <w:sz w:val="12"/>
                    <w:szCs w:val="12"/>
                  </w:rPr>
                  <w:t>-</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proofErr w:type="spellStart"/>
                <w:r w:rsidRPr="00456C22">
                  <w:rPr>
                    <w:rFonts w:ascii="Arial" w:hAnsi="Arial" w:cs="Arial"/>
                    <w:b/>
                    <w:bCs/>
                    <w:color w:val="000000"/>
                    <w:sz w:val="12"/>
                    <w:szCs w:val="12"/>
                  </w:rPr>
                  <w:t>diture</w:t>
                </w:r>
                <w:proofErr w:type="spellEnd"/>
                <w:r w:rsidRPr="00456C22">
                  <w:rPr>
                    <w:rFonts w:ascii="Arial" w:hAnsi="Arial" w:cs="Arial"/>
                    <w:b/>
                    <w:bCs/>
                    <w:color w:val="000000"/>
                    <w:sz w:val="12"/>
                    <w:szCs w:val="12"/>
                  </w:rPr>
                  <w:t>/</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Total</w:t>
                </w:r>
              </w:p>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w:t>
                </w:r>
              </w:p>
            </w:tc>
          </w:tr>
          <w:tr w:rsidR="004606C0" w:rsidRPr="00456C22" w:rsidTr="007143E9">
            <w:trPr>
              <w:trHeight w:val="25"/>
            </w:trPr>
            <w:tc>
              <w:tcPr>
                <w:tcW w:w="918" w:type="pct"/>
                <w:tcBorders>
                  <w:top w:val="nil"/>
                  <w:left w:val="nil"/>
                  <w:bottom w:val="single" w:sz="2" w:space="0" w:color="auto"/>
                  <w:right w:val="nil"/>
                </w:tcBorders>
                <w:shd w:val="clear" w:color="auto" w:fill="auto"/>
                <w:vAlign w:val="bottom"/>
              </w:tcPr>
              <w:p w:rsidR="004606C0" w:rsidRPr="00456C22" w:rsidRDefault="004606C0" w:rsidP="004606C0">
                <w:pPr>
                  <w:autoSpaceDE w:val="0"/>
                  <w:autoSpaceDN w:val="0"/>
                  <w:adjustRightInd w:val="0"/>
                  <w:ind w:left="-99" w:right="-57"/>
                  <w:rPr>
                    <w:rFonts w:ascii="Arial" w:hAnsi="Arial" w:cs="Arial"/>
                    <w:color w:val="000000"/>
                    <w:sz w:val="12"/>
                    <w:szCs w:val="12"/>
                  </w:rPr>
                </w:pPr>
                <w:r w:rsidRPr="00456C22">
                  <w:rPr>
                    <w:rFonts w:ascii="Arial" w:hAnsi="Arial" w:cs="Arial"/>
                    <w:color w:val="000000"/>
                    <w:sz w:val="12"/>
                    <w:szCs w:val="12"/>
                  </w:rPr>
                  <w:t>R million</w:t>
                </w:r>
              </w:p>
            </w:tc>
            <w:tc>
              <w:tcPr>
                <w:tcW w:w="385" w:type="pct"/>
                <w:tcBorders>
                  <w:top w:val="nil"/>
                  <w:left w:val="nil"/>
                  <w:bottom w:val="single" w:sz="2" w:space="0" w:color="auto"/>
                  <w:right w:val="nil"/>
                </w:tcBorders>
                <w:shd w:val="clear" w:color="auto" w:fill="auto"/>
                <w:vAlign w:val="bottom"/>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 2017/18 </w:t>
                </w:r>
              </w:p>
            </w:tc>
            <w:tc>
              <w:tcPr>
                <w:tcW w:w="385" w:type="pct"/>
                <w:tcBorders>
                  <w:top w:val="nil"/>
                  <w:left w:val="nil"/>
                  <w:bottom w:val="single" w:sz="2" w:space="0" w:color="auto"/>
                  <w:right w:val="nil"/>
                </w:tcBorders>
                <w:shd w:val="clear" w:color="auto" w:fill="auto"/>
                <w:vAlign w:val="bottom"/>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 2018/19 </w:t>
                </w:r>
              </w:p>
            </w:tc>
            <w:tc>
              <w:tcPr>
                <w:tcW w:w="384" w:type="pct"/>
                <w:tcBorders>
                  <w:top w:val="nil"/>
                  <w:left w:val="nil"/>
                  <w:bottom w:val="single" w:sz="2" w:space="0" w:color="auto"/>
                  <w:right w:val="single" w:sz="2" w:space="0" w:color="auto"/>
                </w:tcBorders>
                <w:shd w:val="clear" w:color="auto" w:fill="auto"/>
                <w:vAlign w:val="bottom"/>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 2019/20 </w:t>
                </w:r>
              </w:p>
            </w:tc>
            <w:tc>
              <w:tcPr>
                <w:tcW w:w="473" w:type="pct"/>
                <w:tcBorders>
                  <w:top w:val="nil"/>
                  <w:left w:val="single" w:sz="2" w:space="0" w:color="auto"/>
                  <w:bottom w:val="single" w:sz="2" w:space="0" w:color="auto"/>
                  <w:right w:val="single" w:sz="2" w:space="0" w:color="auto"/>
                </w:tcBorders>
                <w:shd w:val="clear" w:color="auto" w:fill="auto"/>
                <w:vAlign w:val="bottom"/>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 2020/21 </w:t>
                </w:r>
              </w:p>
            </w:tc>
            <w:tc>
              <w:tcPr>
                <w:tcW w:w="650" w:type="pct"/>
                <w:gridSpan w:val="2"/>
                <w:tcBorders>
                  <w:top w:val="single" w:sz="2" w:space="0" w:color="auto"/>
                  <w:left w:val="single" w:sz="2" w:space="0" w:color="auto"/>
                  <w:bottom w:val="single" w:sz="2" w:space="0" w:color="auto"/>
                  <w:right w:val="single" w:sz="2" w:space="0" w:color="auto"/>
                </w:tcBorders>
                <w:shd w:val="clear" w:color="auto" w:fill="auto"/>
                <w:vAlign w:val="bottom"/>
              </w:tcPr>
              <w:p w:rsidR="004606C0" w:rsidRPr="00456C22" w:rsidRDefault="004606C0" w:rsidP="004606C0">
                <w:pPr>
                  <w:autoSpaceDE w:val="0"/>
                  <w:autoSpaceDN w:val="0"/>
                  <w:adjustRightInd w:val="0"/>
                  <w:ind w:left="-99" w:right="-57"/>
                  <w:jc w:val="center"/>
                  <w:rPr>
                    <w:rFonts w:ascii="Arial" w:hAnsi="Arial" w:cs="Arial"/>
                    <w:b/>
                    <w:bCs/>
                    <w:color w:val="000000"/>
                    <w:sz w:val="12"/>
                    <w:szCs w:val="12"/>
                  </w:rPr>
                </w:pPr>
                <w:r w:rsidRPr="00456C22">
                  <w:rPr>
                    <w:rFonts w:ascii="Arial" w:hAnsi="Arial" w:cs="Arial"/>
                    <w:b/>
                    <w:bCs/>
                    <w:color w:val="000000"/>
                    <w:sz w:val="12"/>
                    <w:szCs w:val="12"/>
                  </w:rPr>
                  <w:t xml:space="preserve"> 2017/18 - 2020/21 </w:t>
                </w:r>
              </w:p>
            </w:tc>
            <w:tc>
              <w:tcPr>
                <w:tcW w:w="385" w:type="pct"/>
                <w:tcBorders>
                  <w:top w:val="nil"/>
                  <w:left w:val="nil"/>
                  <w:bottom w:val="single" w:sz="2" w:space="0" w:color="auto"/>
                  <w:right w:val="nil"/>
                </w:tcBorders>
                <w:shd w:val="clear" w:color="auto" w:fill="auto"/>
                <w:vAlign w:val="bottom"/>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 2021/22 </w:t>
                </w:r>
              </w:p>
            </w:tc>
            <w:tc>
              <w:tcPr>
                <w:tcW w:w="385" w:type="pct"/>
                <w:tcBorders>
                  <w:top w:val="nil"/>
                  <w:left w:val="nil"/>
                  <w:bottom w:val="single" w:sz="2" w:space="0" w:color="auto"/>
                  <w:right w:val="nil"/>
                </w:tcBorders>
                <w:shd w:val="clear" w:color="auto" w:fill="auto"/>
                <w:vAlign w:val="bottom"/>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 2022/23 </w:t>
                </w:r>
              </w:p>
            </w:tc>
            <w:tc>
              <w:tcPr>
                <w:tcW w:w="385" w:type="pct"/>
                <w:tcBorders>
                  <w:top w:val="nil"/>
                  <w:left w:val="nil"/>
                  <w:bottom w:val="single" w:sz="2" w:space="0" w:color="auto"/>
                  <w:right w:val="nil"/>
                </w:tcBorders>
                <w:shd w:val="clear" w:color="auto" w:fill="auto"/>
                <w:vAlign w:val="bottom"/>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 2023/24 </w:t>
                </w:r>
              </w:p>
            </w:tc>
            <w:tc>
              <w:tcPr>
                <w:tcW w:w="649" w:type="pct"/>
                <w:gridSpan w:val="2"/>
                <w:tcBorders>
                  <w:top w:val="single" w:sz="2" w:space="0" w:color="auto"/>
                  <w:left w:val="single" w:sz="2" w:space="0" w:color="auto"/>
                  <w:bottom w:val="single" w:sz="2" w:space="0" w:color="auto"/>
                  <w:right w:val="nil"/>
                </w:tcBorders>
                <w:shd w:val="clear" w:color="auto" w:fill="auto"/>
                <w:vAlign w:val="bottom"/>
              </w:tcPr>
              <w:p w:rsidR="004606C0" w:rsidRPr="00456C22" w:rsidRDefault="004606C0" w:rsidP="004606C0">
                <w:pPr>
                  <w:autoSpaceDE w:val="0"/>
                  <w:autoSpaceDN w:val="0"/>
                  <w:adjustRightInd w:val="0"/>
                  <w:ind w:left="-99" w:right="-57"/>
                  <w:jc w:val="center"/>
                  <w:rPr>
                    <w:rFonts w:ascii="Arial" w:hAnsi="Arial" w:cs="Arial"/>
                    <w:b/>
                    <w:bCs/>
                    <w:color w:val="000000"/>
                    <w:sz w:val="12"/>
                    <w:szCs w:val="12"/>
                  </w:rPr>
                </w:pPr>
                <w:r w:rsidRPr="00456C22">
                  <w:rPr>
                    <w:rFonts w:ascii="Arial" w:hAnsi="Arial" w:cs="Arial"/>
                    <w:b/>
                    <w:bCs/>
                    <w:color w:val="000000"/>
                    <w:sz w:val="12"/>
                    <w:szCs w:val="12"/>
                  </w:rPr>
                  <w:t xml:space="preserve"> 2020/21 - 2023/24 </w:t>
                </w:r>
              </w:p>
            </w:tc>
          </w:tr>
          <w:tr w:rsidR="00456C22" w:rsidRPr="00456C22" w:rsidTr="007143E9">
            <w:trPr>
              <w:trHeight w:val="25"/>
            </w:trPr>
            <w:tc>
              <w:tcPr>
                <w:tcW w:w="918" w:type="pct"/>
                <w:tcBorders>
                  <w:top w:val="single" w:sz="6" w:space="0" w:color="auto"/>
                  <w:left w:val="nil"/>
                  <w:bottom w:val="nil"/>
                  <w:right w:val="nil"/>
                </w:tcBorders>
                <w:shd w:val="clear" w:color="auto" w:fill="auto"/>
              </w:tcPr>
              <w:p w:rsidR="004606C0" w:rsidRPr="00456C22" w:rsidRDefault="00456C22" w:rsidP="00456C22">
                <w:pPr>
                  <w:keepNext/>
                  <w:autoSpaceDE w:val="0"/>
                  <w:autoSpaceDN w:val="0"/>
                  <w:adjustRightInd w:val="0"/>
                  <w:ind w:left="-96" w:right="-57"/>
                  <w:rPr>
                    <w:rFonts w:ascii="Arial" w:hAnsi="Arial" w:cs="Arial"/>
                    <w:i/>
                    <w:iCs/>
                    <w:color w:val="000000"/>
                    <w:sz w:val="12"/>
                    <w:szCs w:val="12"/>
                  </w:rPr>
                </w:pPr>
                <w:r w:rsidRPr="00456C22">
                  <w:rPr>
                    <w:rFonts w:ascii="Arial" w:hAnsi="Arial" w:cs="Arial"/>
                    <w:b/>
                    <w:bCs/>
                    <w:color w:val="000000"/>
                    <w:sz w:val="12"/>
                    <w:szCs w:val="12"/>
                  </w:rPr>
                  <w:t>Economic classification</w:t>
                </w:r>
              </w:p>
            </w:tc>
            <w:tc>
              <w:tcPr>
                <w:tcW w:w="385" w:type="pct"/>
                <w:tcBorders>
                  <w:top w:val="single" w:sz="6" w:space="0" w:color="auto"/>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i/>
                    <w:iCs/>
                    <w:color w:val="000000"/>
                    <w:sz w:val="12"/>
                    <w:szCs w:val="12"/>
                  </w:rPr>
                </w:pPr>
              </w:p>
            </w:tc>
            <w:tc>
              <w:tcPr>
                <w:tcW w:w="385" w:type="pct"/>
                <w:tcBorders>
                  <w:top w:val="single" w:sz="6" w:space="0" w:color="auto"/>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i/>
                    <w:iCs/>
                    <w:color w:val="000000"/>
                    <w:sz w:val="12"/>
                    <w:szCs w:val="12"/>
                  </w:rPr>
                </w:pPr>
              </w:p>
            </w:tc>
            <w:tc>
              <w:tcPr>
                <w:tcW w:w="384" w:type="pct"/>
                <w:tcBorders>
                  <w:top w:val="single" w:sz="6" w:space="0" w:color="auto"/>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i/>
                    <w:iCs/>
                    <w:color w:val="000000"/>
                    <w:sz w:val="12"/>
                    <w:szCs w:val="12"/>
                  </w:rPr>
                </w:pPr>
              </w:p>
            </w:tc>
            <w:tc>
              <w:tcPr>
                <w:tcW w:w="473" w:type="pct"/>
                <w:tcBorders>
                  <w:top w:val="single" w:sz="6" w:space="0" w:color="auto"/>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i/>
                    <w:iCs/>
                    <w:color w:val="000000"/>
                    <w:sz w:val="12"/>
                    <w:szCs w:val="12"/>
                  </w:rPr>
                </w:pPr>
              </w:p>
            </w:tc>
            <w:tc>
              <w:tcPr>
                <w:tcW w:w="314" w:type="pct"/>
                <w:tcBorders>
                  <w:top w:val="single" w:sz="6" w:space="0" w:color="auto"/>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i/>
                    <w:iCs/>
                    <w:color w:val="000000"/>
                    <w:sz w:val="12"/>
                    <w:szCs w:val="12"/>
                  </w:rPr>
                </w:pPr>
              </w:p>
            </w:tc>
            <w:tc>
              <w:tcPr>
                <w:tcW w:w="336" w:type="pct"/>
                <w:tcBorders>
                  <w:top w:val="single" w:sz="6" w:space="0" w:color="auto"/>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i/>
                    <w:iCs/>
                    <w:color w:val="000000"/>
                    <w:sz w:val="12"/>
                    <w:szCs w:val="12"/>
                  </w:rPr>
                </w:pPr>
              </w:p>
            </w:tc>
            <w:tc>
              <w:tcPr>
                <w:tcW w:w="385" w:type="pct"/>
                <w:tcBorders>
                  <w:top w:val="single" w:sz="6" w:space="0" w:color="auto"/>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i/>
                    <w:iCs/>
                    <w:color w:val="000000"/>
                    <w:sz w:val="12"/>
                    <w:szCs w:val="12"/>
                  </w:rPr>
                </w:pPr>
              </w:p>
            </w:tc>
            <w:tc>
              <w:tcPr>
                <w:tcW w:w="385" w:type="pct"/>
                <w:tcBorders>
                  <w:top w:val="single" w:sz="6" w:space="0" w:color="auto"/>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i/>
                    <w:iCs/>
                    <w:color w:val="000000"/>
                    <w:sz w:val="12"/>
                    <w:szCs w:val="12"/>
                  </w:rPr>
                </w:pPr>
              </w:p>
            </w:tc>
            <w:tc>
              <w:tcPr>
                <w:tcW w:w="385" w:type="pct"/>
                <w:tcBorders>
                  <w:top w:val="single" w:sz="6" w:space="0" w:color="auto"/>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i/>
                    <w:iCs/>
                    <w:color w:val="000000"/>
                    <w:sz w:val="12"/>
                    <w:szCs w:val="12"/>
                  </w:rPr>
                </w:pPr>
              </w:p>
            </w:tc>
            <w:tc>
              <w:tcPr>
                <w:tcW w:w="314" w:type="pct"/>
                <w:tcBorders>
                  <w:top w:val="single" w:sz="6" w:space="0" w:color="auto"/>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i/>
                    <w:iCs/>
                    <w:color w:val="000000"/>
                    <w:sz w:val="12"/>
                    <w:szCs w:val="12"/>
                  </w:rPr>
                </w:pPr>
              </w:p>
            </w:tc>
            <w:tc>
              <w:tcPr>
                <w:tcW w:w="335" w:type="pct"/>
                <w:tcBorders>
                  <w:top w:val="single" w:sz="6" w:space="0" w:color="auto"/>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i/>
                    <w:iCs/>
                    <w:color w:val="000000"/>
                    <w:sz w:val="12"/>
                    <w:szCs w:val="12"/>
                  </w:rPr>
                </w:pPr>
              </w:p>
            </w:tc>
          </w:tr>
          <w:tr w:rsidR="00456C22" w:rsidRPr="00456C22" w:rsidTr="007143E9">
            <w:trPr>
              <w:trHeight w:val="25"/>
            </w:trPr>
            <w:tc>
              <w:tcPr>
                <w:tcW w:w="918" w:type="pct"/>
                <w:tcBorders>
                  <w:top w:val="nil"/>
                  <w:left w:val="nil"/>
                  <w:bottom w:val="nil"/>
                  <w:right w:val="nil"/>
                </w:tcBorders>
                <w:shd w:val="clear" w:color="auto" w:fill="auto"/>
              </w:tcPr>
              <w:p w:rsidR="004606C0" w:rsidRPr="00456C22" w:rsidRDefault="004606C0" w:rsidP="004606C0">
                <w:pPr>
                  <w:keepNext/>
                  <w:autoSpaceDE w:val="0"/>
                  <w:autoSpaceDN w:val="0"/>
                  <w:adjustRightInd w:val="0"/>
                  <w:ind w:left="-96" w:right="-57"/>
                  <w:rPr>
                    <w:rFonts w:ascii="Arial" w:hAnsi="Arial" w:cs="Arial"/>
                    <w:b/>
                    <w:bCs/>
                    <w:color w:val="000000"/>
                    <w:sz w:val="12"/>
                    <w:szCs w:val="12"/>
                  </w:rPr>
                </w:pPr>
                <w:r w:rsidRPr="00456C22">
                  <w:rPr>
                    <w:rFonts w:ascii="Arial" w:hAnsi="Arial" w:cs="Arial"/>
                    <w:b/>
                    <w:bCs/>
                    <w:color w:val="000000"/>
                    <w:sz w:val="12"/>
                    <w:szCs w:val="12"/>
                  </w:rPr>
                  <w:t>Current payments</w:t>
                </w:r>
              </w:p>
            </w:tc>
            <w:tc>
              <w:tcPr>
                <w:tcW w:w="385" w:type="pct"/>
                <w:tcBorders>
                  <w:top w:val="single" w:sz="2" w:space="0" w:color="auto"/>
                  <w:left w:val="single" w:sz="2" w:space="0" w:color="auto"/>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82 469.3</w:t>
                </w:r>
              </w:p>
            </w:tc>
            <w:tc>
              <w:tcPr>
                <w:tcW w:w="385"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86 118.7</w:t>
                </w:r>
              </w:p>
            </w:tc>
            <w:tc>
              <w:tcPr>
                <w:tcW w:w="384"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92 232.1</w:t>
                </w:r>
              </w:p>
            </w:tc>
            <w:tc>
              <w:tcPr>
                <w:tcW w:w="473" w:type="pct"/>
                <w:tcBorders>
                  <w:top w:val="single" w:sz="2" w:space="0" w:color="auto"/>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95 366.4</w:t>
                </w:r>
              </w:p>
            </w:tc>
            <w:tc>
              <w:tcPr>
                <w:tcW w:w="314" w:type="pct"/>
                <w:tcBorders>
                  <w:top w:val="single" w:sz="2" w:space="0" w:color="auto"/>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5.0%</w:t>
                </w:r>
              </w:p>
            </w:tc>
            <w:tc>
              <w:tcPr>
                <w:tcW w:w="336" w:type="pct"/>
                <w:tcBorders>
                  <w:top w:val="single" w:sz="2" w:space="0" w:color="auto"/>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95.7%</w:t>
                </w:r>
              </w:p>
            </w:tc>
            <w:tc>
              <w:tcPr>
                <w:tcW w:w="385"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91 570.7</w:t>
                </w:r>
              </w:p>
            </w:tc>
            <w:tc>
              <w:tcPr>
                <w:tcW w:w="385"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92 036.9</w:t>
                </w:r>
              </w:p>
            </w:tc>
            <w:tc>
              <w:tcPr>
                <w:tcW w:w="385"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92 097.1</w:t>
                </w:r>
              </w:p>
            </w:tc>
            <w:tc>
              <w:tcPr>
                <w:tcW w:w="314" w:type="pct"/>
                <w:tcBorders>
                  <w:top w:val="single" w:sz="2" w:space="0" w:color="auto"/>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-1.2%</w:t>
                </w:r>
              </w:p>
            </w:tc>
            <w:tc>
              <w:tcPr>
                <w:tcW w:w="335" w:type="pct"/>
                <w:tcBorders>
                  <w:top w:val="single" w:sz="2" w:space="0" w:color="auto"/>
                  <w:left w:val="nil"/>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95.2%</w:t>
                </w:r>
              </w:p>
            </w:tc>
          </w:tr>
          <w:tr w:rsidR="00456C22" w:rsidRPr="00456C22" w:rsidTr="007143E9">
            <w:trPr>
              <w:trHeight w:val="25"/>
            </w:trPr>
            <w:tc>
              <w:tcPr>
                <w:tcW w:w="918" w:type="pct"/>
                <w:tcBorders>
                  <w:top w:val="nil"/>
                  <w:left w:val="nil"/>
                  <w:bottom w:val="nil"/>
                  <w:right w:val="nil"/>
                </w:tcBorders>
                <w:shd w:val="clear" w:color="auto" w:fill="auto"/>
              </w:tcPr>
              <w:p w:rsidR="004606C0" w:rsidRPr="00456C22" w:rsidRDefault="004606C0" w:rsidP="004606C0">
                <w:pPr>
                  <w:keepNext/>
                  <w:autoSpaceDE w:val="0"/>
                  <w:autoSpaceDN w:val="0"/>
                  <w:adjustRightInd w:val="0"/>
                  <w:ind w:left="-96" w:right="-57"/>
                  <w:rPr>
                    <w:rFonts w:ascii="Arial" w:hAnsi="Arial" w:cs="Arial"/>
                    <w:color w:val="000000"/>
                    <w:sz w:val="12"/>
                    <w:szCs w:val="12"/>
                  </w:rPr>
                </w:pPr>
                <w:r w:rsidRPr="00456C22">
                  <w:rPr>
                    <w:rFonts w:ascii="Arial" w:hAnsi="Arial" w:cs="Arial"/>
                    <w:color w:val="000000"/>
                    <w:sz w:val="12"/>
                    <w:szCs w:val="12"/>
                  </w:rPr>
                  <w:t>Compensation of employees</w:t>
                </w:r>
              </w:p>
            </w:tc>
            <w:tc>
              <w:tcPr>
                <w:tcW w:w="385" w:type="pct"/>
                <w:tcBorders>
                  <w:top w:val="nil"/>
                  <w:left w:val="single" w:sz="2" w:space="0" w:color="auto"/>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67 124.5</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71 282.4</w:t>
                </w:r>
              </w:p>
            </w:tc>
            <w:tc>
              <w:tcPr>
                <w:tcW w:w="384"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76 357.7</w:t>
                </w:r>
              </w:p>
            </w:tc>
            <w:tc>
              <w:tcPr>
                <w:tcW w:w="473"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76 147.0</w:t>
                </w:r>
              </w:p>
            </w:tc>
            <w:tc>
              <w:tcPr>
                <w:tcW w:w="314"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4.3%</w:t>
                </w:r>
              </w:p>
            </w:tc>
            <w:tc>
              <w:tcPr>
                <w:tcW w:w="336"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78.1%</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75 300.5</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75 299.7</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75 297.1</w:t>
                </w:r>
              </w:p>
            </w:tc>
            <w:tc>
              <w:tcPr>
                <w:tcW w:w="314"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-0.4%</w:t>
                </w:r>
              </w:p>
            </w:tc>
            <w:tc>
              <w:tcPr>
                <w:tcW w:w="335" w:type="pct"/>
                <w:tcBorders>
                  <w:top w:val="nil"/>
                  <w:left w:val="nil"/>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77.5%</w:t>
                </w:r>
              </w:p>
            </w:tc>
          </w:tr>
          <w:tr w:rsidR="00456C22" w:rsidRPr="00456C22" w:rsidTr="007143E9">
            <w:trPr>
              <w:trHeight w:val="25"/>
            </w:trPr>
            <w:tc>
              <w:tcPr>
                <w:tcW w:w="918" w:type="pct"/>
                <w:tcBorders>
                  <w:top w:val="nil"/>
                  <w:left w:val="nil"/>
                  <w:bottom w:val="nil"/>
                  <w:right w:val="nil"/>
                </w:tcBorders>
                <w:shd w:val="clear" w:color="auto" w:fill="auto"/>
              </w:tcPr>
              <w:p w:rsidR="004606C0" w:rsidRPr="00456C22" w:rsidRDefault="004606C0" w:rsidP="004606C0">
                <w:pPr>
                  <w:keepNext/>
                  <w:autoSpaceDE w:val="0"/>
                  <w:autoSpaceDN w:val="0"/>
                  <w:adjustRightInd w:val="0"/>
                  <w:ind w:left="-96" w:right="-57"/>
                  <w:rPr>
                    <w:rFonts w:ascii="Arial" w:hAnsi="Arial" w:cs="Arial"/>
                    <w:color w:val="000000"/>
                    <w:sz w:val="12"/>
                    <w:szCs w:val="12"/>
                    <w:vertAlign w:val="superscript"/>
                  </w:rPr>
                </w:pPr>
                <w:r w:rsidRPr="00456C22">
                  <w:rPr>
                    <w:rFonts w:ascii="Arial" w:hAnsi="Arial" w:cs="Arial"/>
                    <w:color w:val="000000"/>
                    <w:sz w:val="12"/>
                    <w:szCs w:val="12"/>
                  </w:rPr>
                  <w:t>Goods and services</w:t>
                </w:r>
              </w:p>
            </w:tc>
            <w:tc>
              <w:tcPr>
                <w:tcW w:w="385" w:type="pct"/>
                <w:tcBorders>
                  <w:top w:val="nil"/>
                  <w:left w:val="single" w:sz="2" w:space="0" w:color="auto"/>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15 344.8</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14 836.3</w:t>
                </w:r>
              </w:p>
            </w:tc>
            <w:tc>
              <w:tcPr>
                <w:tcW w:w="384"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15 874.5</w:t>
                </w:r>
              </w:p>
            </w:tc>
            <w:tc>
              <w:tcPr>
                <w:tcW w:w="473"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19 219.4</w:t>
                </w:r>
              </w:p>
            </w:tc>
            <w:tc>
              <w:tcPr>
                <w:tcW w:w="314"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7.8%</w:t>
                </w:r>
              </w:p>
            </w:tc>
            <w:tc>
              <w:tcPr>
                <w:tcW w:w="336"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17.5%</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16 270.2</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16 737.2</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16 800.1</w:t>
                </w:r>
              </w:p>
            </w:tc>
            <w:tc>
              <w:tcPr>
                <w:tcW w:w="314"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-4.4%</w:t>
                </w:r>
              </w:p>
            </w:tc>
            <w:tc>
              <w:tcPr>
                <w:tcW w:w="335" w:type="pct"/>
                <w:tcBorders>
                  <w:top w:val="nil"/>
                  <w:left w:val="nil"/>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17.7%</w:t>
                </w:r>
              </w:p>
            </w:tc>
          </w:tr>
          <w:tr w:rsidR="00456C22" w:rsidRPr="00456C22" w:rsidTr="007143E9">
            <w:trPr>
              <w:trHeight w:val="25"/>
            </w:trPr>
            <w:tc>
              <w:tcPr>
                <w:tcW w:w="918" w:type="pct"/>
                <w:tcBorders>
                  <w:top w:val="nil"/>
                  <w:left w:val="nil"/>
                  <w:bottom w:val="nil"/>
                </w:tcBorders>
                <w:shd w:val="clear" w:color="auto" w:fill="auto"/>
              </w:tcPr>
              <w:p w:rsidR="004606C0" w:rsidRPr="00456C22" w:rsidRDefault="004606C0" w:rsidP="004606C0">
                <w:pPr>
                  <w:autoSpaceDE w:val="0"/>
                  <w:autoSpaceDN w:val="0"/>
                  <w:adjustRightInd w:val="0"/>
                  <w:ind w:left="-99" w:right="-57"/>
                  <w:rPr>
                    <w:rFonts w:ascii="Arial" w:hAnsi="Arial" w:cs="Arial"/>
                    <w:b/>
                    <w:bCs/>
                    <w:color w:val="000000"/>
                    <w:sz w:val="12"/>
                    <w:szCs w:val="12"/>
                    <w:vertAlign w:val="superscript"/>
                  </w:rPr>
                </w:pPr>
                <w:r w:rsidRPr="00456C22">
                  <w:rPr>
                    <w:rFonts w:ascii="Arial" w:hAnsi="Arial" w:cs="Arial"/>
                    <w:b/>
                    <w:bCs/>
                    <w:color w:val="000000"/>
                    <w:sz w:val="12"/>
                    <w:szCs w:val="12"/>
                  </w:rPr>
                  <w:t>Transfers and subsidies</w:t>
                </w:r>
              </w:p>
            </w:tc>
            <w:tc>
              <w:tcPr>
                <w:tcW w:w="385" w:type="pct"/>
                <w:tcBorders>
                  <w:top w:val="single" w:sz="2" w:space="0" w:color="auto"/>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1 049.3</w:t>
                </w:r>
              </w:p>
            </w:tc>
            <w:tc>
              <w:tcPr>
                <w:tcW w:w="385" w:type="pct"/>
                <w:tcBorders>
                  <w:top w:val="single" w:sz="2" w:space="0" w:color="auto"/>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1 268.5</w:t>
                </w:r>
              </w:p>
            </w:tc>
            <w:tc>
              <w:tcPr>
                <w:tcW w:w="384" w:type="pct"/>
                <w:tcBorders>
                  <w:top w:val="single" w:sz="2" w:space="0" w:color="auto"/>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1 225.1</w:t>
                </w:r>
              </w:p>
            </w:tc>
            <w:tc>
              <w:tcPr>
                <w:tcW w:w="473" w:type="pct"/>
                <w:tcBorders>
                  <w:top w:val="single" w:sz="2" w:space="0" w:color="auto"/>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1 613.7</w:t>
                </w:r>
              </w:p>
            </w:tc>
            <w:tc>
              <w:tcPr>
                <w:tcW w:w="314" w:type="pct"/>
                <w:tcBorders>
                  <w:top w:val="single" w:sz="2" w:space="0" w:color="auto"/>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15.4%</w:t>
                </w:r>
              </w:p>
            </w:tc>
            <w:tc>
              <w:tcPr>
                <w:tcW w:w="336" w:type="pct"/>
                <w:tcBorders>
                  <w:top w:val="single" w:sz="2" w:space="0" w:color="auto"/>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1.4%</w:t>
                </w:r>
              </w:p>
            </w:tc>
            <w:tc>
              <w:tcPr>
                <w:tcW w:w="385" w:type="pct"/>
                <w:tcBorders>
                  <w:top w:val="single" w:sz="2" w:space="0" w:color="auto"/>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1 333.5</w:t>
                </w:r>
              </w:p>
            </w:tc>
            <w:tc>
              <w:tcPr>
                <w:tcW w:w="385" w:type="pct"/>
                <w:tcBorders>
                  <w:top w:val="single" w:sz="2" w:space="0" w:color="auto"/>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1 258.4</w:t>
                </w:r>
              </w:p>
            </w:tc>
            <w:tc>
              <w:tcPr>
                <w:tcW w:w="385" w:type="pct"/>
                <w:tcBorders>
                  <w:top w:val="single" w:sz="2" w:space="0" w:color="auto"/>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1 267.2</w:t>
                </w:r>
              </w:p>
            </w:tc>
            <w:tc>
              <w:tcPr>
                <w:tcW w:w="314" w:type="pct"/>
                <w:tcBorders>
                  <w:top w:val="single" w:sz="2" w:space="0" w:color="auto"/>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-7.7%</w:t>
                </w:r>
              </w:p>
            </w:tc>
            <w:tc>
              <w:tcPr>
                <w:tcW w:w="335" w:type="pct"/>
                <w:tcBorders>
                  <w:top w:val="single" w:sz="2" w:space="0" w:color="auto"/>
                  <w:left w:val="nil"/>
                  <w:bottom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1.4%</w:t>
                </w:r>
              </w:p>
            </w:tc>
          </w:tr>
          <w:tr w:rsidR="00456C22" w:rsidRPr="00456C22" w:rsidTr="007143E9">
            <w:trPr>
              <w:trHeight w:val="25"/>
            </w:trPr>
            <w:tc>
              <w:tcPr>
                <w:tcW w:w="918"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color w:val="000000"/>
                    <w:sz w:val="12"/>
                    <w:szCs w:val="12"/>
                  </w:rPr>
                </w:pPr>
                <w:r w:rsidRPr="00456C22">
                  <w:rPr>
                    <w:rFonts w:ascii="Arial" w:hAnsi="Arial" w:cs="Arial"/>
                    <w:color w:val="000000"/>
                    <w:sz w:val="12"/>
                    <w:szCs w:val="12"/>
                  </w:rPr>
                  <w:t>Provinces and municipalities</w:t>
                </w:r>
              </w:p>
            </w:tc>
            <w:tc>
              <w:tcPr>
                <w:tcW w:w="385" w:type="pct"/>
                <w:tcBorders>
                  <w:top w:val="single" w:sz="2" w:space="0" w:color="auto"/>
                  <w:left w:val="single" w:sz="2" w:space="0" w:color="auto"/>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44.5</w:t>
                </w:r>
              </w:p>
            </w:tc>
            <w:tc>
              <w:tcPr>
                <w:tcW w:w="385"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49.5</w:t>
                </w:r>
              </w:p>
            </w:tc>
            <w:tc>
              <w:tcPr>
                <w:tcW w:w="384"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52.8</w:t>
                </w:r>
              </w:p>
            </w:tc>
            <w:tc>
              <w:tcPr>
                <w:tcW w:w="473" w:type="pct"/>
                <w:tcBorders>
                  <w:top w:val="single" w:sz="2" w:space="0" w:color="auto"/>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53.2</w:t>
                </w:r>
              </w:p>
            </w:tc>
            <w:tc>
              <w:tcPr>
                <w:tcW w:w="314" w:type="pct"/>
                <w:tcBorders>
                  <w:top w:val="single" w:sz="2" w:space="0" w:color="auto"/>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6.1%</w:t>
                </w:r>
              </w:p>
            </w:tc>
            <w:tc>
              <w:tcPr>
                <w:tcW w:w="336" w:type="pct"/>
                <w:tcBorders>
                  <w:top w:val="single" w:sz="2" w:space="0" w:color="auto"/>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0.1%</w:t>
                </w:r>
              </w:p>
            </w:tc>
            <w:tc>
              <w:tcPr>
                <w:tcW w:w="385"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55.6</w:t>
                </w:r>
              </w:p>
            </w:tc>
            <w:tc>
              <w:tcPr>
                <w:tcW w:w="385"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57.6</w:t>
                </w:r>
              </w:p>
            </w:tc>
            <w:tc>
              <w:tcPr>
                <w:tcW w:w="385"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61.4</w:t>
                </w:r>
              </w:p>
            </w:tc>
            <w:tc>
              <w:tcPr>
                <w:tcW w:w="314" w:type="pct"/>
                <w:tcBorders>
                  <w:top w:val="single" w:sz="2" w:space="0" w:color="auto"/>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4.9%</w:t>
                </w:r>
              </w:p>
            </w:tc>
            <w:tc>
              <w:tcPr>
                <w:tcW w:w="335" w:type="pct"/>
                <w:tcBorders>
                  <w:top w:val="single" w:sz="2" w:space="0" w:color="auto"/>
                  <w:left w:val="nil"/>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0.1%</w:t>
                </w:r>
              </w:p>
            </w:tc>
          </w:tr>
          <w:tr w:rsidR="00456C22" w:rsidRPr="00456C22" w:rsidTr="007143E9">
            <w:trPr>
              <w:trHeight w:val="25"/>
            </w:trPr>
            <w:tc>
              <w:tcPr>
                <w:tcW w:w="918"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color w:val="000000"/>
                    <w:sz w:val="12"/>
                    <w:szCs w:val="12"/>
                  </w:rPr>
                </w:pPr>
                <w:r w:rsidRPr="00456C22">
                  <w:rPr>
                    <w:rFonts w:ascii="Arial" w:hAnsi="Arial" w:cs="Arial"/>
                    <w:color w:val="000000"/>
                    <w:sz w:val="12"/>
                    <w:szCs w:val="12"/>
                  </w:rPr>
                  <w:t>Departmental agencies and accounts</w:t>
                </w:r>
              </w:p>
            </w:tc>
            <w:tc>
              <w:tcPr>
                <w:tcW w:w="385" w:type="pct"/>
                <w:tcBorders>
                  <w:top w:val="nil"/>
                  <w:left w:val="single" w:sz="2" w:space="0" w:color="auto"/>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39.7</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45.6</w:t>
                </w:r>
              </w:p>
            </w:tc>
            <w:tc>
              <w:tcPr>
                <w:tcW w:w="384"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52.9</w:t>
                </w:r>
              </w:p>
            </w:tc>
            <w:tc>
              <w:tcPr>
                <w:tcW w:w="473"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51.0</w:t>
                </w:r>
              </w:p>
            </w:tc>
            <w:tc>
              <w:tcPr>
                <w:tcW w:w="314"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8.7%</w:t>
                </w:r>
              </w:p>
            </w:tc>
            <w:tc>
              <w:tcPr>
                <w:tcW w:w="336"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0.1%</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49.9</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51.4</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53.5</w:t>
                </w:r>
              </w:p>
            </w:tc>
            <w:tc>
              <w:tcPr>
                <w:tcW w:w="314"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1.6%</w:t>
                </w:r>
              </w:p>
            </w:tc>
            <w:tc>
              <w:tcPr>
                <w:tcW w:w="335" w:type="pct"/>
                <w:tcBorders>
                  <w:top w:val="nil"/>
                  <w:left w:val="nil"/>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0.1%</w:t>
                </w:r>
              </w:p>
            </w:tc>
          </w:tr>
          <w:tr w:rsidR="00456C22" w:rsidRPr="00456C22" w:rsidTr="007143E9">
            <w:trPr>
              <w:trHeight w:val="25"/>
            </w:trPr>
            <w:tc>
              <w:tcPr>
                <w:tcW w:w="918"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color w:val="000000"/>
                    <w:sz w:val="12"/>
                    <w:szCs w:val="12"/>
                  </w:rPr>
                </w:pPr>
                <w:r w:rsidRPr="00456C22">
                  <w:rPr>
                    <w:rFonts w:ascii="Arial" w:hAnsi="Arial" w:cs="Arial"/>
                    <w:color w:val="000000"/>
                    <w:sz w:val="12"/>
                    <w:szCs w:val="12"/>
                  </w:rPr>
                  <w:t>Non-profit institutions</w:t>
                </w:r>
              </w:p>
            </w:tc>
            <w:tc>
              <w:tcPr>
                <w:tcW w:w="385" w:type="pct"/>
                <w:tcBorders>
                  <w:top w:val="nil"/>
                  <w:left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 xml:space="preserve">  – </w:t>
                </w:r>
              </w:p>
            </w:tc>
            <w:tc>
              <w:tcPr>
                <w:tcW w:w="385" w:type="pct"/>
                <w:tcBorders>
                  <w:top w:val="nil"/>
                  <w:left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1.0</w:t>
                </w:r>
              </w:p>
            </w:tc>
            <w:tc>
              <w:tcPr>
                <w:tcW w:w="384" w:type="pct"/>
                <w:tcBorders>
                  <w:top w:val="nil"/>
                  <w:left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 xml:space="preserve">  – </w:t>
                </w:r>
              </w:p>
            </w:tc>
            <w:tc>
              <w:tcPr>
                <w:tcW w:w="473" w:type="pct"/>
                <w:tcBorders>
                  <w:top w:val="nil"/>
                  <w:left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1.0</w:t>
                </w:r>
              </w:p>
            </w:tc>
            <w:tc>
              <w:tcPr>
                <w:tcW w:w="314" w:type="pct"/>
                <w:tcBorders>
                  <w:top w:val="nil"/>
                  <w:left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0.0%</w:t>
                </w:r>
              </w:p>
            </w:tc>
            <w:tc>
              <w:tcPr>
                <w:tcW w:w="336" w:type="pct"/>
                <w:tcBorders>
                  <w:top w:val="nil"/>
                  <w:left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0.0%</w:t>
                </w:r>
              </w:p>
            </w:tc>
            <w:tc>
              <w:tcPr>
                <w:tcW w:w="385" w:type="pct"/>
                <w:tcBorders>
                  <w:top w:val="nil"/>
                  <w:left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 xml:space="preserve">  – </w:t>
                </w:r>
              </w:p>
            </w:tc>
            <w:tc>
              <w:tcPr>
                <w:tcW w:w="385" w:type="pct"/>
                <w:tcBorders>
                  <w:top w:val="nil"/>
                  <w:left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 xml:space="preserve">  – </w:t>
                </w:r>
              </w:p>
            </w:tc>
            <w:tc>
              <w:tcPr>
                <w:tcW w:w="385" w:type="pct"/>
                <w:tcBorders>
                  <w:top w:val="nil"/>
                  <w:left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 xml:space="preserve">  – </w:t>
                </w:r>
              </w:p>
            </w:tc>
            <w:tc>
              <w:tcPr>
                <w:tcW w:w="314" w:type="pct"/>
                <w:tcBorders>
                  <w:top w:val="nil"/>
                  <w:left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-100.0%</w:t>
                </w:r>
              </w:p>
            </w:tc>
            <w:tc>
              <w:tcPr>
                <w:tcW w:w="335" w:type="pct"/>
                <w:tcBorders>
                  <w:top w:val="nil"/>
                  <w:left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0.0%</w:t>
                </w:r>
              </w:p>
            </w:tc>
          </w:tr>
          <w:tr w:rsidR="00456C22" w:rsidRPr="00456C22" w:rsidTr="007143E9">
            <w:trPr>
              <w:trHeight w:val="25"/>
            </w:trPr>
            <w:tc>
              <w:tcPr>
                <w:tcW w:w="918"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color w:val="000000"/>
                    <w:sz w:val="12"/>
                    <w:szCs w:val="12"/>
                  </w:rPr>
                </w:pPr>
                <w:r w:rsidRPr="00456C22">
                  <w:rPr>
                    <w:rFonts w:ascii="Arial" w:hAnsi="Arial" w:cs="Arial"/>
                    <w:color w:val="000000"/>
                    <w:sz w:val="12"/>
                    <w:szCs w:val="12"/>
                  </w:rPr>
                  <w:t>Households</w:t>
                </w:r>
              </w:p>
            </w:tc>
            <w:tc>
              <w:tcPr>
                <w:tcW w:w="385" w:type="pct"/>
                <w:tcBorders>
                  <w:top w:val="nil"/>
                  <w:left w:val="single" w:sz="2" w:space="0" w:color="auto"/>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965.1</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1 172.5</w:t>
                </w:r>
              </w:p>
            </w:tc>
            <w:tc>
              <w:tcPr>
                <w:tcW w:w="384"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1 119.5</w:t>
                </w:r>
              </w:p>
            </w:tc>
            <w:tc>
              <w:tcPr>
                <w:tcW w:w="473" w:type="pct"/>
                <w:tcBorders>
                  <w:top w:val="nil"/>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1 508.5</w:t>
                </w:r>
              </w:p>
            </w:tc>
            <w:tc>
              <w:tcPr>
                <w:tcW w:w="314" w:type="pct"/>
                <w:tcBorders>
                  <w:top w:val="nil"/>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16.1%</w:t>
                </w:r>
              </w:p>
            </w:tc>
            <w:tc>
              <w:tcPr>
                <w:tcW w:w="336" w:type="pct"/>
                <w:tcBorders>
                  <w:top w:val="nil"/>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1.3%</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1 228.0</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1 149.4</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1 152.2</w:t>
                </w:r>
              </w:p>
            </w:tc>
            <w:tc>
              <w:tcPr>
                <w:tcW w:w="314" w:type="pct"/>
                <w:tcBorders>
                  <w:top w:val="nil"/>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-8.6%</w:t>
                </w:r>
              </w:p>
            </w:tc>
            <w:tc>
              <w:tcPr>
                <w:tcW w:w="335" w:type="pct"/>
                <w:tcBorders>
                  <w:top w:val="nil"/>
                  <w:left w:val="nil"/>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1.3%</w:t>
                </w:r>
              </w:p>
            </w:tc>
          </w:tr>
          <w:tr w:rsidR="00456C22" w:rsidRPr="00456C22" w:rsidTr="007143E9">
            <w:trPr>
              <w:trHeight w:val="25"/>
            </w:trPr>
            <w:tc>
              <w:tcPr>
                <w:tcW w:w="918" w:type="pct"/>
                <w:tcBorders>
                  <w:top w:val="nil"/>
                  <w:left w:val="nil"/>
                  <w:bottom w:val="nil"/>
                </w:tcBorders>
                <w:shd w:val="clear" w:color="auto" w:fill="auto"/>
              </w:tcPr>
              <w:p w:rsidR="004606C0" w:rsidRPr="00456C22" w:rsidRDefault="004606C0" w:rsidP="004606C0">
                <w:pPr>
                  <w:autoSpaceDE w:val="0"/>
                  <w:autoSpaceDN w:val="0"/>
                  <w:adjustRightInd w:val="0"/>
                  <w:ind w:left="-99" w:right="-57"/>
                  <w:rPr>
                    <w:rFonts w:ascii="Arial" w:hAnsi="Arial" w:cs="Arial"/>
                    <w:b/>
                    <w:bCs/>
                    <w:color w:val="000000"/>
                    <w:sz w:val="12"/>
                    <w:szCs w:val="12"/>
                  </w:rPr>
                </w:pPr>
                <w:r w:rsidRPr="00456C22">
                  <w:rPr>
                    <w:rFonts w:ascii="Arial" w:hAnsi="Arial" w:cs="Arial"/>
                    <w:b/>
                    <w:bCs/>
                    <w:color w:val="000000"/>
                    <w:sz w:val="12"/>
                    <w:szCs w:val="12"/>
                  </w:rPr>
                  <w:t>Payments for capital assets</w:t>
                </w:r>
              </w:p>
            </w:tc>
            <w:tc>
              <w:tcPr>
                <w:tcW w:w="385" w:type="pct"/>
                <w:tcBorders>
                  <w:top w:val="single" w:sz="2" w:space="0" w:color="auto"/>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2 947.9</w:t>
                </w:r>
              </w:p>
            </w:tc>
            <w:tc>
              <w:tcPr>
                <w:tcW w:w="385" w:type="pct"/>
                <w:tcBorders>
                  <w:top w:val="single" w:sz="2" w:space="0" w:color="auto"/>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2 894.7</w:t>
                </w:r>
              </w:p>
            </w:tc>
            <w:tc>
              <w:tcPr>
                <w:tcW w:w="384" w:type="pct"/>
                <w:tcBorders>
                  <w:top w:val="single" w:sz="2" w:space="0" w:color="auto"/>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2 440.6</w:t>
                </w:r>
              </w:p>
            </w:tc>
            <w:tc>
              <w:tcPr>
                <w:tcW w:w="473" w:type="pct"/>
                <w:tcBorders>
                  <w:top w:val="single" w:sz="2" w:space="0" w:color="auto"/>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2 580.8</w:t>
                </w:r>
              </w:p>
            </w:tc>
            <w:tc>
              <w:tcPr>
                <w:tcW w:w="314" w:type="pct"/>
                <w:tcBorders>
                  <w:top w:val="single" w:sz="2" w:space="0" w:color="auto"/>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-4.3%</w:t>
                </w:r>
              </w:p>
            </w:tc>
            <w:tc>
              <w:tcPr>
                <w:tcW w:w="336" w:type="pct"/>
                <w:tcBorders>
                  <w:top w:val="single" w:sz="2" w:space="0" w:color="auto"/>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2.9%</w:t>
                </w:r>
              </w:p>
            </w:tc>
            <w:tc>
              <w:tcPr>
                <w:tcW w:w="385" w:type="pct"/>
                <w:tcBorders>
                  <w:top w:val="single" w:sz="2" w:space="0" w:color="auto"/>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3 451.3</w:t>
                </w:r>
              </w:p>
            </w:tc>
            <w:tc>
              <w:tcPr>
                <w:tcW w:w="385" w:type="pct"/>
                <w:tcBorders>
                  <w:top w:val="single" w:sz="2" w:space="0" w:color="auto"/>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3 562.3</w:t>
                </w:r>
              </w:p>
            </w:tc>
            <w:tc>
              <w:tcPr>
                <w:tcW w:w="385" w:type="pct"/>
                <w:tcBorders>
                  <w:top w:val="single" w:sz="2" w:space="0" w:color="auto"/>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3 719.3</w:t>
                </w:r>
              </w:p>
            </w:tc>
            <w:tc>
              <w:tcPr>
                <w:tcW w:w="314" w:type="pct"/>
                <w:tcBorders>
                  <w:top w:val="single" w:sz="2" w:space="0" w:color="auto"/>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13.0%</w:t>
                </w:r>
              </w:p>
            </w:tc>
            <w:tc>
              <w:tcPr>
                <w:tcW w:w="335" w:type="pct"/>
                <w:tcBorders>
                  <w:top w:val="single" w:sz="2" w:space="0" w:color="auto"/>
                  <w:left w:val="nil"/>
                  <w:bottom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3.4%</w:t>
                </w:r>
              </w:p>
            </w:tc>
          </w:tr>
          <w:tr w:rsidR="00456C22" w:rsidRPr="00456C22" w:rsidTr="007143E9">
            <w:trPr>
              <w:trHeight w:val="25"/>
            </w:trPr>
            <w:tc>
              <w:tcPr>
                <w:tcW w:w="918"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color w:val="000000"/>
                    <w:sz w:val="12"/>
                    <w:szCs w:val="12"/>
                  </w:rPr>
                </w:pPr>
                <w:r w:rsidRPr="00456C22">
                  <w:rPr>
                    <w:rFonts w:ascii="Arial" w:hAnsi="Arial" w:cs="Arial"/>
                    <w:color w:val="000000"/>
                    <w:sz w:val="12"/>
                    <w:szCs w:val="12"/>
                  </w:rPr>
                  <w:t>Buildings and other fixed structures</w:t>
                </w:r>
              </w:p>
            </w:tc>
            <w:tc>
              <w:tcPr>
                <w:tcW w:w="385" w:type="pct"/>
                <w:tcBorders>
                  <w:top w:val="single" w:sz="2" w:space="0" w:color="auto"/>
                  <w:left w:val="single" w:sz="2" w:space="0" w:color="auto"/>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575.4</w:t>
                </w:r>
              </w:p>
            </w:tc>
            <w:tc>
              <w:tcPr>
                <w:tcW w:w="385"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686.3</w:t>
                </w:r>
              </w:p>
            </w:tc>
            <w:tc>
              <w:tcPr>
                <w:tcW w:w="384"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513.3</w:t>
                </w:r>
              </w:p>
            </w:tc>
            <w:tc>
              <w:tcPr>
                <w:tcW w:w="473" w:type="pct"/>
                <w:tcBorders>
                  <w:top w:val="single" w:sz="2" w:space="0" w:color="auto"/>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497.7</w:t>
                </w:r>
              </w:p>
            </w:tc>
            <w:tc>
              <w:tcPr>
                <w:tcW w:w="314" w:type="pct"/>
                <w:tcBorders>
                  <w:top w:val="single" w:sz="2" w:space="0" w:color="auto"/>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-4.7%</w:t>
                </w:r>
              </w:p>
            </w:tc>
            <w:tc>
              <w:tcPr>
                <w:tcW w:w="336" w:type="pct"/>
                <w:tcBorders>
                  <w:top w:val="single" w:sz="2" w:space="0" w:color="auto"/>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0.6%</w:t>
                </w:r>
              </w:p>
            </w:tc>
            <w:tc>
              <w:tcPr>
                <w:tcW w:w="385"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946.7</w:t>
                </w:r>
              </w:p>
            </w:tc>
            <w:tc>
              <w:tcPr>
                <w:tcW w:w="385"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960.9</w:t>
                </w:r>
              </w:p>
            </w:tc>
            <w:tc>
              <w:tcPr>
                <w:tcW w:w="385" w:type="pct"/>
                <w:tcBorders>
                  <w:top w:val="single" w:sz="2" w:space="0" w:color="auto"/>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1 003.2</w:t>
                </w:r>
              </w:p>
            </w:tc>
            <w:tc>
              <w:tcPr>
                <w:tcW w:w="314" w:type="pct"/>
                <w:tcBorders>
                  <w:top w:val="single" w:sz="2" w:space="0" w:color="auto"/>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26.3%</w:t>
                </w:r>
              </w:p>
            </w:tc>
            <w:tc>
              <w:tcPr>
                <w:tcW w:w="335" w:type="pct"/>
                <w:tcBorders>
                  <w:top w:val="single" w:sz="2" w:space="0" w:color="auto"/>
                  <w:left w:val="nil"/>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0.9%</w:t>
                </w:r>
              </w:p>
            </w:tc>
          </w:tr>
          <w:tr w:rsidR="00456C22" w:rsidRPr="00456C22" w:rsidTr="007143E9">
            <w:trPr>
              <w:trHeight w:val="25"/>
            </w:trPr>
            <w:tc>
              <w:tcPr>
                <w:tcW w:w="918"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color w:val="000000"/>
                    <w:sz w:val="12"/>
                    <w:szCs w:val="12"/>
                  </w:rPr>
                </w:pPr>
                <w:r w:rsidRPr="00456C22">
                  <w:rPr>
                    <w:rFonts w:ascii="Arial" w:hAnsi="Arial" w:cs="Arial"/>
                    <w:color w:val="000000"/>
                    <w:sz w:val="12"/>
                    <w:szCs w:val="12"/>
                  </w:rPr>
                  <w:t>Machinery and equipment</w:t>
                </w:r>
              </w:p>
            </w:tc>
            <w:tc>
              <w:tcPr>
                <w:tcW w:w="385" w:type="pct"/>
                <w:tcBorders>
                  <w:top w:val="nil"/>
                  <w:left w:val="single" w:sz="2" w:space="0" w:color="auto"/>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2 340.4</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2 201.4</w:t>
                </w:r>
              </w:p>
            </w:tc>
            <w:tc>
              <w:tcPr>
                <w:tcW w:w="384"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1 927.3</w:t>
                </w:r>
              </w:p>
            </w:tc>
            <w:tc>
              <w:tcPr>
                <w:tcW w:w="473"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2 078.7</w:t>
                </w:r>
              </w:p>
            </w:tc>
            <w:tc>
              <w:tcPr>
                <w:tcW w:w="314"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-3.9%</w:t>
                </w:r>
              </w:p>
            </w:tc>
            <w:tc>
              <w:tcPr>
                <w:tcW w:w="336"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2.3%</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2 497.3</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2 593.8</w:t>
                </w:r>
              </w:p>
            </w:tc>
            <w:tc>
              <w:tcPr>
                <w:tcW w:w="385"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2 708.2</w:t>
                </w:r>
              </w:p>
            </w:tc>
            <w:tc>
              <w:tcPr>
                <w:tcW w:w="314" w:type="pct"/>
                <w:tcBorders>
                  <w:top w:val="nil"/>
                  <w:left w:val="single" w:sz="2" w:space="0" w:color="auto"/>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9.2%</w:t>
                </w:r>
              </w:p>
            </w:tc>
            <w:tc>
              <w:tcPr>
                <w:tcW w:w="335" w:type="pct"/>
                <w:tcBorders>
                  <w:top w:val="nil"/>
                  <w:left w:val="nil"/>
                  <w:bottom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2.5%</w:t>
                </w:r>
              </w:p>
            </w:tc>
          </w:tr>
          <w:tr w:rsidR="00456C22" w:rsidRPr="00456C22" w:rsidTr="007143E9">
            <w:trPr>
              <w:trHeight w:val="25"/>
            </w:trPr>
            <w:tc>
              <w:tcPr>
                <w:tcW w:w="918"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color w:val="000000"/>
                    <w:sz w:val="12"/>
                    <w:szCs w:val="12"/>
                  </w:rPr>
                </w:pPr>
                <w:r w:rsidRPr="00456C22">
                  <w:rPr>
                    <w:rFonts w:ascii="Arial" w:hAnsi="Arial" w:cs="Arial"/>
                    <w:color w:val="000000"/>
                    <w:sz w:val="12"/>
                    <w:szCs w:val="12"/>
                  </w:rPr>
                  <w:t>Biological assets</w:t>
                </w:r>
              </w:p>
            </w:tc>
            <w:tc>
              <w:tcPr>
                <w:tcW w:w="385" w:type="pct"/>
                <w:tcBorders>
                  <w:top w:val="nil"/>
                  <w:left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5.9</w:t>
                </w:r>
              </w:p>
            </w:tc>
            <w:tc>
              <w:tcPr>
                <w:tcW w:w="385" w:type="pct"/>
                <w:tcBorders>
                  <w:top w:val="nil"/>
                  <w:left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7.0</w:t>
                </w:r>
              </w:p>
            </w:tc>
            <w:tc>
              <w:tcPr>
                <w:tcW w:w="384" w:type="pct"/>
                <w:tcBorders>
                  <w:top w:val="nil"/>
                  <w:left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 xml:space="preserve">  – </w:t>
                </w:r>
              </w:p>
            </w:tc>
            <w:tc>
              <w:tcPr>
                <w:tcW w:w="473" w:type="pct"/>
                <w:tcBorders>
                  <w:top w:val="nil"/>
                  <w:left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4.4</w:t>
                </w:r>
              </w:p>
            </w:tc>
            <w:tc>
              <w:tcPr>
                <w:tcW w:w="314" w:type="pct"/>
                <w:tcBorders>
                  <w:top w:val="nil"/>
                  <w:left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-9.2%</w:t>
                </w:r>
              </w:p>
            </w:tc>
            <w:tc>
              <w:tcPr>
                <w:tcW w:w="336" w:type="pct"/>
                <w:tcBorders>
                  <w:top w:val="nil"/>
                  <w:left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0.0%</w:t>
                </w:r>
              </w:p>
            </w:tc>
            <w:tc>
              <w:tcPr>
                <w:tcW w:w="385" w:type="pct"/>
                <w:tcBorders>
                  <w:top w:val="nil"/>
                  <w:left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7.3</w:t>
                </w:r>
              </w:p>
            </w:tc>
            <w:tc>
              <w:tcPr>
                <w:tcW w:w="385" w:type="pct"/>
                <w:tcBorders>
                  <w:top w:val="nil"/>
                  <w:left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7.6</w:t>
                </w:r>
              </w:p>
            </w:tc>
            <w:tc>
              <w:tcPr>
                <w:tcW w:w="385" w:type="pct"/>
                <w:tcBorders>
                  <w:top w:val="nil"/>
                  <w:left w:val="nil"/>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7.9</w:t>
                </w:r>
              </w:p>
            </w:tc>
            <w:tc>
              <w:tcPr>
                <w:tcW w:w="314" w:type="pct"/>
                <w:tcBorders>
                  <w:top w:val="nil"/>
                  <w:left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21.4%</w:t>
                </w:r>
              </w:p>
            </w:tc>
            <w:tc>
              <w:tcPr>
                <w:tcW w:w="335" w:type="pct"/>
                <w:tcBorders>
                  <w:top w:val="nil"/>
                  <w:left w:val="nil"/>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0.0%</w:t>
                </w:r>
              </w:p>
            </w:tc>
          </w:tr>
          <w:tr w:rsidR="00456C22" w:rsidRPr="00456C22" w:rsidTr="007143E9">
            <w:trPr>
              <w:trHeight w:val="25"/>
            </w:trPr>
            <w:tc>
              <w:tcPr>
                <w:tcW w:w="918" w:type="pct"/>
                <w:tcBorders>
                  <w:top w:val="nil"/>
                  <w:left w:val="nil"/>
                  <w:bottom w:val="nil"/>
                  <w:right w:val="nil"/>
                </w:tcBorders>
                <w:shd w:val="clear" w:color="auto" w:fill="auto"/>
              </w:tcPr>
              <w:p w:rsidR="004606C0" w:rsidRPr="00456C22" w:rsidRDefault="004606C0" w:rsidP="004606C0">
                <w:pPr>
                  <w:autoSpaceDE w:val="0"/>
                  <w:autoSpaceDN w:val="0"/>
                  <w:adjustRightInd w:val="0"/>
                  <w:ind w:left="-99" w:right="-57"/>
                  <w:rPr>
                    <w:rFonts w:ascii="Arial" w:hAnsi="Arial" w:cs="Arial"/>
                    <w:color w:val="000000"/>
                    <w:sz w:val="12"/>
                    <w:szCs w:val="12"/>
                  </w:rPr>
                </w:pPr>
                <w:r w:rsidRPr="00456C22">
                  <w:rPr>
                    <w:rFonts w:ascii="Arial" w:hAnsi="Arial" w:cs="Arial"/>
                    <w:color w:val="000000"/>
                    <w:sz w:val="12"/>
                    <w:szCs w:val="12"/>
                  </w:rPr>
                  <w:t>Software and other intangible assets</w:t>
                </w:r>
              </w:p>
            </w:tc>
            <w:tc>
              <w:tcPr>
                <w:tcW w:w="385" w:type="pct"/>
                <w:tcBorders>
                  <w:top w:val="nil"/>
                  <w:left w:val="single" w:sz="2" w:space="0" w:color="auto"/>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26.2</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 xml:space="preserve">  – </w:t>
                </w:r>
              </w:p>
            </w:tc>
            <w:tc>
              <w:tcPr>
                <w:tcW w:w="384"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 xml:space="preserve">  – </w:t>
                </w:r>
              </w:p>
            </w:tc>
            <w:tc>
              <w:tcPr>
                <w:tcW w:w="473" w:type="pct"/>
                <w:tcBorders>
                  <w:top w:val="nil"/>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 xml:space="preserve">  – </w:t>
                </w:r>
              </w:p>
            </w:tc>
            <w:tc>
              <w:tcPr>
                <w:tcW w:w="314" w:type="pct"/>
                <w:tcBorders>
                  <w:top w:val="nil"/>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-100.0%</w:t>
                </w:r>
              </w:p>
            </w:tc>
            <w:tc>
              <w:tcPr>
                <w:tcW w:w="336" w:type="pct"/>
                <w:tcBorders>
                  <w:top w:val="nil"/>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0.0%</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 xml:space="preserve">  – </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 xml:space="preserve">  – </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 xml:space="preserve">  – </w:t>
                </w:r>
              </w:p>
            </w:tc>
            <w:tc>
              <w:tcPr>
                <w:tcW w:w="314" w:type="pct"/>
                <w:tcBorders>
                  <w:top w:val="nil"/>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0.0%</w:t>
                </w:r>
              </w:p>
            </w:tc>
            <w:tc>
              <w:tcPr>
                <w:tcW w:w="335" w:type="pct"/>
                <w:tcBorders>
                  <w:top w:val="nil"/>
                  <w:left w:val="nil"/>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color w:val="000000"/>
                    <w:sz w:val="12"/>
                    <w:szCs w:val="12"/>
                  </w:rPr>
                </w:pPr>
                <w:r w:rsidRPr="00456C22">
                  <w:rPr>
                    <w:rFonts w:ascii="Arial" w:hAnsi="Arial" w:cs="Arial"/>
                    <w:color w:val="000000"/>
                    <w:sz w:val="12"/>
                    <w:szCs w:val="12"/>
                  </w:rPr>
                  <w:t>0.0%</w:t>
                </w:r>
              </w:p>
            </w:tc>
          </w:tr>
          <w:tr w:rsidR="00456C22" w:rsidRPr="00456C22" w:rsidTr="007143E9">
            <w:trPr>
              <w:trHeight w:val="25"/>
            </w:trPr>
            <w:tc>
              <w:tcPr>
                <w:tcW w:w="918"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rPr>
                    <w:rFonts w:ascii="Arial" w:hAnsi="Arial" w:cs="Arial"/>
                    <w:b/>
                    <w:bCs/>
                    <w:color w:val="000000"/>
                    <w:sz w:val="12"/>
                    <w:szCs w:val="12"/>
                  </w:rPr>
                </w:pPr>
                <w:r w:rsidRPr="00456C22">
                  <w:rPr>
                    <w:rFonts w:ascii="Arial" w:hAnsi="Arial" w:cs="Arial"/>
                    <w:b/>
                    <w:bCs/>
                    <w:color w:val="000000"/>
                    <w:sz w:val="12"/>
                    <w:szCs w:val="12"/>
                  </w:rPr>
                  <w:t>Payments for financial assets</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13.9</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15.6</w:t>
                </w:r>
              </w:p>
            </w:tc>
            <w:tc>
              <w:tcPr>
                <w:tcW w:w="384"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32.3</w:t>
                </w:r>
              </w:p>
            </w:tc>
            <w:tc>
              <w:tcPr>
                <w:tcW w:w="473" w:type="pct"/>
                <w:tcBorders>
                  <w:top w:val="nil"/>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  – </w:t>
                </w:r>
              </w:p>
            </w:tc>
            <w:tc>
              <w:tcPr>
                <w:tcW w:w="314" w:type="pct"/>
                <w:tcBorders>
                  <w:top w:val="nil"/>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-100.0%</w:t>
                </w:r>
              </w:p>
            </w:tc>
            <w:tc>
              <w:tcPr>
                <w:tcW w:w="336" w:type="pct"/>
                <w:tcBorders>
                  <w:top w:val="nil"/>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0.0%</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  – </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  – </w:t>
                </w:r>
              </w:p>
            </w:tc>
            <w:tc>
              <w:tcPr>
                <w:tcW w:w="38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 xml:space="preserve">  – </w:t>
                </w:r>
              </w:p>
            </w:tc>
            <w:tc>
              <w:tcPr>
                <w:tcW w:w="314" w:type="pct"/>
                <w:tcBorders>
                  <w:top w:val="nil"/>
                  <w:left w:val="single" w:sz="2" w:space="0" w:color="auto"/>
                  <w:bottom w:val="single" w:sz="2"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0.0%</w:t>
                </w:r>
              </w:p>
            </w:tc>
            <w:tc>
              <w:tcPr>
                <w:tcW w:w="335" w:type="pct"/>
                <w:tcBorders>
                  <w:top w:val="nil"/>
                  <w:left w:val="nil"/>
                  <w:bottom w:val="single" w:sz="2"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0.0%</w:t>
                </w:r>
              </w:p>
            </w:tc>
          </w:tr>
          <w:tr w:rsidR="00456C22" w:rsidRPr="00456C22" w:rsidTr="007143E9">
            <w:trPr>
              <w:trHeight w:val="25"/>
            </w:trPr>
            <w:tc>
              <w:tcPr>
                <w:tcW w:w="918" w:type="pct"/>
                <w:tcBorders>
                  <w:top w:val="single" w:sz="2" w:space="0" w:color="auto"/>
                  <w:left w:val="nil"/>
                  <w:bottom w:val="single" w:sz="6" w:space="0" w:color="auto"/>
                  <w:right w:val="nil"/>
                </w:tcBorders>
                <w:shd w:val="clear" w:color="auto" w:fill="auto"/>
              </w:tcPr>
              <w:p w:rsidR="004606C0" w:rsidRPr="00456C22" w:rsidRDefault="004606C0" w:rsidP="004606C0">
                <w:pPr>
                  <w:autoSpaceDE w:val="0"/>
                  <w:autoSpaceDN w:val="0"/>
                  <w:adjustRightInd w:val="0"/>
                  <w:ind w:left="-99" w:right="-57"/>
                  <w:rPr>
                    <w:rFonts w:ascii="Arial" w:hAnsi="Arial" w:cs="Arial"/>
                    <w:b/>
                    <w:bCs/>
                    <w:color w:val="000000"/>
                    <w:sz w:val="12"/>
                    <w:szCs w:val="12"/>
                  </w:rPr>
                </w:pPr>
                <w:r w:rsidRPr="00456C22">
                  <w:rPr>
                    <w:rFonts w:ascii="Arial" w:hAnsi="Arial" w:cs="Arial"/>
                    <w:b/>
                    <w:bCs/>
                    <w:color w:val="000000"/>
                    <w:sz w:val="12"/>
                    <w:szCs w:val="12"/>
                  </w:rPr>
                  <w:t xml:space="preserve">Total </w:t>
                </w:r>
              </w:p>
            </w:tc>
            <w:tc>
              <w:tcPr>
                <w:tcW w:w="385" w:type="pct"/>
                <w:tcBorders>
                  <w:top w:val="nil"/>
                  <w:left w:val="nil"/>
                  <w:bottom w:val="single" w:sz="6"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86 480.4</w:t>
                </w:r>
              </w:p>
            </w:tc>
            <w:tc>
              <w:tcPr>
                <w:tcW w:w="385" w:type="pct"/>
                <w:tcBorders>
                  <w:top w:val="nil"/>
                  <w:left w:val="nil"/>
                  <w:bottom w:val="single" w:sz="6"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90 297.5</w:t>
                </w:r>
              </w:p>
            </w:tc>
            <w:tc>
              <w:tcPr>
                <w:tcW w:w="384" w:type="pct"/>
                <w:tcBorders>
                  <w:top w:val="nil"/>
                  <w:left w:val="nil"/>
                  <w:bottom w:val="single" w:sz="6"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95 930.2</w:t>
                </w:r>
              </w:p>
            </w:tc>
            <w:tc>
              <w:tcPr>
                <w:tcW w:w="473" w:type="pct"/>
                <w:tcBorders>
                  <w:top w:val="nil"/>
                  <w:left w:val="single" w:sz="2" w:space="0" w:color="auto"/>
                  <w:bottom w:val="single" w:sz="6"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99 560.9</w:t>
                </w:r>
              </w:p>
            </w:tc>
            <w:tc>
              <w:tcPr>
                <w:tcW w:w="314" w:type="pct"/>
                <w:tcBorders>
                  <w:top w:val="nil"/>
                  <w:left w:val="single" w:sz="2" w:space="0" w:color="auto"/>
                  <w:bottom w:val="single" w:sz="6"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4.8%</w:t>
                </w:r>
              </w:p>
            </w:tc>
            <w:tc>
              <w:tcPr>
                <w:tcW w:w="336" w:type="pct"/>
                <w:tcBorders>
                  <w:top w:val="nil"/>
                  <w:left w:val="single" w:sz="2" w:space="0" w:color="auto"/>
                  <w:bottom w:val="single" w:sz="6"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100.0%</w:t>
                </w:r>
              </w:p>
            </w:tc>
            <w:tc>
              <w:tcPr>
                <w:tcW w:w="385" w:type="pct"/>
                <w:tcBorders>
                  <w:top w:val="nil"/>
                  <w:left w:val="nil"/>
                  <w:bottom w:val="single" w:sz="6"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96 355.5</w:t>
                </w:r>
              </w:p>
            </w:tc>
            <w:tc>
              <w:tcPr>
                <w:tcW w:w="385" w:type="pct"/>
                <w:tcBorders>
                  <w:top w:val="nil"/>
                  <w:left w:val="nil"/>
                  <w:bottom w:val="single" w:sz="6"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96 857.6</w:t>
                </w:r>
              </w:p>
            </w:tc>
            <w:tc>
              <w:tcPr>
                <w:tcW w:w="385" w:type="pct"/>
                <w:tcBorders>
                  <w:top w:val="nil"/>
                  <w:left w:val="nil"/>
                  <w:bottom w:val="single" w:sz="6"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97 083.6</w:t>
                </w:r>
              </w:p>
            </w:tc>
            <w:tc>
              <w:tcPr>
                <w:tcW w:w="314" w:type="pct"/>
                <w:tcBorders>
                  <w:top w:val="nil"/>
                  <w:left w:val="single" w:sz="2" w:space="0" w:color="auto"/>
                  <w:bottom w:val="single" w:sz="6" w:space="0" w:color="auto"/>
                  <w:right w:val="single" w:sz="2" w:space="0" w:color="auto"/>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-0.8%</w:t>
                </w:r>
              </w:p>
            </w:tc>
            <w:tc>
              <w:tcPr>
                <w:tcW w:w="335" w:type="pct"/>
                <w:tcBorders>
                  <w:top w:val="nil"/>
                  <w:left w:val="nil"/>
                  <w:bottom w:val="single" w:sz="6" w:space="0" w:color="auto"/>
                  <w:right w:val="nil"/>
                </w:tcBorders>
                <w:shd w:val="clear" w:color="auto" w:fill="auto"/>
              </w:tcPr>
              <w:p w:rsidR="004606C0" w:rsidRPr="00456C22" w:rsidRDefault="004606C0" w:rsidP="004606C0">
                <w:pPr>
                  <w:autoSpaceDE w:val="0"/>
                  <w:autoSpaceDN w:val="0"/>
                  <w:adjustRightInd w:val="0"/>
                  <w:ind w:left="-99" w:right="-57"/>
                  <w:jc w:val="right"/>
                  <w:rPr>
                    <w:rFonts w:ascii="Arial" w:hAnsi="Arial" w:cs="Arial"/>
                    <w:b/>
                    <w:bCs/>
                    <w:color w:val="000000"/>
                    <w:sz w:val="12"/>
                    <w:szCs w:val="12"/>
                  </w:rPr>
                </w:pPr>
                <w:r w:rsidRPr="00456C22">
                  <w:rPr>
                    <w:rFonts w:ascii="Arial" w:hAnsi="Arial" w:cs="Arial"/>
                    <w:b/>
                    <w:bCs/>
                    <w:color w:val="000000"/>
                    <w:sz w:val="12"/>
                    <w:szCs w:val="12"/>
                  </w:rPr>
                  <w:t>100.0%</w:t>
                </w:r>
              </w:p>
            </w:tc>
          </w:tr>
          <w:bookmarkEnd w:id="6"/>
        </w:tbl>
      </w:sdtContent>
    </w:sdt>
    <w:p w:rsidR="00F310D2" w:rsidRDefault="00F310D2" w:rsidP="00D679E0">
      <w:pPr>
        <w:autoSpaceDE w:val="0"/>
        <w:autoSpaceDN w:val="0"/>
        <w:adjustRightInd w:val="0"/>
        <w:jc w:val="both"/>
        <w:rPr>
          <w:rFonts w:ascii="Arial" w:hAnsi="Arial" w:cs="Arial"/>
          <w:sz w:val="22"/>
          <w:szCs w:val="22"/>
        </w:rPr>
      </w:pPr>
    </w:p>
    <w:p w:rsidR="00D679E0" w:rsidRDefault="008D15EB" w:rsidP="00D679E0">
      <w:pPr>
        <w:autoSpaceDE w:val="0"/>
        <w:autoSpaceDN w:val="0"/>
        <w:adjustRightInd w:val="0"/>
        <w:jc w:val="both"/>
        <w:rPr>
          <w:rFonts w:ascii="Arial" w:hAnsi="Arial" w:cs="Arial"/>
          <w:sz w:val="22"/>
          <w:szCs w:val="22"/>
        </w:rPr>
      </w:pPr>
      <w:r>
        <w:rPr>
          <w:rFonts w:ascii="Arial" w:hAnsi="Arial" w:cs="Arial"/>
          <w:sz w:val="22"/>
          <w:szCs w:val="22"/>
        </w:rPr>
        <w:t xml:space="preserve">Over the medium term, compared </w:t>
      </w:r>
      <w:r w:rsidR="00F945DE">
        <w:rPr>
          <w:rFonts w:ascii="Arial" w:hAnsi="Arial" w:cs="Arial"/>
          <w:sz w:val="22"/>
          <w:szCs w:val="22"/>
        </w:rPr>
        <w:t xml:space="preserve">to other departments </w:t>
      </w:r>
      <w:r w:rsidR="0016542D">
        <w:rPr>
          <w:rFonts w:ascii="Arial" w:hAnsi="Arial" w:cs="Arial"/>
          <w:sz w:val="22"/>
          <w:szCs w:val="22"/>
        </w:rPr>
        <w:t>in</w:t>
      </w:r>
      <w:r w:rsidR="00F945DE">
        <w:rPr>
          <w:rFonts w:ascii="Arial" w:hAnsi="Arial" w:cs="Arial"/>
          <w:sz w:val="22"/>
          <w:szCs w:val="22"/>
        </w:rPr>
        <w:t xml:space="preserve"> </w:t>
      </w:r>
      <w:r w:rsidR="00757975">
        <w:rPr>
          <w:rFonts w:ascii="Arial" w:hAnsi="Arial" w:cs="Arial"/>
          <w:sz w:val="22"/>
          <w:szCs w:val="22"/>
        </w:rPr>
        <w:t xml:space="preserve">the </w:t>
      </w:r>
      <w:r w:rsidR="00970231">
        <w:rPr>
          <w:rFonts w:ascii="Arial" w:hAnsi="Arial" w:cs="Arial"/>
          <w:sz w:val="22"/>
          <w:szCs w:val="22"/>
        </w:rPr>
        <w:t xml:space="preserve">Peace and Security </w:t>
      </w:r>
      <w:r w:rsidR="00757975">
        <w:rPr>
          <w:rFonts w:ascii="Arial" w:hAnsi="Arial" w:cs="Arial"/>
          <w:sz w:val="22"/>
          <w:szCs w:val="22"/>
        </w:rPr>
        <w:t>function</w:t>
      </w:r>
      <w:r w:rsidR="0009589C">
        <w:rPr>
          <w:rFonts w:ascii="Arial" w:hAnsi="Arial" w:cs="Arial"/>
          <w:sz w:val="22"/>
          <w:szCs w:val="22"/>
        </w:rPr>
        <w:t xml:space="preserve"> group</w:t>
      </w:r>
      <w:r w:rsidR="00F945DE">
        <w:rPr>
          <w:rFonts w:ascii="Arial" w:hAnsi="Arial" w:cs="Arial"/>
          <w:sz w:val="22"/>
          <w:szCs w:val="22"/>
        </w:rPr>
        <w:t xml:space="preserve">, </w:t>
      </w:r>
      <w:r w:rsidR="00970231">
        <w:rPr>
          <w:rFonts w:ascii="Arial" w:hAnsi="Arial" w:cs="Arial"/>
          <w:sz w:val="22"/>
          <w:szCs w:val="22"/>
        </w:rPr>
        <w:t xml:space="preserve">Table 2 </w:t>
      </w:r>
      <w:r w:rsidR="008248E3">
        <w:rPr>
          <w:rFonts w:ascii="Arial" w:hAnsi="Arial" w:cs="Arial"/>
          <w:sz w:val="22"/>
          <w:szCs w:val="22"/>
        </w:rPr>
        <w:t xml:space="preserve">confirms </w:t>
      </w:r>
      <w:r>
        <w:rPr>
          <w:rFonts w:ascii="Arial" w:hAnsi="Arial" w:cs="Arial"/>
          <w:sz w:val="22"/>
          <w:szCs w:val="22"/>
        </w:rPr>
        <w:t>t</w:t>
      </w:r>
      <w:r w:rsidR="00970231">
        <w:rPr>
          <w:rFonts w:ascii="Arial" w:hAnsi="Arial" w:cs="Arial"/>
          <w:sz w:val="22"/>
          <w:szCs w:val="22"/>
        </w:rPr>
        <w:t xml:space="preserve">hat </w:t>
      </w:r>
      <w:r w:rsidR="000978D3">
        <w:rPr>
          <w:rFonts w:ascii="Arial" w:hAnsi="Arial" w:cs="Arial"/>
          <w:sz w:val="22"/>
          <w:szCs w:val="22"/>
        </w:rPr>
        <w:t xml:space="preserve">the Police </w:t>
      </w:r>
      <w:r w:rsidR="0016542D">
        <w:rPr>
          <w:rFonts w:ascii="Arial" w:hAnsi="Arial" w:cs="Arial"/>
          <w:sz w:val="22"/>
          <w:szCs w:val="22"/>
        </w:rPr>
        <w:t xml:space="preserve">services </w:t>
      </w:r>
      <w:r w:rsidR="00970231">
        <w:rPr>
          <w:rFonts w:ascii="Arial" w:hAnsi="Arial" w:cs="Arial"/>
          <w:sz w:val="22"/>
          <w:szCs w:val="22"/>
        </w:rPr>
        <w:t xml:space="preserve">baseline </w:t>
      </w:r>
      <w:r w:rsidR="000978D3">
        <w:rPr>
          <w:rFonts w:ascii="Arial" w:hAnsi="Arial" w:cs="Arial"/>
          <w:sz w:val="22"/>
          <w:szCs w:val="22"/>
        </w:rPr>
        <w:t xml:space="preserve">decreases </w:t>
      </w:r>
      <w:r w:rsidR="00970231">
        <w:rPr>
          <w:rFonts w:ascii="Arial" w:hAnsi="Arial" w:cs="Arial"/>
          <w:sz w:val="22"/>
          <w:szCs w:val="22"/>
        </w:rPr>
        <w:t>least</w:t>
      </w:r>
      <w:r w:rsidR="0009589C">
        <w:rPr>
          <w:rFonts w:ascii="Arial" w:hAnsi="Arial" w:cs="Arial"/>
          <w:sz w:val="22"/>
          <w:szCs w:val="22"/>
        </w:rPr>
        <w:t xml:space="preserve">, i.e. </w:t>
      </w:r>
      <w:r w:rsidR="008B3992">
        <w:rPr>
          <w:rFonts w:ascii="Arial" w:hAnsi="Arial" w:cs="Arial"/>
          <w:sz w:val="22"/>
          <w:szCs w:val="22"/>
        </w:rPr>
        <w:t>a</w:t>
      </w:r>
      <w:r w:rsidR="00757975">
        <w:rPr>
          <w:rFonts w:ascii="Arial" w:hAnsi="Arial" w:cs="Arial"/>
          <w:sz w:val="22"/>
          <w:szCs w:val="22"/>
        </w:rPr>
        <w:t xml:space="preserve"> </w:t>
      </w:r>
      <w:r w:rsidR="00DE0275">
        <w:rPr>
          <w:rFonts w:ascii="Arial" w:hAnsi="Arial" w:cs="Arial"/>
          <w:sz w:val="22"/>
          <w:szCs w:val="22"/>
        </w:rPr>
        <w:t xml:space="preserve">marginal </w:t>
      </w:r>
      <w:r w:rsidR="00970231">
        <w:rPr>
          <w:rFonts w:ascii="Arial" w:hAnsi="Arial" w:cs="Arial"/>
          <w:sz w:val="22"/>
          <w:szCs w:val="22"/>
        </w:rPr>
        <w:t xml:space="preserve">rate of only </w:t>
      </w:r>
      <w:r w:rsidR="000978D3">
        <w:rPr>
          <w:rFonts w:ascii="Arial" w:hAnsi="Arial" w:cs="Arial"/>
          <w:sz w:val="22"/>
          <w:szCs w:val="22"/>
        </w:rPr>
        <w:t>0.2 per cent</w:t>
      </w:r>
      <w:r w:rsidR="00456C22">
        <w:rPr>
          <w:rFonts w:ascii="Arial" w:hAnsi="Arial" w:cs="Arial"/>
          <w:sz w:val="22"/>
          <w:szCs w:val="22"/>
        </w:rPr>
        <w:t>.</w:t>
      </w:r>
      <w:r w:rsidR="008248E3">
        <w:rPr>
          <w:rFonts w:ascii="Arial" w:hAnsi="Arial" w:cs="Arial"/>
          <w:sz w:val="22"/>
          <w:szCs w:val="22"/>
        </w:rPr>
        <w:t xml:space="preserve"> Government’s </w:t>
      </w:r>
      <w:r w:rsidR="00DE0275">
        <w:rPr>
          <w:rFonts w:ascii="Arial" w:hAnsi="Arial" w:cs="Arial"/>
          <w:sz w:val="22"/>
          <w:szCs w:val="22"/>
        </w:rPr>
        <w:t>support</w:t>
      </w:r>
      <w:r w:rsidR="008248E3">
        <w:rPr>
          <w:rFonts w:ascii="Arial" w:hAnsi="Arial" w:cs="Arial"/>
          <w:sz w:val="22"/>
          <w:szCs w:val="22"/>
        </w:rPr>
        <w:t xml:space="preserve"> to the attainment of </w:t>
      </w:r>
      <w:r w:rsidR="008B3992">
        <w:rPr>
          <w:rFonts w:ascii="Arial" w:hAnsi="Arial" w:cs="Arial"/>
          <w:sz w:val="22"/>
          <w:szCs w:val="22"/>
        </w:rPr>
        <w:t xml:space="preserve">the </w:t>
      </w:r>
      <w:r w:rsidR="00DE0275">
        <w:rPr>
          <w:rFonts w:ascii="Arial" w:hAnsi="Arial" w:cs="Arial"/>
          <w:sz w:val="22"/>
          <w:szCs w:val="22"/>
        </w:rPr>
        <w:t>objectives and o</w:t>
      </w:r>
      <w:r w:rsidR="008B3992">
        <w:rPr>
          <w:rFonts w:ascii="Arial" w:hAnsi="Arial" w:cs="Arial"/>
          <w:sz w:val="22"/>
          <w:szCs w:val="22"/>
        </w:rPr>
        <w:t xml:space="preserve">utcomes set </w:t>
      </w:r>
      <w:r w:rsidR="008B3992">
        <w:rPr>
          <w:rFonts w:ascii="Arial" w:hAnsi="Arial" w:cs="Arial"/>
          <w:sz w:val="22"/>
          <w:szCs w:val="22"/>
        </w:rPr>
        <w:lastRenderedPageBreak/>
        <w:t xml:space="preserve">out under </w:t>
      </w:r>
      <w:r w:rsidR="008248E3">
        <w:rPr>
          <w:rFonts w:ascii="Arial" w:hAnsi="Arial" w:cs="Arial"/>
          <w:sz w:val="22"/>
          <w:szCs w:val="22"/>
        </w:rPr>
        <w:t>priority 6 (social cohesion and safer communities) of the 2019-202</w:t>
      </w:r>
      <w:r w:rsidR="008B3992">
        <w:rPr>
          <w:rFonts w:ascii="Arial" w:hAnsi="Arial" w:cs="Arial"/>
          <w:sz w:val="22"/>
          <w:szCs w:val="22"/>
        </w:rPr>
        <w:t>4</w:t>
      </w:r>
      <w:r w:rsidR="008248E3">
        <w:rPr>
          <w:rFonts w:ascii="Arial" w:hAnsi="Arial" w:cs="Arial"/>
          <w:sz w:val="22"/>
          <w:szCs w:val="22"/>
        </w:rPr>
        <w:t xml:space="preserve"> medium term strategic framework is therefore corroborated.</w:t>
      </w:r>
    </w:p>
    <w:p w:rsidR="00265DC1" w:rsidRPr="00265DC1" w:rsidRDefault="00265DC1" w:rsidP="00D679E0">
      <w:pPr>
        <w:autoSpaceDE w:val="0"/>
        <w:autoSpaceDN w:val="0"/>
        <w:adjustRightInd w:val="0"/>
        <w:jc w:val="both"/>
        <w:rPr>
          <w:rFonts w:ascii="Arial" w:hAnsi="Arial" w:cs="Arial"/>
          <w:sz w:val="22"/>
          <w:szCs w:val="22"/>
        </w:rPr>
      </w:pPr>
    </w:p>
    <w:p w:rsidR="00D679E0" w:rsidRPr="008D15EB" w:rsidRDefault="00265DC1" w:rsidP="008D15EB">
      <w:pPr>
        <w:autoSpaceDE w:val="0"/>
        <w:autoSpaceDN w:val="0"/>
        <w:adjustRightInd w:val="0"/>
        <w:ind w:right="-57"/>
        <w:rPr>
          <w:rFonts w:ascii="Arial" w:hAnsi="Arial" w:cs="Arial"/>
          <w:b/>
          <w:bCs/>
          <w:color w:val="000000"/>
          <w:sz w:val="18"/>
          <w:szCs w:val="18"/>
        </w:rPr>
      </w:pPr>
      <w:r w:rsidRPr="008D15EB">
        <w:rPr>
          <w:rFonts w:ascii="Arial" w:hAnsi="Arial" w:cs="Arial"/>
          <w:b/>
          <w:bCs/>
          <w:color w:val="000000"/>
          <w:sz w:val="18"/>
          <w:szCs w:val="18"/>
        </w:rPr>
        <w:t xml:space="preserve">Table 2. Peace and security </w:t>
      </w:r>
      <w:r w:rsidR="008D15EB">
        <w:rPr>
          <w:rFonts w:ascii="Arial" w:hAnsi="Arial" w:cs="Arial"/>
          <w:b/>
          <w:bCs/>
          <w:color w:val="000000"/>
          <w:sz w:val="18"/>
          <w:szCs w:val="18"/>
        </w:rPr>
        <w:t xml:space="preserve">function </w:t>
      </w:r>
      <w:r w:rsidRPr="008D15EB">
        <w:rPr>
          <w:rFonts w:ascii="Arial" w:hAnsi="Arial" w:cs="Arial"/>
          <w:b/>
          <w:bCs/>
          <w:color w:val="000000"/>
          <w:sz w:val="18"/>
          <w:szCs w:val="18"/>
        </w:rPr>
        <w:t>expenditure</w:t>
      </w:r>
    </w:p>
    <w:tbl>
      <w:tblPr>
        <w:tblW w:w="4988" w:type="pct"/>
        <w:tblLook w:val="04A0"/>
      </w:tblPr>
      <w:tblGrid>
        <w:gridCol w:w="3500"/>
        <w:gridCol w:w="969"/>
        <w:gridCol w:w="988"/>
        <w:gridCol w:w="13"/>
        <w:gridCol w:w="975"/>
        <w:gridCol w:w="8"/>
        <w:gridCol w:w="983"/>
        <w:gridCol w:w="1215"/>
        <w:gridCol w:w="946"/>
      </w:tblGrid>
      <w:tr w:rsidR="0009589C" w:rsidRPr="00970231" w:rsidTr="0009589C">
        <w:trPr>
          <w:trHeight w:val="120"/>
        </w:trPr>
        <w:tc>
          <w:tcPr>
            <w:tcW w:w="1823" w:type="pct"/>
            <w:tcBorders>
              <w:top w:val="single" w:sz="4" w:space="0" w:color="auto"/>
              <w:left w:val="nil"/>
              <w:bottom w:val="nil"/>
              <w:right w:val="nil"/>
            </w:tcBorders>
            <w:shd w:val="clear" w:color="auto" w:fill="auto"/>
            <w:noWrap/>
            <w:vAlign w:val="bottom"/>
            <w:hideMark/>
          </w:tcPr>
          <w:p w:rsidR="0009589C" w:rsidRPr="00970231" w:rsidRDefault="0009589C" w:rsidP="00970231">
            <w:pPr>
              <w:autoSpaceDE w:val="0"/>
              <w:autoSpaceDN w:val="0"/>
              <w:adjustRightInd w:val="0"/>
              <w:ind w:left="-99" w:right="-57"/>
              <w:rPr>
                <w:rFonts w:ascii="Arial" w:hAnsi="Arial" w:cs="Arial"/>
                <w:b/>
                <w:bCs/>
                <w:color w:val="000000"/>
                <w:sz w:val="12"/>
                <w:szCs w:val="12"/>
              </w:rPr>
            </w:pPr>
          </w:p>
        </w:tc>
        <w:tc>
          <w:tcPr>
            <w:tcW w:w="505" w:type="pct"/>
            <w:tcBorders>
              <w:top w:val="single" w:sz="4" w:space="0" w:color="auto"/>
              <w:left w:val="nil"/>
              <w:bottom w:val="nil"/>
              <w:right w:val="single" w:sz="4" w:space="0" w:color="auto"/>
            </w:tcBorders>
            <w:shd w:val="clear" w:color="auto" w:fill="auto"/>
            <w:noWrap/>
            <w:hideMark/>
          </w:tcPr>
          <w:p w:rsidR="0009589C" w:rsidRPr="00970231" w:rsidRDefault="0009589C" w:rsidP="008D15EB">
            <w:pPr>
              <w:autoSpaceDE w:val="0"/>
              <w:autoSpaceDN w:val="0"/>
              <w:adjustRightInd w:val="0"/>
              <w:ind w:left="-99" w:right="-57"/>
              <w:jc w:val="right"/>
              <w:rPr>
                <w:rFonts w:ascii="Arial" w:hAnsi="Arial" w:cs="Arial"/>
                <w:b/>
                <w:bCs/>
                <w:color w:val="000000"/>
                <w:sz w:val="12"/>
                <w:szCs w:val="12"/>
              </w:rPr>
            </w:pPr>
            <w:r w:rsidRPr="00970231">
              <w:rPr>
                <w:rFonts w:ascii="Arial" w:hAnsi="Arial" w:cs="Arial"/>
                <w:b/>
                <w:bCs/>
                <w:color w:val="000000"/>
                <w:sz w:val="12"/>
                <w:szCs w:val="12"/>
              </w:rPr>
              <w:t>2020/21</w:t>
            </w:r>
          </w:p>
        </w:tc>
        <w:tc>
          <w:tcPr>
            <w:tcW w:w="1546" w:type="pct"/>
            <w:gridSpan w:val="5"/>
            <w:tcBorders>
              <w:top w:val="single" w:sz="4" w:space="0" w:color="auto"/>
              <w:left w:val="nil"/>
              <w:bottom w:val="nil"/>
              <w:right w:val="nil"/>
            </w:tcBorders>
            <w:shd w:val="clear" w:color="auto" w:fill="auto"/>
            <w:noWrap/>
          </w:tcPr>
          <w:p w:rsidR="0009589C" w:rsidRPr="00970231" w:rsidRDefault="0009589C" w:rsidP="0009589C">
            <w:pPr>
              <w:autoSpaceDE w:val="0"/>
              <w:autoSpaceDN w:val="0"/>
              <w:adjustRightInd w:val="0"/>
              <w:ind w:left="-99" w:right="-57"/>
              <w:jc w:val="center"/>
              <w:rPr>
                <w:rFonts w:ascii="Arial" w:hAnsi="Arial" w:cs="Arial"/>
                <w:b/>
                <w:bCs/>
                <w:color w:val="000000"/>
                <w:sz w:val="12"/>
                <w:szCs w:val="12"/>
              </w:rPr>
            </w:pPr>
            <w:r>
              <w:rPr>
                <w:rFonts w:ascii="Arial" w:hAnsi="Arial" w:cs="Arial"/>
                <w:b/>
                <w:bCs/>
                <w:color w:val="000000"/>
                <w:sz w:val="12"/>
                <w:szCs w:val="12"/>
              </w:rPr>
              <w:t>Medium term expenditure estimate</w:t>
            </w:r>
          </w:p>
        </w:tc>
        <w:tc>
          <w:tcPr>
            <w:tcW w:w="6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9589C" w:rsidRPr="00970231" w:rsidRDefault="0009589C" w:rsidP="008D15EB">
            <w:pPr>
              <w:autoSpaceDE w:val="0"/>
              <w:autoSpaceDN w:val="0"/>
              <w:adjustRightInd w:val="0"/>
              <w:ind w:left="-99" w:right="-57"/>
              <w:jc w:val="right"/>
              <w:rPr>
                <w:rFonts w:ascii="Arial" w:hAnsi="Arial" w:cs="Arial"/>
                <w:b/>
                <w:bCs/>
                <w:color w:val="000000"/>
                <w:sz w:val="12"/>
                <w:szCs w:val="12"/>
              </w:rPr>
            </w:pPr>
            <w:r w:rsidRPr="00970231">
              <w:rPr>
                <w:rFonts w:ascii="Arial" w:hAnsi="Arial" w:cs="Arial"/>
                <w:b/>
                <w:bCs/>
                <w:color w:val="000000"/>
                <w:sz w:val="12"/>
                <w:szCs w:val="12"/>
              </w:rPr>
              <w:t>Percentage of total MTEF allocation</w:t>
            </w:r>
          </w:p>
        </w:tc>
        <w:tc>
          <w:tcPr>
            <w:tcW w:w="493" w:type="pct"/>
            <w:vMerge w:val="restart"/>
            <w:tcBorders>
              <w:top w:val="single" w:sz="4" w:space="0" w:color="auto"/>
              <w:left w:val="single" w:sz="4" w:space="0" w:color="auto"/>
              <w:bottom w:val="single" w:sz="4" w:space="0" w:color="000000"/>
              <w:right w:val="nil"/>
            </w:tcBorders>
            <w:shd w:val="clear" w:color="auto" w:fill="auto"/>
            <w:hideMark/>
          </w:tcPr>
          <w:p w:rsidR="0009589C" w:rsidRPr="00970231" w:rsidRDefault="0009589C" w:rsidP="008B3992">
            <w:pPr>
              <w:autoSpaceDE w:val="0"/>
              <w:autoSpaceDN w:val="0"/>
              <w:adjustRightInd w:val="0"/>
              <w:ind w:left="-99" w:right="-57"/>
              <w:jc w:val="right"/>
              <w:rPr>
                <w:rFonts w:ascii="Arial" w:hAnsi="Arial" w:cs="Arial"/>
                <w:b/>
                <w:bCs/>
                <w:color w:val="000000"/>
                <w:sz w:val="12"/>
                <w:szCs w:val="12"/>
              </w:rPr>
            </w:pPr>
            <w:r w:rsidRPr="00970231">
              <w:rPr>
                <w:rFonts w:ascii="Arial" w:hAnsi="Arial" w:cs="Arial"/>
                <w:b/>
                <w:bCs/>
                <w:color w:val="000000"/>
                <w:sz w:val="12"/>
                <w:szCs w:val="12"/>
              </w:rPr>
              <w:t xml:space="preserve">Average annual MTEF </w:t>
            </w:r>
            <w:r w:rsidR="008B3992">
              <w:rPr>
                <w:rFonts w:ascii="Arial" w:hAnsi="Arial" w:cs="Arial"/>
                <w:b/>
                <w:bCs/>
                <w:color w:val="000000"/>
                <w:sz w:val="12"/>
                <w:szCs w:val="12"/>
              </w:rPr>
              <w:t>change</w:t>
            </w:r>
          </w:p>
        </w:tc>
      </w:tr>
      <w:tr w:rsidR="0009589C" w:rsidRPr="00970231" w:rsidTr="0009589C">
        <w:trPr>
          <w:trHeight w:val="45"/>
        </w:trPr>
        <w:tc>
          <w:tcPr>
            <w:tcW w:w="1823" w:type="pct"/>
            <w:tcBorders>
              <w:top w:val="nil"/>
              <w:left w:val="nil"/>
              <w:bottom w:val="single" w:sz="4" w:space="0" w:color="auto"/>
              <w:right w:val="nil"/>
            </w:tcBorders>
            <w:shd w:val="clear" w:color="auto" w:fill="auto"/>
            <w:noWrap/>
            <w:vAlign w:val="bottom"/>
            <w:hideMark/>
          </w:tcPr>
          <w:p w:rsidR="0009589C" w:rsidRPr="00970231" w:rsidRDefault="0009589C" w:rsidP="0009589C">
            <w:pPr>
              <w:autoSpaceDE w:val="0"/>
              <w:autoSpaceDN w:val="0"/>
              <w:adjustRightInd w:val="0"/>
              <w:ind w:left="-99" w:right="-57"/>
              <w:rPr>
                <w:rFonts w:ascii="Arial" w:hAnsi="Arial" w:cs="Arial"/>
                <w:b/>
                <w:bCs/>
                <w:color w:val="000000"/>
                <w:sz w:val="12"/>
                <w:szCs w:val="12"/>
              </w:rPr>
            </w:pPr>
            <w:r w:rsidRPr="00970231">
              <w:rPr>
                <w:rFonts w:ascii="Arial" w:hAnsi="Arial" w:cs="Arial"/>
                <w:b/>
                <w:bCs/>
                <w:color w:val="000000"/>
                <w:sz w:val="12"/>
                <w:szCs w:val="12"/>
              </w:rPr>
              <w:t>R million</w:t>
            </w:r>
          </w:p>
        </w:tc>
        <w:tc>
          <w:tcPr>
            <w:tcW w:w="505" w:type="pct"/>
            <w:tcBorders>
              <w:top w:val="nil"/>
              <w:left w:val="nil"/>
              <w:bottom w:val="single" w:sz="4" w:space="0" w:color="000000"/>
              <w:right w:val="single" w:sz="4" w:space="0" w:color="auto"/>
            </w:tcBorders>
            <w:shd w:val="clear" w:color="auto" w:fill="auto"/>
            <w:hideMark/>
          </w:tcPr>
          <w:p w:rsidR="0009589C" w:rsidRPr="00970231" w:rsidRDefault="0009589C" w:rsidP="0009589C">
            <w:pPr>
              <w:autoSpaceDE w:val="0"/>
              <w:autoSpaceDN w:val="0"/>
              <w:adjustRightInd w:val="0"/>
              <w:ind w:left="-99" w:right="-57"/>
              <w:jc w:val="right"/>
              <w:rPr>
                <w:rFonts w:ascii="Arial" w:hAnsi="Arial" w:cs="Arial"/>
                <w:b/>
                <w:bCs/>
                <w:color w:val="000000"/>
                <w:sz w:val="12"/>
                <w:szCs w:val="12"/>
              </w:rPr>
            </w:pPr>
            <w:r w:rsidRPr="00970231">
              <w:rPr>
                <w:rFonts w:ascii="Arial" w:hAnsi="Arial" w:cs="Arial"/>
                <w:b/>
                <w:bCs/>
                <w:color w:val="000000"/>
                <w:sz w:val="12"/>
                <w:szCs w:val="12"/>
              </w:rPr>
              <w:t>Revised estimate</w:t>
            </w:r>
          </w:p>
        </w:tc>
        <w:tc>
          <w:tcPr>
            <w:tcW w:w="515" w:type="pct"/>
            <w:tcBorders>
              <w:top w:val="nil"/>
              <w:left w:val="nil"/>
              <w:bottom w:val="single" w:sz="4" w:space="0" w:color="auto"/>
              <w:right w:val="nil"/>
            </w:tcBorders>
            <w:shd w:val="clear" w:color="auto" w:fill="auto"/>
            <w:noWrap/>
            <w:hideMark/>
          </w:tcPr>
          <w:p w:rsidR="0009589C" w:rsidRDefault="0009589C" w:rsidP="0009589C">
            <w:pPr>
              <w:autoSpaceDE w:val="0"/>
              <w:autoSpaceDN w:val="0"/>
              <w:adjustRightInd w:val="0"/>
              <w:ind w:left="-99" w:right="-57"/>
              <w:jc w:val="right"/>
              <w:rPr>
                <w:rFonts w:ascii="Arial" w:hAnsi="Arial" w:cs="Arial"/>
                <w:b/>
                <w:bCs/>
                <w:color w:val="000000"/>
                <w:sz w:val="12"/>
                <w:szCs w:val="12"/>
              </w:rPr>
            </w:pPr>
          </w:p>
          <w:p w:rsidR="0009589C" w:rsidRPr="00970231" w:rsidRDefault="0009589C" w:rsidP="0009589C">
            <w:pPr>
              <w:autoSpaceDE w:val="0"/>
              <w:autoSpaceDN w:val="0"/>
              <w:adjustRightInd w:val="0"/>
              <w:ind w:left="-99" w:right="-57"/>
              <w:jc w:val="right"/>
              <w:rPr>
                <w:rFonts w:ascii="Arial" w:hAnsi="Arial" w:cs="Arial"/>
                <w:b/>
                <w:bCs/>
                <w:color w:val="000000"/>
                <w:sz w:val="12"/>
                <w:szCs w:val="12"/>
              </w:rPr>
            </w:pPr>
            <w:r w:rsidRPr="00970231">
              <w:rPr>
                <w:rFonts w:ascii="Arial" w:hAnsi="Arial" w:cs="Arial"/>
                <w:b/>
                <w:bCs/>
                <w:color w:val="000000"/>
                <w:sz w:val="12"/>
                <w:szCs w:val="12"/>
              </w:rPr>
              <w:t>2021/22</w:t>
            </w:r>
          </w:p>
        </w:tc>
        <w:tc>
          <w:tcPr>
            <w:tcW w:w="515" w:type="pct"/>
            <w:gridSpan w:val="2"/>
            <w:tcBorders>
              <w:top w:val="nil"/>
              <w:left w:val="nil"/>
              <w:bottom w:val="single" w:sz="4" w:space="0" w:color="auto"/>
              <w:right w:val="nil"/>
            </w:tcBorders>
            <w:shd w:val="clear" w:color="auto" w:fill="auto"/>
          </w:tcPr>
          <w:p w:rsidR="0009589C" w:rsidRDefault="0009589C" w:rsidP="0009589C">
            <w:pPr>
              <w:autoSpaceDE w:val="0"/>
              <w:autoSpaceDN w:val="0"/>
              <w:adjustRightInd w:val="0"/>
              <w:ind w:left="-99" w:right="-57"/>
              <w:jc w:val="right"/>
              <w:rPr>
                <w:rFonts w:ascii="Arial" w:hAnsi="Arial" w:cs="Arial"/>
                <w:b/>
                <w:bCs/>
                <w:color w:val="000000"/>
                <w:sz w:val="12"/>
                <w:szCs w:val="12"/>
              </w:rPr>
            </w:pPr>
          </w:p>
          <w:p w:rsidR="0009589C" w:rsidRPr="00970231" w:rsidRDefault="0009589C" w:rsidP="0009589C">
            <w:pPr>
              <w:autoSpaceDE w:val="0"/>
              <w:autoSpaceDN w:val="0"/>
              <w:adjustRightInd w:val="0"/>
              <w:ind w:left="-99" w:right="-57"/>
              <w:jc w:val="right"/>
              <w:rPr>
                <w:rFonts w:ascii="Arial" w:hAnsi="Arial" w:cs="Arial"/>
                <w:b/>
                <w:bCs/>
                <w:color w:val="000000"/>
                <w:sz w:val="12"/>
                <w:szCs w:val="12"/>
              </w:rPr>
            </w:pPr>
            <w:r>
              <w:rPr>
                <w:rFonts w:ascii="Arial" w:hAnsi="Arial" w:cs="Arial"/>
                <w:b/>
                <w:bCs/>
                <w:color w:val="000000"/>
                <w:sz w:val="12"/>
                <w:szCs w:val="12"/>
              </w:rPr>
              <w:t>2022/23</w:t>
            </w:r>
          </w:p>
        </w:tc>
        <w:tc>
          <w:tcPr>
            <w:tcW w:w="516" w:type="pct"/>
            <w:gridSpan w:val="2"/>
            <w:tcBorders>
              <w:top w:val="nil"/>
              <w:left w:val="nil"/>
              <w:bottom w:val="single" w:sz="4" w:space="0" w:color="auto"/>
              <w:right w:val="nil"/>
            </w:tcBorders>
            <w:shd w:val="clear" w:color="auto" w:fill="auto"/>
          </w:tcPr>
          <w:p w:rsidR="0009589C" w:rsidRDefault="0009589C" w:rsidP="0009589C">
            <w:pPr>
              <w:autoSpaceDE w:val="0"/>
              <w:autoSpaceDN w:val="0"/>
              <w:adjustRightInd w:val="0"/>
              <w:ind w:left="-99" w:right="-57"/>
              <w:jc w:val="right"/>
              <w:rPr>
                <w:rFonts w:ascii="Arial" w:hAnsi="Arial" w:cs="Arial"/>
                <w:b/>
                <w:bCs/>
                <w:color w:val="000000"/>
                <w:sz w:val="12"/>
                <w:szCs w:val="12"/>
              </w:rPr>
            </w:pPr>
          </w:p>
          <w:p w:rsidR="0009589C" w:rsidRPr="00970231" w:rsidRDefault="0009589C" w:rsidP="0009589C">
            <w:pPr>
              <w:autoSpaceDE w:val="0"/>
              <w:autoSpaceDN w:val="0"/>
              <w:adjustRightInd w:val="0"/>
              <w:ind w:left="-99" w:right="-57"/>
              <w:jc w:val="right"/>
              <w:rPr>
                <w:rFonts w:ascii="Arial" w:hAnsi="Arial" w:cs="Arial"/>
                <w:b/>
                <w:bCs/>
                <w:color w:val="000000"/>
                <w:sz w:val="12"/>
                <w:szCs w:val="12"/>
              </w:rPr>
            </w:pPr>
            <w:r>
              <w:rPr>
                <w:rFonts w:ascii="Arial" w:hAnsi="Arial" w:cs="Arial"/>
                <w:b/>
                <w:bCs/>
                <w:color w:val="000000"/>
                <w:sz w:val="12"/>
                <w:szCs w:val="12"/>
              </w:rPr>
              <w:t>2023/24</w:t>
            </w:r>
          </w:p>
        </w:tc>
        <w:tc>
          <w:tcPr>
            <w:tcW w:w="633" w:type="pct"/>
            <w:vMerge/>
            <w:tcBorders>
              <w:top w:val="nil"/>
              <w:left w:val="single" w:sz="4" w:space="0" w:color="auto"/>
              <w:bottom w:val="single" w:sz="4" w:space="0" w:color="000000"/>
              <w:right w:val="single" w:sz="4" w:space="0" w:color="auto"/>
            </w:tcBorders>
            <w:hideMark/>
          </w:tcPr>
          <w:p w:rsidR="0009589C" w:rsidRPr="00970231" w:rsidRDefault="0009589C" w:rsidP="0009589C">
            <w:pPr>
              <w:autoSpaceDE w:val="0"/>
              <w:autoSpaceDN w:val="0"/>
              <w:adjustRightInd w:val="0"/>
              <w:ind w:left="-99" w:right="-57"/>
              <w:rPr>
                <w:rFonts w:ascii="Arial" w:hAnsi="Arial" w:cs="Arial"/>
                <w:b/>
                <w:bCs/>
                <w:color w:val="000000"/>
                <w:sz w:val="12"/>
                <w:szCs w:val="12"/>
              </w:rPr>
            </w:pPr>
          </w:p>
        </w:tc>
        <w:tc>
          <w:tcPr>
            <w:tcW w:w="493" w:type="pct"/>
            <w:vMerge/>
            <w:tcBorders>
              <w:top w:val="nil"/>
              <w:left w:val="single" w:sz="4" w:space="0" w:color="auto"/>
              <w:bottom w:val="single" w:sz="4" w:space="0" w:color="000000"/>
              <w:right w:val="nil"/>
            </w:tcBorders>
            <w:hideMark/>
          </w:tcPr>
          <w:p w:rsidR="0009589C" w:rsidRPr="00970231" w:rsidRDefault="0009589C" w:rsidP="0009589C">
            <w:pPr>
              <w:autoSpaceDE w:val="0"/>
              <w:autoSpaceDN w:val="0"/>
              <w:adjustRightInd w:val="0"/>
              <w:ind w:left="-99" w:right="-57"/>
              <w:rPr>
                <w:rFonts w:ascii="Arial" w:hAnsi="Arial" w:cs="Arial"/>
                <w:b/>
                <w:bCs/>
                <w:color w:val="000000"/>
                <w:sz w:val="12"/>
                <w:szCs w:val="12"/>
              </w:rPr>
            </w:pPr>
          </w:p>
        </w:tc>
      </w:tr>
      <w:tr w:rsidR="0009589C" w:rsidRPr="00970231" w:rsidTr="008D15EB">
        <w:trPr>
          <w:cantSplit/>
        </w:trPr>
        <w:tc>
          <w:tcPr>
            <w:tcW w:w="1823" w:type="pct"/>
            <w:tcBorders>
              <w:top w:val="nil"/>
              <w:left w:val="nil"/>
              <w:bottom w:val="nil"/>
              <w:right w:val="nil"/>
            </w:tcBorders>
            <w:shd w:val="clear" w:color="auto" w:fill="auto"/>
            <w:hideMark/>
          </w:tcPr>
          <w:p w:rsidR="0009589C" w:rsidRPr="00970231" w:rsidRDefault="0009589C" w:rsidP="0009589C">
            <w:pPr>
              <w:keepNext/>
              <w:autoSpaceDE w:val="0"/>
              <w:autoSpaceDN w:val="0"/>
              <w:adjustRightInd w:val="0"/>
              <w:ind w:left="-96" w:right="-57"/>
              <w:rPr>
                <w:rFonts w:ascii="Arial" w:hAnsi="Arial" w:cs="Arial"/>
                <w:color w:val="000000"/>
                <w:sz w:val="12"/>
                <w:szCs w:val="12"/>
              </w:rPr>
            </w:pPr>
            <w:proofErr w:type="spellStart"/>
            <w:r w:rsidRPr="00970231">
              <w:rPr>
                <w:rFonts w:ascii="Arial" w:hAnsi="Arial" w:cs="Arial"/>
                <w:color w:val="000000"/>
                <w:sz w:val="12"/>
                <w:szCs w:val="12"/>
              </w:rPr>
              <w:t>Defence</w:t>
            </w:r>
            <w:proofErr w:type="spellEnd"/>
            <w:r w:rsidRPr="00970231">
              <w:rPr>
                <w:rFonts w:ascii="Arial" w:hAnsi="Arial" w:cs="Arial"/>
                <w:color w:val="000000"/>
                <w:sz w:val="12"/>
                <w:szCs w:val="12"/>
              </w:rPr>
              <w:t xml:space="preserve"> and state security</w:t>
            </w:r>
          </w:p>
        </w:tc>
        <w:tc>
          <w:tcPr>
            <w:tcW w:w="505" w:type="pct"/>
            <w:tcBorders>
              <w:top w:val="nil"/>
              <w:left w:val="nil"/>
              <w:bottom w:val="nil"/>
              <w:right w:val="single" w:sz="4" w:space="0" w:color="000000"/>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53 968</w:t>
            </w:r>
          </w:p>
        </w:tc>
        <w:tc>
          <w:tcPr>
            <w:tcW w:w="522" w:type="pct"/>
            <w:gridSpan w:val="2"/>
            <w:tcBorders>
              <w:top w:val="nil"/>
              <w:left w:val="nil"/>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46 656</w:t>
            </w:r>
          </w:p>
        </w:tc>
        <w:tc>
          <w:tcPr>
            <w:tcW w:w="512" w:type="pct"/>
            <w:gridSpan w:val="2"/>
            <w:tcBorders>
              <w:top w:val="nil"/>
              <w:left w:val="nil"/>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47 811</w:t>
            </w:r>
          </w:p>
        </w:tc>
        <w:tc>
          <w:tcPr>
            <w:tcW w:w="512" w:type="pct"/>
            <w:tcBorders>
              <w:top w:val="nil"/>
              <w:left w:val="nil"/>
              <w:bottom w:val="nil"/>
              <w:right w:val="single" w:sz="4" w:space="0" w:color="000000"/>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48 132</w:t>
            </w:r>
          </w:p>
        </w:tc>
        <w:tc>
          <w:tcPr>
            <w:tcW w:w="633" w:type="pct"/>
            <w:tcBorders>
              <w:top w:val="nil"/>
              <w:left w:val="nil"/>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22.5%</w:t>
            </w:r>
          </w:p>
        </w:tc>
        <w:tc>
          <w:tcPr>
            <w:tcW w:w="493" w:type="pct"/>
            <w:tcBorders>
              <w:top w:val="nil"/>
              <w:left w:val="single" w:sz="4" w:space="0" w:color="auto"/>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-3.7%</w:t>
            </w:r>
          </w:p>
        </w:tc>
      </w:tr>
      <w:tr w:rsidR="0009589C" w:rsidRPr="00970231" w:rsidTr="008D15EB">
        <w:trPr>
          <w:cantSplit/>
        </w:trPr>
        <w:tc>
          <w:tcPr>
            <w:tcW w:w="1823" w:type="pct"/>
            <w:tcBorders>
              <w:top w:val="nil"/>
              <w:left w:val="nil"/>
              <w:bottom w:val="nil"/>
              <w:right w:val="nil"/>
            </w:tcBorders>
            <w:shd w:val="clear" w:color="auto" w:fill="auto"/>
            <w:hideMark/>
          </w:tcPr>
          <w:p w:rsidR="0009589C" w:rsidRPr="00970231" w:rsidRDefault="0009589C" w:rsidP="0009589C">
            <w:pPr>
              <w:keepNext/>
              <w:autoSpaceDE w:val="0"/>
              <w:autoSpaceDN w:val="0"/>
              <w:adjustRightInd w:val="0"/>
              <w:ind w:left="-96" w:right="-57"/>
              <w:rPr>
                <w:rFonts w:ascii="Arial" w:hAnsi="Arial" w:cs="Arial"/>
                <w:color w:val="000000"/>
                <w:sz w:val="12"/>
                <w:szCs w:val="12"/>
              </w:rPr>
            </w:pPr>
            <w:r w:rsidRPr="00970231">
              <w:rPr>
                <w:rFonts w:ascii="Arial" w:hAnsi="Arial" w:cs="Arial"/>
                <w:color w:val="000000"/>
                <w:sz w:val="12"/>
                <w:szCs w:val="12"/>
              </w:rPr>
              <w:t>Police services</w:t>
            </w:r>
          </w:p>
        </w:tc>
        <w:tc>
          <w:tcPr>
            <w:tcW w:w="505" w:type="pct"/>
            <w:tcBorders>
              <w:top w:val="nil"/>
              <w:left w:val="nil"/>
              <w:bottom w:val="nil"/>
              <w:right w:val="single" w:sz="4" w:space="0" w:color="000000"/>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106 603</w:t>
            </w:r>
          </w:p>
        </w:tc>
        <w:tc>
          <w:tcPr>
            <w:tcW w:w="522" w:type="pct"/>
            <w:gridSpan w:val="2"/>
            <w:tcBorders>
              <w:top w:val="nil"/>
              <w:left w:val="nil"/>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104 570</w:t>
            </w:r>
          </w:p>
        </w:tc>
        <w:tc>
          <w:tcPr>
            <w:tcW w:w="512" w:type="pct"/>
            <w:gridSpan w:val="2"/>
            <w:tcBorders>
              <w:top w:val="nil"/>
              <w:left w:val="nil"/>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105 946</w:t>
            </w:r>
          </w:p>
        </w:tc>
        <w:tc>
          <w:tcPr>
            <w:tcW w:w="512" w:type="pct"/>
            <w:tcBorders>
              <w:top w:val="nil"/>
              <w:left w:val="nil"/>
              <w:bottom w:val="nil"/>
              <w:right w:val="single" w:sz="4" w:space="0" w:color="000000"/>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105 994</w:t>
            </w:r>
          </w:p>
        </w:tc>
        <w:tc>
          <w:tcPr>
            <w:tcW w:w="633" w:type="pct"/>
            <w:tcBorders>
              <w:top w:val="nil"/>
              <w:left w:val="nil"/>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49.9%</w:t>
            </w:r>
          </w:p>
        </w:tc>
        <w:tc>
          <w:tcPr>
            <w:tcW w:w="493" w:type="pct"/>
            <w:tcBorders>
              <w:top w:val="nil"/>
              <w:left w:val="single" w:sz="4" w:space="0" w:color="auto"/>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-0.2%</w:t>
            </w:r>
          </w:p>
        </w:tc>
      </w:tr>
      <w:tr w:rsidR="0009589C" w:rsidRPr="00970231" w:rsidTr="008D15EB">
        <w:trPr>
          <w:cantSplit/>
        </w:trPr>
        <w:tc>
          <w:tcPr>
            <w:tcW w:w="1823" w:type="pct"/>
            <w:tcBorders>
              <w:top w:val="nil"/>
              <w:left w:val="nil"/>
              <w:bottom w:val="nil"/>
              <w:right w:val="nil"/>
            </w:tcBorders>
            <w:shd w:val="clear" w:color="auto" w:fill="auto"/>
            <w:hideMark/>
          </w:tcPr>
          <w:p w:rsidR="0009589C" w:rsidRPr="00970231" w:rsidRDefault="0009589C" w:rsidP="0009589C">
            <w:pPr>
              <w:keepNext/>
              <w:autoSpaceDE w:val="0"/>
              <w:autoSpaceDN w:val="0"/>
              <w:adjustRightInd w:val="0"/>
              <w:ind w:left="-96" w:right="-57"/>
              <w:rPr>
                <w:rFonts w:ascii="Arial" w:hAnsi="Arial" w:cs="Arial"/>
                <w:color w:val="000000"/>
                <w:sz w:val="12"/>
                <w:szCs w:val="12"/>
              </w:rPr>
            </w:pPr>
            <w:r w:rsidRPr="00970231">
              <w:rPr>
                <w:rFonts w:ascii="Arial" w:hAnsi="Arial" w:cs="Arial"/>
                <w:color w:val="000000"/>
                <w:sz w:val="12"/>
                <w:szCs w:val="12"/>
              </w:rPr>
              <w:t>Law courts and prisons</w:t>
            </w:r>
          </w:p>
        </w:tc>
        <w:tc>
          <w:tcPr>
            <w:tcW w:w="505" w:type="pct"/>
            <w:tcBorders>
              <w:top w:val="nil"/>
              <w:left w:val="nil"/>
              <w:bottom w:val="nil"/>
              <w:right w:val="single" w:sz="4" w:space="0" w:color="000000"/>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48 263</w:t>
            </w:r>
          </w:p>
        </w:tc>
        <w:tc>
          <w:tcPr>
            <w:tcW w:w="522" w:type="pct"/>
            <w:gridSpan w:val="2"/>
            <w:tcBorders>
              <w:top w:val="nil"/>
              <w:left w:val="nil"/>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48 482</w:t>
            </w:r>
          </w:p>
        </w:tc>
        <w:tc>
          <w:tcPr>
            <w:tcW w:w="512" w:type="pct"/>
            <w:gridSpan w:val="2"/>
            <w:tcBorders>
              <w:top w:val="nil"/>
              <w:left w:val="nil"/>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49 632</w:t>
            </w:r>
          </w:p>
        </w:tc>
        <w:tc>
          <w:tcPr>
            <w:tcW w:w="512" w:type="pct"/>
            <w:tcBorders>
              <w:top w:val="nil"/>
              <w:left w:val="nil"/>
              <w:bottom w:val="nil"/>
              <w:right w:val="single" w:sz="4" w:space="0" w:color="000000"/>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49 919</w:t>
            </w:r>
          </w:p>
        </w:tc>
        <w:tc>
          <w:tcPr>
            <w:tcW w:w="633" w:type="pct"/>
            <w:tcBorders>
              <w:top w:val="nil"/>
              <w:left w:val="nil"/>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23.3%</w:t>
            </w:r>
          </w:p>
        </w:tc>
        <w:tc>
          <w:tcPr>
            <w:tcW w:w="493" w:type="pct"/>
            <w:tcBorders>
              <w:top w:val="nil"/>
              <w:left w:val="single" w:sz="4" w:space="0" w:color="auto"/>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1.1%</w:t>
            </w:r>
          </w:p>
        </w:tc>
      </w:tr>
      <w:tr w:rsidR="0009589C" w:rsidRPr="00970231" w:rsidTr="008D15EB">
        <w:trPr>
          <w:cantSplit/>
        </w:trPr>
        <w:tc>
          <w:tcPr>
            <w:tcW w:w="1823" w:type="pct"/>
            <w:tcBorders>
              <w:top w:val="nil"/>
              <w:left w:val="nil"/>
              <w:bottom w:val="nil"/>
              <w:right w:val="nil"/>
            </w:tcBorders>
            <w:shd w:val="clear" w:color="auto" w:fill="auto"/>
            <w:hideMark/>
          </w:tcPr>
          <w:p w:rsidR="0009589C" w:rsidRPr="00970231" w:rsidRDefault="0009589C" w:rsidP="0009589C">
            <w:pPr>
              <w:keepNext/>
              <w:autoSpaceDE w:val="0"/>
              <w:autoSpaceDN w:val="0"/>
              <w:adjustRightInd w:val="0"/>
              <w:ind w:left="-96" w:right="-57"/>
              <w:rPr>
                <w:rFonts w:ascii="Arial" w:hAnsi="Arial" w:cs="Arial"/>
                <w:color w:val="000000"/>
                <w:sz w:val="12"/>
                <w:szCs w:val="12"/>
              </w:rPr>
            </w:pPr>
            <w:r w:rsidRPr="00970231">
              <w:rPr>
                <w:rFonts w:ascii="Arial" w:hAnsi="Arial" w:cs="Arial"/>
                <w:color w:val="000000"/>
                <w:sz w:val="12"/>
                <w:szCs w:val="12"/>
              </w:rPr>
              <w:t>Home affairs</w:t>
            </w:r>
          </w:p>
        </w:tc>
        <w:tc>
          <w:tcPr>
            <w:tcW w:w="505" w:type="pct"/>
            <w:tcBorders>
              <w:top w:val="nil"/>
              <w:left w:val="nil"/>
              <w:bottom w:val="nil"/>
              <w:right w:val="single" w:sz="4" w:space="0" w:color="000000"/>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9 780</w:t>
            </w:r>
          </w:p>
        </w:tc>
        <w:tc>
          <w:tcPr>
            <w:tcW w:w="522" w:type="pct"/>
            <w:gridSpan w:val="2"/>
            <w:tcBorders>
              <w:top w:val="nil"/>
              <w:left w:val="nil"/>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8 862</w:t>
            </w:r>
          </w:p>
        </w:tc>
        <w:tc>
          <w:tcPr>
            <w:tcW w:w="512" w:type="pct"/>
            <w:gridSpan w:val="2"/>
            <w:tcBorders>
              <w:top w:val="nil"/>
              <w:left w:val="nil"/>
              <w:bottom w:val="single" w:sz="4" w:space="0" w:color="000000"/>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9 463</w:t>
            </w:r>
          </w:p>
        </w:tc>
        <w:tc>
          <w:tcPr>
            <w:tcW w:w="512" w:type="pct"/>
            <w:tcBorders>
              <w:top w:val="nil"/>
              <w:left w:val="nil"/>
              <w:bottom w:val="nil"/>
              <w:right w:val="single" w:sz="4" w:space="0" w:color="000000"/>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9 372</w:t>
            </w:r>
          </w:p>
        </w:tc>
        <w:tc>
          <w:tcPr>
            <w:tcW w:w="633" w:type="pct"/>
            <w:tcBorders>
              <w:top w:val="nil"/>
              <w:left w:val="nil"/>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13.4%</w:t>
            </w:r>
          </w:p>
        </w:tc>
        <w:tc>
          <w:tcPr>
            <w:tcW w:w="493" w:type="pct"/>
            <w:tcBorders>
              <w:top w:val="nil"/>
              <w:left w:val="single" w:sz="4" w:space="0" w:color="auto"/>
              <w:bottom w:val="nil"/>
              <w:right w:val="nil"/>
            </w:tcBorders>
            <w:shd w:val="clear" w:color="auto" w:fill="auto"/>
            <w:noWrap/>
            <w:hideMark/>
          </w:tcPr>
          <w:p w:rsidR="0009589C" w:rsidRPr="00970231" w:rsidRDefault="0009589C" w:rsidP="0009589C">
            <w:pPr>
              <w:keepNext/>
              <w:autoSpaceDE w:val="0"/>
              <w:autoSpaceDN w:val="0"/>
              <w:adjustRightInd w:val="0"/>
              <w:ind w:left="-96" w:right="-57"/>
              <w:jc w:val="right"/>
              <w:rPr>
                <w:rFonts w:ascii="Arial" w:hAnsi="Arial" w:cs="Arial"/>
                <w:color w:val="000000"/>
                <w:sz w:val="12"/>
                <w:szCs w:val="12"/>
              </w:rPr>
            </w:pPr>
            <w:r w:rsidRPr="00970231">
              <w:rPr>
                <w:rFonts w:ascii="Arial" w:hAnsi="Arial" w:cs="Arial"/>
                <w:color w:val="000000"/>
                <w:sz w:val="12"/>
                <w:szCs w:val="12"/>
              </w:rPr>
              <w:t>-1.4%</w:t>
            </w:r>
          </w:p>
        </w:tc>
      </w:tr>
      <w:tr w:rsidR="0009589C" w:rsidRPr="00970231" w:rsidTr="008D15EB">
        <w:trPr>
          <w:cantSplit/>
        </w:trPr>
        <w:tc>
          <w:tcPr>
            <w:tcW w:w="1823" w:type="pct"/>
            <w:tcBorders>
              <w:top w:val="single" w:sz="4" w:space="0" w:color="000000"/>
              <w:left w:val="nil"/>
              <w:bottom w:val="single" w:sz="4" w:space="0" w:color="000000"/>
              <w:right w:val="nil"/>
            </w:tcBorders>
            <w:shd w:val="clear" w:color="auto" w:fill="auto"/>
            <w:noWrap/>
            <w:vAlign w:val="center"/>
            <w:hideMark/>
          </w:tcPr>
          <w:p w:rsidR="0009589C" w:rsidRPr="00970231" w:rsidRDefault="0009589C" w:rsidP="0009589C">
            <w:pPr>
              <w:autoSpaceDE w:val="0"/>
              <w:autoSpaceDN w:val="0"/>
              <w:adjustRightInd w:val="0"/>
              <w:ind w:left="-99" w:right="-57"/>
              <w:rPr>
                <w:rFonts w:ascii="Arial" w:hAnsi="Arial" w:cs="Arial"/>
                <w:b/>
                <w:color w:val="000000"/>
                <w:sz w:val="12"/>
                <w:szCs w:val="12"/>
              </w:rPr>
            </w:pPr>
            <w:r w:rsidRPr="00970231">
              <w:rPr>
                <w:rFonts w:ascii="Arial" w:hAnsi="Arial" w:cs="Arial"/>
                <w:b/>
                <w:color w:val="000000"/>
                <w:sz w:val="12"/>
                <w:szCs w:val="12"/>
              </w:rPr>
              <w:t>Total</w:t>
            </w:r>
          </w:p>
        </w:tc>
        <w:tc>
          <w:tcPr>
            <w:tcW w:w="505" w:type="pct"/>
            <w:tcBorders>
              <w:top w:val="single" w:sz="4" w:space="0" w:color="000000"/>
              <w:left w:val="nil"/>
              <w:bottom w:val="single" w:sz="4" w:space="0" w:color="000000"/>
              <w:right w:val="single" w:sz="4" w:space="0" w:color="000000"/>
            </w:tcBorders>
            <w:shd w:val="clear" w:color="auto" w:fill="auto"/>
            <w:noWrap/>
            <w:vAlign w:val="center"/>
            <w:hideMark/>
          </w:tcPr>
          <w:p w:rsidR="0009589C" w:rsidRPr="00970231" w:rsidRDefault="0009589C" w:rsidP="0009589C">
            <w:pPr>
              <w:autoSpaceDE w:val="0"/>
              <w:autoSpaceDN w:val="0"/>
              <w:adjustRightInd w:val="0"/>
              <w:ind w:left="-99" w:right="-57"/>
              <w:jc w:val="right"/>
              <w:rPr>
                <w:rFonts w:ascii="Arial" w:hAnsi="Arial" w:cs="Arial"/>
                <w:b/>
                <w:color w:val="000000"/>
                <w:sz w:val="12"/>
                <w:szCs w:val="12"/>
              </w:rPr>
            </w:pPr>
            <w:r w:rsidRPr="00970231">
              <w:rPr>
                <w:rFonts w:ascii="Arial" w:hAnsi="Arial" w:cs="Arial"/>
                <w:b/>
                <w:color w:val="000000"/>
                <w:sz w:val="12"/>
                <w:szCs w:val="12"/>
              </w:rPr>
              <w:t>218 615</w:t>
            </w:r>
          </w:p>
        </w:tc>
        <w:tc>
          <w:tcPr>
            <w:tcW w:w="522" w:type="pct"/>
            <w:gridSpan w:val="2"/>
            <w:tcBorders>
              <w:top w:val="single" w:sz="4" w:space="0" w:color="000000"/>
              <w:left w:val="nil"/>
              <w:bottom w:val="single" w:sz="4" w:space="0" w:color="000000"/>
              <w:right w:val="nil"/>
            </w:tcBorders>
            <w:shd w:val="clear" w:color="auto" w:fill="auto"/>
            <w:noWrap/>
            <w:vAlign w:val="center"/>
            <w:hideMark/>
          </w:tcPr>
          <w:p w:rsidR="0009589C" w:rsidRPr="00970231" w:rsidRDefault="0009589C" w:rsidP="0009589C">
            <w:pPr>
              <w:autoSpaceDE w:val="0"/>
              <w:autoSpaceDN w:val="0"/>
              <w:adjustRightInd w:val="0"/>
              <w:ind w:left="-99" w:right="-57"/>
              <w:jc w:val="right"/>
              <w:rPr>
                <w:rFonts w:ascii="Arial" w:hAnsi="Arial" w:cs="Arial"/>
                <w:b/>
                <w:color w:val="000000"/>
                <w:sz w:val="12"/>
                <w:szCs w:val="12"/>
              </w:rPr>
            </w:pPr>
            <w:r w:rsidRPr="00970231">
              <w:rPr>
                <w:rFonts w:ascii="Arial" w:hAnsi="Arial" w:cs="Arial"/>
                <w:b/>
                <w:color w:val="000000"/>
                <w:sz w:val="12"/>
                <w:szCs w:val="12"/>
              </w:rPr>
              <w:t>208 570</w:t>
            </w:r>
          </w:p>
        </w:tc>
        <w:tc>
          <w:tcPr>
            <w:tcW w:w="512" w:type="pct"/>
            <w:gridSpan w:val="2"/>
            <w:tcBorders>
              <w:top w:val="nil"/>
              <w:left w:val="nil"/>
              <w:bottom w:val="single" w:sz="4" w:space="0" w:color="000000"/>
              <w:right w:val="nil"/>
            </w:tcBorders>
            <w:shd w:val="clear" w:color="auto" w:fill="auto"/>
            <w:noWrap/>
            <w:vAlign w:val="center"/>
            <w:hideMark/>
          </w:tcPr>
          <w:p w:rsidR="0009589C" w:rsidRPr="00970231" w:rsidRDefault="0009589C" w:rsidP="0009589C">
            <w:pPr>
              <w:autoSpaceDE w:val="0"/>
              <w:autoSpaceDN w:val="0"/>
              <w:adjustRightInd w:val="0"/>
              <w:ind w:left="-99" w:right="-57"/>
              <w:jc w:val="right"/>
              <w:rPr>
                <w:rFonts w:ascii="Arial" w:hAnsi="Arial" w:cs="Arial"/>
                <w:b/>
                <w:color w:val="000000"/>
                <w:sz w:val="12"/>
                <w:szCs w:val="12"/>
              </w:rPr>
            </w:pPr>
            <w:r w:rsidRPr="00970231">
              <w:rPr>
                <w:rFonts w:ascii="Arial" w:hAnsi="Arial" w:cs="Arial"/>
                <w:b/>
                <w:color w:val="000000"/>
                <w:sz w:val="12"/>
                <w:szCs w:val="12"/>
              </w:rPr>
              <w:t>212 853</w:t>
            </w:r>
          </w:p>
        </w:tc>
        <w:tc>
          <w:tcPr>
            <w:tcW w:w="512" w:type="pct"/>
            <w:tcBorders>
              <w:top w:val="single" w:sz="4" w:space="0" w:color="000000"/>
              <w:left w:val="nil"/>
              <w:bottom w:val="single" w:sz="4" w:space="0" w:color="000000"/>
              <w:right w:val="nil"/>
            </w:tcBorders>
            <w:shd w:val="clear" w:color="auto" w:fill="auto"/>
            <w:noWrap/>
            <w:vAlign w:val="center"/>
            <w:hideMark/>
          </w:tcPr>
          <w:p w:rsidR="0009589C" w:rsidRPr="00970231" w:rsidRDefault="0009589C" w:rsidP="0009589C">
            <w:pPr>
              <w:autoSpaceDE w:val="0"/>
              <w:autoSpaceDN w:val="0"/>
              <w:adjustRightInd w:val="0"/>
              <w:ind w:left="-99" w:right="-57"/>
              <w:jc w:val="right"/>
              <w:rPr>
                <w:rFonts w:ascii="Arial" w:hAnsi="Arial" w:cs="Arial"/>
                <w:b/>
                <w:color w:val="000000"/>
                <w:sz w:val="12"/>
                <w:szCs w:val="12"/>
              </w:rPr>
            </w:pPr>
            <w:r w:rsidRPr="00970231">
              <w:rPr>
                <w:rFonts w:ascii="Arial" w:hAnsi="Arial" w:cs="Arial"/>
                <w:b/>
                <w:color w:val="000000"/>
                <w:sz w:val="12"/>
                <w:szCs w:val="12"/>
              </w:rPr>
              <w:t>213 417</w:t>
            </w:r>
          </w:p>
        </w:tc>
        <w:tc>
          <w:tcPr>
            <w:tcW w:w="63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589C" w:rsidRPr="00970231" w:rsidRDefault="0009589C" w:rsidP="0009589C">
            <w:pPr>
              <w:autoSpaceDE w:val="0"/>
              <w:autoSpaceDN w:val="0"/>
              <w:adjustRightInd w:val="0"/>
              <w:ind w:left="-99" w:right="-57"/>
              <w:jc w:val="right"/>
              <w:rPr>
                <w:rFonts w:ascii="Arial" w:hAnsi="Arial" w:cs="Arial"/>
                <w:b/>
                <w:color w:val="000000"/>
                <w:sz w:val="12"/>
                <w:szCs w:val="12"/>
              </w:rPr>
            </w:pPr>
            <w:r w:rsidRPr="00970231">
              <w:rPr>
                <w:rFonts w:ascii="Arial" w:hAnsi="Arial" w:cs="Arial"/>
                <w:b/>
                <w:color w:val="000000"/>
                <w:sz w:val="12"/>
                <w:szCs w:val="12"/>
              </w:rPr>
              <w:t>100.0%</w:t>
            </w:r>
          </w:p>
        </w:tc>
        <w:tc>
          <w:tcPr>
            <w:tcW w:w="493" w:type="pct"/>
            <w:tcBorders>
              <w:top w:val="single" w:sz="4" w:space="0" w:color="000000"/>
              <w:left w:val="nil"/>
              <w:bottom w:val="single" w:sz="4" w:space="0" w:color="000000"/>
              <w:right w:val="nil"/>
            </w:tcBorders>
            <w:shd w:val="clear" w:color="auto" w:fill="auto"/>
            <w:noWrap/>
            <w:vAlign w:val="center"/>
            <w:hideMark/>
          </w:tcPr>
          <w:p w:rsidR="0009589C" w:rsidRPr="00970231" w:rsidRDefault="0009589C" w:rsidP="0009589C">
            <w:pPr>
              <w:autoSpaceDE w:val="0"/>
              <w:autoSpaceDN w:val="0"/>
              <w:adjustRightInd w:val="0"/>
              <w:ind w:left="-99" w:right="-57"/>
              <w:jc w:val="right"/>
              <w:rPr>
                <w:rFonts w:ascii="Arial" w:hAnsi="Arial" w:cs="Arial"/>
                <w:b/>
                <w:color w:val="000000"/>
                <w:sz w:val="12"/>
                <w:szCs w:val="12"/>
              </w:rPr>
            </w:pPr>
            <w:r w:rsidRPr="00970231">
              <w:rPr>
                <w:rFonts w:ascii="Arial" w:hAnsi="Arial" w:cs="Arial"/>
                <w:b/>
                <w:color w:val="000000"/>
                <w:sz w:val="12"/>
                <w:szCs w:val="12"/>
              </w:rPr>
              <w:t>-0.8%</w:t>
            </w:r>
          </w:p>
        </w:tc>
      </w:tr>
    </w:tbl>
    <w:p w:rsidR="008D15EB" w:rsidRPr="00970231" w:rsidRDefault="008D15EB" w:rsidP="00970231">
      <w:pPr>
        <w:autoSpaceDE w:val="0"/>
        <w:autoSpaceDN w:val="0"/>
        <w:adjustRightInd w:val="0"/>
        <w:jc w:val="both"/>
        <w:rPr>
          <w:rFonts w:ascii="Arial" w:hAnsi="Arial" w:cs="Arial"/>
          <w:sz w:val="22"/>
          <w:szCs w:val="22"/>
        </w:rPr>
      </w:pPr>
    </w:p>
    <w:p w:rsidR="00970231" w:rsidRDefault="00970231" w:rsidP="00970231">
      <w:pPr>
        <w:autoSpaceDE w:val="0"/>
        <w:autoSpaceDN w:val="0"/>
        <w:adjustRightInd w:val="0"/>
        <w:jc w:val="both"/>
        <w:rPr>
          <w:rFonts w:ascii="Arial" w:hAnsi="Arial" w:cs="Arial"/>
          <w:sz w:val="22"/>
          <w:szCs w:val="22"/>
        </w:rPr>
      </w:pPr>
    </w:p>
    <w:p w:rsidR="00970231" w:rsidRDefault="00970231"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7143E9" w:rsidRDefault="007143E9" w:rsidP="00970231">
      <w:pPr>
        <w:autoSpaceDE w:val="0"/>
        <w:autoSpaceDN w:val="0"/>
        <w:adjustRightInd w:val="0"/>
        <w:jc w:val="both"/>
        <w:rPr>
          <w:rFonts w:ascii="Arial" w:hAnsi="Arial" w:cs="Arial"/>
          <w:sz w:val="22"/>
          <w:szCs w:val="22"/>
        </w:rPr>
      </w:pPr>
    </w:p>
    <w:p w:rsidR="00C401F8" w:rsidRPr="00553EDC" w:rsidRDefault="00C401F8" w:rsidP="00C401F8">
      <w:pPr>
        <w:pBdr>
          <w:bottom w:val="single" w:sz="6" w:space="31" w:color="auto"/>
        </w:pBdr>
        <w:tabs>
          <w:tab w:val="left" w:pos="432"/>
          <w:tab w:val="left" w:pos="864"/>
        </w:tabs>
        <w:spacing w:line="360" w:lineRule="auto"/>
        <w:jc w:val="both"/>
        <w:rPr>
          <w:rFonts w:ascii="Arial" w:hAnsi="Arial" w:cs="Arial"/>
          <w:b/>
          <w:sz w:val="22"/>
          <w:szCs w:val="22"/>
        </w:rPr>
      </w:pPr>
    </w:p>
    <w:sectPr w:rsidR="00C401F8" w:rsidRPr="00553EDC" w:rsidSect="000D40F1">
      <w:pgSz w:w="12240" w:h="15840" w:code="1"/>
      <w:pgMar w:top="1418" w:right="1418" w:bottom="993" w:left="1418" w:header="720" w:footer="39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037" w:rsidRDefault="00735037" w:rsidP="00380E88">
      <w:r>
        <w:separator/>
      </w:r>
    </w:p>
  </w:endnote>
  <w:endnote w:type="continuationSeparator" w:id="0">
    <w:p w:rsidR="00735037" w:rsidRDefault="00735037"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037" w:rsidRDefault="00735037" w:rsidP="00380E88">
      <w:r>
        <w:separator/>
      </w:r>
    </w:p>
  </w:footnote>
  <w:footnote w:type="continuationSeparator" w:id="0">
    <w:p w:rsidR="00735037" w:rsidRDefault="00735037"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nsid w:val="780658A7"/>
    <w:multiLevelType w:val="hybridMultilevel"/>
    <w:tmpl w:val="E414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0"/>
  </w:num>
  <w:num w:numId="6">
    <w:abstractNumId w:val="1"/>
  </w:num>
  <w:num w:numId="7">
    <w:abstractNumId w:val="1"/>
  </w:num>
  <w:num w:numId="8">
    <w:abstractNumId w:val="11"/>
  </w:num>
  <w:num w:numId="9">
    <w:abstractNumId w:val="0"/>
  </w:num>
  <w:num w:numId="10">
    <w:abstractNumId w:val="3"/>
  </w:num>
  <w:num w:numId="11">
    <w:abstractNumId w:val="8"/>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046"/>
    <w:rsid w:val="000054AE"/>
    <w:rsid w:val="00005F25"/>
    <w:rsid w:val="00011016"/>
    <w:rsid w:val="00012A82"/>
    <w:rsid w:val="000147EE"/>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2DDF"/>
    <w:rsid w:val="0008596C"/>
    <w:rsid w:val="0009589C"/>
    <w:rsid w:val="000978D3"/>
    <w:rsid w:val="000A3C32"/>
    <w:rsid w:val="000A5567"/>
    <w:rsid w:val="000A57B1"/>
    <w:rsid w:val="000B16E9"/>
    <w:rsid w:val="000B51CC"/>
    <w:rsid w:val="000B555E"/>
    <w:rsid w:val="000C2BEF"/>
    <w:rsid w:val="000C3917"/>
    <w:rsid w:val="000C48D8"/>
    <w:rsid w:val="000D1EAE"/>
    <w:rsid w:val="000D2200"/>
    <w:rsid w:val="000D40F1"/>
    <w:rsid w:val="000D5DF7"/>
    <w:rsid w:val="000E1B36"/>
    <w:rsid w:val="000E3AD1"/>
    <w:rsid w:val="000F0AF6"/>
    <w:rsid w:val="000F37A4"/>
    <w:rsid w:val="000F3B14"/>
    <w:rsid w:val="000F5178"/>
    <w:rsid w:val="00100CC2"/>
    <w:rsid w:val="00110946"/>
    <w:rsid w:val="00122C88"/>
    <w:rsid w:val="00123B87"/>
    <w:rsid w:val="00130348"/>
    <w:rsid w:val="00132CAF"/>
    <w:rsid w:val="00132CF0"/>
    <w:rsid w:val="001433AE"/>
    <w:rsid w:val="0014441E"/>
    <w:rsid w:val="00147193"/>
    <w:rsid w:val="0015727B"/>
    <w:rsid w:val="0016542D"/>
    <w:rsid w:val="00170407"/>
    <w:rsid w:val="00173B14"/>
    <w:rsid w:val="0018048D"/>
    <w:rsid w:val="00183EB5"/>
    <w:rsid w:val="001856A3"/>
    <w:rsid w:val="00197576"/>
    <w:rsid w:val="001A531F"/>
    <w:rsid w:val="001A7F69"/>
    <w:rsid w:val="001B0917"/>
    <w:rsid w:val="001B1E0F"/>
    <w:rsid w:val="001B7F2A"/>
    <w:rsid w:val="001C1E62"/>
    <w:rsid w:val="001D24BA"/>
    <w:rsid w:val="001D267B"/>
    <w:rsid w:val="001D4937"/>
    <w:rsid w:val="001E1132"/>
    <w:rsid w:val="001E3FB5"/>
    <w:rsid w:val="001E58AC"/>
    <w:rsid w:val="001E6902"/>
    <w:rsid w:val="001F4B50"/>
    <w:rsid w:val="001F6D0E"/>
    <w:rsid w:val="001F7560"/>
    <w:rsid w:val="002065BA"/>
    <w:rsid w:val="00207912"/>
    <w:rsid w:val="00207B42"/>
    <w:rsid w:val="00212EBF"/>
    <w:rsid w:val="00223863"/>
    <w:rsid w:val="0022502D"/>
    <w:rsid w:val="00230BF6"/>
    <w:rsid w:val="002314BC"/>
    <w:rsid w:val="00251791"/>
    <w:rsid w:val="002561F3"/>
    <w:rsid w:val="00260251"/>
    <w:rsid w:val="00262F05"/>
    <w:rsid w:val="0026563C"/>
    <w:rsid w:val="00265DC1"/>
    <w:rsid w:val="0027436F"/>
    <w:rsid w:val="002855CE"/>
    <w:rsid w:val="00285EA1"/>
    <w:rsid w:val="0028635F"/>
    <w:rsid w:val="002867DD"/>
    <w:rsid w:val="002927CD"/>
    <w:rsid w:val="00293E24"/>
    <w:rsid w:val="002A4157"/>
    <w:rsid w:val="002B3B25"/>
    <w:rsid w:val="002B7345"/>
    <w:rsid w:val="002D104B"/>
    <w:rsid w:val="002D10B3"/>
    <w:rsid w:val="002D2A4C"/>
    <w:rsid w:val="002D47CE"/>
    <w:rsid w:val="002D499A"/>
    <w:rsid w:val="002E1D28"/>
    <w:rsid w:val="002E4AA0"/>
    <w:rsid w:val="002F6E86"/>
    <w:rsid w:val="003005D2"/>
    <w:rsid w:val="00303F4E"/>
    <w:rsid w:val="00326CF2"/>
    <w:rsid w:val="003372DA"/>
    <w:rsid w:val="003421BD"/>
    <w:rsid w:val="00344553"/>
    <w:rsid w:val="00345531"/>
    <w:rsid w:val="00346695"/>
    <w:rsid w:val="00351BF5"/>
    <w:rsid w:val="00354BA4"/>
    <w:rsid w:val="00361060"/>
    <w:rsid w:val="003626A5"/>
    <w:rsid w:val="00365087"/>
    <w:rsid w:val="003707A7"/>
    <w:rsid w:val="00374DCE"/>
    <w:rsid w:val="0037795E"/>
    <w:rsid w:val="00380E88"/>
    <w:rsid w:val="00393919"/>
    <w:rsid w:val="003A5B00"/>
    <w:rsid w:val="003A6BD5"/>
    <w:rsid w:val="003B0336"/>
    <w:rsid w:val="003B0A2D"/>
    <w:rsid w:val="003D0E83"/>
    <w:rsid w:val="003D5A20"/>
    <w:rsid w:val="003D6E21"/>
    <w:rsid w:val="003E03B4"/>
    <w:rsid w:val="003E2711"/>
    <w:rsid w:val="003E6A8B"/>
    <w:rsid w:val="003F1329"/>
    <w:rsid w:val="003F6A56"/>
    <w:rsid w:val="00401CD9"/>
    <w:rsid w:val="00413ABE"/>
    <w:rsid w:val="00413C95"/>
    <w:rsid w:val="00422EC6"/>
    <w:rsid w:val="004260E9"/>
    <w:rsid w:val="0042645C"/>
    <w:rsid w:val="00426C51"/>
    <w:rsid w:val="00427ECA"/>
    <w:rsid w:val="0043065E"/>
    <w:rsid w:val="00435EA2"/>
    <w:rsid w:val="00440329"/>
    <w:rsid w:val="004435A2"/>
    <w:rsid w:val="00452353"/>
    <w:rsid w:val="00453CF1"/>
    <w:rsid w:val="00456C22"/>
    <w:rsid w:val="004606C0"/>
    <w:rsid w:val="0046713E"/>
    <w:rsid w:val="004709BD"/>
    <w:rsid w:val="00472D86"/>
    <w:rsid w:val="00473446"/>
    <w:rsid w:val="00480D1F"/>
    <w:rsid w:val="00484737"/>
    <w:rsid w:val="00485B2E"/>
    <w:rsid w:val="00485F09"/>
    <w:rsid w:val="00496D69"/>
    <w:rsid w:val="004A078E"/>
    <w:rsid w:val="004A2112"/>
    <w:rsid w:val="004A45C9"/>
    <w:rsid w:val="004A7866"/>
    <w:rsid w:val="004B1526"/>
    <w:rsid w:val="004C0E9B"/>
    <w:rsid w:val="004C0FCD"/>
    <w:rsid w:val="004C57A4"/>
    <w:rsid w:val="004D3BF2"/>
    <w:rsid w:val="004D3D5A"/>
    <w:rsid w:val="004D51F0"/>
    <w:rsid w:val="004D568A"/>
    <w:rsid w:val="004E2318"/>
    <w:rsid w:val="004E3098"/>
    <w:rsid w:val="004E6E7D"/>
    <w:rsid w:val="004F43FB"/>
    <w:rsid w:val="00503CF8"/>
    <w:rsid w:val="00503F62"/>
    <w:rsid w:val="005062A3"/>
    <w:rsid w:val="00513747"/>
    <w:rsid w:val="00513A6D"/>
    <w:rsid w:val="005141B3"/>
    <w:rsid w:val="00522B65"/>
    <w:rsid w:val="005265AF"/>
    <w:rsid w:val="005313B2"/>
    <w:rsid w:val="00532BB4"/>
    <w:rsid w:val="0053398C"/>
    <w:rsid w:val="00533BBC"/>
    <w:rsid w:val="00533C35"/>
    <w:rsid w:val="00547158"/>
    <w:rsid w:val="00547F39"/>
    <w:rsid w:val="0055290F"/>
    <w:rsid w:val="00553EDC"/>
    <w:rsid w:val="005649D0"/>
    <w:rsid w:val="00566101"/>
    <w:rsid w:val="005706F1"/>
    <w:rsid w:val="00574E19"/>
    <w:rsid w:val="005801E0"/>
    <w:rsid w:val="005853FD"/>
    <w:rsid w:val="005A210C"/>
    <w:rsid w:val="005A28F7"/>
    <w:rsid w:val="005A3443"/>
    <w:rsid w:val="005A4B7A"/>
    <w:rsid w:val="005B6F0A"/>
    <w:rsid w:val="005D0154"/>
    <w:rsid w:val="005E21D9"/>
    <w:rsid w:val="005E32E0"/>
    <w:rsid w:val="005E415D"/>
    <w:rsid w:val="005F05C1"/>
    <w:rsid w:val="005F11A2"/>
    <w:rsid w:val="005F6B76"/>
    <w:rsid w:val="00613FC6"/>
    <w:rsid w:val="006239F1"/>
    <w:rsid w:val="00624D20"/>
    <w:rsid w:val="0062770E"/>
    <w:rsid w:val="00631CD4"/>
    <w:rsid w:val="00632C21"/>
    <w:rsid w:val="00641158"/>
    <w:rsid w:val="0064275F"/>
    <w:rsid w:val="00642B16"/>
    <w:rsid w:val="0064512A"/>
    <w:rsid w:val="00646E7C"/>
    <w:rsid w:val="00647EF2"/>
    <w:rsid w:val="00651616"/>
    <w:rsid w:val="00653A85"/>
    <w:rsid w:val="00653C15"/>
    <w:rsid w:val="00666668"/>
    <w:rsid w:val="00675635"/>
    <w:rsid w:val="0068250C"/>
    <w:rsid w:val="00685058"/>
    <w:rsid w:val="00685F0E"/>
    <w:rsid w:val="00687D9E"/>
    <w:rsid w:val="00693A64"/>
    <w:rsid w:val="006951C6"/>
    <w:rsid w:val="006B61B0"/>
    <w:rsid w:val="006C2D5C"/>
    <w:rsid w:val="006D0BA7"/>
    <w:rsid w:val="006D1766"/>
    <w:rsid w:val="006D1B36"/>
    <w:rsid w:val="006D2C61"/>
    <w:rsid w:val="006D2F61"/>
    <w:rsid w:val="006D39E9"/>
    <w:rsid w:val="006E09E0"/>
    <w:rsid w:val="00704DC7"/>
    <w:rsid w:val="007118EA"/>
    <w:rsid w:val="00712545"/>
    <w:rsid w:val="00712E95"/>
    <w:rsid w:val="007143E9"/>
    <w:rsid w:val="00715867"/>
    <w:rsid w:val="00726A9C"/>
    <w:rsid w:val="00732A53"/>
    <w:rsid w:val="00735037"/>
    <w:rsid w:val="007359BF"/>
    <w:rsid w:val="00737375"/>
    <w:rsid w:val="00743F26"/>
    <w:rsid w:val="00751191"/>
    <w:rsid w:val="007515A5"/>
    <w:rsid w:val="00751942"/>
    <w:rsid w:val="00751A1E"/>
    <w:rsid w:val="007540E0"/>
    <w:rsid w:val="007544A8"/>
    <w:rsid w:val="00757975"/>
    <w:rsid w:val="00757C9D"/>
    <w:rsid w:val="0076668B"/>
    <w:rsid w:val="007749D9"/>
    <w:rsid w:val="00780F57"/>
    <w:rsid w:val="00783E1A"/>
    <w:rsid w:val="0079022D"/>
    <w:rsid w:val="007914E0"/>
    <w:rsid w:val="00791C27"/>
    <w:rsid w:val="0079284D"/>
    <w:rsid w:val="00794CD6"/>
    <w:rsid w:val="007A32AF"/>
    <w:rsid w:val="007A78C0"/>
    <w:rsid w:val="007B1BA1"/>
    <w:rsid w:val="007C3B62"/>
    <w:rsid w:val="007C44DF"/>
    <w:rsid w:val="007C4690"/>
    <w:rsid w:val="007C51AA"/>
    <w:rsid w:val="007C5A36"/>
    <w:rsid w:val="007D25DF"/>
    <w:rsid w:val="007D4060"/>
    <w:rsid w:val="007E56A2"/>
    <w:rsid w:val="007E7754"/>
    <w:rsid w:val="007F04C7"/>
    <w:rsid w:val="007F18AA"/>
    <w:rsid w:val="007F3634"/>
    <w:rsid w:val="007F439B"/>
    <w:rsid w:val="007F5C89"/>
    <w:rsid w:val="00800B54"/>
    <w:rsid w:val="00803AC4"/>
    <w:rsid w:val="00807B52"/>
    <w:rsid w:val="00811367"/>
    <w:rsid w:val="00812D7B"/>
    <w:rsid w:val="00813FF0"/>
    <w:rsid w:val="00814CE4"/>
    <w:rsid w:val="008223D4"/>
    <w:rsid w:val="008248E3"/>
    <w:rsid w:val="008259B3"/>
    <w:rsid w:val="008270A1"/>
    <w:rsid w:val="008321A4"/>
    <w:rsid w:val="0084121D"/>
    <w:rsid w:val="00852DC3"/>
    <w:rsid w:val="008600E0"/>
    <w:rsid w:val="008631A7"/>
    <w:rsid w:val="00866056"/>
    <w:rsid w:val="00876CBB"/>
    <w:rsid w:val="008779EA"/>
    <w:rsid w:val="00880EA8"/>
    <w:rsid w:val="00886053"/>
    <w:rsid w:val="0088688A"/>
    <w:rsid w:val="00887A34"/>
    <w:rsid w:val="00890F94"/>
    <w:rsid w:val="00891265"/>
    <w:rsid w:val="00893761"/>
    <w:rsid w:val="00897498"/>
    <w:rsid w:val="00897F0B"/>
    <w:rsid w:val="008A25B9"/>
    <w:rsid w:val="008A3396"/>
    <w:rsid w:val="008A4EBA"/>
    <w:rsid w:val="008A53E5"/>
    <w:rsid w:val="008B3992"/>
    <w:rsid w:val="008C0D4C"/>
    <w:rsid w:val="008C2559"/>
    <w:rsid w:val="008C2974"/>
    <w:rsid w:val="008D15EB"/>
    <w:rsid w:val="008D3E86"/>
    <w:rsid w:val="008D60C0"/>
    <w:rsid w:val="008E01C3"/>
    <w:rsid w:val="008E3D62"/>
    <w:rsid w:val="008E4142"/>
    <w:rsid w:val="008F2375"/>
    <w:rsid w:val="008F324E"/>
    <w:rsid w:val="008F7690"/>
    <w:rsid w:val="00905110"/>
    <w:rsid w:val="00910B58"/>
    <w:rsid w:val="00911717"/>
    <w:rsid w:val="009163A5"/>
    <w:rsid w:val="00917C44"/>
    <w:rsid w:val="009203A2"/>
    <w:rsid w:val="00933C7B"/>
    <w:rsid w:val="0093680D"/>
    <w:rsid w:val="00947F92"/>
    <w:rsid w:val="009508F2"/>
    <w:rsid w:val="00950F95"/>
    <w:rsid w:val="00953363"/>
    <w:rsid w:val="0096007E"/>
    <w:rsid w:val="00960B82"/>
    <w:rsid w:val="00965E2A"/>
    <w:rsid w:val="00970231"/>
    <w:rsid w:val="00972601"/>
    <w:rsid w:val="00976E83"/>
    <w:rsid w:val="0097786E"/>
    <w:rsid w:val="00977E9D"/>
    <w:rsid w:val="00986C1B"/>
    <w:rsid w:val="00987BC9"/>
    <w:rsid w:val="0099170A"/>
    <w:rsid w:val="009A18A7"/>
    <w:rsid w:val="009C45D6"/>
    <w:rsid w:val="009C72B2"/>
    <w:rsid w:val="009E1AB2"/>
    <w:rsid w:val="009E24E9"/>
    <w:rsid w:val="009F2415"/>
    <w:rsid w:val="009F2917"/>
    <w:rsid w:val="009F480A"/>
    <w:rsid w:val="00A02200"/>
    <w:rsid w:val="00A15D3C"/>
    <w:rsid w:val="00A169B4"/>
    <w:rsid w:val="00A1736D"/>
    <w:rsid w:val="00A23A3E"/>
    <w:rsid w:val="00A26BF5"/>
    <w:rsid w:val="00A3362E"/>
    <w:rsid w:val="00A337C8"/>
    <w:rsid w:val="00A359DB"/>
    <w:rsid w:val="00A45496"/>
    <w:rsid w:val="00A45FE5"/>
    <w:rsid w:val="00A51431"/>
    <w:rsid w:val="00A525F0"/>
    <w:rsid w:val="00A55CB3"/>
    <w:rsid w:val="00A566A2"/>
    <w:rsid w:val="00A5731A"/>
    <w:rsid w:val="00A60DDB"/>
    <w:rsid w:val="00A677C3"/>
    <w:rsid w:val="00A72B9B"/>
    <w:rsid w:val="00A84063"/>
    <w:rsid w:val="00A952EA"/>
    <w:rsid w:val="00A96A79"/>
    <w:rsid w:val="00A97C66"/>
    <w:rsid w:val="00AA4ED9"/>
    <w:rsid w:val="00AB5748"/>
    <w:rsid w:val="00AB5B28"/>
    <w:rsid w:val="00AC69A6"/>
    <w:rsid w:val="00AD00CE"/>
    <w:rsid w:val="00AD1B6E"/>
    <w:rsid w:val="00AD1D64"/>
    <w:rsid w:val="00AD5C9B"/>
    <w:rsid w:val="00AE07DE"/>
    <w:rsid w:val="00AE48F6"/>
    <w:rsid w:val="00AE7526"/>
    <w:rsid w:val="00B03AF4"/>
    <w:rsid w:val="00B03DD6"/>
    <w:rsid w:val="00B1562B"/>
    <w:rsid w:val="00B1593D"/>
    <w:rsid w:val="00B20E37"/>
    <w:rsid w:val="00B31AAE"/>
    <w:rsid w:val="00B33A6F"/>
    <w:rsid w:val="00B35E0C"/>
    <w:rsid w:val="00B447E6"/>
    <w:rsid w:val="00B516EF"/>
    <w:rsid w:val="00B57527"/>
    <w:rsid w:val="00B62882"/>
    <w:rsid w:val="00B65F8F"/>
    <w:rsid w:val="00B70C7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B7D55"/>
    <w:rsid w:val="00BC0A3B"/>
    <w:rsid w:val="00BC3150"/>
    <w:rsid w:val="00BC450A"/>
    <w:rsid w:val="00BC4BEA"/>
    <w:rsid w:val="00BC5A3F"/>
    <w:rsid w:val="00BD05BC"/>
    <w:rsid w:val="00BD31C6"/>
    <w:rsid w:val="00BE533B"/>
    <w:rsid w:val="00C06302"/>
    <w:rsid w:val="00C20FEE"/>
    <w:rsid w:val="00C223DB"/>
    <w:rsid w:val="00C22A1F"/>
    <w:rsid w:val="00C25C7E"/>
    <w:rsid w:val="00C26CCD"/>
    <w:rsid w:val="00C312EA"/>
    <w:rsid w:val="00C32942"/>
    <w:rsid w:val="00C3410D"/>
    <w:rsid w:val="00C375AF"/>
    <w:rsid w:val="00C401F8"/>
    <w:rsid w:val="00C41105"/>
    <w:rsid w:val="00C44C35"/>
    <w:rsid w:val="00C472D6"/>
    <w:rsid w:val="00C505E6"/>
    <w:rsid w:val="00C526D5"/>
    <w:rsid w:val="00C56D83"/>
    <w:rsid w:val="00C60822"/>
    <w:rsid w:val="00C60A55"/>
    <w:rsid w:val="00C61072"/>
    <w:rsid w:val="00C65A57"/>
    <w:rsid w:val="00C77F83"/>
    <w:rsid w:val="00C87C5C"/>
    <w:rsid w:val="00C905A7"/>
    <w:rsid w:val="00CA0605"/>
    <w:rsid w:val="00CB034C"/>
    <w:rsid w:val="00CB4FDB"/>
    <w:rsid w:val="00CB51AD"/>
    <w:rsid w:val="00CC0640"/>
    <w:rsid w:val="00CC2F3E"/>
    <w:rsid w:val="00CC392D"/>
    <w:rsid w:val="00CC7673"/>
    <w:rsid w:val="00CE70C2"/>
    <w:rsid w:val="00CF17EB"/>
    <w:rsid w:val="00D01E04"/>
    <w:rsid w:val="00D05765"/>
    <w:rsid w:val="00D1433D"/>
    <w:rsid w:val="00D176DB"/>
    <w:rsid w:val="00D17D13"/>
    <w:rsid w:val="00D20E78"/>
    <w:rsid w:val="00D20F25"/>
    <w:rsid w:val="00D2724B"/>
    <w:rsid w:val="00D311CA"/>
    <w:rsid w:val="00D332C0"/>
    <w:rsid w:val="00D3397E"/>
    <w:rsid w:val="00D3403D"/>
    <w:rsid w:val="00D34050"/>
    <w:rsid w:val="00D363B6"/>
    <w:rsid w:val="00D37422"/>
    <w:rsid w:val="00D46E69"/>
    <w:rsid w:val="00D61422"/>
    <w:rsid w:val="00D65933"/>
    <w:rsid w:val="00D679E0"/>
    <w:rsid w:val="00D709E4"/>
    <w:rsid w:val="00D74F80"/>
    <w:rsid w:val="00D761DC"/>
    <w:rsid w:val="00DB2463"/>
    <w:rsid w:val="00DC769E"/>
    <w:rsid w:val="00DC76EF"/>
    <w:rsid w:val="00DD0F3E"/>
    <w:rsid w:val="00DD2A0D"/>
    <w:rsid w:val="00DD5296"/>
    <w:rsid w:val="00DE0275"/>
    <w:rsid w:val="00DE122E"/>
    <w:rsid w:val="00DE3CBB"/>
    <w:rsid w:val="00DE56AD"/>
    <w:rsid w:val="00DE76CB"/>
    <w:rsid w:val="00DF0D26"/>
    <w:rsid w:val="00DF4200"/>
    <w:rsid w:val="00DF746E"/>
    <w:rsid w:val="00DF7D10"/>
    <w:rsid w:val="00E01BA2"/>
    <w:rsid w:val="00E01FF6"/>
    <w:rsid w:val="00E0626A"/>
    <w:rsid w:val="00E103FB"/>
    <w:rsid w:val="00E150D2"/>
    <w:rsid w:val="00E1520C"/>
    <w:rsid w:val="00E1774F"/>
    <w:rsid w:val="00E35140"/>
    <w:rsid w:val="00E359AC"/>
    <w:rsid w:val="00E37A36"/>
    <w:rsid w:val="00E42AEE"/>
    <w:rsid w:val="00E43A5D"/>
    <w:rsid w:val="00E533D0"/>
    <w:rsid w:val="00E55071"/>
    <w:rsid w:val="00E60EE1"/>
    <w:rsid w:val="00E62D48"/>
    <w:rsid w:val="00E7016D"/>
    <w:rsid w:val="00E72F99"/>
    <w:rsid w:val="00E73060"/>
    <w:rsid w:val="00E77DF6"/>
    <w:rsid w:val="00E8352B"/>
    <w:rsid w:val="00E90DBA"/>
    <w:rsid w:val="00E938DE"/>
    <w:rsid w:val="00E950AD"/>
    <w:rsid w:val="00EA468F"/>
    <w:rsid w:val="00EA6A49"/>
    <w:rsid w:val="00EA6BBC"/>
    <w:rsid w:val="00EA792E"/>
    <w:rsid w:val="00EB04E2"/>
    <w:rsid w:val="00EC21DD"/>
    <w:rsid w:val="00EC347E"/>
    <w:rsid w:val="00EC4BF6"/>
    <w:rsid w:val="00EC4EC1"/>
    <w:rsid w:val="00EC57F8"/>
    <w:rsid w:val="00EC6B14"/>
    <w:rsid w:val="00ED1050"/>
    <w:rsid w:val="00ED120D"/>
    <w:rsid w:val="00ED166D"/>
    <w:rsid w:val="00ED3A3C"/>
    <w:rsid w:val="00EE2E7B"/>
    <w:rsid w:val="00EE7DD6"/>
    <w:rsid w:val="00EF5BB4"/>
    <w:rsid w:val="00F02657"/>
    <w:rsid w:val="00F03C60"/>
    <w:rsid w:val="00F04D43"/>
    <w:rsid w:val="00F05CB1"/>
    <w:rsid w:val="00F06A25"/>
    <w:rsid w:val="00F06E8B"/>
    <w:rsid w:val="00F1421B"/>
    <w:rsid w:val="00F201B8"/>
    <w:rsid w:val="00F310D2"/>
    <w:rsid w:val="00F33FD4"/>
    <w:rsid w:val="00F34945"/>
    <w:rsid w:val="00F36709"/>
    <w:rsid w:val="00F4189C"/>
    <w:rsid w:val="00F45734"/>
    <w:rsid w:val="00F47FDD"/>
    <w:rsid w:val="00F51C17"/>
    <w:rsid w:val="00F5571A"/>
    <w:rsid w:val="00F6058B"/>
    <w:rsid w:val="00F65949"/>
    <w:rsid w:val="00F673A7"/>
    <w:rsid w:val="00F70594"/>
    <w:rsid w:val="00F754AB"/>
    <w:rsid w:val="00F76106"/>
    <w:rsid w:val="00F76EDB"/>
    <w:rsid w:val="00F8147B"/>
    <w:rsid w:val="00F8391C"/>
    <w:rsid w:val="00F87EA6"/>
    <w:rsid w:val="00F903C3"/>
    <w:rsid w:val="00F945DE"/>
    <w:rsid w:val="00FA16C2"/>
    <w:rsid w:val="00FA1E91"/>
    <w:rsid w:val="00FB0A2F"/>
    <w:rsid w:val="00FB0ABC"/>
    <w:rsid w:val="00FB5217"/>
    <w:rsid w:val="00FC2064"/>
    <w:rsid w:val="00FC2209"/>
    <w:rsid w:val="00FC224A"/>
    <w:rsid w:val="00FC2A11"/>
    <w:rsid w:val="00FC4E03"/>
    <w:rsid w:val="00FD0EF2"/>
    <w:rsid w:val="00FD2E66"/>
    <w:rsid w:val="00FD4700"/>
    <w:rsid w:val="00FD595E"/>
    <w:rsid w:val="00FE0B98"/>
    <w:rsid w:val="00FE4A54"/>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A"/>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711274">
      <w:bodyDiv w:val="1"/>
      <w:marLeft w:val="0"/>
      <w:marRight w:val="0"/>
      <w:marTop w:val="0"/>
      <w:marBottom w:val="0"/>
      <w:divBdr>
        <w:top w:val="none" w:sz="0" w:space="0" w:color="auto"/>
        <w:left w:val="none" w:sz="0" w:space="0" w:color="auto"/>
        <w:bottom w:val="none" w:sz="0" w:space="0" w:color="auto"/>
        <w:right w:val="none" w:sz="0" w:space="0" w:color="auto"/>
      </w:divBdr>
    </w:div>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70697272">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1428379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BBD599225F44A8A70EE9043113FD22"/>
        <w:category>
          <w:name w:val="General"/>
          <w:gallery w:val="placeholder"/>
        </w:category>
        <w:types>
          <w:type w:val="bbPlcHdr"/>
        </w:types>
        <w:behaviors>
          <w:behavior w:val="content"/>
        </w:behaviors>
        <w:guid w:val="{FD634B5D-EA5E-4376-9D3E-03A9E02E2B97}"/>
      </w:docPartPr>
      <w:docPartBody>
        <w:p w:rsidR="003D28E4" w:rsidRDefault="003D28E4" w:rsidP="003D28E4">
          <w:pPr>
            <w:pStyle w:val="14BBD599225F44A8A70EE9043113FD22"/>
          </w:pPr>
          <w:r w:rsidRPr="00910951">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28E4"/>
    <w:rsid w:val="000B2938"/>
    <w:rsid w:val="003D28E4"/>
    <w:rsid w:val="00435E0F"/>
    <w:rsid w:val="0049659D"/>
    <w:rsid w:val="00B654C1"/>
    <w:rsid w:val="00D02130"/>
    <w:rsid w:val="00D07B20"/>
    <w:rsid w:val="00FD1B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8E4"/>
    <w:rPr>
      <w:color w:val="808080"/>
    </w:rPr>
  </w:style>
  <w:style w:type="paragraph" w:customStyle="1" w:styleId="14BBD599225F44A8A70EE9043113FD22">
    <w:name w:val="14BBD599225F44A8A70EE9043113FD22"/>
    <w:rsid w:val="003D28E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7641-E9E0-469F-AFC5-55E122F1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2021-03-24T12:41:00Z</cp:lastPrinted>
  <dcterms:created xsi:type="dcterms:W3CDTF">2021-04-12T13:47:00Z</dcterms:created>
  <dcterms:modified xsi:type="dcterms:W3CDTF">2021-04-12T13:47:00Z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