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64275270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3D13F2">
        <w:rPr>
          <w:rFonts w:ascii="Arial" w:hAnsi="Arial" w:cs="Arial"/>
          <w:b/>
          <w:sz w:val="22"/>
          <w:szCs w:val="22"/>
          <w:lang w:val="en-ZA"/>
        </w:rPr>
        <w:t>1</w:t>
      </w:r>
      <w:r w:rsidR="008F21BE">
        <w:rPr>
          <w:rFonts w:ascii="Arial" w:hAnsi="Arial" w:cs="Arial"/>
          <w:b/>
          <w:sz w:val="22"/>
          <w:szCs w:val="22"/>
          <w:lang w:val="en-ZA"/>
        </w:rPr>
        <w:t>0</w:t>
      </w:r>
      <w:r w:rsidR="0027436F" w:rsidRPr="00C60A55">
        <w:rPr>
          <w:rFonts w:ascii="Arial" w:hAnsi="Arial" w:cs="Arial"/>
          <w:b/>
          <w:sz w:val="22"/>
          <w:szCs w:val="22"/>
        </w:rPr>
        <w:t xml:space="preserve"> </w:t>
      </w:r>
      <w:r w:rsidRPr="00C60A55">
        <w:rPr>
          <w:rFonts w:ascii="Arial" w:hAnsi="Arial" w:cs="Arial"/>
          <w:b/>
          <w:sz w:val="22"/>
          <w:szCs w:val="22"/>
        </w:rPr>
        <w:t>[</w:t>
      </w:r>
      <w:r w:rsidR="00737375" w:rsidRPr="00737375">
        <w:rPr>
          <w:rFonts w:ascii="Arial" w:hAnsi="Arial" w:cs="Arial"/>
          <w:b/>
          <w:sz w:val="22"/>
          <w:szCs w:val="22"/>
        </w:rPr>
        <w:t>NW</w:t>
      </w:r>
      <w:r w:rsidR="003D13F2">
        <w:rPr>
          <w:rFonts w:ascii="Arial" w:hAnsi="Arial" w:cs="Arial"/>
          <w:b/>
          <w:sz w:val="22"/>
          <w:szCs w:val="22"/>
        </w:rPr>
        <w:t>10</w:t>
      </w:r>
      <w:r w:rsidR="00737375" w:rsidRPr="00737375">
        <w:rPr>
          <w:rFonts w:ascii="Arial" w:hAnsi="Arial" w:cs="Arial"/>
          <w:b/>
          <w:sz w:val="22"/>
          <w:szCs w:val="22"/>
        </w:rPr>
        <w:t>E</w:t>
      </w:r>
      <w:r w:rsidRPr="00C60A55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3D13F2" w:rsidRPr="003D13F2" w:rsidRDefault="003D13F2" w:rsidP="003D13F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3D13F2">
        <w:rPr>
          <w:rFonts w:ascii="Arial" w:eastAsia="Calibri" w:hAnsi="Arial" w:cs="Arial"/>
          <w:b/>
          <w:sz w:val="22"/>
          <w:szCs w:val="22"/>
          <w:lang w:val="en-GB"/>
        </w:rPr>
        <w:t>10.</w:t>
      </w:r>
      <w:r w:rsidRPr="003D13F2">
        <w:rPr>
          <w:rFonts w:ascii="Arial" w:eastAsia="Calibri" w:hAnsi="Arial" w:cs="Arial"/>
          <w:b/>
          <w:sz w:val="22"/>
          <w:szCs w:val="22"/>
          <w:lang w:val="en-GB"/>
        </w:rPr>
        <w:tab/>
        <w:t xml:space="preserve">Ms T L </w:t>
      </w:r>
      <w:proofErr w:type="spellStart"/>
      <w:r w:rsidRPr="003D13F2">
        <w:rPr>
          <w:rFonts w:ascii="Arial" w:eastAsia="Calibri" w:hAnsi="Arial" w:cs="Arial"/>
          <w:b/>
          <w:sz w:val="22"/>
          <w:szCs w:val="22"/>
          <w:lang w:val="en-ZA"/>
        </w:rPr>
        <w:t>Marawu</w:t>
      </w:r>
      <w:proofErr w:type="spellEnd"/>
      <w:r w:rsidRPr="003D13F2">
        <w:rPr>
          <w:rFonts w:ascii="Arial" w:eastAsia="Calibri" w:hAnsi="Arial" w:cs="Arial"/>
          <w:b/>
          <w:sz w:val="22"/>
          <w:szCs w:val="22"/>
          <w:lang w:val="en-GB"/>
        </w:rPr>
        <w:t xml:space="preserve"> (ATM) to ask the Minister of Finance</w:t>
      </w:r>
      <w:r w:rsidR="0042498A" w:rsidRPr="003D13F2">
        <w:rPr>
          <w:rFonts w:ascii="Arial" w:eastAsia="Calibri" w:hAnsi="Arial" w:cs="Arial"/>
          <w:b/>
          <w:sz w:val="22"/>
          <w:szCs w:val="22"/>
          <w:lang w:val="en-GB"/>
        </w:rPr>
        <w:fldChar w:fldCharType="begin"/>
      </w:r>
      <w:r w:rsidRPr="003D13F2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3D13F2">
        <w:rPr>
          <w:rFonts w:ascii="Arial" w:eastAsia="Calibri" w:hAnsi="Arial" w:cs="Arial"/>
          <w:b/>
          <w:sz w:val="22"/>
          <w:szCs w:val="22"/>
          <w:lang w:val="en-GB"/>
        </w:rPr>
        <w:instrText>Finance</w:instrText>
      </w:r>
      <w:r w:rsidRPr="003D13F2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42498A" w:rsidRPr="003D13F2">
        <w:rPr>
          <w:rFonts w:ascii="Arial" w:eastAsia="Calibri" w:hAnsi="Arial" w:cs="Arial"/>
          <w:b/>
          <w:sz w:val="22"/>
          <w:szCs w:val="22"/>
          <w:lang w:val="en-GB"/>
        </w:rPr>
        <w:fldChar w:fldCharType="end"/>
      </w:r>
      <w:r w:rsidRPr="003D13F2">
        <w:rPr>
          <w:rFonts w:ascii="Arial" w:eastAsia="Calibri" w:hAnsi="Arial" w:cs="Arial"/>
          <w:b/>
          <w:sz w:val="22"/>
          <w:szCs w:val="22"/>
          <w:lang w:val="en-GB"/>
        </w:rPr>
        <w:t>:</w:t>
      </w:r>
    </w:p>
    <w:p w:rsidR="003D13F2" w:rsidRDefault="003D13F2" w:rsidP="003D13F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3D13F2">
        <w:rPr>
          <w:rFonts w:ascii="Arial" w:hAnsi="Arial" w:cs="Arial"/>
          <w:sz w:val="22"/>
          <w:szCs w:val="22"/>
        </w:rPr>
        <w:t>(1)</w:t>
      </w:r>
      <w:r w:rsidRPr="003D13F2">
        <w:rPr>
          <w:rFonts w:ascii="Arial" w:hAnsi="Arial" w:cs="Arial"/>
          <w:sz w:val="22"/>
          <w:szCs w:val="22"/>
        </w:rPr>
        <w:tab/>
        <w:t>Whether the National Treasury approved the funding of the SA Health Products Regulatory Authority by the Bill and Melinda Gates Foundation; if not, what remedies will he implement; if so, what procedure was allowed;</w:t>
      </w:r>
    </w:p>
    <w:p w:rsidR="003D13F2" w:rsidRPr="00D775C4" w:rsidRDefault="003D13F2" w:rsidP="00D775C4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D775C4">
        <w:rPr>
          <w:rFonts w:ascii="Arial" w:hAnsi="Arial" w:cs="Arial"/>
          <w:sz w:val="22"/>
          <w:szCs w:val="22"/>
        </w:rPr>
        <w:t>(2)</w:t>
      </w:r>
      <w:r w:rsidRPr="00D775C4">
        <w:rPr>
          <w:rFonts w:ascii="Arial" w:hAnsi="Arial" w:cs="Arial"/>
          <w:sz w:val="22"/>
          <w:szCs w:val="22"/>
        </w:rPr>
        <w:tab/>
        <w:t>what is the total value of irregular expenditure on the COVID-19 funds;</w:t>
      </w:r>
    </w:p>
    <w:p w:rsidR="003D13F2" w:rsidRPr="003D13F2" w:rsidRDefault="003D13F2" w:rsidP="003D13F2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3D13F2">
        <w:rPr>
          <w:rFonts w:ascii="Arial" w:hAnsi="Arial" w:cs="Arial"/>
          <w:sz w:val="22"/>
          <w:szCs w:val="22"/>
        </w:rPr>
        <w:t>(3)</w:t>
      </w:r>
      <w:r w:rsidRPr="003D13F2">
        <w:rPr>
          <w:rFonts w:ascii="Arial" w:hAnsi="Arial" w:cs="Arial"/>
          <w:sz w:val="22"/>
          <w:szCs w:val="22"/>
        </w:rPr>
        <w:tab/>
        <w:t>whether any person has been arrested or taken to court for corruption in the procurement of personal protective equipment; if not, why not; if so, what are the relevant details?</w:t>
      </w:r>
      <w:r w:rsidRPr="003D13F2">
        <w:rPr>
          <w:rFonts w:ascii="Arial" w:hAnsi="Arial" w:cs="Arial"/>
          <w:sz w:val="22"/>
          <w:szCs w:val="22"/>
        </w:rPr>
        <w:tab/>
      </w:r>
      <w:r w:rsidRPr="003D13F2">
        <w:rPr>
          <w:rFonts w:ascii="Arial" w:eastAsia="Calibri" w:hAnsi="Arial" w:cs="Arial"/>
          <w:sz w:val="22"/>
          <w:szCs w:val="22"/>
          <w:lang w:val="en-ZA"/>
        </w:rPr>
        <w:tab/>
      </w:r>
      <w:r w:rsidRPr="003D13F2">
        <w:rPr>
          <w:rFonts w:ascii="Arial" w:eastAsia="Calibri" w:hAnsi="Arial" w:cs="Arial"/>
          <w:sz w:val="22"/>
          <w:szCs w:val="22"/>
          <w:lang w:val="en-ZA"/>
        </w:rPr>
        <w:tab/>
      </w:r>
      <w:r w:rsidRPr="003D13F2">
        <w:rPr>
          <w:rFonts w:ascii="Arial" w:eastAsia="Calibri" w:hAnsi="Arial" w:cs="Arial"/>
          <w:sz w:val="22"/>
          <w:szCs w:val="22"/>
          <w:lang w:val="en-ZA"/>
        </w:rPr>
        <w:tab/>
      </w:r>
      <w:r w:rsidRPr="003D13F2">
        <w:rPr>
          <w:rFonts w:ascii="Arial" w:eastAsia="Calibri" w:hAnsi="Arial" w:cs="Arial"/>
          <w:sz w:val="22"/>
          <w:szCs w:val="22"/>
          <w:lang w:val="en-ZA"/>
        </w:rPr>
        <w:tab/>
      </w:r>
      <w:r w:rsidRPr="003D13F2">
        <w:rPr>
          <w:rFonts w:ascii="Arial" w:eastAsia="Calibri" w:hAnsi="Arial" w:cs="Arial"/>
          <w:sz w:val="22"/>
          <w:szCs w:val="22"/>
          <w:lang w:val="en-ZA"/>
        </w:rPr>
        <w:tab/>
      </w:r>
      <w:r w:rsidRPr="003D13F2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A743E1">
        <w:rPr>
          <w:rFonts w:ascii="Arial" w:eastAsia="Calibri" w:hAnsi="Arial" w:cs="Arial"/>
          <w:sz w:val="22"/>
          <w:szCs w:val="22"/>
          <w:lang w:val="en-ZA"/>
        </w:rPr>
        <w:tab/>
      </w:r>
      <w:r w:rsidR="00A743E1">
        <w:rPr>
          <w:rFonts w:ascii="Arial" w:eastAsia="Calibri" w:hAnsi="Arial" w:cs="Arial"/>
          <w:sz w:val="22"/>
          <w:szCs w:val="22"/>
          <w:lang w:val="en-ZA"/>
        </w:rPr>
        <w:tab/>
      </w:r>
      <w:r w:rsidR="00A743E1">
        <w:rPr>
          <w:rFonts w:ascii="Arial" w:eastAsia="Calibri" w:hAnsi="Arial" w:cs="Arial"/>
          <w:sz w:val="22"/>
          <w:szCs w:val="22"/>
          <w:lang w:val="en-ZA"/>
        </w:rPr>
        <w:tab/>
      </w:r>
      <w:r w:rsidR="00A743E1">
        <w:rPr>
          <w:rFonts w:ascii="Arial" w:eastAsia="Calibri" w:hAnsi="Arial" w:cs="Arial"/>
          <w:sz w:val="22"/>
          <w:szCs w:val="22"/>
          <w:lang w:val="en-ZA"/>
        </w:rPr>
        <w:tab/>
      </w:r>
      <w:r w:rsidR="00A743E1">
        <w:rPr>
          <w:rFonts w:ascii="Arial" w:eastAsia="Calibri" w:hAnsi="Arial" w:cs="Arial"/>
          <w:sz w:val="22"/>
          <w:szCs w:val="22"/>
          <w:lang w:val="en-ZA"/>
        </w:rPr>
        <w:tab/>
      </w:r>
      <w:r w:rsidR="00A743E1">
        <w:rPr>
          <w:rFonts w:ascii="Arial" w:eastAsia="Calibri" w:hAnsi="Arial" w:cs="Arial"/>
          <w:sz w:val="22"/>
          <w:szCs w:val="22"/>
          <w:lang w:val="en-ZA"/>
        </w:rPr>
        <w:tab/>
      </w:r>
      <w:r w:rsidR="00A743E1">
        <w:rPr>
          <w:rFonts w:ascii="Arial" w:eastAsia="Calibri" w:hAnsi="Arial" w:cs="Arial"/>
          <w:sz w:val="22"/>
          <w:szCs w:val="22"/>
          <w:lang w:val="en-ZA"/>
        </w:rPr>
        <w:tab/>
      </w:r>
      <w:r w:rsidR="00A743E1">
        <w:rPr>
          <w:rFonts w:ascii="Arial" w:eastAsia="Calibri" w:hAnsi="Arial" w:cs="Arial"/>
          <w:sz w:val="22"/>
          <w:szCs w:val="22"/>
          <w:lang w:val="en-ZA"/>
        </w:rPr>
        <w:tab/>
      </w:r>
      <w:bookmarkStart w:id="5" w:name="_GoBack"/>
      <w:r w:rsidRPr="003D13F2">
        <w:rPr>
          <w:rFonts w:ascii="Arial" w:eastAsia="Calibri" w:hAnsi="Arial" w:cs="Arial"/>
          <w:sz w:val="22"/>
          <w:szCs w:val="22"/>
          <w:lang w:val="en-ZA"/>
        </w:rPr>
        <w:t>NW10E</w:t>
      </w:r>
      <w:bookmarkEnd w:id="5"/>
    </w:p>
    <w:p w:rsidR="008E3D62" w:rsidRPr="003D13F2" w:rsidRDefault="008E3D62" w:rsidP="003D13F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D13F2">
        <w:rPr>
          <w:rFonts w:ascii="Arial" w:hAnsi="Arial" w:cs="Arial"/>
          <w:b/>
          <w:sz w:val="22"/>
          <w:szCs w:val="22"/>
        </w:rPr>
        <w:t>REPLY</w:t>
      </w:r>
      <w:r w:rsidRPr="003D13F2">
        <w:rPr>
          <w:rFonts w:ascii="Arial" w:hAnsi="Arial" w:cs="Arial"/>
          <w:sz w:val="22"/>
          <w:szCs w:val="22"/>
        </w:rPr>
        <w:t>:</w:t>
      </w:r>
    </w:p>
    <w:p w:rsidR="00423A4C" w:rsidRPr="00D775C4" w:rsidRDefault="00D93993" w:rsidP="00D775C4">
      <w:pPr>
        <w:pStyle w:val="ListParagraph"/>
        <w:numPr>
          <w:ilvl w:val="0"/>
          <w:numId w:val="15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75C4">
        <w:rPr>
          <w:rFonts w:ascii="Arial" w:hAnsi="Arial" w:cs="Arial"/>
          <w:sz w:val="22"/>
          <w:szCs w:val="22"/>
        </w:rPr>
        <w:t xml:space="preserve">National Treasury does not need to approve donations to public entities. Treasury Regulation 21.2.1 permits accounting officers to accept gifts, donations and sponsorships. </w:t>
      </w:r>
    </w:p>
    <w:p w:rsidR="00376922" w:rsidRDefault="00376922" w:rsidP="00376922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6922" w:rsidRPr="00376922" w:rsidRDefault="00376922" w:rsidP="00D775C4">
      <w:pPr>
        <w:pStyle w:val="ListParagraph"/>
        <w:numPr>
          <w:ilvl w:val="0"/>
          <w:numId w:val="15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 xml:space="preserve">National Treasury is not </w:t>
      </w:r>
      <w:r w:rsidRPr="00376922">
        <w:rPr>
          <w:rFonts w:ascii="Arial" w:hAnsi="Arial" w:cs="Arial"/>
          <w:sz w:val="22"/>
          <w:szCs w:val="22"/>
          <w:lang w:val="en-ZA"/>
        </w:rPr>
        <w:t>able to quantify the irregular expenditure at this point.</w:t>
      </w:r>
      <w:r w:rsidR="003A5D66">
        <w:rPr>
          <w:rFonts w:ascii="Arial" w:hAnsi="Arial" w:cs="Arial"/>
          <w:sz w:val="22"/>
          <w:szCs w:val="22"/>
          <w:lang w:val="en-ZA"/>
        </w:rPr>
        <w:t xml:space="preserve"> </w:t>
      </w:r>
      <w:r w:rsidRPr="00376922">
        <w:rPr>
          <w:rFonts w:ascii="Arial" w:hAnsi="Arial" w:cs="Arial"/>
          <w:sz w:val="22"/>
          <w:szCs w:val="22"/>
          <w:lang w:val="en-ZA"/>
        </w:rPr>
        <w:t> </w:t>
      </w:r>
      <w:r w:rsidR="003A5D66" w:rsidRPr="003A5D66">
        <w:rPr>
          <w:rFonts w:ascii="Arial" w:hAnsi="Arial" w:cs="Arial"/>
          <w:sz w:val="22"/>
          <w:szCs w:val="22"/>
          <w:lang w:val="en-ZA"/>
        </w:rPr>
        <w:t>Irregular expenditure is incurred when the resulting transaction is recognized in the financial records of a department, constitutional institution or public entity in accordance with the relevant Accounting Framework.</w:t>
      </w:r>
      <w:r w:rsidR="003A5D66">
        <w:rPr>
          <w:rFonts w:ascii="Arial" w:hAnsi="Arial" w:cs="Arial"/>
          <w:sz w:val="22"/>
          <w:szCs w:val="22"/>
          <w:lang w:val="en-ZA"/>
        </w:rPr>
        <w:t xml:space="preserve"> </w:t>
      </w:r>
      <w:r w:rsidR="003A5D66" w:rsidRPr="003A5D66">
        <w:rPr>
          <w:rFonts w:ascii="Arial" w:hAnsi="Arial" w:cs="Arial"/>
          <w:sz w:val="22"/>
          <w:szCs w:val="22"/>
          <w:lang w:val="en-ZA"/>
        </w:rPr>
        <w:t xml:space="preserve"> For a department or a government component applying the Modified Cash Standards (MCS) to incur irregular expenditure, the non-compliance must be linked to a financial transaction. Although a transaction may trigger irregular expenditure, a department or government component will only record irregular expenditure when a payment pertaining to the non-compliance is actually made (i.e. when the expenditure is recognized in accordance with the Modified Cash Standards).</w:t>
      </w:r>
      <w:r w:rsidR="003A5D66">
        <w:rPr>
          <w:rFonts w:ascii="Arial" w:hAnsi="Arial" w:cs="Arial"/>
          <w:sz w:val="22"/>
          <w:szCs w:val="22"/>
          <w:lang w:val="en-ZA"/>
        </w:rPr>
        <w:t xml:space="preserve">  </w:t>
      </w:r>
      <w:r w:rsidR="003A5D66" w:rsidRPr="003A5D66">
        <w:rPr>
          <w:rFonts w:ascii="Arial" w:hAnsi="Arial" w:cs="Arial"/>
          <w:sz w:val="22"/>
          <w:szCs w:val="22"/>
          <w:lang w:val="en-ZA"/>
        </w:rPr>
        <w:t xml:space="preserve">For a government component, a constitutional institution, a trading entity or a public entity listed in Schedules 2 or 3 to the PFMA applying Generally Recognised Accounting Practice (GRAP) or International Financial Reporting Standards (IFRS) to incur irregular expenditure, the non-compliance must be linked to a financial transaction. Although a transaction may trigger irregular expenditure, a constitutional institution, government component, trading entity or public entity will only record irregular expenditure when a </w:t>
      </w:r>
      <w:r w:rsidR="003A5D66" w:rsidRPr="003A5D66">
        <w:rPr>
          <w:rFonts w:ascii="Arial" w:hAnsi="Arial" w:cs="Arial"/>
          <w:sz w:val="22"/>
          <w:szCs w:val="22"/>
          <w:lang w:val="en-ZA"/>
        </w:rPr>
        <w:lastRenderedPageBreak/>
        <w:t>transaction is recognised as expenditure in the Statement of Financial Performance in accordance with GRAP or IFRS, whichever is applicable.</w:t>
      </w:r>
      <w:r w:rsidRPr="00376922">
        <w:rPr>
          <w:rFonts w:ascii="Arial" w:hAnsi="Arial" w:cs="Arial"/>
          <w:sz w:val="22"/>
          <w:szCs w:val="22"/>
          <w:lang w:val="en-ZA"/>
        </w:rPr>
        <w:t xml:space="preserve"> The </w:t>
      </w:r>
      <w:r w:rsidR="0001060C">
        <w:rPr>
          <w:rFonts w:ascii="Arial" w:hAnsi="Arial" w:cs="Arial"/>
          <w:sz w:val="22"/>
          <w:szCs w:val="22"/>
          <w:lang w:val="en-ZA"/>
        </w:rPr>
        <w:t>National Treasury</w:t>
      </w:r>
      <w:r w:rsidRPr="00376922">
        <w:rPr>
          <w:rFonts w:ascii="Arial" w:hAnsi="Arial" w:cs="Arial"/>
          <w:sz w:val="22"/>
          <w:szCs w:val="22"/>
          <w:lang w:val="en-ZA"/>
        </w:rPr>
        <w:t xml:space="preserve"> only receives applications for condonation of irregular expenditure once it is declared as such and </w:t>
      </w:r>
      <w:r w:rsidR="0007484C">
        <w:rPr>
          <w:rFonts w:ascii="Arial" w:hAnsi="Arial" w:cs="Arial"/>
          <w:sz w:val="22"/>
          <w:szCs w:val="22"/>
          <w:lang w:val="en-ZA"/>
        </w:rPr>
        <w:t xml:space="preserve">this </w:t>
      </w:r>
      <w:r w:rsidRPr="00376922">
        <w:rPr>
          <w:rFonts w:ascii="Arial" w:hAnsi="Arial" w:cs="Arial"/>
          <w:sz w:val="22"/>
          <w:szCs w:val="22"/>
          <w:lang w:val="en-ZA"/>
        </w:rPr>
        <w:t>is usually for previous financial years as a result of audit findings.</w:t>
      </w:r>
    </w:p>
    <w:p w:rsidR="00376922" w:rsidRDefault="00376922" w:rsidP="00376922">
      <w:pPr>
        <w:tabs>
          <w:tab w:val="left" w:pos="157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76922" w:rsidRPr="00376922" w:rsidRDefault="00423A4C" w:rsidP="00D775C4">
      <w:pPr>
        <w:pStyle w:val="ListParagraph"/>
        <w:numPr>
          <w:ilvl w:val="0"/>
          <w:numId w:val="15"/>
        </w:num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The</w:t>
      </w:r>
      <w:r w:rsidRPr="00423A4C">
        <w:rPr>
          <w:rFonts w:ascii="Arial" w:hAnsi="Arial" w:cs="Arial"/>
          <w:sz w:val="22"/>
          <w:szCs w:val="22"/>
          <w:lang w:val="en-ZA"/>
        </w:rPr>
        <w:t xml:space="preserve"> </w:t>
      </w:r>
      <w:r w:rsidR="0001060C">
        <w:rPr>
          <w:rFonts w:ascii="Arial" w:hAnsi="Arial" w:cs="Arial"/>
          <w:sz w:val="22"/>
          <w:szCs w:val="22"/>
          <w:lang w:val="en-ZA"/>
        </w:rPr>
        <w:t>National Treasury</w:t>
      </w:r>
      <w:r>
        <w:rPr>
          <w:rFonts w:ascii="Arial" w:hAnsi="Arial" w:cs="Arial"/>
          <w:sz w:val="22"/>
          <w:szCs w:val="22"/>
          <w:lang w:val="en-ZA"/>
        </w:rPr>
        <w:t xml:space="preserve"> supports the work of the Fusion Centre with the review of bid processes followed.  The review</w:t>
      </w:r>
      <w:r w:rsidR="003A5D66">
        <w:rPr>
          <w:rFonts w:ascii="Arial" w:hAnsi="Arial" w:cs="Arial"/>
          <w:sz w:val="22"/>
          <w:szCs w:val="22"/>
          <w:lang w:val="en-ZA"/>
        </w:rPr>
        <w:t>s</w:t>
      </w:r>
      <w:r>
        <w:rPr>
          <w:rFonts w:ascii="Arial" w:hAnsi="Arial" w:cs="Arial"/>
          <w:sz w:val="22"/>
          <w:szCs w:val="22"/>
          <w:lang w:val="en-ZA"/>
        </w:rPr>
        <w:t xml:space="preserve"> </w:t>
      </w:r>
      <w:r w:rsidR="003A5D66">
        <w:rPr>
          <w:rFonts w:ascii="Arial" w:hAnsi="Arial" w:cs="Arial"/>
          <w:sz w:val="22"/>
          <w:szCs w:val="22"/>
          <w:lang w:val="en-ZA"/>
        </w:rPr>
        <w:t>are</w:t>
      </w:r>
      <w:r>
        <w:rPr>
          <w:rFonts w:ascii="Arial" w:hAnsi="Arial" w:cs="Arial"/>
          <w:sz w:val="22"/>
          <w:szCs w:val="22"/>
          <w:lang w:val="en-ZA"/>
        </w:rPr>
        <w:t xml:space="preserve"> conducted on cases referred and based on </w:t>
      </w:r>
      <w:r w:rsidR="006A2BA6">
        <w:rPr>
          <w:rFonts w:ascii="Arial" w:hAnsi="Arial" w:cs="Arial"/>
          <w:sz w:val="22"/>
          <w:szCs w:val="22"/>
          <w:lang w:val="en-ZA"/>
        </w:rPr>
        <w:t>an assessment of</w:t>
      </w:r>
      <w:r>
        <w:rPr>
          <w:rFonts w:ascii="Arial" w:hAnsi="Arial" w:cs="Arial"/>
          <w:sz w:val="22"/>
          <w:szCs w:val="22"/>
          <w:lang w:val="en-ZA"/>
        </w:rPr>
        <w:t xml:space="preserve"> specific procurement process</w:t>
      </w:r>
      <w:r w:rsidR="006A2BA6">
        <w:rPr>
          <w:rFonts w:ascii="Arial" w:hAnsi="Arial" w:cs="Arial"/>
          <w:sz w:val="22"/>
          <w:szCs w:val="22"/>
          <w:lang w:val="en-ZA"/>
        </w:rPr>
        <w:t>es</w:t>
      </w:r>
      <w:r>
        <w:rPr>
          <w:rFonts w:ascii="Arial" w:hAnsi="Arial" w:cs="Arial"/>
          <w:sz w:val="22"/>
          <w:szCs w:val="22"/>
          <w:lang w:val="en-ZA"/>
        </w:rPr>
        <w:t xml:space="preserve"> followed by a given institution </w:t>
      </w:r>
      <w:r w:rsidR="00376922">
        <w:rPr>
          <w:rFonts w:ascii="Arial" w:hAnsi="Arial" w:cs="Arial"/>
          <w:sz w:val="22"/>
          <w:szCs w:val="22"/>
          <w:lang w:val="en-ZA"/>
        </w:rPr>
        <w:t>in line with</w:t>
      </w:r>
      <w:r w:rsidR="0007484C">
        <w:rPr>
          <w:rFonts w:ascii="Arial" w:hAnsi="Arial" w:cs="Arial"/>
          <w:sz w:val="22"/>
          <w:szCs w:val="22"/>
          <w:lang w:val="en-ZA"/>
        </w:rPr>
        <w:t xml:space="preserve"> the</w:t>
      </w:r>
      <w:r w:rsidR="00376922">
        <w:rPr>
          <w:rFonts w:ascii="Arial" w:hAnsi="Arial" w:cs="Arial"/>
          <w:sz w:val="22"/>
          <w:szCs w:val="22"/>
          <w:lang w:val="en-ZA"/>
        </w:rPr>
        <w:t xml:space="preserve"> principles of the definition of emergency procurement and </w:t>
      </w:r>
      <w:r w:rsidR="0007484C">
        <w:rPr>
          <w:rFonts w:ascii="Arial" w:hAnsi="Arial" w:cs="Arial"/>
          <w:sz w:val="22"/>
          <w:szCs w:val="22"/>
          <w:lang w:val="en-ZA"/>
        </w:rPr>
        <w:t xml:space="preserve">its </w:t>
      </w:r>
      <w:r w:rsidR="00376922">
        <w:rPr>
          <w:rFonts w:ascii="Arial" w:hAnsi="Arial" w:cs="Arial"/>
          <w:sz w:val="22"/>
          <w:szCs w:val="22"/>
          <w:lang w:val="en-ZA"/>
        </w:rPr>
        <w:t xml:space="preserve">adherence with various COVID Emergency Instruction Notes.  Findings are then submitted to the Fusion Centre for further handling. </w:t>
      </w:r>
      <w:r w:rsidR="00376922" w:rsidRPr="00376922">
        <w:rPr>
          <w:rFonts w:ascii="Arial" w:hAnsi="Arial" w:cs="Arial"/>
          <w:sz w:val="22"/>
          <w:szCs w:val="22"/>
          <w:lang w:val="en-ZA"/>
        </w:rPr>
        <w:t xml:space="preserve">Further detail on the outcome of cases investigated can be provided by the Fusion Centre. </w:t>
      </w:r>
    </w:p>
    <w:p w:rsidR="00376922" w:rsidRDefault="00376922" w:rsidP="00376922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07484C" w:rsidRDefault="00423A4C" w:rsidP="00D775C4">
      <w:pPr>
        <w:tabs>
          <w:tab w:val="left" w:pos="432"/>
          <w:tab w:val="left" w:pos="86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</w:t>
      </w:r>
      <w:r w:rsidRPr="00423A4C">
        <w:rPr>
          <w:rFonts w:ascii="Arial" w:hAnsi="Arial" w:cs="Arial"/>
          <w:sz w:val="22"/>
          <w:szCs w:val="22"/>
        </w:rPr>
        <w:t>entre is compromised of the Special Investigating Unit (SIU), State Security Agency, SA Revenue Service, the Hawks and the Financial Intelligence Centre, and act</w:t>
      </w:r>
      <w:r>
        <w:rPr>
          <w:rFonts w:ascii="Arial" w:hAnsi="Arial" w:cs="Arial"/>
          <w:sz w:val="22"/>
          <w:szCs w:val="22"/>
        </w:rPr>
        <w:t xml:space="preserve">s as the </w:t>
      </w:r>
      <w:r w:rsidR="00376922">
        <w:rPr>
          <w:rFonts w:ascii="Arial" w:hAnsi="Arial" w:cs="Arial"/>
          <w:sz w:val="22"/>
          <w:szCs w:val="22"/>
        </w:rPr>
        <w:t>coo</w:t>
      </w:r>
      <w:r w:rsidR="00376922" w:rsidRPr="00423A4C">
        <w:rPr>
          <w:rFonts w:ascii="Arial" w:hAnsi="Arial" w:cs="Arial"/>
          <w:sz w:val="22"/>
          <w:szCs w:val="22"/>
        </w:rPr>
        <w:t>rdinating</w:t>
      </w:r>
      <w:r w:rsidRPr="00423A4C">
        <w:rPr>
          <w:rFonts w:ascii="Arial" w:hAnsi="Arial" w:cs="Arial"/>
          <w:sz w:val="22"/>
          <w:szCs w:val="22"/>
        </w:rPr>
        <w:t xml:space="preserve"> body of law-enforcement agencies tasked with looking into Covid-19 related graft.</w:t>
      </w:r>
      <w:r w:rsidR="00376922">
        <w:rPr>
          <w:rFonts w:ascii="Arial" w:hAnsi="Arial" w:cs="Arial"/>
          <w:sz w:val="22"/>
          <w:szCs w:val="22"/>
        </w:rPr>
        <w:t xml:space="preserve"> </w:t>
      </w:r>
    </w:p>
    <w:p w:rsidR="0007484C" w:rsidRDefault="0007484C" w:rsidP="0007484C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484C" w:rsidRDefault="0007484C" w:rsidP="0007484C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484C" w:rsidRDefault="0007484C" w:rsidP="0007484C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484C" w:rsidRDefault="0007484C" w:rsidP="0007484C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07484C" w:rsidSect="00D775C4">
      <w:pgSz w:w="11906" w:h="16838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02" w:rsidRDefault="00725902" w:rsidP="00380E88">
      <w:r>
        <w:separator/>
      </w:r>
    </w:p>
  </w:endnote>
  <w:endnote w:type="continuationSeparator" w:id="0">
    <w:p w:rsidR="00725902" w:rsidRDefault="00725902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02" w:rsidRDefault="00725902" w:rsidP="00380E88">
      <w:r>
        <w:separator/>
      </w:r>
    </w:p>
  </w:footnote>
  <w:footnote w:type="continuationSeparator" w:id="0">
    <w:p w:rsidR="00725902" w:rsidRDefault="00725902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52A"/>
    <w:multiLevelType w:val="hybridMultilevel"/>
    <w:tmpl w:val="78DAAD1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1351"/>
    <w:multiLevelType w:val="hybridMultilevel"/>
    <w:tmpl w:val="18B2E81A"/>
    <w:lvl w:ilvl="0" w:tplc="D7D82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F637B"/>
    <w:multiLevelType w:val="hybridMultilevel"/>
    <w:tmpl w:val="18B2E81A"/>
    <w:lvl w:ilvl="0" w:tplc="D7D826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060C"/>
    <w:rsid w:val="00011016"/>
    <w:rsid w:val="00012A82"/>
    <w:rsid w:val="00016A41"/>
    <w:rsid w:val="00020C04"/>
    <w:rsid w:val="000235AD"/>
    <w:rsid w:val="00023BC3"/>
    <w:rsid w:val="00025170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484C"/>
    <w:rsid w:val="0007655C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D72AC"/>
    <w:rsid w:val="000E1B36"/>
    <w:rsid w:val="000E38E0"/>
    <w:rsid w:val="000E3AD1"/>
    <w:rsid w:val="000F3B14"/>
    <w:rsid w:val="000F5178"/>
    <w:rsid w:val="00100CC2"/>
    <w:rsid w:val="00110946"/>
    <w:rsid w:val="001115EB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72C3D"/>
    <w:rsid w:val="00183EB5"/>
    <w:rsid w:val="00197576"/>
    <w:rsid w:val="001B0917"/>
    <w:rsid w:val="001B1E0F"/>
    <w:rsid w:val="001B7F2A"/>
    <w:rsid w:val="001C1E62"/>
    <w:rsid w:val="001C727B"/>
    <w:rsid w:val="001D24BA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314BC"/>
    <w:rsid w:val="002372AA"/>
    <w:rsid w:val="00251791"/>
    <w:rsid w:val="00260251"/>
    <w:rsid w:val="00262F05"/>
    <w:rsid w:val="0027436F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10B3"/>
    <w:rsid w:val="002D2A4C"/>
    <w:rsid w:val="002D499A"/>
    <w:rsid w:val="002E4AA0"/>
    <w:rsid w:val="002F19F9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6922"/>
    <w:rsid w:val="0037795E"/>
    <w:rsid w:val="00380E88"/>
    <w:rsid w:val="00393919"/>
    <w:rsid w:val="003A5B00"/>
    <w:rsid w:val="003A5D66"/>
    <w:rsid w:val="003A6BD5"/>
    <w:rsid w:val="003B0336"/>
    <w:rsid w:val="003B0A2D"/>
    <w:rsid w:val="003D0E83"/>
    <w:rsid w:val="003D13F2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3A4C"/>
    <w:rsid w:val="0042498A"/>
    <w:rsid w:val="0042645C"/>
    <w:rsid w:val="00427ECA"/>
    <w:rsid w:val="0043065E"/>
    <w:rsid w:val="00435EA2"/>
    <w:rsid w:val="004515B7"/>
    <w:rsid w:val="00453CF1"/>
    <w:rsid w:val="00463FC0"/>
    <w:rsid w:val="0046713E"/>
    <w:rsid w:val="004709BD"/>
    <w:rsid w:val="00471726"/>
    <w:rsid w:val="00472D86"/>
    <w:rsid w:val="00473446"/>
    <w:rsid w:val="00480D1F"/>
    <w:rsid w:val="004819D0"/>
    <w:rsid w:val="00484737"/>
    <w:rsid w:val="00485B2E"/>
    <w:rsid w:val="00485F09"/>
    <w:rsid w:val="00496D69"/>
    <w:rsid w:val="004A078E"/>
    <w:rsid w:val="004A7866"/>
    <w:rsid w:val="004B1526"/>
    <w:rsid w:val="004B2BDF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41B3"/>
    <w:rsid w:val="00522B65"/>
    <w:rsid w:val="00532BB4"/>
    <w:rsid w:val="0053398C"/>
    <w:rsid w:val="00533BBC"/>
    <w:rsid w:val="00533C35"/>
    <w:rsid w:val="00535CB9"/>
    <w:rsid w:val="005374A8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14279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A2BA6"/>
    <w:rsid w:val="006B61B0"/>
    <w:rsid w:val="006C2D5C"/>
    <w:rsid w:val="006D1766"/>
    <w:rsid w:val="006D1B36"/>
    <w:rsid w:val="006D2C61"/>
    <w:rsid w:val="006D2F61"/>
    <w:rsid w:val="006D39E9"/>
    <w:rsid w:val="006E2B34"/>
    <w:rsid w:val="006F0F92"/>
    <w:rsid w:val="007068B5"/>
    <w:rsid w:val="007075D0"/>
    <w:rsid w:val="007118EA"/>
    <w:rsid w:val="00712545"/>
    <w:rsid w:val="00712E95"/>
    <w:rsid w:val="00725902"/>
    <w:rsid w:val="00726A9C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337F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E01C3"/>
    <w:rsid w:val="008E3D62"/>
    <w:rsid w:val="008E4142"/>
    <w:rsid w:val="008F21BE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9F5278"/>
    <w:rsid w:val="00A02200"/>
    <w:rsid w:val="00A04C6D"/>
    <w:rsid w:val="00A15D3C"/>
    <w:rsid w:val="00A1736D"/>
    <w:rsid w:val="00A23A3E"/>
    <w:rsid w:val="00A337C8"/>
    <w:rsid w:val="00A359DB"/>
    <w:rsid w:val="00A45496"/>
    <w:rsid w:val="00A45FE5"/>
    <w:rsid w:val="00A46725"/>
    <w:rsid w:val="00A51431"/>
    <w:rsid w:val="00A525F0"/>
    <w:rsid w:val="00A55CB3"/>
    <w:rsid w:val="00A566A2"/>
    <w:rsid w:val="00A5731A"/>
    <w:rsid w:val="00A60DDB"/>
    <w:rsid w:val="00A6124C"/>
    <w:rsid w:val="00A677C3"/>
    <w:rsid w:val="00A72B9B"/>
    <w:rsid w:val="00A743E1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AE403B"/>
    <w:rsid w:val="00B03AF4"/>
    <w:rsid w:val="00B03DD6"/>
    <w:rsid w:val="00B1562B"/>
    <w:rsid w:val="00B20E37"/>
    <w:rsid w:val="00B31AAE"/>
    <w:rsid w:val="00B33866"/>
    <w:rsid w:val="00B35E0C"/>
    <w:rsid w:val="00B447E6"/>
    <w:rsid w:val="00B52578"/>
    <w:rsid w:val="00B53E8E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2D07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BEA"/>
    <w:rsid w:val="00BC5A3F"/>
    <w:rsid w:val="00BD31C6"/>
    <w:rsid w:val="00BE533B"/>
    <w:rsid w:val="00C06302"/>
    <w:rsid w:val="00C223DB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74F80"/>
    <w:rsid w:val="00D761DC"/>
    <w:rsid w:val="00D775C4"/>
    <w:rsid w:val="00D93993"/>
    <w:rsid w:val="00DB2463"/>
    <w:rsid w:val="00DC769E"/>
    <w:rsid w:val="00DC76EF"/>
    <w:rsid w:val="00DD0F3E"/>
    <w:rsid w:val="00DD2A0D"/>
    <w:rsid w:val="00DD5296"/>
    <w:rsid w:val="00DE122E"/>
    <w:rsid w:val="00DE3CBB"/>
    <w:rsid w:val="00DE522F"/>
    <w:rsid w:val="00DE76CB"/>
    <w:rsid w:val="00DF0D26"/>
    <w:rsid w:val="00DF4200"/>
    <w:rsid w:val="00DF746E"/>
    <w:rsid w:val="00DF7D10"/>
    <w:rsid w:val="00E01162"/>
    <w:rsid w:val="00E01FF6"/>
    <w:rsid w:val="00E0626A"/>
    <w:rsid w:val="00E103FB"/>
    <w:rsid w:val="00E150D2"/>
    <w:rsid w:val="00E1520C"/>
    <w:rsid w:val="00E35140"/>
    <w:rsid w:val="00E359AC"/>
    <w:rsid w:val="00E37A36"/>
    <w:rsid w:val="00E40DF9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4E2A"/>
    <w:rsid w:val="00F87EA6"/>
    <w:rsid w:val="00F903C3"/>
    <w:rsid w:val="00FB0ABC"/>
    <w:rsid w:val="00FB5217"/>
    <w:rsid w:val="00FC2064"/>
    <w:rsid w:val="00FC2209"/>
    <w:rsid w:val="00FC224A"/>
    <w:rsid w:val="00FC4E03"/>
    <w:rsid w:val="00FD2E66"/>
    <w:rsid w:val="00FD595E"/>
    <w:rsid w:val="00FE4A54"/>
    <w:rsid w:val="00FE6729"/>
    <w:rsid w:val="00FE6F3D"/>
    <w:rsid w:val="00FF2914"/>
    <w:rsid w:val="00FF362C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6507-0D5F-44A6-9448-98AD62C0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2021-03-05T04:16:00Z</cp:lastPrinted>
  <dcterms:created xsi:type="dcterms:W3CDTF">2021-03-19T13:00:00Z</dcterms:created>
  <dcterms:modified xsi:type="dcterms:W3CDTF">2021-03-19T13:00:00Z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