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8C" w:rsidRDefault="00F07201">
      <w:pPr>
        <w:pStyle w:val="BodyText"/>
        <w:spacing w:before="66"/>
        <w:ind w:left="391"/>
      </w:pPr>
      <w:r>
        <w:rPr>
          <w:color w:val="525252"/>
        </w:rPr>
        <w:t>QUESTION NUMBER</w:t>
      </w:r>
    </w:p>
    <w:p w:rsidR="0082288C" w:rsidRDefault="0082288C">
      <w:pPr>
        <w:pStyle w:val="BodyText"/>
        <w:spacing w:before="2"/>
        <w:rPr>
          <w:sz w:val="33"/>
        </w:rPr>
      </w:pPr>
    </w:p>
    <w:p w:rsidR="0082288C" w:rsidRDefault="00F07201">
      <w:pPr>
        <w:pStyle w:val="BodyText"/>
        <w:ind w:left="375"/>
      </w:pPr>
      <w:r>
        <w:rPr>
          <w:color w:val="444444"/>
          <w:w w:val="105"/>
        </w:rPr>
        <w:t>10. Mr. N Singh (IFP) to ask the Minister of Sport and Recreation:</w:t>
      </w:r>
    </w:p>
    <w:p w:rsidR="0082288C" w:rsidRDefault="00F07201">
      <w:pPr>
        <w:pStyle w:val="ListParagraph"/>
        <w:numPr>
          <w:ilvl w:val="0"/>
          <w:numId w:val="3"/>
        </w:numPr>
        <w:tabs>
          <w:tab w:val="left" w:pos="812"/>
        </w:tabs>
        <w:spacing w:line="350" w:lineRule="auto"/>
        <w:ind w:right="102" w:firstLine="1"/>
        <w:rPr>
          <w:color w:val="444444"/>
          <w:sz w:val="24"/>
        </w:rPr>
      </w:pPr>
      <w:r>
        <w:rPr>
          <w:color w:val="444444"/>
          <w:sz w:val="24"/>
        </w:rPr>
        <w:t xml:space="preserve">Why does KwaZulu-Natal, despite the high number of cricket fans </w:t>
      </w:r>
      <w:r>
        <w:rPr>
          <w:color w:val="2A2A2A"/>
          <w:sz w:val="24"/>
        </w:rPr>
        <w:t xml:space="preserve">in </w:t>
      </w:r>
      <w:r>
        <w:rPr>
          <w:color w:val="444444"/>
          <w:sz w:val="24"/>
        </w:rPr>
        <w:t>the</w:t>
      </w:r>
      <w:r>
        <w:rPr>
          <w:color w:val="363636"/>
          <w:sz w:val="24"/>
        </w:rPr>
        <w:t xml:space="preserve"> province, have a low number of international cricket fixtures</w:t>
      </w:r>
      <w:r>
        <w:rPr>
          <w:color w:val="363636"/>
          <w:spacing w:val="-35"/>
          <w:sz w:val="24"/>
        </w:rPr>
        <w:t xml:space="preserve"> </w:t>
      </w:r>
      <w:r>
        <w:rPr>
          <w:color w:val="363636"/>
          <w:sz w:val="24"/>
        </w:rPr>
        <w:t>in</w:t>
      </w:r>
    </w:p>
    <w:p w:rsidR="0082288C" w:rsidRDefault="00F07201">
      <w:pPr>
        <w:pStyle w:val="ListParagraph"/>
        <w:numPr>
          <w:ilvl w:val="0"/>
          <w:numId w:val="2"/>
        </w:numPr>
        <w:tabs>
          <w:tab w:val="left" w:pos="643"/>
        </w:tabs>
        <w:spacing w:before="0" w:line="272" w:lineRule="exact"/>
        <w:rPr>
          <w:sz w:val="24"/>
        </w:rPr>
      </w:pPr>
      <w:r>
        <w:rPr>
          <w:color w:val="363636"/>
          <w:sz w:val="24"/>
        </w:rPr>
        <w:t>test,</w:t>
      </w:r>
    </w:p>
    <w:p w:rsidR="0082288C" w:rsidRDefault="00F07201">
      <w:pPr>
        <w:pStyle w:val="ListParagraph"/>
        <w:numPr>
          <w:ilvl w:val="0"/>
          <w:numId w:val="2"/>
        </w:numPr>
        <w:tabs>
          <w:tab w:val="left" w:pos="689"/>
        </w:tabs>
        <w:spacing w:before="128"/>
        <w:ind w:left="688" w:hanging="321"/>
        <w:rPr>
          <w:sz w:val="24"/>
        </w:rPr>
      </w:pPr>
      <w:r>
        <w:rPr>
          <w:color w:val="363636"/>
          <w:sz w:val="24"/>
        </w:rPr>
        <w:t xml:space="preserve">limited </w:t>
      </w:r>
      <w:proofErr w:type="spellStart"/>
      <w:r>
        <w:rPr>
          <w:color w:val="3F3F3F"/>
          <w:sz w:val="24"/>
        </w:rPr>
        <w:t>overs</w:t>
      </w:r>
      <w:proofErr w:type="spellEnd"/>
      <w:r>
        <w:rPr>
          <w:color w:val="3F3F3F"/>
          <w:spacing w:val="4"/>
          <w:sz w:val="24"/>
        </w:rPr>
        <w:t xml:space="preserve"> </w:t>
      </w:r>
      <w:r>
        <w:rPr>
          <w:color w:val="3F3F3F"/>
          <w:sz w:val="24"/>
        </w:rPr>
        <w:t>and</w:t>
      </w:r>
    </w:p>
    <w:p w:rsidR="0082288C" w:rsidRDefault="00F07201">
      <w:pPr>
        <w:pStyle w:val="ListParagraph"/>
        <w:numPr>
          <w:ilvl w:val="0"/>
          <w:numId w:val="2"/>
        </w:numPr>
        <w:tabs>
          <w:tab w:val="left" w:pos="742"/>
        </w:tabs>
        <w:ind w:left="741" w:hanging="383"/>
        <w:rPr>
          <w:sz w:val="24"/>
        </w:rPr>
      </w:pPr>
      <w:r>
        <w:rPr>
          <w:color w:val="363636"/>
          <w:sz w:val="24"/>
        </w:rPr>
        <w:t>T20 scheduled for 2019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and</w:t>
      </w:r>
    </w:p>
    <w:p w:rsidR="0082288C" w:rsidRDefault="00F07201">
      <w:pPr>
        <w:pStyle w:val="ListParagraph"/>
        <w:numPr>
          <w:ilvl w:val="0"/>
          <w:numId w:val="3"/>
        </w:numPr>
        <w:tabs>
          <w:tab w:val="left" w:pos="714"/>
        </w:tabs>
        <w:ind w:left="713" w:hanging="355"/>
        <w:rPr>
          <w:color w:val="383838"/>
          <w:sz w:val="24"/>
        </w:rPr>
      </w:pPr>
      <w:proofErr w:type="gramStart"/>
      <w:r>
        <w:rPr>
          <w:color w:val="383838"/>
          <w:sz w:val="24"/>
        </w:rPr>
        <w:t>what</w:t>
      </w:r>
      <w:proofErr w:type="gramEnd"/>
      <w:r>
        <w:rPr>
          <w:color w:val="383838"/>
          <w:spacing w:val="-7"/>
          <w:sz w:val="24"/>
        </w:rPr>
        <w:t xml:space="preserve"> </w:t>
      </w:r>
      <w:r>
        <w:rPr>
          <w:color w:val="383838"/>
          <w:sz w:val="24"/>
        </w:rPr>
        <w:t>steps</w:t>
      </w:r>
      <w:r>
        <w:rPr>
          <w:color w:val="383838"/>
          <w:spacing w:val="-8"/>
          <w:sz w:val="24"/>
        </w:rPr>
        <w:t xml:space="preserve"> </w:t>
      </w:r>
      <w:r>
        <w:rPr>
          <w:color w:val="383838"/>
          <w:sz w:val="24"/>
        </w:rPr>
        <w:t>will</w:t>
      </w:r>
      <w:r>
        <w:rPr>
          <w:color w:val="383838"/>
          <w:spacing w:val="-13"/>
          <w:sz w:val="24"/>
        </w:rPr>
        <w:t xml:space="preserve"> </w:t>
      </w:r>
      <w:r>
        <w:rPr>
          <w:color w:val="383838"/>
          <w:sz w:val="24"/>
        </w:rPr>
        <w:t>her</w:t>
      </w:r>
      <w:r>
        <w:rPr>
          <w:color w:val="383838"/>
          <w:spacing w:val="-14"/>
          <w:sz w:val="24"/>
        </w:rPr>
        <w:t xml:space="preserve"> </w:t>
      </w:r>
      <w:r>
        <w:rPr>
          <w:color w:val="383838"/>
          <w:sz w:val="24"/>
        </w:rPr>
        <w:t>department</w:t>
      </w:r>
      <w:r>
        <w:rPr>
          <w:color w:val="383838"/>
          <w:spacing w:val="2"/>
          <w:sz w:val="24"/>
        </w:rPr>
        <w:t xml:space="preserve"> </w:t>
      </w:r>
      <w:r>
        <w:rPr>
          <w:color w:val="383838"/>
          <w:sz w:val="24"/>
        </w:rPr>
        <w:t>take</w:t>
      </w:r>
      <w:r>
        <w:rPr>
          <w:color w:val="383838"/>
          <w:spacing w:val="-9"/>
          <w:sz w:val="24"/>
        </w:rPr>
        <w:t xml:space="preserve"> </w:t>
      </w:r>
      <w:r>
        <w:rPr>
          <w:color w:val="383838"/>
          <w:sz w:val="24"/>
        </w:rPr>
        <w:t>to</w:t>
      </w:r>
      <w:r>
        <w:rPr>
          <w:color w:val="383838"/>
          <w:spacing w:val="-20"/>
          <w:sz w:val="24"/>
        </w:rPr>
        <w:t xml:space="preserve"> </w:t>
      </w:r>
      <w:r>
        <w:rPr>
          <w:color w:val="383838"/>
          <w:sz w:val="24"/>
        </w:rPr>
        <w:t>correct</w:t>
      </w:r>
      <w:r>
        <w:rPr>
          <w:color w:val="383838"/>
          <w:spacing w:val="-5"/>
          <w:sz w:val="24"/>
        </w:rPr>
        <w:t xml:space="preserve"> </w:t>
      </w:r>
      <w:r>
        <w:rPr>
          <w:color w:val="383838"/>
          <w:sz w:val="24"/>
        </w:rPr>
        <w:t>such</w:t>
      </w:r>
      <w:r>
        <w:rPr>
          <w:color w:val="383838"/>
          <w:spacing w:val="-5"/>
          <w:sz w:val="24"/>
        </w:rPr>
        <w:t xml:space="preserve"> </w:t>
      </w:r>
      <w:r>
        <w:rPr>
          <w:color w:val="383838"/>
          <w:sz w:val="24"/>
        </w:rPr>
        <w:t>an</w:t>
      </w:r>
      <w:r>
        <w:rPr>
          <w:color w:val="383838"/>
          <w:spacing w:val="-12"/>
          <w:sz w:val="24"/>
        </w:rPr>
        <w:t xml:space="preserve"> </w:t>
      </w:r>
      <w:r>
        <w:rPr>
          <w:color w:val="383838"/>
          <w:sz w:val="24"/>
        </w:rPr>
        <w:t>anomaly?</w:t>
      </w:r>
      <w:r>
        <w:rPr>
          <w:color w:val="383838"/>
          <w:spacing w:val="9"/>
          <w:sz w:val="24"/>
        </w:rPr>
        <w:t xml:space="preserve"> </w:t>
      </w:r>
      <w:r>
        <w:rPr>
          <w:color w:val="383838"/>
          <w:sz w:val="24"/>
        </w:rPr>
        <w:t>NW12E</w:t>
      </w:r>
    </w:p>
    <w:p w:rsidR="0082288C" w:rsidRDefault="0082288C">
      <w:pPr>
        <w:pStyle w:val="BodyText"/>
        <w:rPr>
          <w:sz w:val="26"/>
        </w:rPr>
      </w:pPr>
    </w:p>
    <w:p w:rsidR="0082288C" w:rsidRDefault="0082288C">
      <w:pPr>
        <w:pStyle w:val="BodyText"/>
        <w:rPr>
          <w:sz w:val="26"/>
        </w:rPr>
      </w:pPr>
    </w:p>
    <w:p w:rsidR="0082288C" w:rsidRDefault="00F07201">
      <w:pPr>
        <w:pStyle w:val="BodyText"/>
        <w:spacing w:before="192"/>
        <w:ind w:left="349"/>
      </w:pPr>
      <w:r>
        <w:rPr>
          <w:color w:val="4D4D4D"/>
        </w:rPr>
        <w:t>REPLY:</w:t>
      </w:r>
    </w:p>
    <w:p w:rsidR="0082288C" w:rsidRDefault="0082288C">
      <w:pPr>
        <w:pStyle w:val="BodyText"/>
        <w:spacing w:before="6"/>
        <w:rPr>
          <w:sz w:val="23"/>
        </w:rPr>
      </w:pPr>
    </w:p>
    <w:p w:rsidR="0082288C" w:rsidRDefault="00F07201">
      <w:pPr>
        <w:pStyle w:val="BodyText"/>
        <w:spacing w:before="1"/>
        <w:ind w:left="340"/>
      </w:pPr>
      <w:r>
        <w:rPr>
          <w:color w:val="444444"/>
          <w:w w:val="105"/>
        </w:rPr>
        <w:t>Mr. N Singh (IFP) to ask the Minister of Sport and</w:t>
      </w:r>
      <w:r>
        <w:rPr>
          <w:color w:val="444444"/>
          <w:spacing w:val="-51"/>
          <w:w w:val="105"/>
        </w:rPr>
        <w:t xml:space="preserve"> </w:t>
      </w:r>
      <w:r>
        <w:rPr>
          <w:color w:val="444444"/>
          <w:w w:val="105"/>
        </w:rPr>
        <w:t>Recreation:</w:t>
      </w:r>
    </w:p>
    <w:p w:rsidR="0082288C" w:rsidRDefault="00F07201">
      <w:pPr>
        <w:pStyle w:val="ListParagraph"/>
        <w:numPr>
          <w:ilvl w:val="0"/>
          <w:numId w:val="1"/>
        </w:numPr>
        <w:tabs>
          <w:tab w:val="left" w:pos="757"/>
        </w:tabs>
        <w:spacing w:line="345" w:lineRule="auto"/>
        <w:ind w:right="159" w:hanging="439"/>
        <w:rPr>
          <w:color w:val="161616"/>
          <w:sz w:val="24"/>
        </w:rPr>
      </w:pPr>
      <w:r>
        <w:rPr>
          <w:color w:val="363636"/>
          <w:sz w:val="24"/>
        </w:rPr>
        <w:t>The official Cricket South Africa (CSA) gate numbers from the International Cricket</w:t>
      </w:r>
      <w:r>
        <w:rPr>
          <w:color w:val="363636"/>
          <w:spacing w:val="-8"/>
          <w:sz w:val="24"/>
        </w:rPr>
        <w:t xml:space="preserve"> </w:t>
      </w:r>
      <w:r>
        <w:rPr>
          <w:color w:val="363636"/>
          <w:sz w:val="24"/>
        </w:rPr>
        <w:t>Committee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(ICC)</w:t>
      </w:r>
      <w:r>
        <w:rPr>
          <w:color w:val="363636"/>
          <w:spacing w:val="-12"/>
          <w:sz w:val="24"/>
        </w:rPr>
        <w:t xml:space="preserve"> </w:t>
      </w:r>
      <w:r>
        <w:rPr>
          <w:color w:val="363636"/>
          <w:sz w:val="24"/>
        </w:rPr>
        <w:t>approved</w:t>
      </w:r>
      <w:r>
        <w:rPr>
          <w:color w:val="363636"/>
          <w:spacing w:val="-2"/>
          <w:sz w:val="24"/>
        </w:rPr>
        <w:t xml:space="preserve"> </w:t>
      </w:r>
      <w:proofErr w:type="gramStart"/>
      <w:r>
        <w:rPr>
          <w:color w:val="363636"/>
          <w:sz w:val="24"/>
        </w:rPr>
        <w:t>stadia,</w:t>
      </w:r>
      <w:proofErr w:type="gramEnd"/>
      <w:r>
        <w:rPr>
          <w:color w:val="363636"/>
          <w:spacing w:val="-9"/>
          <w:sz w:val="24"/>
        </w:rPr>
        <w:t xml:space="preserve"> </w:t>
      </w:r>
      <w:r>
        <w:rPr>
          <w:color w:val="363636"/>
          <w:sz w:val="24"/>
        </w:rPr>
        <w:t>does</w:t>
      </w:r>
      <w:r>
        <w:rPr>
          <w:color w:val="363636"/>
          <w:spacing w:val="-4"/>
          <w:sz w:val="24"/>
        </w:rPr>
        <w:t xml:space="preserve"> </w:t>
      </w:r>
      <w:r>
        <w:rPr>
          <w:color w:val="363636"/>
          <w:sz w:val="24"/>
        </w:rPr>
        <w:t>not</w:t>
      </w:r>
      <w:r>
        <w:rPr>
          <w:color w:val="363636"/>
          <w:spacing w:val="-10"/>
          <w:sz w:val="24"/>
        </w:rPr>
        <w:t xml:space="preserve"> </w:t>
      </w:r>
      <w:r>
        <w:rPr>
          <w:color w:val="363636"/>
          <w:sz w:val="24"/>
        </w:rPr>
        <w:t>confirm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this</w:t>
      </w:r>
      <w:r>
        <w:rPr>
          <w:color w:val="363636"/>
          <w:spacing w:val="-16"/>
          <w:sz w:val="24"/>
        </w:rPr>
        <w:t xml:space="preserve"> </w:t>
      </w:r>
      <w:r>
        <w:rPr>
          <w:color w:val="363636"/>
          <w:sz w:val="24"/>
        </w:rPr>
        <w:t>claim.</w:t>
      </w:r>
    </w:p>
    <w:p w:rsidR="0082288C" w:rsidRDefault="00F07201">
      <w:pPr>
        <w:pStyle w:val="ListParagraph"/>
        <w:numPr>
          <w:ilvl w:val="0"/>
          <w:numId w:val="1"/>
        </w:numPr>
        <w:tabs>
          <w:tab w:val="left" w:pos="765"/>
        </w:tabs>
        <w:spacing w:before="11" w:line="348" w:lineRule="auto"/>
        <w:ind w:left="769" w:right="149" w:hanging="440"/>
        <w:jc w:val="both"/>
        <w:rPr>
          <w:color w:val="2A2A2A"/>
          <w:sz w:val="24"/>
        </w:rPr>
      </w:pPr>
      <w:r>
        <w:rPr>
          <w:color w:val="363636"/>
          <w:sz w:val="24"/>
        </w:rPr>
        <w:t xml:space="preserve">CSA therefore designed a nationally agreed Stadium Model Agreement to </w:t>
      </w:r>
      <w:proofErr w:type="spellStart"/>
      <w:r>
        <w:rPr>
          <w:color w:val="363636"/>
          <w:sz w:val="24"/>
        </w:rPr>
        <w:t>maximise</w:t>
      </w:r>
      <w:proofErr w:type="spellEnd"/>
      <w:r>
        <w:rPr>
          <w:color w:val="363636"/>
          <w:spacing w:val="-22"/>
          <w:sz w:val="24"/>
        </w:rPr>
        <w:t xml:space="preserve"> </w:t>
      </w:r>
      <w:r>
        <w:rPr>
          <w:color w:val="363636"/>
          <w:sz w:val="24"/>
        </w:rPr>
        <w:t>efficiencies</w:t>
      </w:r>
      <w:r>
        <w:rPr>
          <w:color w:val="363636"/>
          <w:spacing w:val="-14"/>
          <w:sz w:val="24"/>
        </w:rPr>
        <w:t xml:space="preserve"> </w:t>
      </w:r>
      <w:r>
        <w:rPr>
          <w:color w:val="363636"/>
          <w:sz w:val="24"/>
        </w:rPr>
        <w:t>to</w:t>
      </w:r>
      <w:r>
        <w:rPr>
          <w:color w:val="363636"/>
          <w:spacing w:val="-28"/>
          <w:sz w:val="24"/>
        </w:rPr>
        <w:t xml:space="preserve"> </w:t>
      </w:r>
      <w:r>
        <w:rPr>
          <w:color w:val="363636"/>
          <w:sz w:val="24"/>
        </w:rPr>
        <w:t>ensure</w:t>
      </w:r>
      <w:r>
        <w:rPr>
          <w:color w:val="363636"/>
          <w:spacing w:val="-16"/>
          <w:sz w:val="24"/>
        </w:rPr>
        <w:t xml:space="preserve"> </w:t>
      </w:r>
      <w:r>
        <w:rPr>
          <w:color w:val="363636"/>
          <w:sz w:val="24"/>
        </w:rPr>
        <w:t>an</w:t>
      </w:r>
      <w:r>
        <w:rPr>
          <w:color w:val="363636"/>
          <w:spacing w:val="-25"/>
          <w:sz w:val="24"/>
        </w:rPr>
        <w:t xml:space="preserve"> </w:t>
      </w:r>
      <w:r>
        <w:rPr>
          <w:color w:val="363636"/>
          <w:sz w:val="24"/>
        </w:rPr>
        <w:t>equitable</w:t>
      </w:r>
      <w:r>
        <w:rPr>
          <w:color w:val="363636"/>
          <w:spacing w:val="-20"/>
          <w:sz w:val="24"/>
        </w:rPr>
        <w:t xml:space="preserve"> </w:t>
      </w:r>
      <w:r>
        <w:rPr>
          <w:color w:val="363636"/>
          <w:sz w:val="24"/>
        </w:rPr>
        <w:t>arrangement</w:t>
      </w:r>
      <w:r>
        <w:rPr>
          <w:color w:val="363636"/>
          <w:spacing w:val="-14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-28"/>
          <w:sz w:val="24"/>
        </w:rPr>
        <w:t xml:space="preserve"> </w:t>
      </w:r>
      <w:r>
        <w:rPr>
          <w:color w:val="363636"/>
          <w:sz w:val="24"/>
        </w:rPr>
        <w:t>the</w:t>
      </w:r>
      <w:r>
        <w:rPr>
          <w:color w:val="363636"/>
          <w:spacing w:val="-28"/>
          <w:sz w:val="24"/>
        </w:rPr>
        <w:t xml:space="preserve"> </w:t>
      </w:r>
      <w:r>
        <w:rPr>
          <w:color w:val="363636"/>
          <w:sz w:val="24"/>
        </w:rPr>
        <w:t>allocation</w:t>
      </w:r>
      <w:r>
        <w:rPr>
          <w:color w:val="363636"/>
          <w:spacing w:val="-19"/>
          <w:sz w:val="24"/>
        </w:rPr>
        <w:t xml:space="preserve"> </w:t>
      </w:r>
      <w:r>
        <w:rPr>
          <w:color w:val="363636"/>
          <w:sz w:val="24"/>
        </w:rPr>
        <w:t>for</w:t>
      </w:r>
      <w:r>
        <w:rPr>
          <w:color w:val="363636"/>
          <w:spacing w:val="-26"/>
          <w:sz w:val="24"/>
        </w:rPr>
        <w:t xml:space="preserve"> </w:t>
      </w:r>
      <w:r>
        <w:rPr>
          <w:color w:val="363636"/>
          <w:sz w:val="24"/>
        </w:rPr>
        <w:t>all</w:t>
      </w:r>
      <w:r>
        <w:rPr>
          <w:color w:val="2F2F2F"/>
          <w:sz w:val="24"/>
        </w:rPr>
        <w:t xml:space="preserve"> international match allocations </w:t>
      </w:r>
      <w:r>
        <w:rPr>
          <w:color w:val="131313"/>
          <w:sz w:val="24"/>
        </w:rPr>
        <w:t>(</w:t>
      </w:r>
      <w:proofErr w:type="spellStart"/>
      <w:r>
        <w:rPr>
          <w:color w:val="131313"/>
          <w:sz w:val="24"/>
        </w:rPr>
        <w:t>i</w:t>
      </w:r>
      <w:proofErr w:type="spellEnd"/>
      <w:r>
        <w:rPr>
          <w:color w:val="131313"/>
          <w:sz w:val="24"/>
        </w:rPr>
        <w:t xml:space="preserve">, ii iii) </w:t>
      </w:r>
      <w:r>
        <w:rPr>
          <w:color w:val="343434"/>
          <w:sz w:val="24"/>
        </w:rPr>
        <w:t>amongst its</w:t>
      </w:r>
      <w:r>
        <w:rPr>
          <w:color w:val="343434"/>
          <w:spacing w:val="-48"/>
          <w:sz w:val="24"/>
        </w:rPr>
        <w:t xml:space="preserve"> </w:t>
      </w:r>
      <w:r>
        <w:rPr>
          <w:color w:val="343434"/>
          <w:sz w:val="24"/>
        </w:rPr>
        <w:t>Members.</w:t>
      </w:r>
    </w:p>
    <w:p w:rsidR="0082288C" w:rsidRDefault="0082288C">
      <w:pPr>
        <w:pStyle w:val="BodyText"/>
        <w:rPr>
          <w:sz w:val="20"/>
        </w:rPr>
      </w:pPr>
    </w:p>
    <w:p w:rsidR="0082288C" w:rsidRDefault="0082288C">
      <w:pPr>
        <w:pStyle w:val="BodyText"/>
        <w:rPr>
          <w:sz w:val="20"/>
        </w:rPr>
      </w:pPr>
    </w:p>
    <w:p w:rsidR="0082288C" w:rsidRDefault="0082288C">
      <w:pPr>
        <w:pStyle w:val="BodyText"/>
        <w:rPr>
          <w:sz w:val="20"/>
        </w:rPr>
      </w:pPr>
    </w:p>
    <w:p w:rsidR="0082288C" w:rsidRDefault="0082288C">
      <w:pPr>
        <w:pStyle w:val="BodyText"/>
        <w:rPr>
          <w:sz w:val="20"/>
        </w:rPr>
      </w:pPr>
    </w:p>
    <w:p w:rsidR="0082288C" w:rsidRDefault="00F07201">
      <w:pPr>
        <w:pStyle w:val="BodyText"/>
        <w:spacing w:before="10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932750</wp:posOffset>
            </wp:positionH>
            <wp:positionV relativeFrom="paragraph">
              <wp:posOffset>199070</wp:posOffset>
            </wp:positionV>
            <wp:extent cx="1691674" cy="42062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7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88C" w:rsidRDefault="00F07201">
      <w:pPr>
        <w:spacing w:before="188"/>
        <w:ind w:left="295"/>
        <w:rPr>
          <w:sz w:val="27"/>
        </w:rPr>
      </w:pPr>
      <w:r>
        <w:rPr>
          <w:color w:val="464646"/>
          <w:w w:val="95"/>
          <w:sz w:val="27"/>
        </w:rPr>
        <w:t>MS. Y. XASA, MP</w:t>
      </w:r>
    </w:p>
    <w:p w:rsidR="0082288C" w:rsidRDefault="00F07201">
      <w:pPr>
        <w:spacing w:before="111"/>
        <w:ind w:left="296"/>
        <w:rPr>
          <w:sz w:val="25"/>
        </w:rPr>
      </w:pPr>
      <w:r>
        <w:rPr>
          <w:color w:val="464646"/>
          <w:sz w:val="25"/>
        </w:rPr>
        <w:t>MINISTER OF SPORT AND RECREATION</w:t>
      </w:r>
    </w:p>
    <w:p w:rsidR="0082288C" w:rsidRDefault="00F07201">
      <w:pPr>
        <w:pStyle w:val="BodyText"/>
        <w:tabs>
          <w:tab w:val="left" w:pos="2542"/>
        </w:tabs>
        <w:spacing w:before="121"/>
        <w:ind w:left="292"/>
      </w:pPr>
      <w:r>
        <w:rPr>
          <w:color w:val="525252"/>
        </w:rPr>
        <w:t>DATE:</w:t>
      </w:r>
      <w:r>
        <w:rPr>
          <w:color w:val="525252"/>
        </w:rPr>
        <w:tab/>
      </w:r>
      <w:r>
        <w:rPr>
          <w:color w:val="2A2A2A"/>
        </w:rPr>
        <w:t>/</w:t>
      </w:r>
    </w:p>
    <w:sectPr w:rsidR="0082288C" w:rsidSect="0082288C">
      <w:type w:val="continuous"/>
      <w:pgSz w:w="11900" w:h="16820"/>
      <w:pgMar w:top="1600" w:right="130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6AF"/>
    <w:multiLevelType w:val="hybridMultilevel"/>
    <w:tmpl w:val="D808308A"/>
    <w:lvl w:ilvl="0" w:tplc="9664DFD2">
      <w:start w:val="1"/>
      <w:numFmt w:val="decimal"/>
      <w:lvlText w:val="(%1)"/>
      <w:lvlJc w:val="left"/>
      <w:pPr>
        <w:ind w:left="778" w:hanging="418"/>
        <w:jc w:val="left"/>
      </w:pPr>
      <w:rPr>
        <w:rFonts w:hint="default"/>
        <w:spacing w:val="-1"/>
        <w:w w:val="98"/>
        <w:lang w:val="en-US" w:eastAsia="en-US" w:bidi="en-US"/>
      </w:rPr>
    </w:lvl>
    <w:lvl w:ilvl="1" w:tplc="3CE23D34">
      <w:numFmt w:val="bullet"/>
      <w:lvlText w:val="•"/>
      <w:lvlJc w:val="left"/>
      <w:pPr>
        <w:ind w:left="1626" w:hanging="418"/>
      </w:pPr>
      <w:rPr>
        <w:rFonts w:hint="default"/>
        <w:lang w:val="en-US" w:eastAsia="en-US" w:bidi="en-US"/>
      </w:rPr>
    </w:lvl>
    <w:lvl w:ilvl="2" w:tplc="59EAC544">
      <w:numFmt w:val="bullet"/>
      <w:lvlText w:val="•"/>
      <w:lvlJc w:val="left"/>
      <w:pPr>
        <w:ind w:left="2472" w:hanging="418"/>
      </w:pPr>
      <w:rPr>
        <w:rFonts w:hint="default"/>
        <w:lang w:val="en-US" w:eastAsia="en-US" w:bidi="en-US"/>
      </w:rPr>
    </w:lvl>
    <w:lvl w:ilvl="3" w:tplc="5C0CACF0">
      <w:numFmt w:val="bullet"/>
      <w:lvlText w:val="•"/>
      <w:lvlJc w:val="left"/>
      <w:pPr>
        <w:ind w:left="3318" w:hanging="418"/>
      </w:pPr>
      <w:rPr>
        <w:rFonts w:hint="default"/>
        <w:lang w:val="en-US" w:eastAsia="en-US" w:bidi="en-US"/>
      </w:rPr>
    </w:lvl>
    <w:lvl w:ilvl="4" w:tplc="22FEE0DA">
      <w:numFmt w:val="bullet"/>
      <w:lvlText w:val="•"/>
      <w:lvlJc w:val="left"/>
      <w:pPr>
        <w:ind w:left="4164" w:hanging="418"/>
      </w:pPr>
      <w:rPr>
        <w:rFonts w:hint="default"/>
        <w:lang w:val="en-US" w:eastAsia="en-US" w:bidi="en-US"/>
      </w:rPr>
    </w:lvl>
    <w:lvl w:ilvl="5" w:tplc="8CA87AD4">
      <w:numFmt w:val="bullet"/>
      <w:lvlText w:val="•"/>
      <w:lvlJc w:val="left"/>
      <w:pPr>
        <w:ind w:left="5010" w:hanging="418"/>
      </w:pPr>
      <w:rPr>
        <w:rFonts w:hint="default"/>
        <w:lang w:val="en-US" w:eastAsia="en-US" w:bidi="en-US"/>
      </w:rPr>
    </w:lvl>
    <w:lvl w:ilvl="6" w:tplc="BBF2A594">
      <w:numFmt w:val="bullet"/>
      <w:lvlText w:val="•"/>
      <w:lvlJc w:val="left"/>
      <w:pPr>
        <w:ind w:left="5856" w:hanging="418"/>
      </w:pPr>
      <w:rPr>
        <w:rFonts w:hint="default"/>
        <w:lang w:val="en-US" w:eastAsia="en-US" w:bidi="en-US"/>
      </w:rPr>
    </w:lvl>
    <w:lvl w:ilvl="7" w:tplc="9A5C3554">
      <w:numFmt w:val="bullet"/>
      <w:lvlText w:val="•"/>
      <w:lvlJc w:val="left"/>
      <w:pPr>
        <w:ind w:left="6702" w:hanging="418"/>
      </w:pPr>
      <w:rPr>
        <w:rFonts w:hint="default"/>
        <w:lang w:val="en-US" w:eastAsia="en-US" w:bidi="en-US"/>
      </w:rPr>
    </w:lvl>
    <w:lvl w:ilvl="8" w:tplc="45F085D2">
      <w:numFmt w:val="bullet"/>
      <w:lvlText w:val="•"/>
      <w:lvlJc w:val="left"/>
      <w:pPr>
        <w:ind w:left="7548" w:hanging="418"/>
      </w:pPr>
      <w:rPr>
        <w:rFonts w:hint="default"/>
        <w:lang w:val="en-US" w:eastAsia="en-US" w:bidi="en-US"/>
      </w:rPr>
    </w:lvl>
  </w:abstractNum>
  <w:abstractNum w:abstractNumId="1">
    <w:nsid w:val="2B2017B7"/>
    <w:multiLevelType w:val="hybridMultilevel"/>
    <w:tmpl w:val="FC086688"/>
    <w:lvl w:ilvl="0" w:tplc="0B9EFF82">
      <w:start w:val="1"/>
      <w:numFmt w:val="lowerLetter"/>
      <w:lvlText w:val="(%1)"/>
      <w:lvlJc w:val="left"/>
      <w:pPr>
        <w:ind w:left="371" w:hanging="439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B07E7E50">
      <w:numFmt w:val="bullet"/>
      <w:lvlText w:val="•"/>
      <w:lvlJc w:val="left"/>
      <w:pPr>
        <w:ind w:left="1266" w:hanging="439"/>
      </w:pPr>
      <w:rPr>
        <w:rFonts w:hint="default"/>
        <w:lang w:val="en-US" w:eastAsia="en-US" w:bidi="en-US"/>
      </w:rPr>
    </w:lvl>
    <w:lvl w:ilvl="2" w:tplc="5002D1C0">
      <w:numFmt w:val="bullet"/>
      <w:lvlText w:val="•"/>
      <w:lvlJc w:val="left"/>
      <w:pPr>
        <w:ind w:left="2152" w:hanging="439"/>
      </w:pPr>
      <w:rPr>
        <w:rFonts w:hint="default"/>
        <w:lang w:val="en-US" w:eastAsia="en-US" w:bidi="en-US"/>
      </w:rPr>
    </w:lvl>
    <w:lvl w:ilvl="3" w:tplc="2E8ADDA6">
      <w:numFmt w:val="bullet"/>
      <w:lvlText w:val="•"/>
      <w:lvlJc w:val="left"/>
      <w:pPr>
        <w:ind w:left="3038" w:hanging="439"/>
      </w:pPr>
      <w:rPr>
        <w:rFonts w:hint="default"/>
        <w:lang w:val="en-US" w:eastAsia="en-US" w:bidi="en-US"/>
      </w:rPr>
    </w:lvl>
    <w:lvl w:ilvl="4" w:tplc="ECCAAFD4">
      <w:numFmt w:val="bullet"/>
      <w:lvlText w:val="•"/>
      <w:lvlJc w:val="left"/>
      <w:pPr>
        <w:ind w:left="3924" w:hanging="439"/>
      </w:pPr>
      <w:rPr>
        <w:rFonts w:hint="default"/>
        <w:lang w:val="en-US" w:eastAsia="en-US" w:bidi="en-US"/>
      </w:rPr>
    </w:lvl>
    <w:lvl w:ilvl="5" w:tplc="D67CE94A">
      <w:numFmt w:val="bullet"/>
      <w:lvlText w:val="•"/>
      <w:lvlJc w:val="left"/>
      <w:pPr>
        <w:ind w:left="4810" w:hanging="439"/>
      </w:pPr>
      <w:rPr>
        <w:rFonts w:hint="default"/>
        <w:lang w:val="en-US" w:eastAsia="en-US" w:bidi="en-US"/>
      </w:rPr>
    </w:lvl>
    <w:lvl w:ilvl="6" w:tplc="69507B1E">
      <w:numFmt w:val="bullet"/>
      <w:lvlText w:val="•"/>
      <w:lvlJc w:val="left"/>
      <w:pPr>
        <w:ind w:left="5696" w:hanging="439"/>
      </w:pPr>
      <w:rPr>
        <w:rFonts w:hint="default"/>
        <w:lang w:val="en-US" w:eastAsia="en-US" w:bidi="en-US"/>
      </w:rPr>
    </w:lvl>
    <w:lvl w:ilvl="7" w:tplc="D51AC69C">
      <w:numFmt w:val="bullet"/>
      <w:lvlText w:val="•"/>
      <w:lvlJc w:val="left"/>
      <w:pPr>
        <w:ind w:left="6582" w:hanging="439"/>
      </w:pPr>
      <w:rPr>
        <w:rFonts w:hint="default"/>
        <w:lang w:val="en-US" w:eastAsia="en-US" w:bidi="en-US"/>
      </w:rPr>
    </w:lvl>
    <w:lvl w:ilvl="8" w:tplc="EB607430">
      <w:numFmt w:val="bullet"/>
      <w:lvlText w:val="•"/>
      <w:lvlJc w:val="left"/>
      <w:pPr>
        <w:ind w:left="7468" w:hanging="439"/>
      </w:pPr>
      <w:rPr>
        <w:rFonts w:hint="default"/>
        <w:lang w:val="en-US" w:eastAsia="en-US" w:bidi="en-US"/>
      </w:rPr>
    </w:lvl>
  </w:abstractNum>
  <w:abstractNum w:abstractNumId="2">
    <w:nsid w:val="367C7B89"/>
    <w:multiLevelType w:val="hybridMultilevel"/>
    <w:tmpl w:val="20EECE90"/>
    <w:lvl w:ilvl="0" w:tplc="22964B98">
      <w:start w:val="1"/>
      <w:numFmt w:val="lowerRoman"/>
      <w:lvlText w:val="(%1)"/>
      <w:lvlJc w:val="left"/>
      <w:pPr>
        <w:ind w:left="642" w:hanging="275"/>
        <w:jc w:val="left"/>
      </w:pPr>
      <w:rPr>
        <w:rFonts w:ascii="Arial" w:eastAsia="Arial" w:hAnsi="Arial" w:cs="Arial" w:hint="default"/>
        <w:color w:val="363636"/>
        <w:spacing w:val="-1"/>
        <w:w w:val="99"/>
        <w:sz w:val="24"/>
        <w:szCs w:val="24"/>
        <w:lang w:val="en-US" w:eastAsia="en-US" w:bidi="en-US"/>
      </w:rPr>
    </w:lvl>
    <w:lvl w:ilvl="1" w:tplc="7536329A">
      <w:numFmt w:val="bullet"/>
      <w:lvlText w:val="•"/>
      <w:lvlJc w:val="left"/>
      <w:pPr>
        <w:ind w:left="1500" w:hanging="275"/>
      </w:pPr>
      <w:rPr>
        <w:rFonts w:hint="default"/>
        <w:lang w:val="en-US" w:eastAsia="en-US" w:bidi="en-US"/>
      </w:rPr>
    </w:lvl>
    <w:lvl w:ilvl="2" w:tplc="9DB477D4">
      <w:numFmt w:val="bullet"/>
      <w:lvlText w:val="•"/>
      <w:lvlJc w:val="left"/>
      <w:pPr>
        <w:ind w:left="2360" w:hanging="275"/>
      </w:pPr>
      <w:rPr>
        <w:rFonts w:hint="default"/>
        <w:lang w:val="en-US" w:eastAsia="en-US" w:bidi="en-US"/>
      </w:rPr>
    </w:lvl>
    <w:lvl w:ilvl="3" w:tplc="73F2A6E2">
      <w:numFmt w:val="bullet"/>
      <w:lvlText w:val="•"/>
      <w:lvlJc w:val="left"/>
      <w:pPr>
        <w:ind w:left="3220" w:hanging="275"/>
      </w:pPr>
      <w:rPr>
        <w:rFonts w:hint="default"/>
        <w:lang w:val="en-US" w:eastAsia="en-US" w:bidi="en-US"/>
      </w:rPr>
    </w:lvl>
    <w:lvl w:ilvl="4" w:tplc="BBE829FA">
      <w:numFmt w:val="bullet"/>
      <w:lvlText w:val="•"/>
      <w:lvlJc w:val="left"/>
      <w:pPr>
        <w:ind w:left="4080" w:hanging="275"/>
      </w:pPr>
      <w:rPr>
        <w:rFonts w:hint="default"/>
        <w:lang w:val="en-US" w:eastAsia="en-US" w:bidi="en-US"/>
      </w:rPr>
    </w:lvl>
    <w:lvl w:ilvl="5" w:tplc="B11AE5C0">
      <w:numFmt w:val="bullet"/>
      <w:lvlText w:val="•"/>
      <w:lvlJc w:val="left"/>
      <w:pPr>
        <w:ind w:left="4940" w:hanging="275"/>
      </w:pPr>
      <w:rPr>
        <w:rFonts w:hint="default"/>
        <w:lang w:val="en-US" w:eastAsia="en-US" w:bidi="en-US"/>
      </w:rPr>
    </w:lvl>
    <w:lvl w:ilvl="6" w:tplc="8AC05384">
      <w:numFmt w:val="bullet"/>
      <w:lvlText w:val="•"/>
      <w:lvlJc w:val="left"/>
      <w:pPr>
        <w:ind w:left="5800" w:hanging="275"/>
      </w:pPr>
      <w:rPr>
        <w:rFonts w:hint="default"/>
        <w:lang w:val="en-US" w:eastAsia="en-US" w:bidi="en-US"/>
      </w:rPr>
    </w:lvl>
    <w:lvl w:ilvl="7" w:tplc="8848B66A">
      <w:numFmt w:val="bullet"/>
      <w:lvlText w:val="•"/>
      <w:lvlJc w:val="left"/>
      <w:pPr>
        <w:ind w:left="6660" w:hanging="275"/>
      </w:pPr>
      <w:rPr>
        <w:rFonts w:hint="default"/>
        <w:lang w:val="en-US" w:eastAsia="en-US" w:bidi="en-US"/>
      </w:rPr>
    </w:lvl>
    <w:lvl w:ilvl="8" w:tplc="8C006552">
      <w:numFmt w:val="bullet"/>
      <w:lvlText w:val="•"/>
      <w:lvlJc w:val="left"/>
      <w:pPr>
        <w:ind w:left="7520" w:hanging="27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2288C"/>
    <w:rsid w:val="0082288C"/>
    <w:rsid w:val="00F0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88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288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2288C"/>
    <w:pPr>
      <w:spacing w:before="127"/>
      <w:ind w:left="371" w:hanging="440"/>
    </w:pPr>
  </w:style>
  <w:style w:type="paragraph" w:customStyle="1" w:styleId="TableParagraph">
    <w:name w:val="Table Paragraph"/>
    <w:basedOn w:val="Normal"/>
    <w:uiPriority w:val="1"/>
    <w:qFormat/>
    <w:rsid w:val="008228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Company>Proline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KM_C284e-20190306123857</dc:title>
  <dc:creator>PUMZA</dc:creator>
  <cp:lastModifiedBy>PUMZA</cp:lastModifiedBy>
  <cp:revision>2</cp:revision>
  <dcterms:created xsi:type="dcterms:W3CDTF">2019-04-30T11:52:00Z</dcterms:created>
  <dcterms:modified xsi:type="dcterms:W3CDTF">2019-04-30T11:52:00Z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KM_C284e</vt:lpwstr>
  </property>
  <property fmtid="{D5CDD505-2E9C-101B-9397-08002B2CF9AE}" pid="4" name="LastSaved">
    <vt:filetime>2019-04-30T00:00:00Z</vt:filetime>
  </property>
</Properties>
</file>