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D3" w:rsidRDefault="005054D3" w:rsidP="00BB5AEA">
      <w:pPr>
        <w:spacing w:before="100" w:beforeAutospacing="1" w:after="100" w:afterAutospacing="1" w:line="240" w:lineRule="auto"/>
        <w:outlineLvl w:val="0"/>
        <w:rPr>
          <w:rFonts w:ascii="Calibri" w:eastAsia="Times New Roman" w:hAnsi="Calibri" w:cs="Times New Roman"/>
          <w:b/>
          <w:sz w:val="24"/>
          <w:szCs w:val="24"/>
          <w:lang w:val="it-IT"/>
        </w:rPr>
      </w:pPr>
      <w:bookmarkStart w:id="0" w:name="_GoBack"/>
      <w:bookmarkEnd w:id="0"/>
    </w:p>
    <w:p w:rsidR="002E5BBE" w:rsidRDefault="002E5BBE" w:rsidP="00373E1E">
      <w:pPr>
        <w:spacing w:before="100" w:beforeAutospacing="1" w:after="100" w:afterAutospacing="1" w:line="240" w:lineRule="auto"/>
        <w:ind w:left="-180" w:hanging="90"/>
        <w:outlineLvl w:val="0"/>
        <w:rPr>
          <w:rFonts w:ascii="Calibri" w:eastAsia="Times New Roman" w:hAnsi="Calibri" w:cs="Times New Roman"/>
          <w:b/>
          <w:sz w:val="24"/>
          <w:szCs w:val="24"/>
          <w:lang w:val="it-IT"/>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22860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p>
    <w:p w:rsidR="00FD6027" w:rsidRDefault="00FD6027" w:rsidP="00373E1E">
      <w:pPr>
        <w:spacing w:before="100" w:beforeAutospacing="1" w:after="100" w:afterAutospacing="1" w:line="240" w:lineRule="auto"/>
        <w:ind w:left="-180" w:hanging="90"/>
        <w:outlineLvl w:val="0"/>
        <w:rPr>
          <w:rFonts w:ascii="Calibri" w:eastAsia="Times New Roman" w:hAnsi="Calibri" w:cs="Times New Roman"/>
          <w:b/>
          <w:sz w:val="24"/>
          <w:szCs w:val="24"/>
          <w:lang w:val="it-IT"/>
        </w:rPr>
      </w:pPr>
    </w:p>
    <w:p w:rsidR="00FD6027" w:rsidRDefault="00FD6027" w:rsidP="00373E1E">
      <w:pPr>
        <w:spacing w:before="100" w:beforeAutospacing="1" w:after="100" w:afterAutospacing="1" w:line="240" w:lineRule="auto"/>
        <w:ind w:left="-180" w:hanging="90"/>
        <w:outlineLvl w:val="0"/>
        <w:rPr>
          <w:rFonts w:ascii="Calibri" w:eastAsia="Times New Roman" w:hAnsi="Calibri" w:cs="Times New Roman"/>
          <w:b/>
          <w:sz w:val="24"/>
          <w:szCs w:val="24"/>
          <w:lang w:val="it-IT"/>
        </w:rPr>
      </w:pPr>
    </w:p>
    <w:p w:rsidR="00FD6027" w:rsidRDefault="00FD6027" w:rsidP="00373E1E">
      <w:pPr>
        <w:spacing w:before="100" w:beforeAutospacing="1" w:after="100" w:afterAutospacing="1" w:line="240" w:lineRule="auto"/>
        <w:ind w:left="-180" w:hanging="90"/>
        <w:outlineLvl w:val="0"/>
        <w:rPr>
          <w:rFonts w:ascii="Calibri" w:eastAsia="Times New Roman" w:hAnsi="Calibri" w:cs="Times New Roman"/>
          <w:b/>
          <w:sz w:val="24"/>
          <w:szCs w:val="24"/>
          <w:lang w:val="it-IT"/>
        </w:rPr>
      </w:pPr>
    </w:p>
    <w:p w:rsidR="00FD6027" w:rsidRPr="00286EBA" w:rsidRDefault="00FD6027" w:rsidP="00373E1E">
      <w:pPr>
        <w:spacing w:before="100" w:beforeAutospacing="1" w:after="100" w:afterAutospacing="1" w:line="240" w:lineRule="auto"/>
        <w:ind w:left="-180" w:hanging="90"/>
        <w:outlineLvl w:val="0"/>
        <w:rPr>
          <w:rFonts w:ascii="Calibri" w:eastAsia="Times New Roman" w:hAnsi="Calibri" w:cs="Times New Roman"/>
          <w:b/>
          <w:sz w:val="8"/>
          <w:szCs w:val="8"/>
          <w:lang w:val="it-IT"/>
        </w:rPr>
      </w:pPr>
    </w:p>
    <w:p w:rsidR="002E5BBE" w:rsidRPr="003E69FA" w:rsidRDefault="002E5BBE" w:rsidP="005054D3">
      <w:pPr>
        <w:spacing w:after="0" w:line="240" w:lineRule="auto"/>
        <w:ind w:left="720" w:hanging="720"/>
        <w:jc w:val="center"/>
        <w:outlineLvl w:val="0"/>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ZA"/>
        </w:rPr>
        <w:t>NATIONAL ASSEMBLY</w:t>
      </w:r>
      <w:r w:rsidRPr="003E69FA">
        <w:rPr>
          <w:rFonts w:ascii="Arial" w:eastAsia="Times New Roman" w:hAnsi="Arial" w:cs="Arial"/>
          <w:b/>
          <w:bCs/>
          <w:color w:val="000000"/>
          <w:sz w:val="24"/>
          <w:szCs w:val="24"/>
          <w:lang w:val="en-GB"/>
        </w:rPr>
        <w:t xml:space="preserve"> </w:t>
      </w:r>
    </w:p>
    <w:p w:rsidR="002E5BBE" w:rsidRPr="003E69FA" w:rsidRDefault="002E5BBE" w:rsidP="005054D3">
      <w:pPr>
        <w:spacing w:after="0" w:line="240" w:lineRule="auto"/>
        <w:jc w:val="center"/>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GB"/>
        </w:rPr>
        <w:t>QUESTIONS FOR WRITTEN REPLY</w:t>
      </w:r>
    </w:p>
    <w:p w:rsidR="002E5BBE" w:rsidRPr="00286EBA" w:rsidRDefault="002E5BBE" w:rsidP="005054D3">
      <w:pPr>
        <w:spacing w:after="0" w:line="240" w:lineRule="auto"/>
        <w:rPr>
          <w:rFonts w:ascii="Arial" w:eastAsia="Times New Roman" w:hAnsi="Arial" w:cs="Arial"/>
          <w:b/>
          <w:bCs/>
          <w:color w:val="000000"/>
          <w:sz w:val="8"/>
          <w:szCs w:val="8"/>
          <w:lang w:val="en-GB"/>
        </w:rPr>
      </w:pPr>
    </w:p>
    <w:p w:rsidR="00816D9E" w:rsidRDefault="002E5BBE" w:rsidP="005054D3">
      <w:pPr>
        <w:spacing w:after="0" w:line="240" w:lineRule="auto"/>
        <w:jc w:val="center"/>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GB"/>
        </w:rPr>
        <w:t>QUESTION NUMBER</w:t>
      </w:r>
      <w:r w:rsidR="00816D9E">
        <w:rPr>
          <w:rFonts w:ascii="Arial" w:eastAsia="Times New Roman" w:hAnsi="Arial" w:cs="Arial"/>
          <w:b/>
          <w:bCs/>
          <w:color w:val="000000"/>
          <w:sz w:val="24"/>
          <w:szCs w:val="24"/>
          <w:lang w:val="en-GB"/>
        </w:rPr>
        <w:t xml:space="preserve"> </w:t>
      </w:r>
      <w:r w:rsidR="009E1C0E">
        <w:rPr>
          <w:rFonts w:ascii="Arial" w:eastAsia="Times New Roman" w:hAnsi="Arial" w:cs="Arial"/>
          <w:b/>
          <w:bCs/>
          <w:color w:val="000000"/>
          <w:sz w:val="24"/>
          <w:szCs w:val="24"/>
          <w:lang w:val="en-GB"/>
        </w:rPr>
        <w:t>1</w:t>
      </w:r>
    </w:p>
    <w:p w:rsidR="005054D3" w:rsidRPr="00FD6027" w:rsidRDefault="005054D3" w:rsidP="005054D3">
      <w:pPr>
        <w:spacing w:after="0" w:line="240" w:lineRule="auto"/>
        <w:jc w:val="center"/>
        <w:rPr>
          <w:rFonts w:ascii="Arial" w:eastAsia="Times New Roman" w:hAnsi="Arial" w:cs="Arial"/>
          <w:b/>
          <w:bCs/>
          <w:color w:val="000000"/>
          <w:sz w:val="24"/>
          <w:szCs w:val="24"/>
          <w:lang w:val="en-GB"/>
        </w:rPr>
      </w:pPr>
    </w:p>
    <w:p w:rsidR="009E1C0E" w:rsidRPr="009E1C0E" w:rsidRDefault="005054D3" w:rsidP="005054D3">
      <w:pPr>
        <w:spacing w:before="100" w:beforeAutospacing="1" w:after="100" w:afterAutospacing="1" w:line="360" w:lineRule="auto"/>
        <w:ind w:left="360" w:hanging="360"/>
        <w:jc w:val="both"/>
        <w:outlineLvl w:val="0"/>
        <w:rPr>
          <w:rFonts w:ascii="Arial" w:eastAsia="Calibri" w:hAnsi="Arial" w:cs="Arial"/>
          <w:b/>
          <w:sz w:val="24"/>
          <w:szCs w:val="24"/>
          <w:lang w:val="en-GB"/>
        </w:rPr>
      </w:pPr>
      <w:r>
        <w:rPr>
          <w:rFonts w:ascii="Arial" w:eastAsia="Calibri" w:hAnsi="Arial" w:cs="Arial"/>
          <w:b/>
          <w:sz w:val="24"/>
          <w:szCs w:val="24"/>
          <w:lang w:val="en-GB"/>
        </w:rPr>
        <w:t xml:space="preserve">1. </w:t>
      </w:r>
      <w:r w:rsidR="009E1C0E" w:rsidRPr="009E1C0E">
        <w:rPr>
          <w:rFonts w:ascii="Arial" w:eastAsia="Calibri" w:hAnsi="Arial" w:cs="Arial"/>
          <w:b/>
          <w:sz w:val="24"/>
          <w:szCs w:val="24"/>
          <w:lang w:val="en-GB"/>
        </w:rPr>
        <w:t xml:space="preserve">Mr I M </w:t>
      </w:r>
      <w:r w:rsidR="009E1C0E" w:rsidRPr="009E1C0E">
        <w:rPr>
          <w:rFonts w:ascii="Arial" w:hAnsi="Arial" w:cs="Arial"/>
          <w:b/>
          <w:sz w:val="24"/>
          <w:szCs w:val="24"/>
          <w:lang w:val="en-ZA"/>
        </w:rPr>
        <w:t>Groenewald</w:t>
      </w:r>
      <w:r w:rsidR="009E1C0E" w:rsidRPr="009E1C0E">
        <w:rPr>
          <w:rFonts w:ascii="Arial" w:eastAsia="Calibri" w:hAnsi="Arial" w:cs="Arial"/>
          <w:b/>
          <w:sz w:val="24"/>
          <w:szCs w:val="24"/>
          <w:lang w:val="en-GB"/>
        </w:rPr>
        <w:t xml:space="preserve"> (FF Plus) to ask the Minister of Cooperative Governance and Traditional Affairs</w:t>
      </w:r>
      <w:r w:rsidR="00080299" w:rsidRPr="009E1C0E">
        <w:rPr>
          <w:rFonts w:ascii="Arial" w:eastAsia="Calibri" w:hAnsi="Arial" w:cs="Arial"/>
          <w:b/>
          <w:sz w:val="24"/>
          <w:szCs w:val="24"/>
          <w:lang w:val="en-GB"/>
        </w:rPr>
        <w:fldChar w:fldCharType="begin"/>
      </w:r>
      <w:r w:rsidR="009E1C0E" w:rsidRPr="009E1C0E">
        <w:rPr>
          <w:rFonts w:ascii="Arial" w:hAnsi="Arial" w:cs="Arial"/>
          <w:sz w:val="24"/>
          <w:szCs w:val="24"/>
          <w:lang w:val="en-ZA"/>
        </w:rPr>
        <w:instrText xml:space="preserve"> XE "</w:instrText>
      </w:r>
      <w:r w:rsidR="009E1C0E" w:rsidRPr="009E1C0E">
        <w:rPr>
          <w:rFonts w:ascii="Arial" w:eastAsia="Calibri" w:hAnsi="Arial" w:cs="Arial"/>
          <w:b/>
          <w:sz w:val="24"/>
          <w:szCs w:val="24"/>
          <w:lang w:val="en-GB"/>
        </w:rPr>
        <w:instrText>Minister of Cooperative Governance and Traditional Affairs</w:instrText>
      </w:r>
      <w:r w:rsidR="009E1C0E" w:rsidRPr="009E1C0E">
        <w:rPr>
          <w:rFonts w:ascii="Arial" w:hAnsi="Arial" w:cs="Arial"/>
          <w:sz w:val="24"/>
          <w:szCs w:val="24"/>
          <w:lang w:val="en-ZA"/>
        </w:rPr>
        <w:instrText xml:space="preserve">" </w:instrText>
      </w:r>
      <w:r w:rsidR="00080299" w:rsidRPr="009E1C0E">
        <w:rPr>
          <w:rFonts w:ascii="Arial" w:eastAsia="Calibri" w:hAnsi="Arial" w:cs="Arial"/>
          <w:b/>
          <w:sz w:val="24"/>
          <w:szCs w:val="24"/>
          <w:lang w:val="en-GB"/>
        </w:rPr>
        <w:fldChar w:fldCharType="end"/>
      </w:r>
      <w:r w:rsidR="009E1C0E" w:rsidRPr="009E1C0E">
        <w:rPr>
          <w:rFonts w:ascii="Arial" w:eastAsia="Calibri" w:hAnsi="Arial" w:cs="Arial"/>
          <w:b/>
          <w:sz w:val="24"/>
          <w:szCs w:val="24"/>
          <w:lang w:val="en-GB"/>
        </w:rPr>
        <w:t>:</w:t>
      </w:r>
    </w:p>
    <w:p w:rsidR="009E1C0E" w:rsidRPr="00CF4103" w:rsidRDefault="009E1C0E" w:rsidP="00CF4103">
      <w:pPr>
        <w:spacing w:before="100" w:beforeAutospacing="1" w:after="100" w:afterAutospacing="1" w:line="360" w:lineRule="auto"/>
        <w:ind w:left="990" w:hanging="720"/>
        <w:contextualSpacing/>
        <w:jc w:val="both"/>
        <w:rPr>
          <w:rFonts w:ascii="Arial" w:eastAsia="SimSun" w:hAnsi="Arial" w:cs="Arial"/>
          <w:sz w:val="24"/>
          <w:szCs w:val="24"/>
          <w:lang w:val="en-ZA" w:eastAsia="en-ZA"/>
        </w:rPr>
      </w:pPr>
      <w:r w:rsidRPr="009E1C0E">
        <w:rPr>
          <w:rFonts w:ascii="Arial" w:eastAsia="SimSun" w:hAnsi="Arial" w:cs="Arial"/>
          <w:sz w:val="24"/>
          <w:szCs w:val="24"/>
          <w:lang w:val="en-ZA" w:eastAsia="en-ZA"/>
        </w:rPr>
        <w:t>(1)</w:t>
      </w:r>
      <w:r w:rsidRPr="009E1C0E">
        <w:rPr>
          <w:rFonts w:ascii="Arial" w:eastAsia="SimSun" w:hAnsi="Arial" w:cs="Arial"/>
          <w:sz w:val="24"/>
          <w:szCs w:val="24"/>
          <w:lang w:val="en-ZA" w:eastAsia="en-ZA"/>
        </w:rPr>
        <w:tab/>
      </w:r>
      <w:r w:rsidRPr="00CF4103">
        <w:rPr>
          <w:rFonts w:ascii="Arial" w:eastAsia="SimSun" w:hAnsi="Arial" w:cs="Arial"/>
          <w:sz w:val="24"/>
          <w:szCs w:val="24"/>
          <w:lang w:val="en-ZA" w:eastAsia="en-ZA"/>
        </w:rPr>
        <w:t>Whether, with reference to her reply to question 4311 on 6 January 2023, persons who are appointed as engineers at municipalities countrywide, but are not registered with the Engineering Council of South Africa receive the same remuneration packages as registered engineers; if not, at which salary level are they being remunerated; if so, on what legislative provisions do municipalities rely in doing so;</w:t>
      </w:r>
    </w:p>
    <w:p w:rsidR="009E1C0E" w:rsidRPr="00CF4103" w:rsidRDefault="009E1C0E" w:rsidP="00CF4103">
      <w:pPr>
        <w:spacing w:before="100" w:beforeAutospacing="1" w:after="100" w:afterAutospacing="1" w:line="360" w:lineRule="auto"/>
        <w:ind w:left="990" w:hanging="720"/>
        <w:jc w:val="both"/>
        <w:rPr>
          <w:rFonts w:ascii="Arial" w:hAnsi="Arial" w:cs="Arial"/>
          <w:sz w:val="24"/>
          <w:szCs w:val="24"/>
          <w:lang w:val="en-ZA"/>
        </w:rPr>
      </w:pPr>
      <w:r w:rsidRPr="00CF4103">
        <w:rPr>
          <w:rFonts w:ascii="Arial" w:hAnsi="Arial" w:cs="Arial"/>
          <w:sz w:val="24"/>
          <w:szCs w:val="24"/>
          <w:lang w:val="en-ZA"/>
        </w:rPr>
        <w:t>(2)</w:t>
      </w:r>
      <w:r w:rsidRPr="00CF4103">
        <w:rPr>
          <w:rFonts w:ascii="Arial" w:hAnsi="Arial" w:cs="Arial"/>
          <w:sz w:val="24"/>
          <w:szCs w:val="24"/>
          <w:lang w:val="en-ZA"/>
        </w:rPr>
        <w:tab/>
        <w:t>whether she will make a statement on the matter?</w:t>
      </w:r>
      <w:r w:rsidRPr="00CF4103">
        <w:rPr>
          <w:rFonts w:ascii="Arial" w:hAnsi="Arial" w:cs="Arial"/>
          <w:sz w:val="24"/>
          <w:szCs w:val="24"/>
          <w:lang w:val="en-ZA"/>
        </w:rPr>
        <w:tab/>
      </w:r>
      <w:r w:rsidRPr="00CF4103">
        <w:rPr>
          <w:rFonts w:ascii="Arial" w:hAnsi="Arial" w:cs="Arial"/>
          <w:sz w:val="24"/>
          <w:szCs w:val="24"/>
          <w:lang w:val="en-ZA"/>
        </w:rPr>
        <w:tab/>
        <w:t>NW1E</w:t>
      </w:r>
    </w:p>
    <w:p w:rsidR="009E1C0E" w:rsidRPr="00CF4103" w:rsidRDefault="00BB5AEA" w:rsidP="00CF4103">
      <w:pPr>
        <w:spacing w:line="360" w:lineRule="auto"/>
        <w:jc w:val="both"/>
        <w:rPr>
          <w:rFonts w:ascii="Arial" w:hAnsi="Arial" w:cs="Arial"/>
          <w:b/>
          <w:bCs/>
          <w:sz w:val="24"/>
          <w:szCs w:val="24"/>
          <w:lang w:val="en-ZA"/>
        </w:rPr>
      </w:pPr>
      <w:r w:rsidRPr="00CF4103">
        <w:rPr>
          <w:rFonts w:ascii="Arial" w:hAnsi="Arial" w:cs="Arial"/>
          <w:b/>
          <w:bCs/>
          <w:sz w:val="24"/>
          <w:szCs w:val="24"/>
          <w:lang w:val="en-ZA"/>
        </w:rPr>
        <w:t xml:space="preserve">REPLY: </w:t>
      </w:r>
    </w:p>
    <w:p w:rsidR="00CF4103" w:rsidRDefault="009E1C0E" w:rsidP="00CF4103">
      <w:pPr>
        <w:numPr>
          <w:ilvl w:val="0"/>
          <w:numId w:val="21"/>
        </w:numPr>
        <w:spacing w:after="0" w:line="360" w:lineRule="auto"/>
        <w:ind w:left="270"/>
        <w:jc w:val="both"/>
        <w:rPr>
          <w:rFonts w:ascii="Arial" w:hAnsi="Arial" w:cs="Arial"/>
          <w:sz w:val="24"/>
          <w:szCs w:val="24"/>
          <w:lang w:val="en-ZA"/>
        </w:rPr>
      </w:pPr>
      <w:r w:rsidRPr="00CF4103">
        <w:rPr>
          <w:rFonts w:ascii="Arial" w:hAnsi="Arial" w:cs="Arial"/>
          <w:sz w:val="24"/>
          <w:szCs w:val="24"/>
          <w:lang w:val="en-ZA"/>
        </w:rPr>
        <w:t>In a municipality, the salary of an engineer appointed as the municipal manager or as a manager directly accountable to the municipal manager is determined in accordance with the Notice issued by the Minister for Cooperative Governance and Traditional Affairs</w:t>
      </w:r>
      <w:r w:rsidR="00CB22AF" w:rsidRPr="00CF4103">
        <w:rPr>
          <w:rFonts w:ascii="Arial" w:hAnsi="Arial" w:cs="Arial"/>
          <w:sz w:val="24"/>
          <w:szCs w:val="24"/>
          <w:lang w:val="en-ZA"/>
        </w:rPr>
        <w:t xml:space="preserve"> published in the Government Gazette No. 43122 on 20 March 2020</w:t>
      </w:r>
      <w:r w:rsidRPr="00CF4103">
        <w:rPr>
          <w:rFonts w:ascii="Arial" w:hAnsi="Arial" w:cs="Arial"/>
          <w:sz w:val="24"/>
          <w:szCs w:val="24"/>
          <w:lang w:val="en-ZA"/>
        </w:rPr>
        <w:t>. The Notice determined the upper limits of the total remuneration packages payable to municipal managers and managers directly accountable to municipal managers. According to the Engineering Professionals Competency Framework in the Local Government: Municipal Staff Regulations dated 20 September 2021 published in Gazette No. 45181 (herein after referred to as Municipal Staff Regulations), a Department Head should meet Level 5 requirements of having a relevant Bachelor of Engineering</w:t>
      </w:r>
      <w:r w:rsidR="00CB22AF" w:rsidRPr="00CF4103">
        <w:rPr>
          <w:rFonts w:ascii="Arial" w:hAnsi="Arial" w:cs="Arial"/>
          <w:sz w:val="24"/>
          <w:szCs w:val="24"/>
          <w:lang w:val="en-ZA"/>
        </w:rPr>
        <w:t xml:space="preserve"> (BEng)</w:t>
      </w:r>
      <w:r w:rsidRPr="00CF4103">
        <w:rPr>
          <w:rFonts w:ascii="Arial" w:hAnsi="Arial" w:cs="Arial"/>
          <w:sz w:val="24"/>
          <w:szCs w:val="24"/>
          <w:lang w:val="en-ZA"/>
        </w:rPr>
        <w:t xml:space="preserve"> or </w:t>
      </w:r>
      <w:r w:rsidR="00CB22AF" w:rsidRPr="00CF4103">
        <w:rPr>
          <w:rFonts w:ascii="Arial" w:hAnsi="Arial" w:cs="Arial"/>
          <w:sz w:val="24"/>
          <w:szCs w:val="24"/>
          <w:lang w:val="en-ZA"/>
        </w:rPr>
        <w:t>Bachelor of Science (</w:t>
      </w:r>
      <w:r w:rsidRPr="00CF4103">
        <w:rPr>
          <w:rFonts w:ascii="Arial" w:hAnsi="Arial" w:cs="Arial"/>
          <w:sz w:val="24"/>
          <w:szCs w:val="24"/>
          <w:lang w:val="en-ZA"/>
        </w:rPr>
        <w:t>BSc</w:t>
      </w:r>
      <w:r w:rsidR="00CB22AF" w:rsidRPr="00CF4103">
        <w:rPr>
          <w:rFonts w:ascii="Arial" w:hAnsi="Arial" w:cs="Arial"/>
          <w:sz w:val="24"/>
          <w:szCs w:val="24"/>
          <w:lang w:val="en-ZA"/>
        </w:rPr>
        <w:t>)</w:t>
      </w:r>
      <w:r w:rsidRPr="00CF4103">
        <w:rPr>
          <w:rFonts w:ascii="Arial" w:hAnsi="Arial" w:cs="Arial"/>
          <w:sz w:val="24"/>
          <w:szCs w:val="24"/>
          <w:lang w:val="en-ZA"/>
        </w:rPr>
        <w:t xml:space="preserve"> Engineering Degree and be eligible for registration as a Professional Engineer.</w:t>
      </w:r>
      <w:r w:rsidR="007C11EC" w:rsidRPr="00CF4103">
        <w:rPr>
          <w:rFonts w:ascii="Arial" w:hAnsi="Arial" w:cs="Arial"/>
          <w:sz w:val="24"/>
          <w:szCs w:val="24"/>
          <w:lang w:val="en-ZA"/>
        </w:rPr>
        <w:t xml:space="preserve"> </w:t>
      </w:r>
    </w:p>
    <w:p w:rsidR="00C27FDD" w:rsidRPr="00CF4103" w:rsidRDefault="007C11EC" w:rsidP="00CF4103">
      <w:pPr>
        <w:spacing w:after="0" w:line="360" w:lineRule="auto"/>
        <w:ind w:left="270"/>
        <w:jc w:val="both"/>
        <w:rPr>
          <w:rFonts w:ascii="Arial" w:hAnsi="Arial" w:cs="Arial"/>
          <w:sz w:val="24"/>
          <w:szCs w:val="24"/>
          <w:lang w:val="en-ZA"/>
        </w:rPr>
      </w:pPr>
      <w:r w:rsidRPr="00CF4103">
        <w:rPr>
          <w:rFonts w:ascii="Arial" w:hAnsi="Arial" w:cs="Arial"/>
          <w:sz w:val="24"/>
          <w:szCs w:val="24"/>
          <w:lang w:val="en-ZA"/>
        </w:rPr>
        <w:lastRenderedPageBreak/>
        <w:t xml:space="preserve">The upper limits as determined in the Notice vary greatly from lower values for municipal categorisation 1 mainly for rural </w:t>
      </w:r>
      <w:r w:rsidR="00C27FDD" w:rsidRPr="00CF4103">
        <w:rPr>
          <w:rFonts w:ascii="Arial" w:hAnsi="Arial" w:cs="Arial"/>
          <w:sz w:val="24"/>
          <w:szCs w:val="24"/>
          <w:lang w:val="en-ZA"/>
        </w:rPr>
        <w:t>low-income</w:t>
      </w:r>
      <w:r w:rsidRPr="00CF4103">
        <w:rPr>
          <w:rFonts w:ascii="Arial" w:hAnsi="Arial" w:cs="Arial"/>
          <w:sz w:val="24"/>
          <w:szCs w:val="24"/>
          <w:lang w:val="en-ZA"/>
        </w:rPr>
        <w:t xml:space="preserve"> municipalities to higher values for municipal categorisation 10 mainly metropolitan municipalities</w:t>
      </w:r>
      <w:r w:rsidR="00C27FDD" w:rsidRPr="00CF4103">
        <w:rPr>
          <w:rFonts w:ascii="Arial" w:hAnsi="Arial" w:cs="Arial"/>
          <w:sz w:val="24"/>
          <w:szCs w:val="24"/>
          <w:lang w:val="en-ZA"/>
        </w:rPr>
        <w:t xml:space="preserve"> as shown on the Table</w:t>
      </w:r>
      <w:r w:rsidR="00FD6027" w:rsidRPr="00CF4103">
        <w:rPr>
          <w:rFonts w:ascii="Arial" w:hAnsi="Arial" w:cs="Arial"/>
          <w:sz w:val="24"/>
          <w:szCs w:val="24"/>
          <w:lang w:val="en-ZA"/>
        </w:rPr>
        <w:t xml:space="preserve"> 1</w:t>
      </w:r>
      <w:r w:rsidR="00C27FDD" w:rsidRPr="00CF4103">
        <w:rPr>
          <w:rFonts w:ascii="Arial" w:hAnsi="Arial" w:cs="Arial"/>
          <w:sz w:val="24"/>
          <w:szCs w:val="24"/>
          <w:lang w:val="en-ZA"/>
        </w:rPr>
        <w:t xml:space="preserve"> below.</w:t>
      </w:r>
    </w:p>
    <w:p w:rsidR="00C27FDD" w:rsidRPr="00CF4103" w:rsidRDefault="00C27FDD" w:rsidP="00CF4103">
      <w:pPr>
        <w:spacing w:after="0" w:line="360" w:lineRule="auto"/>
        <w:ind w:left="1080"/>
        <w:jc w:val="both"/>
        <w:rPr>
          <w:rFonts w:ascii="Arial" w:hAnsi="Arial" w:cs="Arial"/>
          <w:sz w:val="24"/>
          <w:szCs w:val="24"/>
          <w:lang w:val="en-ZA"/>
        </w:rPr>
      </w:pPr>
    </w:p>
    <w:tbl>
      <w:tblPr>
        <w:tblStyle w:val="TableGrid"/>
        <w:tblW w:w="0" w:type="auto"/>
        <w:tblInd w:w="1080" w:type="dxa"/>
        <w:tblLook w:val="04A0"/>
      </w:tblPr>
      <w:tblGrid>
        <w:gridCol w:w="2733"/>
        <w:gridCol w:w="2595"/>
        <w:gridCol w:w="2608"/>
      </w:tblGrid>
      <w:tr w:rsidR="00C27FDD" w:rsidRPr="00CF4103" w:rsidTr="005054D3">
        <w:tc>
          <w:tcPr>
            <w:tcW w:w="2733" w:type="dxa"/>
            <w:shd w:val="clear" w:color="auto" w:fill="D9D9D9" w:themeFill="background1" w:themeFillShade="D9"/>
          </w:tcPr>
          <w:p w:rsidR="00C27FDD" w:rsidRPr="00CF4103" w:rsidRDefault="00C27FDD" w:rsidP="00CF4103">
            <w:pPr>
              <w:spacing w:line="360" w:lineRule="auto"/>
              <w:jc w:val="both"/>
              <w:rPr>
                <w:rFonts w:ascii="Arial" w:hAnsi="Arial" w:cs="Arial"/>
                <w:b/>
                <w:bCs/>
              </w:rPr>
            </w:pPr>
            <w:r w:rsidRPr="00CF4103">
              <w:rPr>
                <w:rFonts w:ascii="Arial" w:hAnsi="Arial" w:cs="Arial"/>
                <w:b/>
                <w:bCs/>
              </w:rPr>
              <w:t>Municipal categorisation</w:t>
            </w:r>
          </w:p>
        </w:tc>
        <w:tc>
          <w:tcPr>
            <w:tcW w:w="2595" w:type="dxa"/>
            <w:shd w:val="clear" w:color="auto" w:fill="D9D9D9" w:themeFill="background1" w:themeFillShade="D9"/>
          </w:tcPr>
          <w:p w:rsidR="00C27FDD" w:rsidRPr="00CF4103" w:rsidRDefault="00C27FDD" w:rsidP="00CF4103">
            <w:pPr>
              <w:spacing w:line="360" w:lineRule="auto"/>
              <w:jc w:val="both"/>
              <w:rPr>
                <w:rFonts w:ascii="Arial" w:hAnsi="Arial" w:cs="Arial"/>
                <w:b/>
                <w:bCs/>
              </w:rPr>
            </w:pPr>
            <w:r w:rsidRPr="00CF4103">
              <w:rPr>
                <w:rFonts w:ascii="Arial" w:hAnsi="Arial" w:cs="Arial"/>
                <w:b/>
                <w:bCs/>
              </w:rPr>
              <w:t xml:space="preserve">         Minimum</w:t>
            </w:r>
          </w:p>
        </w:tc>
        <w:tc>
          <w:tcPr>
            <w:tcW w:w="2608" w:type="dxa"/>
            <w:shd w:val="clear" w:color="auto" w:fill="D9D9D9" w:themeFill="background1" w:themeFillShade="D9"/>
          </w:tcPr>
          <w:p w:rsidR="00C27FDD" w:rsidRPr="00CF4103" w:rsidRDefault="00C27FDD" w:rsidP="00CF4103">
            <w:pPr>
              <w:spacing w:line="360" w:lineRule="auto"/>
              <w:jc w:val="both"/>
              <w:rPr>
                <w:rFonts w:ascii="Arial" w:hAnsi="Arial" w:cs="Arial"/>
                <w:b/>
                <w:bCs/>
              </w:rPr>
            </w:pPr>
            <w:r w:rsidRPr="00CF4103">
              <w:rPr>
                <w:rFonts w:ascii="Arial" w:hAnsi="Arial" w:cs="Arial"/>
                <w:b/>
                <w:bCs/>
              </w:rPr>
              <w:t>Maximum</w:t>
            </w:r>
          </w:p>
        </w:tc>
      </w:tr>
      <w:tr w:rsidR="00C27FDD" w:rsidRPr="00CF4103" w:rsidTr="005054D3">
        <w:tc>
          <w:tcPr>
            <w:tcW w:w="2733" w:type="dxa"/>
          </w:tcPr>
          <w:p w:rsidR="00C27FDD" w:rsidRPr="00CF4103" w:rsidRDefault="00C27FDD" w:rsidP="00CF4103">
            <w:pPr>
              <w:spacing w:line="360" w:lineRule="auto"/>
              <w:jc w:val="both"/>
              <w:rPr>
                <w:rFonts w:ascii="Arial" w:hAnsi="Arial" w:cs="Arial"/>
              </w:rPr>
            </w:pPr>
            <w:r w:rsidRPr="00CF4103">
              <w:rPr>
                <w:rFonts w:ascii="Arial" w:hAnsi="Arial" w:cs="Arial"/>
              </w:rPr>
              <w:t>10</w:t>
            </w:r>
          </w:p>
        </w:tc>
        <w:tc>
          <w:tcPr>
            <w:tcW w:w="2595" w:type="dxa"/>
          </w:tcPr>
          <w:p w:rsidR="00C27FDD" w:rsidRPr="00CF4103" w:rsidRDefault="00C27FDD" w:rsidP="00CF4103">
            <w:pPr>
              <w:spacing w:line="360" w:lineRule="auto"/>
              <w:jc w:val="both"/>
              <w:rPr>
                <w:rFonts w:ascii="Arial" w:hAnsi="Arial" w:cs="Arial"/>
              </w:rPr>
            </w:pPr>
            <w:r w:rsidRPr="00CF4103">
              <w:rPr>
                <w:rFonts w:ascii="Arial" w:hAnsi="Arial" w:cs="Arial"/>
              </w:rPr>
              <w:t>R2 055 005</w:t>
            </w:r>
          </w:p>
        </w:tc>
        <w:tc>
          <w:tcPr>
            <w:tcW w:w="2608" w:type="dxa"/>
          </w:tcPr>
          <w:p w:rsidR="00C27FDD" w:rsidRPr="00CF4103" w:rsidRDefault="00C27FDD" w:rsidP="00CF4103">
            <w:pPr>
              <w:spacing w:line="360" w:lineRule="auto"/>
              <w:jc w:val="both"/>
              <w:rPr>
                <w:rFonts w:ascii="Arial" w:hAnsi="Arial" w:cs="Arial"/>
              </w:rPr>
            </w:pPr>
            <w:r w:rsidRPr="00CF4103">
              <w:rPr>
                <w:rFonts w:ascii="Arial" w:hAnsi="Arial" w:cs="Arial"/>
              </w:rPr>
              <w:t>R3 147 538</w:t>
            </w:r>
          </w:p>
        </w:tc>
      </w:tr>
      <w:tr w:rsidR="00C27FDD" w:rsidRPr="00CF4103" w:rsidTr="005054D3">
        <w:tc>
          <w:tcPr>
            <w:tcW w:w="2733" w:type="dxa"/>
          </w:tcPr>
          <w:p w:rsidR="00C27FDD" w:rsidRPr="00CF4103" w:rsidRDefault="00C27FDD" w:rsidP="00CF4103">
            <w:pPr>
              <w:spacing w:line="360" w:lineRule="auto"/>
              <w:jc w:val="both"/>
              <w:rPr>
                <w:rFonts w:ascii="Arial" w:hAnsi="Arial" w:cs="Arial"/>
              </w:rPr>
            </w:pPr>
            <w:r w:rsidRPr="00CF4103">
              <w:rPr>
                <w:rFonts w:ascii="Arial" w:hAnsi="Arial" w:cs="Arial"/>
              </w:rPr>
              <w:t>1</w:t>
            </w:r>
          </w:p>
        </w:tc>
        <w:tc>
          <w:tcPr>
            <w:tcW w:w="2595" w:type="dxa"/>
          </w:tcPr>
          <w:p w:rsidR="00C27FDD" w:rsidRPr="00CF4103" w:rsidRDefault="00C27FDD" w:rsidP="00CF4103">
            <w:pPr>
              <w:spacing w:line="360" w:lineRule="auto"/>
              <w:jc w:val="both"/>
              <w:rPr>
                <w:rFonts w:ascii="Arial" w:hAnsi="Arial" w:cs="Arial"/>
              </w:rPr>
            </w:pPr>
            <w:r w:rsidRPr="00CF4103">
              <w:rPr>
                <w:rFonts w:ascii="Arial" w:hAnsi="Arial" w:cs="Arial"/>
              </w:rPr>
              <w:t>R815 063</w:t>
            </w:r>
          </w:p>
        </w:tc>
        <w:tc>
          <w:tcPr>
            <w:tcW w:w="2608" w:type="dxa"/>
          </w:tcPr>
          <w:p w:rsidR="00C27FDD" w:rsidRPr="00CF4103" w:rsidRDefault="00C27FDD" w:rsidP="00CF4103">
            <w:pPr>
              <w:spacing w:line="360" w:lineRule="auto"/>
              <w:jc w:val="both"/>
              <w:rPr>
                <w:rFonts w:ascii="Arial" w:hAnsi="Arial" w:cs="Arial"/>
              </w:rPr>
            </w:pPr>
            <w:r w:rsidRPr="00CF4103">
              <w:rPr>
                <w:rFonts w:ascii="Arial" w:hAnsi="Arial" w:cs="Arial"/>
              </w:rPr>
              <w:t>R996 188</w:t>
            </w:r>
          </w:p>
        </w:tc>
      </w:tr>
    </w:tbl>
    <w:p w:rsidR="00C27FDD" w:rsidRPr="00CF4103" w:rsidRDefault="00C27FDD" w:rsidP="00CF4103">
      <w:pPr>
        <w:spacing w:after="0" w:line="360" w:lineRule="auto"/>
        <w:ind w:left="1080"/>
        <w:jc w:val="both"/>
        <w:rPr>
          <w:rFonts w:ascii="Arial" w:hAnsi="Arial" w:cs="Arial"/>
          <w:sz w:val="24"/>
          <w:szCs w:val="24"/>
          <w:lang w:val="en-ZA"/>
        </w:rPr>
      </w:pPr>
    </w:p>
    <w:p w:rsidR="009E1C0E" w:rsidRPr="00CF4103" w:rsidRDefault="007C11EC" w:rsidP="00CF4103">
      <w:pPr>
        <w:spacing w:after="0" w:line="360" w:lineRule="auto"/>
        <w:jc w:val="both"/>
        <w:rPr>
          <w:rFonts w:ascii="Arial" w:hAnsi="Arial" w:cs="Arial"/>
          <w:sz w:val="24"/>
          <w:szCs w:val="24"/>
          <w:lang w:val="en-ZA"/>
        </w:rPr>
      </w:pPr>
      <w:r w:rsidRPr="00CF4103">
        <w:rPr>
          <w:rFonts w:ascii="Arial" w:hAnsi="Arial" w:cs="Arial"/>
          <w:sz w:val="24"/>
          <w:szCs w:val="24"/>
          <w:lang w:val="en-ZA"/>
        </w:rPr>
        <w:t>This leads to discrepancies of salaries earned by engineers in different municipalities with different categorisation</w:t>
      </w:r>
      <w:r w:rsidR="00C27FDD" w:rsidRPr="00CF4103">
        <w:rPr>
          <w:rFonts w:ascii="Arial" w:hAnsi="Arial" w:cs="Arial"/>
          <w:sz w:val="24"/>
          <w:szCs w:val="24"/>
          <w:lang w:val="en-ZA"/>
        </w:rPr>
        <w:t xml:space="preserve"> irrespective of professional registration.</w:t>
      </w:r>
      <w:r w:rsidRPr="00CF4103">
        <w:rPr>
          <w:rFonts w:ascii="Arial" w:hAnsi="Arial" w:cs="Arial"/>
          <w:sz w:val="24"/>
          <w:szCs w:val="24"/>
          <w:lang w:val="en-ZA"/>
        </w:rPr>
        <w:t xml:space="preserve"> A professionally registered engineer in a municipality with categorisation 1 may earn less than </w:t>
      </w:r>
      <w:r w:rsidR="00E41BA0" w:rsidRPr="00CF4103">
        <w:rPr>
          <w:rFonts w:ascii="Arial" w:hAnsi="Arial" w:cs="Arial"/>
          <w:sz w:val="24"/>
          <w:szCs w:val="24"/>
          <w:lang w:val="en-ZA"/>
        </w:rPr>
        <w:t>some senior engineers not professionally registered, but eligible, in a municipality with categorisation 10.</w:t>
      </w:r>
    </w:p>
    <w:p w:rsidR="009E1C0E" w:rsidRPr="00CF4103" w:rsidRDefault="009E1C0E" w:rsidP="00CF4103">
      <w:pPr>
        <w:spacing w:after="0" w:line="360" w:lineRule="auto"/>
        <w:ind w:firstLine="1080"/>
        <w:jc w:val="both"/>
        <w:rPr>
          <w:rFonts w:ascii="Arial" w:hAnsi="Arial" w:cs="Arial"/>
          <w:sz w:val="24"/>
          <w:szCs w:val="24"/>
          <w:lang w:val="en-ZA"/>
        </w:rPr>
      </w:pPr>
    </w:p>
    <w:p w:rsidR="00447206" w:rsidRPr="00CF4103" w:rsidRDefault="00E8033C" w:rsidP="00CF4103">
      <w:pPr>
        <w:spacing w:after="0" w:line="360" w:lineRule="auto"/>
        <w:jc w:val="both"/>
        <w:rPr>
          <w:rFonts w:ascii="Arial" w:hAnsi="Arial" w:cs="Arial"/>
          <w:sz w:val="24"/>
          <w:szCs w:val="24"/>
          <w:lang w:val="en-ZA"/>
        </w:rPr>
      </w:pPr>
      <w:r w:rsidRPr="00CF4103">
        <w:rPr>
          <w:rFonts w:ascii="Arial" w:hAnsi="Arial" w:cs="Arial"/>
          <w:sz w:val="24"/>
          <w:szCs w:val="24"/>
          <w:lang w:val="en-ZA"/>
        </w:rPr>
        <w:t>T</w:t>
      </w:r>
      <w:r w:rsidR="009E1C0E" w:rsidRPr="00CF4103">
        <w:rPr>
          <w:rFonts w:ascii="Arial" w:hAnsi="Arial" w:cs="Arial"/>
          <w:sz w:val="24"/>
          <w:szCs w:val="24"/>
          <w:lang w:val="en-ZA"/>
        </w:rPr>
        <w:t>he salar</w:t>
      </w:r>
      <w:r w:rsidR="009A5458" w:rsidRPr="00CF4103">
        <w:rPr>
          <w:rFonts w:ascii="Arial" w:hAnsi="Arial" w:cs="Arial"/>
          <w:sz w:val="24"/>
          <w:szCs w:val="24"/>
          <w:lang w:val="en-ZA"/>
        </w:rPr>
        <w:t xml:space="preserve">ies of other </w:t>
      </w:r>
      <w:r w:rsidR="009E1C0E" w:rsidRPr="00CF4103">
        <w:rPr>
          <w:rFonts w:ascii="Arial" w:hAnsi="Arial" w:cs="Arial"/>
          <w:sz w:val="24"/>
          <w:szCs w:val="24"/>
          <w:lang w:val="en-ZA"/>
        </w:rPr>
        <w:t>engineer</w:t>
      </w:r>
      <w:r w:rsidR="009A5458" w:rsidRPr="00CF4103">
        <w:rPr>
          <w:rFonts w:ascii="Arial" w:hAnsi="Arial" w:cs="Arial"/>
          <w:sz w:val="24"/>
          <w:szCs w:val="24"/>
          <w:lang w:val="en-ZA"/>
        </w:rPr>
        <w:t>s</w:t>
      </w:r>
      <w:r w:rsidR="009E1C0E" w:rsidRPr="00CF4103">
        <w:rPr>
          <w:rFonts w:ascii="Arial" w:hAnsi="Arial" w:cs="Arial"/>
          <w:sz w:val="24"/>
          <w:szCs w:val="24"/>
          <w:lang w:val="en-ZA"/>
        </w:rPr>
        <w:t xml:space="preserve"> </w:t>
      </w:r>
      <w:r w:rsidR="009A5458" w:rsidRPr="00CF4103">
        <w:rPr>
          <w:rFonts w:ascii="Arial" w:hAnsi="Arial" w:cs="Arial"/>
          <w:sz w:val="24"/>
          <w:szCs w:val="24"/>
          <w:lang w:val="en-ZA"/>
        </w:rPr>
        <w:t>who are not accountable to the municipal manager is</w:t>
      </w:r>
      <w:r w:rsidR="009E1C0E" w:rsidRPr="00CF4103">
        <w:rPr>
          <w:rFonts w:ascii="Arial" w:hAnsi="Arial" w:cs="Arial"/>
          <w:sz w:val="24"/>
          <w:szCs w:val="24"/>
          <w:lang w:val="en-ZA"/>
        </w:rPr>
        <w:t xml:space="preserve"> dealt with</w:t>
      </w:r>
      <w:r w:rsidR="00CB22AF" w:rsidRPr="00CF4103">
        <w:rPr>
          <w:rFonts w:ascii="Arial" w:hAnsi="Arial" w:cs="Arial"/>
          <w:sz w:val="24"/>
          <w:szCs w:val="24"/>
          <w:lang w:val="en-ZA"/>
        </w:rPr>
        <w:t xml:space="preserve">, as provided for under </w:t>
      </w:r>
      <w:r w:rsidR="009A5458" w:rsidRPr="00CF4103">
        <w:rPr>
          <w:rFonts w:ascii="Arial" w:hAnsi="Arial" w:cs="Arial"/>
          <w:sz w:val="24"/>
          <w:szCs w:val="24"/>
          <w:lang w:val="en-ZA"/>
        </w:rPr>
        <w:t>c</w:t>
      </w:r>
      <w:r w:rsidR="00CB22AF" w:rsidRPr="00CF4103">
        <w:rPr>
          <w:rFonts w:ascii="Arial" w:hAnsi="Arial" w:cs="Arial"/>
          <w:sz w:val="24"/>
          <w:szCs w:val="24"/>
          <w:lang w:val="en-ZA"/>
        </w:rPr>
        <w:t>lause 59 of the Municipal Staff Regulations,</w:t>
      </w:r>
      <w:r w:rsidR="009E1C0E" w:rsidRPr="00CF4103">
        <w:rPr>
          <w:rFonts w:ascii="Arial" w:hAnsi="Arial" w:cs="Arial"/>
          <w:sz w:val="24"/>
          <w:szCs w:val="24"/>
          <w:lang w:val="en-ZA"/>
        </w:rPr>
        <w:t xml:space="preserve"> in terms of the collective agreement concluded</w:t>
      </w:r>
      <w:r w:rsidR="00CB22AF" w:rsidRPr="00CF4103">
        <w:rPr>
          <w:rFonts w:ascii="Arial" w:hAnsi="Arial" w:cs="Arial"/>
          <w:sz w:val="24"/>
          <w:szCs w:val="24"/>
          <w:lang w:val="en-ZA"/>
        </w:rPr>
        <w:t xml:space="preserve"> by</w:t>
      </w:r>
      <w:r w:rsidR="009E1C0E" w:rsidRPr="00CF4103">
        <w:rPr>
          <w:rFonts w:ascii="Arial" w:hAnsi="Arial" w:cs="Arial"/>
          <w:sz w:val="24"/>
          <w:szCs w:val="24"/>
          <w:lang w:val="en-ZA"/>
        </w:rPr>
        <w:t xml:space="preserve"> the South African Local Government Bargaining Council (SALGBC)</w:t>
      </w:r>
      <w:bookmarkStart w:id="1" w:name="_Hlk127639747"/>
      <w:r w:rsidR="009E1C0E" w:rsidRPr="00CF4103">
        <w:rPr>
          <w:rFonts w:ascii="Arial" w:hAnsi="Arial" w:cs="Arial"/>
          <w:sz w:val="24"/>
          <w:szCs w:val="24"/>
          <w:lang w:val="en-ZA"/>
        </w:rPr>
        <w:t>.</w:t>
      </w:r>
      <w:bookmarkEnd w:id="1"/>
      <w:r w:rsidR="009E1C0E" w:rsidRPr="00CF4103">
        <w:rPr>
          <w:rFonts w:ascii="Arial" w:hAnsi="Arial" w:cs="Arial"/>
          <w:sz w:val="24"/>
          <w:szCs w:val="24"/>
          <w:lang w:val="en-ZA"/>
        </w:rPr>
        <w:t xml:space="preserve"> The three parties to SALGC are the South African Local Government Association (SALGA), the South African Municipal Workers Union (SAMWU) and the Independent and Municipal Allied Union (IMATU). </w:t>
      </w:r>
      <w:r w:rsidR="00466390" w:rsidRPr="00CF4103">
        <w:rPr>
          <w:rFonts w:ascii="Arial" w:hAnsi="Arial" w:cs="Arial"/>
          <w:sz w:val="24"/>
          <w:szCs w:val="24"/>
          <w:lang w:val="en-ZA"/>
        </w:rPr>
        <w:t xml:space="preserve">The </w:t>
      </w:r>
      <w:r w:rsidR="00447206" w:rsidRPr="00CF4103">
        <w:rPr>
          <w:rFonts w:ascii="Arial" w:hAnsi="Arial" w:cs="Arial"/>
          <w:sz w:val="24"/>
          <w:szCs w:val="24"/>
          <w:lang w:val="en-ZA"/>
        </w:rPr>
        <w:t xml:space="preserve">SALGBC </w:t>
      </w:r>
      <w:r w:rsidRPr="00CF4103">
        <w:rPr>
          <w:rFonts w:ascii="Arial" w:hAnsi="Arial" w:cs="Arial"/>
          <w:sz w:val="24"/>
          <w:szCs w:val="24"/>
          <w:lang w:val="en-ZA"/>
        </w:rPr>
        <w:t xml:space="preserve">Task Wage Rate Collective Agreement of April 2010 provided the </w:t>
      </w:r>
      <w:r w:rsidR="00466390" w:rsidRPr="00CF4103">
        <w:rPr>
          <w:rFonts w:ascii="Arial" w:hAnsi="Arial" w:cs="Arial"/>
          <w:sz w:val="24"/>
          <w:szCs w:val="24"/>
          <w:lang w:val="en-ZA"/>
        </w:rPr>
        <w:t xml:space="preserve">grades, called Task Grades, </w:t>
      </w:r>
      <w:r w:rsidR="00447206" w:rsidRPr="00CF4103">
        <w:rPr>
          <w:rFonts w:ascii="Arial" w:hAnsi="Arial" w:cs="Arial"/>
          <w:sz w:val="24"/>
          <w:szCs w:val="24"/>
          <w:lang w:val="en-ZA"/>
        </w:rPr>
        <w:t>as per Table</w:t>
      </w:r>
      <w:r w:rsidR="00FD6027" w:rsidRPr="00CF4103">
        <w:rPr>
          <w:rFonts w:ascii="Arial" w:hAnsi="Arial" w:cs="Arial"/>
          <w:sz w:val="24"/>
          <w:szCs w:val="24"/>
          <w:lang w:val="en-ZA"/>
        </w:rPr>
        <w:t xml:space="preserve"> 2</w:t>
      </w:r>
      <w:r w:rsidR="00447206" w:rsidRPr="00CF4103">
        <w:rPr>
          <w:rFonts w:ascii="Arial" w:hAnsi="Arial" w:cs="Arial"/>
          <w:sz w:val="24"/>
          <w:szCs w:val="24"/>
          <w:lang w:val="en-ZA"/>
        </w:rPr>
        <w:t xml:space="preserve"> below.</w:t>
      </w:r>
      <w:r w:rsidR="009A5458" w:rsidRPr="00CF4103">
        <w:rPr>
          <w:rFonts w:ascii="Arial" w:hAnsi="Arial" w:cs="Arial"/>
          <w:sz w:val="24"/>
          <w:szCs w:val="24"/>
          <w:lang w:val="en-ZA"/>
        </w:rPr>
        <w:t xml:space="preserve"> </w:t>
      </w:r>
    </w:p>
    <w:p w:rsidR="00286EBA" w:rsidRPr="00CF4103" w:rsidRDefault="00286EBA" w:rsidP="00CF4103">
      <w:pPr>
        <w:spacing w:after="0" w:line="360" w:lineRule="auto"/>
        <w:ind w:left="1080"/>
        <w:jc w:val="both"/>
        <w:rPr>
          <w:rFonts w:ascii="Arial" w:hAnsi="Arial" w:cs="Arial"/>
          <w:sz w:val="24"/>
          <w:szCs w:val="24"/>
          <w:lang w:val="en-ZA"/>
        </w:rPr>
      </w:pPr>
    </w:p>
    <w:tbl>
      <w:tblPr>
        <w:tblStyle w:val="TableGrid"/>
        <w:tblW w:w="0" w:type="auto"/>
        <w:tblInd w:w="1080" w:type="dxa"/>
        <w:tblLook w:val="04A0"/>
      </w:tblPr>
      <w:tblGrid>
        <w:gridCol w:w="758"/>
        <w:gridCol w:w="3686"/>
        <w:gridCol w:w="3492"/>
      </w:tblGrid>
      <w:tr w:rsidR="00447206" w:rsidRPr="00CF4103" w:rsidTr="00447206">
        <w:tc>
          <w:tcPr>
            <w:tcW w:w="4444" w:type="dxa"/>
            <w:gridSpan w:val="2"/>
            <w:shd w:val="clear" w:color="auto" w:fill="D9D9D9" w:themeFill="background1" w:themeFillShade="D9"/>
          </w:tcPr>
          <w:p w:rsidR="00447206" w:rsidRPr="00CF4103" w:rsidRDefault="00447206" w:rsidP="00CF4103">
            <w:pPr>
              <w:spacing w:line="360" w:lineRule="auto"/>
              <w:jc w:val="both"/>
              <w:rPr>
                <w:rFonts w:ascii="Arial" w:hAnsi="Arial" w:cs="Arial"/>
                <w:b/>
                <w:bCs/>
              </w:rPr>
            </w:pPr>
            <w:r w:rsidRPr="00CF4103">
              <w:rPr>
                <w:rFonts w:ascii="Arial" w:hAnsi="Arial" w:cs="Arial"/>
                <w:b/>
                <w:bCs/>
              </w:rPr>
              <w:t>Task Skills</w:t>
            </w:r>
          </w:p>
        </w:tc>
        <w:tc>
          <w:tcPr>
            <w:tcW w:w="3492" w:type="dxa"/>
            <w:shd w:val="clear" w:color="auto" w:fill="D9D9D9" w:themeFill="background1" w:themeFillShade="D9"/>
          </w:tcPr>
          <w:p w:rsidR="00447206" w:rsidRPr="00CF4103" w:rsidRDefault="00447206" w:rsidP="00CF4103">
            <w:pPr>
              <w:spacing w:line="360" w:lineRule="auto"/>
              <w:jc w:val="both"/>
              <w:rPr>
                <w:rFonts w:ascii="Arial" w:hAnsi="Arial" w:cs="Arial"/>
                <w:b/>
                <w:bCs/>
              </w:rPr>
            </w:pPr>
            <w:r w:rsidRPr="00CF4103">
              <w:rPr>
                <w:rFonts w:ascii="Arial" w:hAnsi="Arial" w:cs="Arial"/>
                <w:b/>
                <w:bCs/>
              </w:rPr>
              <w:t>Task Grades</w:t>
            </w:r>
          </w:p>
        </w:tc>
      </w:tr>
      <w:tr w:rsidR="00447206" w:rsidRPr="00CF4103" w:rsidTr="00447206">
        <w:tc>
          <w:tcPr>
            <w:tcW w:w="758" w:type="dxa"/>
          </w:tcPr>
          <w:p w:rsidR="00447206" w:rsidRPr="00CF4103" w:rsidRDefault="00447206" w:rsidP="00CF4103">
            <w:pPr>
              <w:spacing w:line="360" w:lineRule="auto"/>
              <w:jc w:val="both"/>
              <w:rPr>
                <w:rFonts w:ascii="Arial" w:hAnsi="Arial" w:cs="Arial"/>
              </w:rPr>
            </w:pPr>
            <w:r w:rsidRPr="00CF4103">
              <w:rPr>
                <w:rFonts w:ascii="Arial" w:hAnsi="Arial" w:cs="Arial"/>
              </w:rPr>
              <w:t>1</w:t>
            </w:r>
          </w:p>
        </w:tc>
        <w:tc>
          <w:tcPr>
            <w:tcW w:w="3686" w:type="dxa"/>
          </w:tcPr>
          <w:p w:rsidR="00447206" w:rsidRPr="00CF4103" w:rsidRDefault="00447206" w:rsidP="00CF4103">
            <w:pPr>
              <w:spacing w:line="360" w:lineRule="auto"/>
              <w:jc w:val="both"/>
              <w:rPr>
                <w:rFonts w:ascii="Arial" w:hAnsi="Arial" w:cs="Arial"/>
              </w:rPr>
            </w:pPr>
            <w:r w:rsidRPr="00CF4103">
              <w:rPr>
                <w:rFonts w:ascii="Arial" w:hAnsi="Arial" w:cs="Arial"/>
              </w:rPr>
              <w:t>Basic</w:t>
            </w:r>
          </w:p>
        </w:tc>
        <w:tc>
          <w:tcPr>
            <w:tcW w:w="3492" w:type="dxa"/>
          </w:tcPr>
          <w:p w:rsidR="00447206" w:rsidRPr="00CF4103" w:rsidRDefault="00447206" w:rsidP="00CF4103">
            <w:pPr>
              <w:spacing w:line="360" w:lineRule="auto"/>
              <w:jc w:val="both"/>
              <w:rPr>
                <w:rFonts w:ascii="Arial" w:hAnsi="Arial" w:cs="Arial"/>
              </w:rPr>
            </w:pPr>
            <w:r w:rsidRPr="00CF4103">
              <w:rPr>
                <w:rFonts w:ascii="Arial" w:hAnsi="Arial" w:cs="Arial"/>
              </w:rPr>
              <w:t>1 to 3</w:t>
            </w:r>
          </w:p>
        </w:tc>
      </w:tr>
      <w:tr w:rsidR="00447206" w:rsidRPr="00CF4103" w:rsidTr="00447206">
        <w:tc>
          <w:tcPr>
            <w:tcW w:w="758" w:type="dxa"/>
          </w:tcPr>
          <w:p w:rsidR="00447206" w:rsidRPr="00CF4103" w:rsidRDefault="00447206" w:rsidP="00CF4103">
            <w:pPr>
              <w:spacing w:line="360" w:lineRule="auto"/>
              <w:jc w:val="both"/>
              <w:rPr>
                <w:rFonts w:ascii="Arial" w:hAnsi="Arial" w:cs="Arial"/>
              </w:rPr>
            </w:pPr>
            <w:r w:rsidRPr="00CF4103">
              <w:rPr>
                <w:rFonts w:ascii="Arial" w:hAnsi="Arial" w:cs="Arial"/>
              </w:rPr>
              <w:t>2</w:t>
            </w:r>
          </w:p>
        </w:tc>
        <w:tc>
          <w:tcPr>
            <w:tcW w:w="3686" w:type="dxa"/>
          </w:tcPr>
          <w:p w:rsidR="00447206" w:rsidRPr="00CF4103" w:rsidRDefault="00447206" w:rsidP="00CF4103">
            <w:pPr>
              <w:spacing w:line="360" w:lineRule="auto"/>
              <w:jc w:val="both"/>
              <w:rPr>
                <w:rFonts w:ascii="Arial" w:hAnsi="Arial" w:cs="Arial"/>
              </w:rPr>
            </w:pPr>
            <w:r w:rsidRPr="00CF4103">
              <w:rPr>
                <w:rFonts w:ascii="Arial" w:hAnsi="Arial" w:cs="Arial"/>
              </w:rPr>
              <w:t>Discretionary</w:t>
            </w:r>
          </w:p>
        </w:tc>
        <w:tc>
          <w:tcPr>
            <w:tcW w:w="3492" w:type="dxa"/>
          </w:tcPr>
          <w:p w:rsidR="00447206" w:rsidRPr="00CF4103" w:rsidRDefault="00447206" w:rsidP="00CF4103">
            <w:pPr>
              <w:spacing w:line="360" w:lineRule="auto"/>
              <w:jc w:val="both"/>
              <w:rPr>
                <w:rFonts w:ascii="Arial" w:hAnsi="Arial" w:cs="Arial"/>
              </w:rPr>
            </w:pPr>
            <w:r w:rsidRPr="00CF4103">
              <w:rPr>
                <w:rFonts w:ascii="Arial" w:hAnsi="Arial" w:cs="Arial"/>
              </w:rPr>
              <w:t>4 to 8</w:t>
            </w:r>
          </w:p>
        </w:tc>
      </w:tr>
      <w:tr w:rsidR="00447206" w:rsidRPr="00CF4103" w:rsidTr="00447206">
        <w:tc>
          <w:tcPr>
            <w:tcW w:w="758" w:type="dxa"/>
          </w:tcPr>
          <w:p w:rsidR="00447206" w:rsidRPr="00CF4103" w:rsidRDefault="00447206" w:rsidP="00CF4103">
            <w:pPr>
              <w:spacing w:line="360" w:lineRule="auto"/>
              <w:jc w:val="both"/>
              <w:rPr>
                <w:rFonts w:ascii="Arial" w:hAnsi="Arial" w:cs="Arial"/>
              </w:rPr>
            </w:pPr>
            <w:r w:rsidRPr="00CF4103">
              <w:rPr>
                <w:rFonts w:ascii="Arial" w:hAnsi="Arial" w:cs="Arial"/>
              </w:rPr>
              <w:t>3</w:t>
            </w:r>
          </w:p>
        </w:tc>
        <w:tc>
          <w:tcPr>
            <w:tcW w:w="3686" w:type="dxa"/>
          </w:tcPr>
          <w:p w:rsidR="00447206" w:rsidRPr="00CF4103" w:rsidRDefault="00447206" w:rsidP="00CF4103">
            <w:pPr>
              <w:spacing w:line="360" w:lineRule="auto"/>
              <w:jc w:val="both"/>
              <w:rPr>
                <w:rFonts w:ascii="Arial" w:hAnsi="Arial" w:cs="Arial"/>
              </w:rPr>
            </w:pPr>
            <w:r w:rsidRPr="00CF4103">
              <w:rPr>
                <w:rFonts w:ascii="Arial" w:hAnsi="Arial" w:cs="Arial"/>
              </w:rPr>
              <w:t>Specialised</w:t>
            </w:r>
          </w:p>
        </w:tc>
        <w:tc>
          <w:tcPr>
            <w:tcW w:w="3492" w:type="dxa"/>
          </w:tcPr>
          <w:p w:rsidR="00447206" w:rsidRPr="00CF4103" w:rsidRDefault="00447206" w:rsidP="00CF4103">
            <w:pPr>
              <w:spacing w:line="360" w:lineRule="auto"/>
              <w:jc w:val="both"/>
              <w:rPr>
                <w:rFonts w:ascii="Arial" w:hAnsi="Arial" w:cs="Arial"/>
              </w:rPr>
            </w:pPr>
            <w:r w:rsidRPr="00CF4103">
              <w:rPr>
                <w:rFonts w:ascii="Arial" w:hAnsi="Arial" w:cs="Arial"/>
              </w:rPr>
              <w:t>9 to 13</w:t>
            </w:r>
          </w:p>
        </w:tc>
      </w:tr>
      <w:tr w:rsidR="00447206" w:rsidRPr="00CF4103" w:rsidTr="00447206">
        <w:tc>
          <w:tcPr>
            <w:tcW w:w="758" w:type="dxa"/>
          </w:tcPr>
          <w:p w:rsidR="00447206" w:rsidRPr="00CF4103" w:rsidRDefault="00447206" w:rsidP="00CF4103">
            <w:pPr>
              <w:spacing w:line="360" w:lineRule="auto"/>
              <w:jc w:val="both"/>
              <w:rPr>
                <w:rFonts w:ascii="Arial" w:hAnsi="Arial" w:cs="Arial"/>
              </w:rPr>
            </w:pPr>
            <w:r w:rsidRPr="00CF4103">
              <w:rPr>
                <w:rFonts w:ascii="Arial" w:hAnsi="Arial" w:cs="Arial"/>
              </w:rPr>
              <w:t>4</w:t>
            </w:r>
          </w:p>
        </w:tc>
        <w:tc>
          <w:tcPr>
            <w:tcW w:w="3686" w:type="dxa"/>
          </w:tcPr>
          <w:p w:rsidR="00447206" w:rsidRPr="00CF4103" w:rsidRDefault="00447206" w:rsidP="00CF4103">
            <w:pPr>
              <w:spacing w:line="360" w:lineRule="auto"/>
              <w:jc w:val="both"/>
              <w:rPr>
                <w:rFonts w:ascii="Arial" w:hAnsi="Arial" w:cs="Arial"/>
              </w:rPr>
            </w:pPr>
            <w:r w:rsidRPr="00CF4103">
              <w:rPr>
                <w:rFonts w:ascii="Arial" w:hAnsi="Arial" w:cs="Arial"/>
              </w:rPr>
              <w:t>Tactical</w:t>
            </w:r>
          </w:p>
        </w:tc>
        <w:tc>
          <w:tcPr>
            <w:tcW w:w="3492" w:type="dxa"/>
          </w:tcPr>
          <w:p w:rsidR="00447206" w:rsidRPr="00CF4103" w:rsidRDefault="00447206" w:rsidP="00CF4103">
            <w:pPr>
              <w:spacing w:line="360" w:lineRule="auto"/>
              <w:jc w:val="both"/>
              <w:rPr>
                <w:rFonts w:ascii="Arial" w:hAnsi="Arial" w:cs="Arial"/>
              </w:rPr>
            </w:pPr>
            <w:r w:rsidRPr="00CF4103">
              <w:rPr>
                <w:rFonts w:ascii="Arial" w:hAnsi="Arial" w:cs="Arial"/>
              </w:rPr>
              <w:t>14 to 18</w:t>
            </w:r>
          </w:p>
        </w:tc>
      </w:tr>
      <w:tr w:rsidR="00447206" w:rsidRPr="00CF4103" w:rsidTr="00447206">
        <w:tc>
          <w:tcPr>
            <w:tcW w:w="758" w:type="dxa"/>
          </w:tcPr>
          <w:p w:rsidR="00447206" w:rsidRPr="00CF4103" w:rsidRDefault="00447206" w:rsidP="00CF4103">
            <w:pPr>
              <w:spacing w:line="360" w:lineRule="auto"/>
              <w:jc w:val="both"/>
              <w:rPr>
                <w:rFonts w:ascii="Arial" w:hAnsi="Arial" w:cs="Arial"/>
              </w:rPr>
            </w:pPr>
            <w:r w:rsidRPr="00CF4103">
              <w:rPr>
                <w:rFonts w:ascii="Arial" w:hAnsi="Arial" w:cs="Arial"/>
              </w:rPr>
              <w:t>5</w:t>
            </w:r>
          </w:p>
        </w:tc>
        <w:tc>
          <w:tcPr>
            <w:tcW w:w="3686" w:type="dxa"/>
          </w:tcPr>
          <w:p w:rsidR="00447206" w:rsidRPr="00CF4103" w:rsidRDefault="00447206" w:rsidP="00CF4103">
            <w:pPr>
              <w:spacing w:line="360" w:lineRule="auto"/>
              <w:jc w:val="both"/>
              <w:rPr>
                <w:rFonts w:ascii="Arial" w:hAnsi="Arial" w:cs="Arial"/>
              </w:rPr>
            </w:pPr>
            <w:r w:rsidRPr="00CF4103">
              <w:rPr>
                <w:rFonts w:ascii="Arial" w:hAnsi="Arial" w:cs="Arial"/>
              </w:rPr>
              <w:t>Strategic</w:t>
            </w:r>
          </w:p>
        </w:tc>
        <w:tc>
          <w:tcPr>
            <w:tcW w:w="3492" w:type="dxa"/>
          </w:tcPr>
          <w:p w:rsidR="00447206" w:rsidRPr="00CF4103" w:rsidRDefault="00447206" w:rsidP="00CF4103">
            <w:pPr>
              <w:spacing w:line="360" w:lineRule="auto"/>
              <w:jc w:val="both"/>
              <w:rPr>
                <w:rFonts w:ascii="Arial" w:hAnsi="Arial" w:cs="Arial"/>
              </w:rPr>
            </w:pPr>
            <w:r w:rsidRPr="00CF4103">
              <w:rPr>
                <w:rFonts w:ascii="Arial" w:hAnsi="Arial" w:cs="Arial"/>
              </w:rPr>
              <w:t>19 to 26</w:t>
            </w:r>
          </w:p>
        </w:tc>
      </w:tr>
    </w:tbl>
    <w:p w:rsidR="009E1C0E" w:rsidRPr="00CF4103" w:rsidRDefault="00466390" w:rsidP="00CF4103">
      <w:pPr>
        <w:spacing w:after="0" w:line="360" w:lineRule="auto"/>
        <w:ind w:left="1080"/>
        <w:jc w:val="both"/>
        <w:rPr>
          <w:rFonts w:ascii="Arial" w:hAnsi="Arial" w:cs="Arial"/>
          <w:sz w:val="24"/>
          <w:szCs w:val="24"/>
          <w:lang w:val="en-ZA"/>
        </w:rPr>
      </w:pPr>
      <w:r w:rsidRPr="00CF4103">
        <w:rPr>
          <w:rFonts w:ascii="Arial" w:hAnsi="Arial" w:cs="Arial"/>
          <w:sz w:val="24"/>
          <w:szCs w:val="24"/>
          <w:lang w:val="en-ZA"/>
        </w:rPr>
        <w:t xml:space="preserve"> </w:t>
      </w:r>
    </w:p>
    <w:p w:rsidR="00CF4103" w:rsidRDefault="00CF4103" w:rsidP="00CF4103">
      <w:pPr>
        <w:spacing w:after="0" w:line="360" w:lineRule="auto"/>
        <w:ind w:left="90"/>
        <w:jc w:val="both"/>
        <w:rPr>
          <w:rFonts w:ascii="Arial" w:hAnsi="Arial" w:cs="Arial"/>
          <w:sz w:val="24"/>
          <w:szCs w:val="24"/>
          <w:lang w:val="en-ZA"/>
        </w:rPr>
      </w:pPr>
    </w:p>
    <w:p w:rsidR="00CF4103" w:rsidRDefault="00CF4103" w:rsidP="00CF4103">
      <w:pPr>
        <w:spacing w:after="0" w:line="360" w:lineRule="auto"/>
        <w:ind w:left="90"/>
        <w:jc w:val="both"/>
        <w:rPr>
          <w:rFonts w:ascii="Arial" w:hAnsi="Arial" w:cs="Arial"/>
          <w:sz w:val="24"/>
          <w:szCs w:val="24"/>
          <w:lang w:val="en-ZA"/>
        </w:rPr>
      </w:pPr>
    </w:p>
    <w:p w:rsidR="009E1C0E" w:rsidRPr="00CF4103" w:rsidRDefault="009E1C0E" w:rsidP="00CF4103">
      <w:pPr>
        <w:spacing w:after="0" w:line="360" w:lineRule="auto"/>
        <w:ind w:left="90"/>
        <w:jc w:val="both"/>
        <w:rPr>
          <w:rFonts w:ascii="Arial" w:hAnsi="Arial" w:cs="Arial"/>
          <w:sz w:val="24"/>
          <w:szCs w:val="24"/>
          <w:lang w:val="en-ZA"/>
        </w:rPr>
      </w:pPr>
      <w:r w:rsidRPr="00CF4103">
        <w:rPr>
          <w:rFonts w:ascii="Arial" w:hAnsi="Arial" w:cs="Arial"/>
          <w:sz w:val="24"/>
          <w:szCs w:val="24"/>
          <w:lang w:val="en-ZA"/>
        </w:rPr>
        <w:t>According to eThekwini Metropolitan Municipality (EMM) which is a high-capacity municipality, in EMM posts are graded and remunerated based on their job content, scope of work and grade as follows:</w:t>
      </w:r>
    </w:p>
    <w:p w:rsidR="009E1C0E" w:rsidRPr="00CF4103" w:rsidRDefault="009E1C0E" w:rsidP="00CF4103">
      <w:pPr>
        <w:spacing w:after="0" w:line="360" w:lineRule="auto"/>
        <w:jc w:val="both"/>
        <w:rPr>
          <w:rFonts w:ascii="Arial" w:hAnsi="Arial" w:cs="Arial"/>
          <w:sz w:val="24"/>
          <w:szCs w:val="24"/>
          <w:lang w:val="en-ZA"/>
        </w:rPr>
      </w:pPr>
    </w:p>
    <w:p w:rsidR="009E1C0E" w:rsidRPr="00CF4103" w:rsidRDefault="009E1C0E" w:rsidP="00CF4103">
      <w:pPr>
        <w:numPr>
          <w:ilvl w:val="0"/>
          <w:numId w:val="20"/>
        </w:numPr>
        <w:spacing w:after="0" w:line="360" w:lineRule="auto"/>
        <w:jc w:val="both"/>
        <w:rPr>
          <w:rFonts w:ascii="Arial" w:hAnsi="Arial" w:cs="Arial"/>
          <w:sz w:val="24"/>
          <w:szCs w:val="24"/>
          <w:lang w:val="en-ZA"/>
        </w:rPr>
      </w:pPr>
      <w:r w:rsidRPr="00CF4103">
        <w:rPr>
          <w:rFonts w:ascii="Arial" w:hAnsi="Arial" w:cs="Arial"/>
          <w:sz w:val="24"/>
          <w:szCs w:val="24"/>
          <w:lang w:val="en-ZA"/>
        </w:rPr>
        <w:t>Candidate Engineer as T</w:t>
      </w:r>
      <w:r w:rsidR="00E41BA0" w:rsidRPr="00CF4103">
        <w:rPr>
          <w:rFonts w:ascii="Arial" w:hAnsi="Arial" w:cs="Arial"/>
          <w:sz w:val="24"/>
          <w:szCs w:val="24"/>
          <w:lang w:val="en-ZA"/>
        </w:rPr>
        <w:t>ask Grade</w:t>
      </w:r>
      <w:r w:rsidR="006543BD" w:rsidRPr="00CF4103">
        <w:rPr>
          <w:rFonts w:ascii="Arial" w:hAnsi="Arial" w:cs="Arial"/>
          <w:sz w:val="24"/>
          <w:szCs w:val="24"/>
          <w:lang w:val="en-ZA"/>
        </w:rPr>
        <w:t xml:space="preserve">(T) </w:t>
      </w:r>
      <w:r w:rsidRPr="00CF4103">
        <w:rPr>
          <w:rFonts w:ascii="Arial" w:hAnsi="Arial" w:cs="Arial"/>
          <w:sz w:val="24"/>
          <w:szCs w:val="24"/>
          <w:lang w:val="en-ZA"/>
        </w:rPr>
        <w:t>13</w:t>
      </w:r>
    </w:p>
    <w:p w:rsidR="009E1C0E" w:rsidRPr="00CF4103" w:rsidRDefault="009E1C0E" w:rsidP="00CF4103">
      <w:pPr>
        <w:numPr>
          <w:ilvl w:val="0"/>
          <w:numId w:val="20"/>
        </w:numPr>
        <w:spacing w:after="0" w:line="360" w:lineRule="auto"/>
        <w:jc w:val="both"/>
        <w:rPr>
          <w:rFonts w:ascii="Arial" w:hAnsi="Arial" w:cs="Arial"/>
          <w:sz w:val="24"/>
          <w:szCs w:val="24"/>
          <w:lang w:val="en-ZA"/>
        </w:rPr>
      </w:pPr>
      <w:r w:rsidRPr="00CF4103">
        <w:rPr>
          <w:rFonts w:ascii="Arial" w:hAnsi="Arial" w:cs="Arial"/>
          <w:sz w:val="24"/>
          <w:szCs w:val="24"/>
          <w:lang w:val="en-ZA"/>
        </w:rPr>
        <w:t>Engineer as T14</w:t>
      </w:r>
    </w:p>
    <w:p w:rsidR="009E1C0E" w:rsidRPr="00CF4103" w:rsidRDefault="009E1C0E" w:rsidP="00CF4103">
      <w:pPr>
        <w:numPr>
          <w:ilvl w:val="0"/>
          <w:numId w:val="20"/>
        </w:numPr>
        <w:spacing w:after="0" w:line="360" w:lineRule="auto"/>
        <w:jc w:val="both"/>
        <w:rPr>
          <w:rFonts w:ascii="Arial" w:hAnsi="Arial" w:cs="Arial"/>
          <w:sz w:val="24"/>
          <w:szCs w:val="24"/>
          <w:lang w:val="en-ZA"/>
        </w:rPr>
      </w:pPr>
      <w:r w:rsidRPr="00CF4103">
        <w:rPr>
          <w:rFonts w:ascii="Arial" w:hAnsi="Arial" w:cs="Arial"/>
          <w:sz w:val="24"/>
          <w:szCs w:val="24"/>
          <w:lang w:val="en-ZA"/>
        </w:rPr>
        <w:t>Senior Engineer as T15</w:t>
      </w:r>
    </w:p>
    <w:p w:rsidR="009E1C0E" w:rsidRPr="00CF4103" w:rsidRDefault="009E1C0E" w:rsidP="00CF4103">
      <w:pPr>
        <w:numPr>
          <w:ilvl w:val="0"/>
          <w:numId w:val="20"/>
        </w:numPr>
        <w:spacing w:after="0" w:line="360" w:lineRule="auto"/>
        <w:ind w:left="180" w:firstLine="900"/>
        <w:jc w:val="both"/>
        <w:rPr>
          <w:rFonts w:ascii="Arial" w:hAnsi="Arial" w:cs="Arial"/>
          <w:sz w:val="24"/>
          <w:szCs w:val="24"/>
          <w:lang w:val="en-ZA"/>
        </w:rPr>
      </w:pPr>
      <w:r w:rsidRPr="00CF4103">
        <w:rPr>
          <w:rFonts w:ascii="Arial" w:hAnsi="Arial" w:cs="Arial"/>
          <w:sz w:val="24"/>
          <w:szCs w:val="24"/>
          <w:lang w:val="en-ZA"/>
        </w:rPr>
        <w:t>Chief Engineer as T16</w:t>
      </w:r>
    </w:p>
    <w:p w:rsidR="009E1C0E" w:rsidRPr="00CF4103" w:rsidRDefault="009E1C0E" w:rsidP="00CF4103">
      <w:pPr>
        <w:spacing w:after="0" w:line="360" w:lineRule="auto"/>
        <w:ind w:left="180" w:firstLine="900"/>
        <w:jc w:val="both"/>
        <w:rPr>
          <w:rFonts w:ascii="Arial" w:hAnsi="Arial" w:cs="Arial"/>
          <w:sz w:val="24"/>
          <w:szCs w:val="24"/>
          <w:lang w:val="en-ZA"/>
        </w:rPr>
      </w:pPr>
    </w:p>
    <w:p w:rsidR="009E1C0E" w:rsidRPr="00CF4103" w:rsidRDefault="009E1C0E" w:rsidP="00CF4103">
      <w:pPr>
        <w:spacing w:after="0" w:line="360" w:lineRule="auto"/>
        <w:ind w:left="180"/>
        <w:jc w:val="both"/>
        <w:rPr>
          <w:rFonts w:ascii="Arial" w:hAnsi="Arial" w:cs="Arial"/>
          <w:sz w:val="24"/>
          <w:szCs w:val="24"/>
          <w:lang w:val="en-ZA"/>
        </w:rPr>
      </w:pPr>
      <w:r w:rsidRPr="00CF4103">
        <w:rPr>
          <w:rFonts w:ascii="Arial" w:hAnsi="Arial" w:cs="Arial"/>
          <w:sz w:val="24"/>
          <w:szCs w:val="24"/>
          <w:lang w:val="en-ZA"/>
        </w:rPr>
        <w:t>In EMM, all levels (T13 to T16 above) are required to be registered with the Engineering Council of South Africa (ECSA) with the Candidate Engineer level requiring eligibility for registering. At Senior Engineer level upwards, professional registration is a pre-requisite and a Scarce Skills Allowance is provided. Furthermore, at EMM, the term Engineer is not used generically for engineering personnel.  A post designated as an Engineer is for those with a Bachelor of Science (BSc) qualification in the respective discipline and professional registration with ECSA. It is worth noting that the salary scales do overlap for example an official on T13 may earn more than another on T14, and one on T15 may earn more than another on T16 depending on their respective years of experience.</w:t>
      </w:r>
    </w:p>
    <w:p w:rsidR="009E1C0E" w:rsidRPr="00CF4103" w:rsidRDefault="009E1C0E" w:rsidP="00CF4103">
      <w:pPr>
        <w:spacing w:after="0" w:line="360" w:lineRule="auto"/>
        <w:ind w:left="180" w:firstLine="900"/>
        <w:jc w:val="both"/>
        <w:rPr>
          <w:rFonts w:ascii="Arial" w:hAnsi="Arial" w:cs="Arial"/>
          <w:sz w:val="24"/>
          <w:szCs w:val="24"/>
          <w:lang w:val="en-ZA"/>
        </w:rPr>
      </w:pPr>
    </w:p>
    <w:p w:rsidR="009E1C0E" w:rsidRPr="00CF4103" w:rsidRDefault="00F72A8D" w:rsidP="00CF4103">
      <w:pPr>
        <w:spacing w:line="360" w:lineRule="auto"/>
        <w:ind w:left="180"/>
        <w:jc w:val="both"/>
        <w:rPr>
          <w:rFonts w:ascii="Arial" w:hAnsi="Arial" w:cs="Arial"/>
          <w:sz w:val="24"/>
          <w:szCs w:val="24"/>
          <w:lang w:val="en-ZA"/>
        </w:rPr>
      </w:pPr>
      <w:r w:rsidRPr="00CF4103">
        <w:rPr>
          <w:rFonts w:ascii="Arial" w:hAnsi="Arial" w:cs="Arial"/>
          <w:sz w:val="24"/>
          <w:szCs w:val="24"/>
          <w:lang w:val="en-ZA"/>
        </w:rPr>
        <w:t>There is no uniformity across municipalities because of a number of reasons that include the different categorisation mentioned above as well as different powers and functions.</w:t>
      </w:r>
      <w:r w:rsidR="0033405F" w:rsidRPr="00CF4103">
        <w:rPr>
          <w:rFonts w:ascii="Arial" w:hAnsi="Arial" w:cs="Arial"/>
          <w:sz w:val="24"/>
          <w:szCs w:val="24"/>
          <w:lang w:val="en-ZA"/>
        </w:rPr>
        <w:t xml:space="preserve"> </w:t>
      </w:r>
      <w:r w:rsidR="00FD6027" w:rsidRPr="00CF4103">
        <w:rPr>
          <w:rFonts w:ascii="Arial" w:hAnsi="Arial" w:cs="Arial"/>
          <w:sz w:val="24"/>
          <w:szCs w:val="24"/>
          <w:lang w:val="en-ZA"/>
        </w:rPr>
        <w:t>As a result, engineers appointed in different municipalities will not be necessarily on same Task Grades nor same salary scales.</w:t>
      </w:r>
    </w:p>
    <w:p w:rsidR="009E1C0E" w:rsidRDefault="00CF4103" w:rsidP="00CF4103">
      <w:pPr>
        <w:numPr>
          <w:ilvl w:val="0"/>
          <w:numId w:val="21"/>
        </w:numPr>
        <w:spacing w:after="0" w:line="360" w:lineRule="auto"/>
        <w:ind w:left="540"/>
        <w:contextualSpacing/>
        <w:jc w:val="both"/>
        <w:rPr>
          <w:rFonts w:ascii="Arial" w:eastAsia="SimSun" w:hAnsi="Arial" w:cs="Arial"/>
          <w:sz w:val="24"/>
          <w:szCs w:val="24"/>
          <w:lang w:val="en-ZA" w:eastAsia="en-ZA"/>
        </w:rPr>
      </w:pPr>
      <w:r w:rsidRPr="00CF4103">
        <w:rPr>
          <w:rFonts w:ascii="Arial" w:eastAsia="SimSun" w:hAnsi="Arial" w:cs="Arial"/>
          <w:sz w:val="24"/>
          <w:szCs w:val="24"/>
          <w:lang w:val="en-ZA" w:eastAsia="en-ZA"/>
        </w:rPr>
        <w:t xml:space="preserve">No statement will be made. </w:t>
      </w:r>
      <w:r w:rsidR="009E1C0E" w:rsidRPr="00CF4103">
        <w:rPr>
          <w:rFonts w:ascii="Arial" w:eastAsia="SimSun" w:hAnsi="Arial" w:cs="Arial"/>
          <w:sz w:val="24"/>
          <w:szCs w:val="24"/>
          <w:lang w:val="en-ZA" w:eastAsia="en-ZA"/>
        </w:rPr>
        <w:t xml:space="preserve">The Minister promulgated the </w:t>
      </w:r>
      <w:r w:rsidR="00FB1058" w:rsidRPr="00CF4103">
        <w:rPr>
          <w:rFonts w:ascii="Arial" w:eastAsia="SimSun" w:hAnsi="Arial" w:cs="Arial"/>
          <w:sz w:val="24"/>
          <w:szCs w:val="24"/>
          <w:lang w:val="en-ZA" w:eastAsia="en-ZA"/>
        </w:rPr>
        <w:t>Municipal Staff R</w:t>
      </w:r>
      <w:r w:rsidR="009E1C0E" w:rsidRPr="00CF4103">
        <w:rPr>
          <w:rFonts w:ascii="Arial" w:eastAsia="SimSun" w:hAnsi="Arial" w:cs="Arial"/>
          <w:sz w:val="24"/>
          <w:szCs w:val="24"/>
          <w:lang w:val="en-ZA" w:eastAsia="en-ZA"/>
        </w:rPr>
        <w:t>egulations setting uniform standards</w:t>
      </w:r>
      <w:r w:rsidR="00FD6027" w:rsidRPr="00CF4103">
        <w:rPr>
          <w:rFonts w:ascii="Arial" w:eastAsia="SimSun" w:hAnsi="Arial" w:cs="Arial"/>
          <w:sz w:val="24"/>
          <w:szCs w:val="24"/>
          <w:lang w:val="en-ZA" w:eastAsia="en-ZA"/>
        </w:rPr>
        <w:t xml:space="preserve"> and guidelines</w:t>
      </w:r>
      <w:r w:rsidR="009E1C0E" w:rsidRPr="00CF4103">
        <w:rPr>
          <w:rFonts w:ascii="Arial" w:eastAsia="SimSun" w:hAnsi="Arial" w:cs="Arial"/>
          <w:sz w:val="24"/>
          <w:szCs w:val="24"/>
          <w:lang w:val="en-ZA" w:eastAsia="en-ZA"/>
        </w:rPr>
        <w:t xml:space="preserve"> for all municipal staff in the Government Gazette No. 45181. The regulations took</w:t>
      </w:r>
      <w:r w:rsidR="00FD6027" w:rsidRPr="00CF4103">
        <w:rPr>
          <w:rFonts w:ascii="Arial" w:eastAsia="SimSun" w:hAnsi="Arial" w:cs="Arial"/>
          <w:sz w:val="24"/>
          <w:szCs w:val="24"/>
          <w:lang w:val="en-ZA" w:eastAsia="en-ZA"/>
        </w:rPr>
        <w:t xml:space="preserve"> effect on</w:t>
      </w:r>
      <w:r w:rsidR="009E1C0E" w:rsidRPr="00CF4103">
        <w:rPr>
          <w:rFonts w:ascii="Arial" w:eastAsia="SimSun" w:hAnsi="Arial" w:cs="Arial"/>
          <w:sz w:val="24"/>
          <w:szCs w:val="24"/>
          <w:lang w:val="en-ZA" w:eastAsia="en-ZA"/>
        </w:rPr>
        <w:t xml:space="preserve"> 1 July 2022.</w:t>
      </w:r>
    </w:p>
    <w:p w:rsidR="00CF4103" w:rsidRPr="00CF4103" w:rsidRDefault="00CF4103" w:rsidP="00CF4103">
      <w:pPr>
        <w:spacing w:after="0" w:line="360" w:lineRule="auto"/>
        <w:contextualSpacing/>
        <w:jc w:val="both"/>
        <w:rPr>
          <w:rFonts w:ascii="Arial" w:eastAsia="SimSun" w:hAnsi="Arial" w:cs="Arial"/>
          <w:sz w:val="24"/>
          <w:szCs w:val="24"/>
          <w:lang w:val="en-ZA" w:eastAsia="en-ZA"/>
        </w:rPr>
      </w:pPr>
      <w:r>
        <w:rPr>
          <w:rFonts w:ascii="Arial" w:eastAsia="SimSun" w:hAnsi="Arial" w:cs="Arial"/>
          <w:sz w:val="24"/>
          <w:szCs w:val="24"/>
          <w:lang w:val="en-ZA" w:eastAsia="en-ZA"/>
        </w:rPr>
        <w:t xml:space="preserve">End. </w:t>
      </w:r>
    </w:p>
    <w:p w:rsidR="003E69FA" w:rsidRPr="007C6488" w:rsidRDefault="003E69FA" w:rsidP="007C6488">
      <w:pPr>
        <w:spacing w:after="0" w:line="360" w:lineRule="auto"/>
        <w:jc w:val="center"/>
        <w:rPr>
          <w:rFonts w:ascii="Arial" w:hAnsi="Arial" w:cs="Arial"/>
          <w:iCs/>
          <w:sz w:val="24"/>
          <w:szCs w:val="24"/>
          <w:lang w:val="en-ZA"/>
        </w:rPr>
      </w:pPr>
    </w:p>
    <w:sectPr w:rsidR="003E69FA" w:rsidRPr="007C6488" w:rsidSect="00991816">
      <w:headerReference w:type="default" r:id="rId11"/>
      <w:footerReference w:type="default" r:id="rId12"/>
      <w:footerReference w:type="first" r:id="rId13"/>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75C" w:rsidRDefault="00A2075C">
      <w:pPr>
        <w:spacing w:after="0" w:line="240" w:lineRule="auto"/>
      </w:pPr>
      <w:r>
        <w:separator/>
      </w:r>
    </w:p>
  </w:endnote>
  <w:endnote w:type="continuationSeparator" w:id="0">
    <w:p w:rsidR="00A2075C" w:rsidRDefault="00A20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809317"/>
      <w:docPartObj>
        <w:docPartGallery w:val="Page Numbers (Bottom of Page)"/>
        <w:docPartUnique/>
      </w:docPartObj>
    </w:sdtPr>
    <w:sdtEndPr>
      <w:rPr>
        <w:noProof/>
      </w:rPr>
    </w:sdtEndPr>
    <w:sdtContent>
      <w:p w:rsidR="003E59E2" w:rsidRDefault="00080299">
        <w:pPr>
          <w:pStyle w:val="Footer"/>
          <w:jc w:val="center"/>
        </w:pPr>
        <w:r>
          <w:fldChar w:fldCharType="begin"/>
        </w:r>
        <w:r w:rsidR="003E59E2">
          <w:instrText xml:space="preserve"> PAGE   \* MERGEFORMAT </w:instrText>
        </w:r>
        <w:r>
          <w:fldChar w:fldCharType="separate"/>
        </w:r>
        <w:r w:rsidR="00DE5B80">
          <w:rPr>
            <w:noProof/>
          </w:rPr>
          <w:t>2</w:t>
        </w:r>
        <w:r>
          <w:rPr>
            <w:noProof/>
          </w:rPr>
          <w:fldChar w:fldCharType="end"/>
        </w:r>
      </w:p>
    </w:sdtContent>
  </w:sdt>
  <w:p w:rsidR="00991816" w:rsidRDefault="00A2075C" w:rsidP="00991816">
    <w:pPr>
      <w:pStyle w:val="Footer"/>
      <w:tabs>
        <w:tab w:val="left" w:pos="57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6" w:rsidRPr="000A02A6" w:rsidRDefault="000A02A6" w:rsidP="000A02A6">
    <w:pPr>
      <w:pStyle w:val="Footer"/>
      <w:rPr>
        <w:lang w:val="en-US"/>
      </w:rPr>
    </w:pPr>
  </w:p>
  <w:p w:rsidR="000A02A6" w:rsidRDefault="000A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75C" w:rsidRDefault="00A2075C">
      <w:pPr>
        <w:spacing w:after="0" w:line="240" w:lineRule="auto"/>
      </w:pPr>
      <w:r>
        <w:separator/>
      </w:r>
    </w:p>
  </w:footnote>
  <w:footnote w:type="continuationSeparator" w:id="0">
    <w:p w:rsidR="00A2075C" w:rsidRDefault="00A20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080299"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CEF"/>
    <w:multiLevelType w:val="hybridMultilevel"/>
    <w:tmpl w:val="14AC7118"/>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9686214"/>
    <w:multiLevelType w:val="hybridMultilevel"/>
    <w:tmpl w:val="280CE0E0"/>
    <w:lvl w:ilvl="0" w:tplc="CBA64826">
      <w:start w:val="1"/>
      <w:numFmt w:val="decimal"/>
      <w:lvlText w:val="%1."/>
      <w:lvlJc w:val="left"/>
      <w:pPr>
        <w:ind w:left="900" w:hanging="360"/>
      </w:pPr>
      <w:rPr>
        <w:rFonts w:hint="default"/>
      </w:rPr>
    </w:lvl>
    <w:lvl w:ilvl="1" w:tplc="1C090019">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3">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D3F2188"/>
    <w:multiLevelType w:val="hybridMultilevel"/>
    <w:tmpl w:val="49268E96"/>
    <w:lvl w:ilvl="0" w:tplc="1C090019">
      <w:start w:val="1"/>
      <w:numFmt w:val="lowerLetter"/>
      <w:lvlText w:val="%1."/>
      <w:lvlJc w:val="lef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5">
    <w:nsid w:val="208D7CFC"/>
    <w:multiLevelType w:val="hybridMultilevel"/>
    <w:tmpl w:val="224CFE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A665022"/>
    <w:multiLevelType w:val="hybridMultilevel"/>
    <w:tmpl w:val="EB1EA3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A843CDB"/>
    <w:multiLevelType w:val="hybridMultilevel"/>
    <w:tmpl w:val="86284E10"/>
    <w:lvl w:ilvl="0" w:tplc="807CB496">
      <w:start w:val="1"/>
      <w:numFmt w:val="lowerLetter"/>
      <w:lvlText w:val="%1)"/>
      <w:lvlJc w:val="left"/>
      <w:pPr>
        <w:ind w:left="1069" w:hanging="360"/>
      </w:pPr>
      <w:rPr>
        <w:rFonts w:hint="default"/>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8">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9">
    <w:nsid w:val="3ED11960"/>
    <w:multiLevelType w:val="hybridMultilevel"/>
    <w:tmpl w:val="0DD28AB8"/>
    <w:lvl w:ilvl="0" w:tplc="963C19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74D7431"/>
    <w:multiLevelType w:val="hybridMultilevel"/>
    <w:tmpl w:val="7EA27C7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03E755D"/>
    <w:multiLevelType w:val="hybridMultilevel"/>
    <w:tmpl w:val="86865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4">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DFF1C19"/>
    <w:multiLevelType w:val="hybridMultilevel"/>
    <w:tmpl w:val="A254FA10"/>
    <w:lvl w:ilvl="0" w:tplc="1C09001B">
      <w:start w:val="1"/>
      <w:numFmt w:val="low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7">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D39A8"/>
    <w:multiLevelType w:val="hybridMultilevel"/>
    <w:tmpl w:val="559EF584"/>
    <w:lvl w:ilvl="0" w:tplc="4C76AF24">
      <w:start w:val="1"/>
      <w:numFmt w:val="bullet"/>
      <w:lvlText w:val="•"/>
      <w:lvlJc w:val="left"/>
      <w:pPr>
        <w:tabs>
          <w:tab w:val="num" w:pos="720"/>
        </w:tabs>
        <w:ind w:left="720" w:hanging="360"/>
      </w:pPr>
      <w:rPr>
        <w:rFonts w:ascii="Arial" w:hAnsi="Arial" w:hint="default"/>
      </w:rPr>
    </w:lvl>
    <w:lvl w:ilvl="1" w:tplc="87624E96" w:tentative="1">
      <w:start w:val="1"/>
      <w:numFmt w:val="bullet"/>
      <w:lvlText w:val="•"/>
      <w:lvlJc w:val="left"/>
      <w:pPr>
        <w:tabs>
          <w:tab w:val="num" w:pos="1440"/>
        </w:tabs>
        <w:ind w:left="1440" w:hanging="360"/>
      </w:pPr>
      <w:rPr>
        <w:rFonts w:ascii="Arial" w:hAnsi="Arial" w:hint="default"/>
      </w:rPr>
    </w:lvl>
    <w:lvl w:ilvl="2" w:tplc="5058A952" w:tentative="1">
      <w:start w:val="1"/>
      <w:numFmt w:val="bullet"/>
      <w:lvlText w:val="•"/>
      <w:lvlJc w:val="left"/>
      <w:pPr>
        <w:tabs>
          <w:tab w:val="num" w:pos="2160"/>
        </w:tabs>
        <w:ind w:left="2160" w:hanging="360"/>
      </w:pPr>
      <w:rPr>
        <w:rFonts w:ascii="Arial" w:hAnsi="Arial" w:hint="default"/>
      </w:rPr>
    </w:lvl>
    <w:lvl w:ilvl="3" w:tplc="19C28F00" w:tentative="1">
      <w:start w:val="1"/>
      <w:numFmt w:val="bullet"/>
      <w:lvlText w:val="•"/>
      <w:lvlJc w:val="left"/>
      <w:pPr>
        <w:tabs>
          <w:tab w:val="num" w:pos="2880"/>
        </w:tabs>
        <w:ind w:left="2880" w:hanging="360"/>
      </w:pPr>
      <w:rPr>
        <w:rFonts w:ascii="Arial" w:hAnsi="Arial" w:hint="default"/>
      </w:rPr>
    </w:lvl>
    <w:lvl w:ilvl="4" w:tplc="7ADCB024" w:tentative="1">
      <w:start w:val="1"/>
      <w:numFmt w:val="bullet"/>
      <w:lvlText w:val="•"/>
      <w:lvlJc w:val="left"/>
      <w:pPr>
        <w:tabs>
          <w:tab w:val="num" w:pos="3600"/>
        </w:tabs>
        <w:ind w:left="3600" w:hanging="360"/>
      </w:pPr>
      <w:rPr>
        <w:rFonts w:ascii="Arial" w:hAnsi="Arial" w:hint="default"/>
      </w:rPr>
    </w:lvl>
    <w:lvl w:ilvl="5" w:tplc="E0AA8596" w:tentative="1">
      <w:start w:val="1"/>
      <w:numFmt w:val="bullet"/>
      <w:lvlText w:val="•"/>
      <w:lvlJc w:val="left"/>
      <w:pPr>
        <w:tabs>
          <w:tab w:val="num" w:pos="4320"/>
        </w:tabs>
        <w:ind w:left="4320" w:hanging="360"/>
      </w:pPr>
      <w:rPr>
        <w:rFonts w:ascii="Arial" w:hAnsi="Arial" w:hint="default"/>
      </w:rPr>
    </w:lvl>
    <w:lvl w:ilvl="6" w:tplc="4E36E628" w:tentative="1">
      <w:start w:val="1"/>
      <w:numFmt w:val="bullet"/>
      <w:lvlText w:val="•"/>
      <w:lvlJc w:val="left"/>
      <w:pPr>
        <w:tabs>
          <w:tab w:val="num" w:pos="5040"/>
        </w:tabs>
        <w:ind w:left="5040" w:hanging="360"/>
      </w:pPr>
      <w:rPr>
        <w:rFonts w:ascii="Arial" w:hAnsi="Arial" w:hint="default"/>
      </w:rPr>
    </w:lvl>
    <w:lvl w:ilvl="7" w:tplc="4B5A2F06" w:tentative="1">
      <w:start w:val="1"/>
      <w:numFmt w:val="bullet"/>
      <w:lvlText w:val="•"/>
      <w:lvlJc w:val="left"/>
      <w:pPr>
        <w:tabs>
          <w:tab w:val="num" w:pos="5760"/>
        </w:tabs>
        <w:ind w:left="5760" w:hanging="360"/>
      </w:pPr>
      <w:rPr>
        <w:rFonts w:ascii="Arial" w:hAnsi="Arial" w:hint="default"/>
      </w:rPr>
    </w:lvl>
    <w:lvl w:ilvl="8" w:tplc="5AD633FA" w:tentative="1">
      <w:start w:val="1"/>
      <w:numFmt w:val="bullet"/>
      <w:lvlText w:val="•"/>
      <w:lvlJc w:val="left"/>
      <w:pPr>
        <w:tabs>
          <w:tab w:val="num" w:pos="6480"/>
        </w:tabs>
        <w:ind w:left="6480" w:hanging="360"/>
      </w:pPr>
      <w:rPr>
        <w:rFonts w:ascii="Arial" w:hAnsi="Arial" w:hint="default"/>
      </w:rPr>
    </w:lvl>
  </w:abstractNum>
  <w:abstractNum w:abstractNumId="19">
    <w:nsid w:val="71D01986"/>
    <w:multiLevelType w:val="hybridMultilevel"/>
    <w:tmpl w:val="E1A8711A"/>
    <w:lvl w:ilvl="0" w:tplc="D110D6F4">
      <w:start w:val="2"/>
      <w:numFmt w:val="lowerLetter"/>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20">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7"/>
  </w:num>
  <w:num w:numId="2">
    <w:abstractNumId w:val="8"/>
  </w:num>
  <w:num w:numId="3">
    <w:abstractNumId w:val="11"/>
  </w:num>
  <w:num w:numId="4">
    <w:abstractNumId w:val="14"/>
  </w:num>
  <w:num w:numId="5">
    <w:abstractNumId w:val="20"/>
  </w:num>
  <w:num w:numId="6">
    <w:abstractNumId w:val="1"/>
  </w:num>
  <w:num w:numId="7">
    <w:abstractNumId w:val="13"/>
  </w:num>
  <w:num w:numId="8">
    <w:abstractNumId w:val="15"/>
  </w:num>
  <w:num w:numId="9">
    <w:abstractNumId w:val="3"/>
  </w:num>
  <w:num w:numId="10">
    <w:abstractNumId w:val="7"/>
  </w:num>
  <w:num w:numId="11">
    <w:abstractNumId w:val="16"/>
  </w:num>
  <w:num w:numId="12">
    <w:abstractNumId w:val="18"/>
  </w:num>
  <w:num w:numId="13">
    <w:abstractNumId w:val="12"/>
  </w:num>
  <w:num w:numId="14">
    <w:abstractNumId w:val="9"/>
  </w:num>
  <w:num w:numId="15">
    <w:abstractNumId w:val="5"/>
  </w:num>
  <w:num w:numId="16">
    <w:abstractNumId w:val="6"/>
  </w:num>
  <w:num w:numId="17">
    <w:abstractNumId w:val="2"/>
  </w:num>
  <w:num w:numId="18">
    <w:abstractNumId w:val="4"/>
  </w:num>
  <w:num w:numId="19">
    <w:abstractNumId w:val="19"/>
  </w:num>
  <w:num w:numId="20">
    <w:abstractNumId w:val="1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26A21"/>
    <w:rsid w:val="000417D1"/>
    <w:rsid w:val="00052126"/>
    <w:rsid w:val="00080299"/>
    <w:rsid w:val="000839CE"/>
    <w:rsid w:val="00091D0A"/>
    <w:rsid w:val="00093904"/>
    <w:rsid w:val="000A02A6"/>
    <w:rsid w:val="000A51CC"/>
    <w:rsid w:val="000B7F68"/>
    <w:rsid w:val="000C0F1E"/>
    <w:rsid w:val="000C2E91"/>
    <w:rsid w:val="000D3E41"/>
    <w:rsid w:val="00137D5E"/>
    <w:rsid w:val="00151496"/>
    <w:rsid w:val="00162AD7"/>
    <w:rsid w:val="00194CEE"/>
    <w:rsid w:val="001D0D24"/>
    <w:rsid w:val="001D10B6"/>
    <w:rsid w:val="001E4112"/>
    <w:rsid w:val="001E619D"/>
    <w:rsid w:val="00223124"/>
    <w:rsid w:val="0023109A"/>
    <w:rsid w:val="00233C10"/>
    <w:rsid w:val="00243B04"/>
    <w:rsid w:val="00257D2E"/>
    <w:rsid w:val="00286EBA"/>
    <w:rsid w:val="00294464"/>
    <w:rsid w:val="002C7F41"/>
    <w:rsid w:val="002D30C9"/>
    <w:rsid w:val="002D6411"/>
    <w:rsid w:val="002E5BBE"/>
    <w:rsid w:val="002F1D71"/>
    <w:rsid w:val="0033405F"/>
    <w:rsid w:val="00353220"/>
    <w:rsid w:val="00366443"/>
    <w:rsid w:val="00373E1E"/>
    <w:rsid w:val="00385FC1"/>
    <w:rsid w:val="003909A6"/>
    <w:rsid w:val="003A1921"/>
    <w:rsid w:val="003A1C60"/>
    <w:rsid w:val="003B3B7D"/>
    <w:rsid w:val="003C382F"/>
    <w:rsid w:val="003C52C7"/>
    <w:rsid w:val="003C5C02"/>
    <w:rsid w:val="003E59E2"/>
    <w:rsid w:val="003E69FA"/>
    <w:rsid w:val="003E6A33"/>
    <w:rsid w:val="00424303"/>
    <w:rsid w:val="00447206"/>
    <w:rsid w:val="00466390"/>
    <w:rsid w:val="004811CA"/>
    <w:rsid w:val="00484344"/>
    <w:rsid w:val="0048561C"/>
    <w:rsid w:val="004959A4"/>
    <w:rsid w:val="004B30BE"/>
    <w:rsid w:val="004B6B30"/>
    <w:rsid w:val="004D004C"/>
    <w:rsid w:val="004F5F95"/>
    <w:rsid w:val="00503FE7"/>
    <w:rsid w:val="005054D3"/>
    <w:rsid w:val="00516BBD"/>
    <w:rsid w:val="0051776C"/>
    <w:rsid w:val="005727C0"/>
    <w:rsid w:val="0057627D"/>
    <w:rsid w:val="00591FB4"/>
    <w:rsid w:val="00597E2B"/>
    <w:rsid w:val="005A4B93"/>
    <w:rsid w:val="005C7551"/>
    <w:rsid w:val="005E1613"/>
    <w:rsid w:val="005E3613"/>
    <w:rsid w:val="005F1617"/>
    <w:rsid w:val="00601CBD"/>
    <w:rsid w:val="0061602F"/>
    <w:rsid w:val="0061695C"/>
    <w:rsid w:val="00620EA9"/>
    <w:rsid w:val="00625B5B"/>
    <w:rsid w:val="00631210"/>
    <w:rsid w:val="00647236"/>
    <w:rsid w:val="0065136F"/>
    <w:rsid w:val="00653797"/>
    <w:rsid w:val="006543BD"/>
    <w:rsid w:val="00664F2E"/>
    <w:rsid w:val="00665753"/>
    <w:rsid w:val="006825C5"/>
    <w:rsid w:val="006D3BEB"/>
    <w:rsid w:val="006D4A62"/>
    <w:rsid w:val="006E28E8"/>
    <w:rsid w:val="006F5009"/>
    <w:rsid w:val="00702317"/>
    <w:rsid w:val="00732518"/>
    <w:rsid w:val="00762FB7"/>
    <w:rsid w:val="007852A8"/>
    <w:rsid w:val="00786856"/>
    <w:rsid w:val="007952C8"/>
    <w:rsid w:val="007B3739"/>
    <w:rsid w:val="007C0872"/>
    <w:rsid w:val="007C11EC"/>
    <w:rsid w:val="007C6488"/>
    <w:rsid w:val="007D09EE"/>
    <w:rsid w:val="007D2631"/>
    <w:rsid w:val="007E6C35"/>
    <w:rsid w:val="00805760"/>
    <w:rsid w:val="00814488"/>
    <w:rsid w:val="00816D9E"/>
    <w:rsid w:val="00832FD0"/>
    <w:rsid w:val="00843BEE"/>
    <w:rsid w:val="008653CB"/>
    <w:rsid w:val="00871563"/>
    <w:rsid w:val="00874A4F"/>
    <w:rsid w:val="008A0EF2"/>
    <w:rsid w:val="008A3B73"/>
    <w:rsid w:val="008B3A8F"/>
    <w:rsid w:val="008D40C8"/>
    <w:rsid w:val="008E0649"/>
    <w:rsid w:val="008E31B1"/>
    <w:rsid w:val="008F770E"/>
    <w:rsid w:val="0090052F"/>
    <w:rsid w:val="0093089F"/>
    <w:rsid w:val="00937ECE"/>
    <w:rsid w:val="00945387"/>
    <w:rsid w:val="009555DD"/>
    <w:rsid w:val="00974A1A"/>
    <w:rsid w:val="009802C7"/>
    <w:rsid w:val="009935BA"/>
    <w:rsid w:val="009A5458"/>
    <w:rsid w:val="009D5825"/>
    <w:rsid w:val="009E1C0E"/>
    <w:rsid w:val="009F409E"/>
    <w:rsid w:val="00A2075C"/>
    <w:rsid w:val="00A25430"/>
    <w:rsid w:val="00A430A0"/>
    <w:rsid w:val="00A43DD2"/>
    <w:rsid w:val="00A47959"/>
    <w:rsid w:val="00A50FE3"/>
    <w:rsid w:val="00A72DBF"/>
    <w:rsid w:val="00A72E99"/>
    <w:rsid w:val="00A7488E"/>
    <w:rsid w:val="00AB2363"/>
    <w:rsid w:val="00AB75B3"/>
    <w:rsid w:val="00B11C78"/>
    <w:rsid w:val="00B158B2"/>
    <w:rsid w:val="00B27F28"/>
    <w:rsid w:val="00B32422"/>
    <w:rsid w:val="00B451F4"/>
    <w:rsid w:val="00B65814"/>
    <w:rsid w:val="00B73E36"/>
    <w:rsid w:val="00B75DE0"/>
    <w:rsid w:val="00B94F18"/>
    <w:rsid w:val="00BA63EA"/>
    <w:rsid w:val="00BA70EC"/>
    <w:rsid w:val="00BB5AEA"/>
    <w:rsid w:val="00BD168D"/>
    <w:rsid w:val="00BD3076"/>
    <w:rsid w:val="00BD3B38"/>
    <w:rsid w:val="00BE0763"/>
    <w:rsid w:val="00BE3006"/>
    <w:rsid w:val="00C11496"/>
    <w:rsid w:val="00C230DB"/>
    <w:rsid w:val="00C27FDD"/>
    <w:rsid w:val="00C501F2"/>
    <w:rsid w:val="00C53ABA"/>
    <w:rsid w:val="00C57FB2"/>
    <w:rsid w:val="00C6275F"/>
    <w:rsid w:val="00C76FD8"/>
    <w:rsid w:val="00C82722"/>
    <w:rsid w:val="00C97929"/>
    <w:rsid w:val="00CB0A26"/>
    <w:rsid w:val="00CB22AF"/>
    <w:rsid w:val="00CB6652"/>
    <w:rsid w:val="00CC1D6B"/>
    <w:rsid w:val="00CC25AD"/>
    <w:rsid w:val="00CD0701"/>
    <w:rsid w:val="00CE6396"/>
    <w:rsid w:val="00CF4103"/>
    <w:rsid w:val="00D20C82"/>
    <w:rsid w:val="00D21B6B"/>
    <w:rsid w:val="00D25AE1"/>
    <w:rsid w:val="00D4674B"/>
    <w:rsid w:val="00D54D75"/>
    <w:rsid w:val="00D97FFA"/>
    <w:rsid w:val="00DA44DD"/>
    <w:rsid w:val="00DA6CE9"/>
    <w:rsid w:val="00DB1183"/>
    <w:rsid w:val="00DB2B80"/>
    <w:rsid w:val="00DE5B80"/>
    <w:rsid w:val="00DF14D4"/>
    <w:rsid w:val="00DF1F02"/>
    <w:rsid w:val="00E22512"/>
    <w:rsid w:val="00E41BA0"/>
    <w:rsid w:val="00E43E3E"/>
    <w:rsid w:val="00E677D8"/>
    <w:rsid w:val="00E8033C"/>
    <w:rsid w:val="00E85BE9"/>
    <w:rsid w:val="00EA4401"/>
    <w:rsid w:val="00EC06D4"/>
    <w:rsid w:val="00ED279F"/>
    <w:rsid w:val="00ED2B91"/>
    <w:rsid w:val="00ED3BD0"/>
    <w:rsid w:val="00EE6919"/>
    <w:rsid w:val="00EF7F51"/>
    <w:rsid w:val="00F13459"/>
    <w:rsid w:val="00F22E61"/>
    <w:rsid w:val="00F61CC4"/>
    <w:rsid w:val="00F632F5"/>
    <w:rsid w:val="00F63509"/>
    <w:rsid w:val="00F72A8D"/>
    <w:rsid w:val="00F834C7"/>
    <w:rsid w:val="00F86664"/>
    <w:rsid w:val="00F924D7"/>
    <w:rsid w:val="00F94816"/>
    <w:rsid w:val="00F96A94"/>
    <w:rsid w:val="00FA6385"/>
    <w:rsid w:val="00FB1058"/>
    <w:rsid w:val="00FB4715"/>
    <w:rsid w:val="00FB60BB"/>
    <w:rsid w:val="00FC0108"/>
    <w:rsid w:val="00FC3EC4"/>
    <w:rsid w:val="00FC6A22"/>
    <w:rsid w:val="00FD6027"/>
    <w:rsid w:val="00FE2F5D"/>
    <w:rsid w:val="00FE7D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paragraph" w:styleId="Heading2">
    <w:name w:val="heading 2"/>
    <w:basedOn w:val="Normal"/>
    <w:next w:val="Normal"/>
    <w:link w:val="Heading2Char"/>
    <w:uiPriority w:val="9"/>
    <w:semiHidden/>
    <w:unhideWhenUsed/>
    <w:qFormat/>
    <w:rsid w:val="004F5F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F5F95"/>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 w:id="1819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A5D09E7E9264DB8DC669AC1942490" ma:contentTypeVersion="13" ma:contentTypeDescription="Create a new document." ma:contentTypeScope="" ma:versionID="69e895ea8324fbe6a51271145ce4c8db">
  <xsd:schema xmlns:xsd="http://www.w3.org/2001/XMLSchema" xmlns:xs="http://www.w3.org/2001/XMLSchema" xmlns:p="http://schemas.microsoft.com/office/2006/metadata/properties" xmlns:ns3="966060bb-fdc0-424f-904b-d22fb79d92e0" xmlns:ns4="28d7aaaa-fa06-4629-b987-4c487cd0ce9c" targetNamespace="http://schemas.microsoft.com/office/2006/metadata/properties" ma:root="true" ma:fieldsID="7d9590e296caf195a841bf184ca5a2e6" ns3:_="" ns4:_="">
    <xsd:import namespace="966060bb-fdc0-424f-904b-d22fb79d92e0"/>
    <xsd:import namespace="28d7aaaa-fa06-4629-b987-4c487cd0ce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060bb-fdc0-424f-904b-d22fb79d9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7aaaa-fa06-4629-b987-4c487cd0ce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BB3A3-6BA6-4E34-A051-D399A314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060bb-fdc0-424f-904b-d22fb79d92e0"/>
    <ds:schemaRef ds:uri="28d7aaaa-fa06-4629-b987-4c487cd0c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2FF67-6486-4AF7-B003-7DEF732EE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2023-04-11T09:54:00Z</dcterms:created>
  <dcterms:modified xsi:type="dcterms:W3CDTF">2023-04-11T09:54:00Z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0x010100CD8A5D09E7E9264DB8DC669AC1942490</vt:lpwstr>
  </property>
</Properties>
</file>