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8E6BEE" w:rsidRDefault="00647EF2" w:rsidP="008E6BEE">
      <w:pPr>
        <w:tabs>
          <w:tab w:val="left" w:pos="432"/>
          <w:tab w:val="left" w:pos="864"/>
        </w:tabs>
        <w:spacing w:line="276" w:lineRule="auto"/>
        <w:jc w:val="center"/>
        <w:rPr>
          <w:rFonts w:ascii="Arial" w:hAnsi="Arial" w:cs="Arial"/>
          <w:b/>
          <w:sz w:val="22"/>
          <w:szCs w:val="22"/>
        </w:rPr>
      </w:pPr>
      <w:r w:rsidRPr="008E6BEE">
        <w:rPr>
          <w:rFonts w:ascii="Arial" w:hAnsi="Arial" w:cs="Arial"/>
          <w:b/>
          <w:sz w:val="22"/>
          <w:szCs w:val="22"/>
        </w:rPr>
        <w:t>QUESTION NUMBER</w:t>
      </w:r>
      <w:r w:rsidR="001B0917" w:rsidRPr="008E6BEE">
        <w:rPr>
          <w:rFonts w:ascii="Arial" w:hAnsi="Arial" w:cs="Arial"/>
          <w:b/>
          <w:sz w:val="22"/>
          <w:szCs w:val="22"/>
        </w:rPr>
        <w:t>:</w:t>
      </w:r>
      <w:r w:rsidRPr="008E6BEE">
        <w:rPr>
          <w:rFonts w:ascii="Arial" w:hAnsi="Arial" w:cs="Arial"/>
          <w:b/>
          <w:sz w:val="22"/>
          <w:szCs w:val="22"/>
        </w:rPr>
        <w:t xml:space="preserve"> </w:t>
      </w:r>
      <w:r w:rsidR="008E6BEE">
        <w:rPr>
          <w:rFonts w:ascii="Arial" w:hAnsi="Arial" w:cs="Arial"/>
          <w:b/>
          <w:sz w:val="22"/>
          <w:szCs w:val="22"/>
        </w:rPr>
        <w:t>2745</w:t>
      </w:r>
      <w:r w:rsidR="00AD00CE" w:rsidRPr="008E6BEE">
        <w:rPr>
          <w:rFonts w:ascii="Arial" w:hAnsi="Arial" w:cs="Arial"/>
          <w:b/>
          <w:sz w:val="22"/>
          <w:szCs w:val="22"/>
        </w:rPr>
        <w:t xml:space="preserve"> [NW</w:t>
      </w:r>
      <w:r w:rsidR="008E6BEE" w:rsidRPr="008E6BEE">
        <w:rPr>
          <w:rFonts w:ascii="Arial" w:eastAsia="Calibri" w:hAnsi="Arial" w:cs="Arial"/>
          <w:b/>
          <w:sz w:val="22"/>
          <w:szCs w:val="22"/>
          <w:lang w:val="af-ZA"/>
        </w:rPr>
        <w:t>3233</w:t>
      </w:r>
      <w:r w:rsidR="00AD00CE" w:rsidRPr="008E6BEE">
        <w:rPr>
          <w:rFonts w:ascii="Arial" w:hAnsi="Arial" w:cs="Arial"/>
          <w:b/>
          <w:sz w:val="22"/>
          <w:szCs w:val="22"/>
        </w:rPr>
        <w:t>E]</w:t>
      </w:r>
    </w:p>
    <w:p w:rsidR="00C312EA" w:rsidRPr="008E6BEE" w:rsidRDefault="00BD31C6" w:rsidP="008E6BEE">
      <w:pPr>
        <w:tabs>
          <w:tab w:val="left" w:pos="432"/>
          <w:tab w:val="left" w:pos="864"/>
        </w:tabs>
        <w:spacing w:line="276" w:lineRule="auto"/>
        <w:jc w:val="center"/>
        <w:rPr>
          <w:rFonts w:ascii="Arial" w:hAnsi="Arial" w:cs="Arial"/>
          <w:b/>
          <w:sz w:val="22"/>
          <w:szCs w:val="22"/>
        </w:rPr>
      </w:pPr>
      <w:r w:rsidRPr="008E6BEE">
        <w:rPr>
          <w:rFonts w:ascii="Arial" w:hAnsi="Arial" w:cs="Arial"/>
          <w:b/>
          <w:sz w:val="22"/>
          <w:szCs w:val="22"/>
        </w:rPr>
        <w:t xml:space="preserve">DATE OF PUBLICATION: </w:t>
      </w:r>
      <w:r w:rsidR="008E6BEE">
        <w:rPr>
          <w:rFonts w:ascii="Arial" w:hAnsi="Arial" w:cs="Arial"/>
          <w:b/>
          <w:sz w:val="22"/>
          <w:szCs w:val="22"/>
        </w:rPr>
        <w:t>7 DECEMBER 2016</w:t>
      </w:r>
    </w:p>
    <w:p w:rsidR="008E6BEE" w:rsidRPr="008E6BEE" w:rsidRDefault="008E6BEE" w:rsidP="008E6BEE">
      <w:pPr>
        <w:spacing w:before="100" w:beforeAutospacing="1" w:after="100" w:afterAutospacing="1" w:line="276" w:lineRule="auto"/>
        <w:ind w:left="851" w:hanging="851"/>
        <w:jc w:val="both"/>
        <w:outlineLvl w:val="0"/>
        <w:rPr>
          <w:rFonts w:ascii="Arial" w:eastAsia="Calibri" w:hAnsi="Arial" w:cs="Arial"/>
          <w:b/>
          <w:sz w:val="22"/>
          <w:szCs w:val="22"/>
          <w:lang w:val="af-ZA"/>
        </w:rPr>
      </w:pPr>
      <w:r w:rsidRPr="008E6BEE">
        <w:rPr>
          <w:rFonts w:ascii="Arial" w:eastAsia="Calibri" w:hAnsi="Arial" w:cs="Arial"/>
          <w:b/>
          <w:sz w:val="22"/>
          <w:szCs w:val="22"/>
          <w:lang w:val="af-ZA"/>
        </w:rPr>
        <w:t>2745.</w:t>
      </w:r>
      <w:r w:rsidRPr="008E6BEE">
        <w:rPr>
          <w:rFonts w:ascii="Arial" w:eastAsia="Calibri" w:hAnsi="Arial" w:cs="Arial"/>
          <w:b/>
          <w:sz w:val="22"/>
          <w:szCs w:val="22"/>
          <w:lang w:val="af-ZA"/>
        </w:rPr>
        <w:tab/>
        <w:t xml:space="preserve">Dr C P </w:t>
      </w:r>
      <w:r w:rsidRPr="008E6BEE">
        <w:rPr>
          <w:rFonts w:ascii="Arial" w:eastAsia="Calibri" w:hAnsi="Arial" w:cs="Arial"/>
          <w:b/>
          <w:sz w:val="22"/>
          <w:szCs w:val="22"/>
          <w:lang w:val="en-ZA"/>
        </w:rPr>
        <w:t>Mulder</w:t>
      </w:r>
      <w:r w:rsidRPr="008E6BEE">
        <w:rPr>
          <w:rFonts w:ascii="Arial" w:eastAsia="Calibri" w:hAnsi="Arial" w:cs="Arial"/>
          <w:b/>
          <w:sz w:val="22"/>
          <w:szCs w:val="22"/>
          <w:lang w:val="af-ZA"/>
        </w:rPr>
        <w:t xml:space="preserve"> (FF Plus) to ask the Minister of Finance:†</w:t>
      </w:r>
    </w:p>
    <w:p w:rsidR="008E6BEE" w:rsidRPr="008E6BEE" w:rsidRDefault="008E6BEE" w:rsidP="008E6BEE">
      <w:pPr>
        <w:spacing w:before="100" w:beforeAutospacing="1" w:after="100" w:afterAutospacing="1" w:line="276" w:lineRule="auto"/>
        <w:ind w:left="1440" w:hanging="589"/>
        <w:jc w:val="both"/>
        <w:rPr>
          <w:rFonts w:ascii="Arial" w:eastAsia="Calibri" w:hAnsi="Arial" w:cs="Arial"/>
          <w:bCs/>
          <w:sz w:val="22"/>
          <w:szCs w:val="22"/>
          <w:lang w:val="af-ZA"/>
        </w:rPr>
      </w:pPr>
      <w:r w:rsidRPr="008E6BEE">
        <w:rPr>
          <w:rFonts w:ascii="Arial" w:eastAsia="Calibri" w:hAnsi="Arial" w:cs="Arial"/>
          <w:sz w:val="22"/>
          <w:szCs w:val="22"/>
          <w:lang w:val="af-ZA"/>
        </w:rPr>
        <w:t>(1)</w:t>
      </w:r>
      <w:r w:rsidRPr="008E6BEE">
        <w:rPr>
          <w:rFonts w:ascii="Arial" w:eastAsia="Calibri" w:hAnsi="Arial" w:cs="Arial"/>
          <w:sz w:val="22"/>
          <w:szCs w:val="22"/>
          <w:lang w:val="af-ZA"/>
        </w:rPr>
        <w:tab/>
        <w:t xml:space="preserve">What is the </w:t>
      </w:r>
      <w:r w:rsidRPr="008E6BEE">
        <w:rPr>
          <w:rFonts w:ascii="Arial" w:eastAsia="Calibri" w:hAnsi="Arial" w:cs="Arial"/>
          <w:bCs/>
          <w:sz w:val="22"/>
          <w:szCs w:val="22"/>
          <w:lang w:val="af-ZA"/>
        </w:rPr>
        <w:t xml:space="preserve">(a) nature and (b) legal basis for the protection that deposit-taking banks give their clients against </w:t>
      </w:r>
      <w:r w:rsidRPr="008E6BEE">
        <w:rPr>
          <w:rFonts w:ascii="Arial" w:eastAsia="Calibri" w:hAnsi="Arial" w:cs="Arial"/>
          <w:sz w:val="22"/>
          <w:szCs w:val="22"/>
          <w:lang w:val="en-ZA"/>
        </w:rPr>
        <w:t>fraud</w:t>
      </w:r>
      <w:r w:rsidRPr="008E6BEE">
        <w:rPr>
          <w:rFonts w:ascii="Arial" w:eastAsia="Calibri" w:hAnsi="Arial" w:cs="Arial"/>
          <w:bCs/>
          <w:sz w:val="22"/>
          <w:szCs w:val="22"/>
          <w:lang w:val="af-ZA"/>
        </w:rPr>
        <w:t xml:space="preserve"> (i) inside and outside the banks and also (ii) as a result of online scams to protect their clients’ money;</w:t>
      </w:r>
    </w:p>
    <w:p w:rsidR="008E6BEE" w:rsidRPr="008E6BEE" w:rsidRDefault="008E6BEE" w:rsidP="008E6BEE">
      <w:pPr>
        <w:spacing w:before="100" w:beforeAutospacing="1" w:after="100" w:afterAutospacing="1" w:line="276" w:lineRule="auto"/>
        <w:ind w:left="1440" w:hanging="589"/>
        <w:jc w:val="both"/>
        <w:rPr>
          <w:rFonts w:ascii="Arial" w:eastAsia="Calibri" w:hAnsi="Arial" w:cs="Arial"/>
          <w:bCs/>
          <w:sz w:val="22"/>
          <w:szCs w:val="22"/>
          <w:lang w:val="af-ZA"/>
        </w:rPr>
      </w:pPr>
      <w:r w:rsidRPr="008E6BEE">
        <w:rPr>
          <w:rFonts w:ascii="Arial" w:eastAsia="Calibri" w:hAnsi="Arial" w:cs="Arial"/>
          <w:bCs/>
          <w:sz w:val="22"/>
          <w:szCs w:val="22"/>
          <w:lang w:val="af-ZA"/>
        </w:rPr>
        <w:t>(2)</w:t>
      </w:r>
      <w:r w:rsidRPr="008E6BEE">
        <w:rPr>
          <w:rFonts w:ascii="Arial" w:eastAsia="Calibri" w:hAnsi="Arial" w:cs="Arial"/>
          <w:bCs/>
          <w:sz w:val="22"/>
          <w:szCs w:val="22"/>
          <w:lang w:val="af-ZA"/>
        </w:rPr>
        <w:tab/>
        <w:t xml:space="preserve">whether banks are obliged to take out insurance for these risks; </w:t>
      </w:r>
    </w:p>
    <w:p w:rsidR="008E6BEE" w:rsidRDefault="008E6BEE" w:rsidP="008E6BEE">
      <w:pPr>
        <w:spacing w:before="100" w:beforeAutospacing="1" w:after="100" w:afterAutospacing="1" w:line="276" w:lineRule="auto"/>
        <w:ind w:left="1440" w:hanging="589"/>
        <w:jc w:val="both"/>
        <w:rPr>
          <w:rFonts w:ascii="Arial" w:eastAsia="Calibri" w:hAnsi="Arial" w:cs="Arial"/>
          <w:sz w:val="22"/>
          <w:szCs w:val="22"/>
          <w:lang w:val="af-ZA"/>
        </w:rPr>
      </w:pPr>
      <w:r w:rsidRPr="008E6BEE">
        <w:rPr>
          <w:rFonts w:ascii="Arial" w:eastAsia="Calibri" w:hAnsi="Arial" w:cs="Arial"/>
          <w:bCs/>
          <w:sz w:val="22"/>
          <w:szCs w:val="22"/>
          <w:lang w:val="af-ZA"/>
        </w:rPr>
        <w:t>(3)</w:t>
      </w:r>
      <w:r w:rsidRPr="008E6BEE">
        <w:rPr>
          <w:rFonts w:ascii="Arial" w:eastAsia="Calibri" w:hAnsi="Arial" w:cs="Arial"/>
          <w:bCs/>
          <w:sz w:val="22"/>
          <w:szCs w:val="22"/>
          <w:lang w:val="af-ZA"/>
        </w:rPr>
        <w:tab/>
        <w:t xml:space="preserve">whether banks are obliged to </w:t>
      </w:r>
      <w:r w:rsidRPr="008E6BEE">
        <w:rPr>
          <w:rFonts w:ascii="Arial" w:eastAsia="Calibri" w:hAnsi="Arial" w:cs="Arial"/>
          <w:sz w:val="22"/>
          <w:szCs w:val="22"/>
          <w:lang w:val="en-ZA"/>
        </w:rPr>
        <w:t>compensate</w:t>
      </w:r>
      <w:r w:rsidRPr="008E6BEE">
        <w:rPr>
          <w:rFonts w:ascii="Arial" w:eastAsia="Calibri" w:hAnsi="Arial" w:cs="Arial"/>
          <w:bCs/>
          <w:sz w:val="22"/>
          <w:szCs w:val="22"/>
          <w:lang w:val="af-ZA"/>
        </w:rPr>
        <w:t xml:space="preserve"> their clients 100% for losses incurred where the clients themselves did not act negligently and the problem has arisen at the bank itself and with other service providers, such as cellphone companies; if not, why not; if so, what is the legal basis of the obligation?</w:t>
      </w:r>
      <w:r w:rsidRPr="008E6BEE">
        <w:rPr>
          <w:rFonts w:ascii="Arial" w:eastAsia="Calibri" w:hAnsi="Arial" w:cs="Arial"/>
          <w:sz w:val="22"/>
          <w:szCs w:val="22"/>
          <w:lang w:val="af-ZA"/>
        </w:rPr>
        <w:tab/>
      </w:r>
    </w:p>
    <w:p w:rsidR="008E6BEE" w:rsidRPr="008E6BEE" w:rsidRDefault="008E6BEE" w:rsidP="008E6BEE">
      <w:pPr>
        <w:spacing w:before="100" w:beforeAutospacing="1" w:after="100" w:afterAutospacing="1" w:line="276" w:lineRule="auto"/>
        <w:ind w:left="7200" w:firstLine="720"/>
        <w:jc w:val="both"/>
        <w:rPr>
          <w:rFonts w:ascii="Arial" w:eastAsia="Calibri" w:hAnsi="Arial" w:cs="Arial"/>
          <w:sz w:val="22"/>
          <w:szCs w:val="22"/>
          <w:lang w:val="af-ZA"/>
        </w:rPr>
      </w:pPr>
      <w:r w:rsidRPr="008E6BEE">
        <w:rPr>
          <w:rFonts w:ascii="Arial" w:eastAsia="Calibri" w:hAnsi="Arial" w:cs="Arial"/>
          <w:sz w:val="22"/>
          <w:szCs w:val="22"/>
          <w:lang w:val="af-ZA"/>
        </w:rPr>
        <w:t>NW3233E</w:t>
      </w:r>
    </w:p>
    <w:p w:rsidR="007C5093" w:rsidRDefault="001433AE" w:rsidP="007C5093">
      <w:pPr>
        <w:pStyle w:val="BodyTextIndent"/>
        <w:spacing w:line="276" w:lineRule="auto"/>
        <w:ind w:left="0" w:firstLine="0"/>
        <w:jc w:val="both"/>
        <w:rPr>
          <w:rFonts w:ascii="Arial" w:hAnsi="Arial" w:cs="Arial"/>
          <w:b/>
          <w:sz w:val="22"/>
          <w:szCs w:val="22"/>
        </w:rPr>
      </w:pPr>
      <w:r w:rsidRPr="001B0917">
        <w:rPr>
          <w:rFonts w:ascii="Arial" w:hAnsi="Arial" w:cs="Arial"/>
          <w:b/>
          <w:sz w:val="22"/>
          <w:szCs w:val="22"/>
        </w:rPr>
        <w:t>REPLY:</w:t>
      </w:r>
      <w:r w:rsidR="007C5093">
        <w:rPr>
          <w:rFonts w:ascii="Arial" w:hAnsi="Arial" w:cs="Arial"/>
          <w:b/>
          <w:sz w:val="22"/>
          <w:szCs w:val="22"/>
        </w:rPr>
        <w:t xml:space="preserve"> </w:t>
      </w:r>
    </w:p>
    <w:p w:rsidR="007C5093" w:rsidRDefault="007C5093" w:rsidP="007C5093">
      <w:pPr>
        <w:pStyle w:val="BodyTextIndent"/>
        <w:spacing w:line="276" w:lineRule="auto"/>
        <w:ind w:left="0" w:firstLine="0"/>
        <w:jc w:val="both"/>
        <w:rPr>
          <w:rFonts w:ascii="Arial" w:hAnsi="Arial" w:cs="Arial"/>
          <w:b/>
          <w:sz w:val="22"/>
          <w:szCs w:val="22"/>
        </w:rPr>
      </w:pPr>
    </w:p>
    <w:p w:rsidR="00527E69" w:rsidRPr="00392C87" w:rsidRDefault="008767F3" w:rsidP="0055194B">
      <w:pPr>
        <w:ind w:left="1440" w:hanging="1350"/>
        <w:jc w:val="both"/>
        <w:rPr>
          <w:rFonts w:ascii="Arial" w:hAnsi="Arial" w:cs="Arial"/>
          <w:sz w:val="22"/>
        </w:rPr>
      </w:pPr>
      <w:r>
        <w:rPr>
          <w:rFonts w:ascii="Arial" w:hAnsi="Arial" w:cs="Arial"/>
          <w:sz w:val="22"/>
        </w:rPr>
        <w:t>(</w:t>
      </w:r>
      <w:r w:rsidR="00392C87">
        <w:rPr>
          <w:rFonts w:ascii="Arial" w:hAnsi="Arial" w:cs="Arial"/>
          <w:sz w:val="22"/>
        </w:rPr>
        <w:t>1</w:t>
      </w:r>
      <w:r>
        <w:rPr>
          <w:rFonts w:ascii="Arial" w:hAnsi="Arial" w:cs="Arial"/>
          <w:sz w:val="22"/>
        </w:rPr>
        <w:t>)</w:t>
      </w:r>
      <w:r w:rsidR="00392C87">
        <w:rPr>
          <w:rFonts w:ascii="Arial" w:hAnsi="Arial" w:cs="Arial"/>
          <w:sz w:val="22"/>
        </w:rPr>
        <w:t xml:space="preserve">(a)  </w:t>
      </w:r>
      <w:r w:rsidR="00392C87">
        <w:rPr>
          <w:rFonts w:ascii="Arial" w:hAnsi="Arial" w:cs="Arial"/>
          <w:sz w:val="22"/>
        </w:rPr>
        <w:tab/>
      </w:r>
      <w:r w:rsidR="00392C87" w:rsidRPr="00392C87">
        <w:rPr>
          <w:rFonts w:ascii="Arial" w:hAnsi="Arial" w:cs="Arial"/>
          <w:sz w:val="22"/>
        </w:rPr>
        <w:t xml:space="preserve">The South African Banking Risk Information Centre (SABRIC) has been established by the banks </w:t>
      </w:r>
      <w:r w:rsidR="00392C87">
        <w:rPr>
          <w:rFonts w:ascii="Arial" w:hAnsi="Arial" w:cs="Arial"/>
          <w:sz w:val="22"/>
        </w:rPr>
        <w:t xml:space="preserve">in South Africa specifically to </w:t>
      </w:r>
      <w:r w:rsidR="00392C87" w:rsidRPr="00392C87">
        <w:rPr>
          <w:rFonts w:ascii="Arial" w:hAnsi="Arial" w:cs="Arial"/>
          <w:sz w:val="22"/>
        </w:rPr>
        <w:t xml:space="preserve">assist the banking industry in combating </w:t>
      </w:r>
      <w:proofErr w:type="spellStart"/>
      <w:r w:rsidR="00392C87" w:rsidRPr="00392C87">
        <w:rPr>
          <w:rFonts w:ascii="Arial" w:hAnsi="Arial" w:cs="Arial"/>
          <w:sz w:val="22"/>
        </w:rPr>
        <w:t>organised</w:t>
      </w:r>
      <w:proofErr w:type="spellEnd"/>
      <w:r w:rsidR="00392C87" w:rsidRPr="00392C87">
        <w:rPr>
          <w:rFonts w:ascii="Arial" w:hAnsi="Arial" w:cs="Arial"/>
          <w:sz w:val="22"/>
        </w:rPr>
        <w:t xml:space="preserve"> bank-related crimes. SABRIC consistently releases information on different types of criminal activity, including cyber-crime, to </w:t>
      </w:r>
      <w:r w:rsidR="00FD41B7">
        <w:rPr>
          <w:rFonts w:ascii="Arial" w:hAnsi="Arial" w:cs="Arial"/>
          <w:sz w:val="22"/>
        </w:rPr>
        <w:t>assist</w:t>
      </w:r>
      <w:r w:rsidR="00392C87" w:rsidRPr="00392C87">
        <w:rPr>
          <w:rFonts w:ascii="Arial" w:hAnsi="Arial" w:cs="Arial"/>
          <w:sz w:val="22"/>
        </w:rPr>
        <w:t xml:space="preserve"> customers to be more vigilant. </w:t>
      </w:r>
      <w:r w:rsidR="00527E69" w:rsidRPr="00392C87">
        <w:rPr>
          <w:rFonts w:ascii="Arial" w:hAnsi="Arial" w:cs="Arial"/>
          <w:sz w:val="22"/>
        </w:rPr>
        <w:t xml:space="preserve">Banks </w:t>
      </w:r>
      <w:r w:rsidR="00392C87">
        <w:rPr>
          <w:rFonts w:ascii="Arial" w:hAnsi="Arial" w:cs="Arial"/>
          <w:sz w:val="22"/>
        </w:rPr>
        <w:t xml:space="preserve">themselves have in place sophisticated systems to detect and prevent fraudulent access to customer accounts. Internationally, the issue of technological innovations in the financial sector, and the risks that it can bring from a cybercrime perspective, is </w:t>
      </w:r>
      <w:r w:rsidR="00FD41B7">
        <w:rPr>
          <w:rFonts w:ascii="Arial" w:hAnsi="Arial" w:cs="Arial"/>
          <w:sz w:val="22"/>
        </w:rPr>
        <w:t>a major</w:t>
      </w:r>
      <w:r w:rsidR="00392C87">
        <w:rPr>
          <w:rFonts w:ascii="Arial" w:hAnsi="Arial" w:cs="Arial"/>
          <w:sz w:val="22"/>
        </w:rPr>
        <w:t xml:space="preserve"> focus</w:t>
      </w:r>
      <w:r w:rsidR="00FD41B7">
        <w:rPr>
          <w:rFonts w:ascii="Arial" w:hAnsi="Arial" w:cs="Arial"/>
          <w:sz w:val="22"/>
        </w:rPr>
        <w:t xml:space="preserve"> area, led by</w:t>
      </w:r>
      <w:r w:rsidR="00392C87">
        <w:rPr>
          <w:rFonts w:ascii="Arial" w:hAnsi="Arial" w:cs="Arial"/>
          <w:sz w:val="22"/>
        </w:rPr>
        <w:t xml:space="preserve"> </w:t>
      </w:r>
      <w:r w:rsidR="00FD41B7">
        <w:rPr>
          <w:rFonts w:ascii="Arial" w:hAnsi="Arial" w:cs="Arial"/>
          <w:sz w:val="22"/>
        </w:rPr>
        <w:t>international regulators in</w:t>
      </w:r>
      <w:r w:rsidR="00392C87">
        <w:rPr>
          <w:rFonts w:ascii="Arial" w:hAnsi="Arial" w:cs="Arial"/>
          <w:sz w:val="22"/>
        </w:rPr>
        <w:t xml:space="preserve"> the Financial Stability Board</w:t>
      </w:r>
      <w:r w:rsidR="00FD41B7">
        <w:rPr>
          <w:rFonts w:ascii="Arial" w:hAnsi="Arial" w:cs="Arial"/>
          <w:sz w:val="22"/>
        </w:rPr>
        <w:t xml:space="preserve"> and Basel Committee on Banking Supervision</w:t>
      </w:r>
      <w:r w:rsidR="00392C87">
        <w:rPr>
          <w:rFonts w:ascii="Arial" w:hAnsi="Arial" w:cs="Arial"/>
          <w:sz w:val="22"/>
        </w:rPr>
        <w:t>.</w:t>
      </w:r>
    </w:p>
    <w:p w:rsidR="00527E69" w:rsidRDefault="00527E69" w:rsidP="0055194B">
      <w:pPr>
        <w:pStyle w:val="ListParagraph"/>
        <w:jc w:val="both"/>
        <w:rPr>
          <w:rFonts w:ascii="Arial" w:hAnsi="Arial" w:cs="Arial"/>
          <w:sz w:val="22"/>
        </w:rPr>
      </w:pPr>
    </w:p>
    <w:p w:rsidR="00527E69" w:rsidRPr="00392C87" w:rsidRDefault="008767F3" w:rsidP="0055194B">
      <w:pPr>
        <w:tabs>
          <w:tab w:val="left" w:pos="1260"/>
        </w:tabs>
        <w:ind w:left="1440" w:hanging="1350"/>
        <w:jc w:val="both"/>
        <w:rPr>
          <w:rFonts w:ascii="Arial" w:hAnsi="Arial" w:cs="Arial"/>
          <w:sz w:val="22"/>
        </w:rPr>
      </w:pPr>
      <w:r>
        <w:rPr>
          <w:rFonts w:ascii="Arial" w:hAnsi="Arial" w:cs="Arial"/>
          <w:sz w:val="22"/>
        </w:rPr>
        <w:t>(</w:t>
      </w:r>
      <w:r w:rsidR="00392C87" w:rsidRPr="00392C87">
        <w:rPr>
          <w:rFonts w:ascii="Arial" w:hAnsi="Arial" w:cs="Arial"/>
          <w:sz w:val="22"/>
        </w:rPr>
        <w:t>1</w:t>
      </w:r>
      <w:r>
        <w:rPr>
          <w:rFonts w:ascii="Arial" w:hAnsi="Arial" w:cs="Arial"/>
          <w:sz w:val="22"/>
        </w:rPr>
        <w:t>)</w:t>
      </w:r>
      <w:r w:rsidR="00392C87" w:rsidRPr="00392C87">
        <w:rPr>
          <w:rFonts w:ascii="Arial" w:hAnsi="Arial" w:cs="Arial"/>
          <w:sz w:val="22"/>
        </w:rPr>
        <w:t>(b)(</w:t>
      </w:r>
      <w:proofErr w:type="spellStart"/>
      <w:r w:rsidR="00392C87" w:rsidRPr="00392C87">
        <w:rPr>
          <w:rFonts w:ascii="Arial" w:hAnsi="Arial" w:cs="Arial"/>
          <w:sz w:val="22"/>
        </w:rPr>
        <w:t>i</w:t>
      </w:r>
      <w:proofErr w:type="spellEnd"/>
      <w:r w:rsidR="00392C87" w:rsidRPr="00392C87">
        <w:rPr>
          <w:rFonts w:ascii="Arial" w:hAnsi="Arial" w:cs="Arial"/>
          <w:sz w:val="22"/>
        </w:rPr>
        <w:t>)</w:t>
      </w:r>
      <w:r>
        <w:rPr>
          <w:rFonts w:ascii="Arial" w:hAnsi="Arial" w:cs="Arial"/>
          <w:sz w:val="22"/>
        </w:rPr>
        <w:t>,</w:t>
      </w:r>
      <w:r w:rsidR="00392C87" w:rsidRPr="00392C87">
        <w:rPr>
          <w:rFonts w:ascii="Arial" w:hAnsi="Arial" w:cs="Arial"/>
          <w:sz w:val="22"/>
        </w:rPr>
        <w:t xml:space="preserve"> (ii) </w:t>
      </w:r>
      <w:r w:rsidR="00392C87">
        <w:rPr>
          <w:rFonts w:ascii="Arial" w:hAnsi="Arial" w:cs="Arial"/>
          <w:sz w:val="22"/>
        </w:rPr>
        <w:tab/>
      </w:r>
      <w:r>
        <w:rPr>
          <w:rFonts w:ascii="Arial" w:hAnsi="Arial" w:cs="Arial"/>
          <w:sz w:val="22"/>
        </w:rPr>
        <w:tab/>
      </w:r>
      <w:r w:rsidR="00392C87">
        <w:rPr>
          <w:rFonts w:ascii="Arial" w:hAnsi="Arial" w:cs="Arial"/>
          <w:sz w:val="22"/>
        </w:rPr>
        <w:t>The c</w:t>
      </w:r>
      <w:r w:rsidR="00527E69" w:rsidRPr="00392C87">
        <w:rPr>
          <w:rFonts w:ascii="Arial" w:hAnsi="Arial" w:cs="Arial"/>
          <w:sz w:val="22"/>
        </w:rPr>
        <w:t xml:space="preserve">urrent legal basis </w:t>
      </w:r>
      <w:r w:rsidR="00392C87">
        <w:rPr>
          <w:rFonts w:ascii="Arial" w:hAnsi="Arial" w:cs="Arial"/>
          <w:sz w:val="22"/>
        </w:rPr>
        <w:t xml:space="preserve">for financial consumer protection is in terms of generic </w:t>
      </w:r>
      <w:r w:rsidR="00527E69" w:rsidRPr="00392C87">
        <w:rPr>
          <w:rFonts w:ascii="Arial" w:hAnsi="Arial" w:cs="Arial"/>
          <w:sz w:val="22"/>
        </w:rPr>
        <w:t xml:space="preserve">consumer protection legislation. However, </w:t>
      </w:r>
      <w:r w:rsidR="00392C87">
        <w:rPr>
          <w:rFonts w:ascii="Arial" w:hAnsi="Arial" w:cs="Arial"/>
          <w:sz w:val="22"/>
        </w:rPr>
        <w:t xml:space="preserve">it is important to note that </w:t>
      </w:r>
      <w:r w:rsidR="00527E69" w:rsidRPr="00392C87">
        <w:rPr>
          <w:rFonts w:ascii="Arial" w:hAnsi="Arial" w:cs="Arial"/>
          <w:sz w:val="22"/>
        </w:rPr>
        <w:t>Parliament is currently processing the Fin</w:t>
      </w:r>
      <w:r w:rsidR="00392C87">
        <w:rPr>
          <w:rFonts w:ascii="Arial" w:hAnsi="Arial" w:cs="Arial"/>
          <w:sz w:val="22"/>
        </w:rPr>
        <w:t>ancial Sector Regulation Bill</w:t>
      </w:r>
      <w:r w:rsidR="00527E69" w:rsidRPr="00392C87">
        <w:rPr>
          <w:rFonts w:ascii="Arial" w:hAnsi="Arial" w:cs="Arial"/>
          <w:sz w:val="22"/>
        </w:rPr>
        <w:t xml:space="preserve">, which </w:t>
      </w:r>
      <w:r w:rsidR="00392C87">
        <w:rPr>
          <w:rFonts w:ascii="Arial" w:hAnsi="Arial" w:cs="Arial"/>
          <w:sz w:val="22"/>
        </w:rPr>
        <w:t xml:space="preserve">places a strong emphasis on market conduct regulation </w:t>
      </w:r>
      <w:r w:rsidR="006135F4">
        <w:rPr>
          <w:rFonts w:ascii="Arial" w:hAnsi="Arial" w:cs="Arial"/>
          <w:sz w:val="22"/>
        </w:rPr>
        <w:t xml:space="preserve">and the fair treatment of customers </w:t>
      </w:r>
      <w:r w:rsidR="00392C87">
        <w:rPr>
          <w:rFonts w:ascii="Arial" w:hAnsi="Arial" w:cs="Arial"/>
          <w:sz w:val="22"/>
        </w:rPr>
        <w:t>in the financial sector</w:t>
      </w:r>
      <w:r w:rsidR="006135F4">
        <w:rPr>
          <w:rFonts w:ascii="Arial" w:hAnsi="Arial" w:cs="Arial"/>
          <w:sz w:val="22"/>
        </w:rPr>
        <w:t>. The Bill creates a Financial Sector Conduct Authority,</w:t>
      </w:r>
      <w:r w:rsidR="00392C87">
        <w:rPr>
          <w:rFonts w:ascii="Arial" w:hAnsi="Arial" w:cs="Arial"/>
          <w:sz w:val="22"/>
        </w:rPr>
        <w:t xml:space="preserve"> and will result in the introduction of new regulation and standards that aim to </w:t>
      </w:r>
      <w:r w:rsidR="00527E69" w:rsidRPr="00392C87">
        <w:rPr>
          <w:rFonts w:ascii="Arial" w:hAnsi="Arial" w:cs="Arial"/>
          <w:sz w:val="22"/>
        </w:rPr>
        <w:t>better protect financial sector customers.</w:t>
      </w:r>
      <w:r w:rsidR="00392C87">
        <w:rPr>
          <w:rFonts w:ascii="Arial" w:hAnsi="Arial" w:cs="Arial"/>
          <w:sz w:val="22"/>
        </w:rPr>
        <w:t xml:space="preserve"> </w:t>
      </w:r>
    </w:p>
    <w:p w:rsidR="00527E69" w:rsidRDefault="00527E69" w:rsidP="0055194B">
      <w:pPr>
        <w:pStyle w:val="ListParagraph"/>
        <w:ind w:left="1440"/>
        <w:jc w:val="both"/>
        <w:rPr>
          <w:rFonts w:ascii="Arial" w:hAnsi="Arial" w:cs="Arial"/>
          <w:sz w:val="22"/>
        </w:rPr>
      </w:pPr>
      <w:bookmarkStart w:id="0" w:name="_GoBack"/>
      <w:bookmarkEnd w:id="0"/>
    </w:p>
    <w:p w:rsidR="00BE53F2" w:rsidRDefault="00392C87" w:rsidP="0055194B">
      <w:pPr>
        <w:pStyle w:val="ListParagraph"/>
        <w:ind w:left="1440"/>
        <w:jc w:val="both"/>
        <w:rPr>
          <w:rFonts w:ascii="Arial" w:hAnsi="Arial" w:cs="Arial"/>
          <w:sz w:val="22"/>
        </w:rPr>
      </w:pPr>
      <w:r>
        <w:rPr>
          <w:rFonts w:ascii="Arial" w:hAnsi="Arial" w:cs="Arial"/>
          <w:sz w:val="22"/>
        </w:rPr>
        <w:t>Currently, b</w:t>
      </w:r>
      <w:r w:rsidR="00BE53F2" w:rsidRPr="00BE53F2">
        <w:rPr>
          <w:rFonts w:ascii="Arial" w:hAnsi="Arial" w:cs="Arial"/>
          <w:sz w:val="22"/>
        </w:rPr>
        <w:t xml:space="preserve">anks </w:t>
      </w:r>
      <w:r>
        <w:rPr>
          <w:rFonts w:ascii="Arial" w:hAnsi="Arial" w:cs="Arial"/>
          <w:sz w:val="22"/>
        </w:rPr>
        <w:t xml:space="preserve">are required to </w:t>
      </w:r>
      <w:r w:rsidR="00BE53F2" w:rsidRPr="00BE53F2">
        <w:rPr>
          <w:rFonts w:ascii="Arial" w:hAnsi="Arial" w:cs="Arial"/>
          <w:sz w:val="22"/>
        </w:rPr>
        <w:t>comply with the Consumer Protection Act 68 of 2008, which provides for the rights of consumers to be protected against</w:t>
      </w:r>
      <w:r w:rsidR="006135F4">
        <w:rPr>
          <w:rFonts w:ascii="Arial" w:hAnsi="Arial" w:cs="Arial"/>
          <w:sz w:val="22"/>
        </w:rPr>
        <w:t>,</w:t>
      </w:r>
      <w:r w:rsidR="00BE53F2" w:rsidRPr="00BE53F2">
        <w:rPr>
          <w:rFonts w:ascii="Arial" w:hAnsi="Arial" w:cs="Arial"/>
          <w:sz w:val="22"/>
        </w:rPr>
        <w:t xml:space="preserve"> for example false, misleading or deceptive representations (section 41) and fraudulent schemes and offers (section 42). </w:t>
      </w:r>
      <w:r w:rsidR="00BE53F2">
        <w:rPr>
          <w:rFonts w:ascii="Arial" w:hAnsi="Arial" w:cs="Arial"/>
          <w:sz w:val="22"/>
        </w:rPr>
        <w:t xml:space="preserve"> </w:t>
      </w:r>
    </w:p>
    <w:p w:rsidR="00BE53F2" w:rsidRDefault="00BE53F2" w:rsidP="0055194B">
      <w:pPr>
        <w:pStyle w:val="ListParagraph"/>
        <w:ind w:left="1440"/>
        <w:jc w:val="both"/>
        <w:rPr>
          <w:rFonts w:ascii="Arial" w:hAnsi="Arial" w:cs="Arial"/>
          <w:sz w:val="22"/>
        </w:rPr>
      </w:pPr>
    </w:p>
    <w:p w:rsidR="00BE53F2" w:rsidRDefault="00BE53F2" w:rsidP="0055194B">
      <w:pPr>
        <w:pStyle w:val="ListParagraph"/>
        <w:ind w:left="1440"/>
        <w:jc w:val="both"/>
        <w:rPr>
          <w:rFonts w:ascii="Arial" w:hAnsi="Arial" w:cs="Arial"/>
          <w:sz w:val="22"/>
        </w:rPr>
      </w:pPr>
      <w:r>
        <w:rPr>
          <w:rFonts w:ascii="Arial" w:hAnsi="Arial" w:cs="Arial"/>
          <w:sz w:val="22"/>
        </w:rPr>
        <w:t>B</w:t>
      </w:r>
      <w:r w:rsidRPr="00BE53F2">
        <w:rPr>
          <w:rFonts w:ascii="Arial" w:hAnsi="Arial" w:cs="Arial"/>
          <w:sz w:val="22"/>
        </w:rPr>
        <w:t xml:space="preserve">anks are </w:t>
      </w:r>
      <w:r w:rsidR="00695706">
        <w:rPr>
          <w:rFonts w:ascii="Arial" w:hAnsi="Arial" w:cs="Arial"/>
          <w:sz w:val="22"/>
        </w:rPr>
        <w:t xml:space="preserve">also </w:t>
      </w:r>
      <w:r w:rsidRPr="00BE53F2">
        <w:rPr>
          <w:rFonts w:ascii="Arial" w:hAnsi="Arial" w:cs="Arial"/>
          <w:sz w:val="22"/>
        </w:rPr>
        <w:t xml:space="preserve">required to ensure continued compliance with legislation such as the Financial Intelligence Centre Act 38 of 2001, the Prevention of </w:t>
      </w:r>
      <w:proofErr w:type="spellStart"/>
      <w:r w:rsidRPr="00BE53F2">
        <w:rPr>
          <w:rFonts w:ascii="Arial" w:hAnsi="Arial" w:cs="Arial"/>
          <w:sz w:val="22"/>
        </w:rPr>
        <w:t>Organised</w:t>
      </w:r>
      <w:proofErr w:type="spellEnd"/>
      <w:r w:rsidRPr="00BE53F2">
        <w:rPr>
          <w:rFonts w:ascii="Arial" w:hAnsi="Arial" w:cs="Arial"/>
          <w:sz w:val="22"/>
        </w:rPr>
        <w:t xml:space="preserve"> </w:t>
      </w:r>
      <w:r w:rsidRPr="00BE53F2">
        <w:rPr>
          <w:rFonts w:ascii="Arial" w:hAnsi="Arial" w:cs="Arial"/>
          <w:sz w:val="22"/>
        </w:rPr>
        <w:lastRenderedPageBreak/>
        <w:t>Crime Act 121 of 1998 and the Protection of Constitutional Democracy against Terrorist and Related Activities Act 33 of 2004. Banks are specifically required to register with the Financial Intelligence Centre in terms of section 43B of the Financial Intelligence Centre Act</w:t>
      </w:r>
      <w:r>
        <w:rPr>
          <w:rFonts w:ascii="Arial" w:hAnsi="Arial" w:cs="Arial"/>
          <w:sz w:val="22"/>
        </w:rPr>
        <w:t>.</w:t>
      </w:r>
      <w:r w:rsidRPr="00BE53F2">
        <w:rPr>
          <w:rFonts w:ascii="Arial" w:hAnsi="Arial" w:cs="Arial"/>
          <w:sz w:val="22"/>
        </w:rPr>
        <w:t xml:space="preserve"> </w:t>
      </w:r>
      <w:r>
        <w:rPr>
          <w:rFonts w:ascii="Arial" w:hAnsi="Arial" w:cs="Arial"/>
          <w:sz w:val="22"/>
        </w:rPr>
        <w:t>S</w:t>
      </w:r>
      <w:r w:rsidRPr="00BE53F2">
        <w:rPr>
          <w:rFonts w:ascii="Arial" w:hAnsi="Arial" w:cs="Arial"/>
          <w:sz w:val="22"/>
        </w:rPr>
        <w:t xml:space="preserve">ections 21 to 45F </w:t>
      </w:r>
      <w:r>
        <w:rPr>
          <w:rFonts w:ascii="Arial" w:hAnsi="Arial" w:cs="Arial"/>
          <w:sz w:val="22"/>
        </w:rPr>
        <w:t>of that Act address</w:t>
      </w:r>
      <w:r w:rsidRPr="00BE53F2">
        <w:rPr>
          <w:rFonts w:ascii="Arial" w:hAnsi="Arial" w:cs="Arial"/>
          <w:sz w:val="22"/>
        </w:rPr>
        <w:t xml:space="preserve"> the control measures which banks </w:t>
      </w:r>
      <w:r>
        <w:rPr>
          <w:rFonts w:ascii="Arial" w:hAnsi="Arial" w:cs="Arial"/>
          <w:sz w:val="22"/>
        </w:rPr>
        <w:t>must</w:t>
      </w:r>
      <w:r w:rsidRPr="00BE53F2">
        <w:rPr>
          <w:rFonts w:ascii="Arial" w:hAnsi="Arial" w:cs="Arial"/>
          <w:sz w:val="22"/>
        </w:rPr>
        <w:t xml:space="preserve"> implement to combat money-laundering activities and prevent the financing of terrorist and related activities.</w:t>
      </w:r>
    </w:p>
    <w:p w:rsidR="00BE53F2" w:rsidRDefault="00BE53F2" w:rsidP="0055194B">
      <w:pPr>
        <w:pStyle w:val="ListParagraph"/>
        <w:ind w:left="1440"/>
        <w:jc w:val="both"/>
        <w:rPr>
          <w:rFonts w:ascii="Arial" w:hAnsi="Arial" w:cs="Arial"/>
          <w:sz w:val="22"/>
        </w:rPr>
      </w:pPr>
    </w:p>
    <w:p w:rsidR="00BE53F2" w:rsidRDefault="00BE53F2" w:rsidP="0055194B">
      <w:pPr>
        <w:pStyle w:val="ListParagraph"/>
        <w:ind w:left="1440"/>
        <w:jc w:val="both"/>
        <w:rPr>
          <w:rFonts w:ascii="Arial" w:hAnsi="Arial" w:cs="Arial"/>
          <w:sz w:val="22"/>
        </w:rPr>
      </w:pPr>
      <w:r w:rsidRPr="00BE53F2">
        <w:rPr>
          <w:rFonts w:ascii="Arial" w:hAnsi="Arial" w:cs="Arial"/>
          <w:sz w:val="22"/>
        </w:rPr>
        <w:t xml:space="preserve">Regulation 50 of the Regulations made under section 90 of the Banks Act 94 of 1990, states that a bank must implement and maintain robust structures, policies, processes and procedures to guard against the bank being used for purposes of financial crime such as fraud, financing of terrorist activities and money laundering. </w:t>
      </w:r>
    </w:p>
    <w:p w:rsidR="00BE53F2" w:rsidRDefault="00BE53F2" w:rsidP="0055194B">
      <w:pPr>
        <w:pStyle w:val="ListParagraph"/>
        <w:ind w:left="1440"/>
        <w:jc w:val="both"/>
        <w:rPr>
          <w:rFonts w:ascii="Arial" w:hAnsi="Arial" w:cs="Arial"/>
          <w:sz w:val="22"/>
        </w:rPr>
      </w:pPr>
    </w:p>
    <w:p w:rsidR="00BE53F2" w:rsidRDefault="00BE53F2" w:rsidP="0055194B">
      <w:pPr>
        <w:pStyle w:val="ListParagraph"/>
        <w:ind w:left="1440"/>
        <w:jc w:val="both"/>
        <w:rPr>
          <w:rFonts w:ascii="Arial" w:hAnsi="Arial" w:cs="Arial"/>
          <w:sz w:val="22"/>
        </w:rPr>
      </w:pPr>
      <w:r w:rsidRPr="00BE53F2">
        <w:rPr>
          <w:rFonts w:ascii="Arial" w:hAnsi="Arial" w:cs="Arial"/>
          <w:sz w:val="22"/>
        </w:rPr>
        <w:t xml:space="preserve">In terms of the Regulation 50, banks are required to facilitate co-operation with relevant law-enforcement agencies, identify customers, </w:t>
      </w:r>
      <w:proofErr w:type="spellStart"/>
      <w:r w:rsidRPr="00BE53F2">
        <w:rPr>
          <w:rFonts w:ascii="Arial" w:hAnsi="Arial" w:cs="Arial"/>
          <w:sz w:val="22"/>
        </w:rPr>
        <w:t>recognise</w:t>
      </w:r>
      <w:proofErr w:type="spellEnd"/>
      <w:r w:rsidRPr="00BE53F2">
        <w:rPr>
          <w:rFonts w:ascii="Arial" w:hAnsi="Arial" w:cs="Arial"/>
          <w:sz w:val="22"/>
        </w:rPr>
        <w:t xml:space="preserve"> suspicious customers and transactions, maintain high ethical standards in all business transactions, provide adequate training and guidance to staff, maintain records of transactions, report suspicious customers and transactions and provide a clear audit trail. </w:t>
      </w:r>
    </w:p>
    <w:p w:rsidR="00BE53F2" w:rsidRPr="00BE53F2" w:rsidRDefault="00BE53F2" w:rsidP="0055194B">
      <w:pPr>
        <w:jc w:val="both"/>
        <w:rPr>
          <w:rFonts w:ascii="Arial" w:hAnsi="Arial" w:cs="Arial"/>
          <w:sz w:val="22"/>
        </w:rPr>
      </w:pPr>
    </w:p>
    <w:p w:rsidR="00BE53F2" w:rsidRPr="00BE53F2" w:rsidRDefault="00BE53F2" w:rsidP="0055194B">
      <w:pPr>
        <w:jc w:val="both"/>
        <w:rPr>
          <w:rFonts w:ascii="Arial" w:hAnsi="Arial" w:cs="Arial"/>
          <w:sz w:val="22"/>
        </w:rPr>
      </w:pPr>
    </w:p>
    <w:p w:rsidR="00BE53F2" w:rsidRPr="00BE53F2" w:rsidRDefault="00BE53F2" w:rsidP="0055194B">
      <w:pPr>
        <w:ind w:left="1440" w:hanging="1260"/>
        <w:jc w:val="both"/>
        <w:rPr>
          <w:rFonts w:ascii="Arial" w:hAnsi="Arial" w:cs="Arial"/>
          <w:sz w:val="22"/>
        </w:rPr>
      </w:pPr>
      <w:r w:rsidRPr="00BE53F2">
        <w:rPr>
          <w:rFonts w:ascii="Arial" w:hAnsi="Arial" w:cs="Arial"/>
          <w:sz w:val="22"/>
        </w:rPr>
        <w:t xml:space="preserve">(2) </w:t>
      </w:r>
      <w:r w:rsidR="006135F4">
        <w:rPr>
          <w:rFonts w:ascii="Arial" w:hAnsi="Arial" w:cs="Arial"/>
          <w:sz w:val="22"/>
        </w:rPr>
        <w:tab/>
      </w:r>
      <w:r w:rsidRPr="00BE53F2">
        <w:rPr>
          <w:rFonts w:ascii="Arial" w:hAnsi="Arial" w:cs="Arial"/>
          <w:sz w:val="22"/>
        </w:rPr>
        <w:t xml:space="preserve">The manner in which a bank mitigates </w:t>
      </w:r>
      <w:r w:rsidR="006135F4">
        <w:rPr>
          <w:rFonts w:ascii="Arial" w:hAnsi="Arial" w:cs="Arial"/>
          <w:sz w:val="22"/>
        </w:rPr>
        <w:t xml:space="preserve">its </w:t>
      </w:r>
      <w:r w:rsidRPr="00BE53F2">
        <w:rPr>
          <w:rFonts w:ascii="Arial" w:hAnsi="Arial" w:cs="Arial"/>
          <w:sz w:val="22"/>
        </w:rPr>
        <w:t>risk is not prescribed</w:t>
      </w:r>
      <w:r w:rsidR="00527E69">
        <w:rPr>
          <w:rFonts w:ascii="Arial" w:hAnsi="Arial" w:cs="Arial"/>
          <w:sz w:val="22"/>
        </w:rPr>
        <w:t xml:space="preserve"> per type of risk</w:t>
      </w:r>
      <w:r w:rsidR="006135F4">
        <w:rPr>
          <w:rFonts w:ascii="Arial" w:hAnsi="Arial" w:cs="Arial"/>
          <w:sz w:val="22"/>
        </w:rPr>
        <w:t xml:space="preserve"> (e.g. </w:t>
      </w:r>
      <w:r w:rsidR="006135F4" w:rsidRPr="00BE53F2">
        <w:rPr>
          <w:rFonts w:ascii="Arial" w:hAnsi="Arial" w:cs="Arial"/>
          <w:sz w:val="22"/>
        </w:rPr>
        <w:t>fraud and financial crime</w:t>
      </w:r>
      <w:r w:rsidR="006135F4">
        <w:rPr>
          <w:rFonts w:ascii="Arial" w:hAnsi="Arial" w:cs="Arial"/>
          <w:sz w:val="22"/>
        </w:rPr>
        <w:t xml:space="preserve"> risks)</w:t>
      </w:r>
      <w:r w:rsidRPr="00BE53F2">
        <w:rPr>
          <w:rFonts w:ascii="Arial" w:hAnsi="Arial" w:cs="Arial"/>
          <w:sz w:val="22"/>
        </w:rPr>
        <w:t xml:space="preserve"> by the Regulator. However</w:t>
      </w:r>
      <w:r w:rsidR="00CE2F9A">
        <w:rPr>
          <w:rFonts w:ascii="Arial" w:hAnsi="Arial" w:cs="Arial"/>
          <w:sz w:val="22"/>
        </w:rPr>
        <w:t xml:space="preserve">, </w:t>
      </w:r>
      <w:r w:rsidR="00CE2F9A" w:rsidRPr="00BE53F2">
        <w:rPr>
          <w:rFonts w:ascii="Arial" w:hAnsi="Arial" w:cs="Arial"/>
          <w:sz w:val="22"/>
        </w:rPr>
        <w:t>Regulations 33 and 34 of the Banks Act</w:t>
      </w:r>
      <w:r w:rsidR="00CE2F9A">
        <w:rPr>
          <w:rFonts w:ascii="Arial" w:hAnsi="Arial" w:cs="Arial"/>
          <w:sz w:val="22"/>
        </w:rPr>
        <w:t xml:space="preserve"> do require</w:t>
      </w:r>
      <w:r w:rsidRPr="00BE53F2">
        <w:rPr>
          <w:rFonts w:ascii="Arial" w:hAnsi="Arial" w:cs="Arial"/>
          <w:sz w:val="22"/>
        </w:rPr>
        <w:t xml:space="preserve"> a robust enterprise risk management framework for a bank, which includes operational risk, </w:t>
      </w:r>
      <w:r w:rsidR="00CE2F9A">
        <w:rPr>
          <w:rFonts w:ascii="Arial" w:hAnsi="Arial" w:cs="Arial"/>
          <w:sz w:val="22"/>
        </w:rPr>
        <w:t>such as</w:t>
      </w:r>
      <w:r w:rsidRPr="00BE53F2">
        <w:rPr>
          <w:rFonts w:ascii="Arial" w:hAnsi="Arial" w:cs="Arial"/>
          <w:sz w:val="22"/>
        </w:rPr>
        <w:t xml:space="preserve"> fraud and financial crime. There is an obligation on banks to hold capital for operational risk. Banks are allowed to take out insurance against this risk, but this does not influence the regulatory capital requirement.</w:t>
      </w:r>
    </w:p>
    <w:p w:rsidR="00BE53F2" w:rsidRDefault="00BE53F2" w:rsidP="0055194B">
      <w:pPr>
        <w:jc w:val="both"/>
        <w:rPr>
          <w:rFonts w:ascii="Arial" w:hAnsi="Arial" w:cs="Arial"/>
          <w:sz w:val="22"/>
        </w:rPr>
      </w:pPr>
    </w:p>
    <w:p w:rsidR="008767F3" w:rsidRPr="00BE53F2" w:rsidRDefault="008767F3" w:rsidP="0055194B">
      <w:pPr>
        <w:jc w:val="both"/>
        <w:rPr>
          <w:rFonts w:ascii="Arial" w:hAnsi="Arial" w:cs="Arial"/>
          <w:sz w:val="22"/>
        </w:rPr>
      </w:pPr>
    </w:p>
    <w:p w:rsidR="00B77F67" w:rsidRPr="001B0917" w:rsidRDefault="00BE53F2" w:rsidP="0055194B">
      <w:pPr>
        <w:ind w:left="1440" w:hanging="1260"/>
        <w:jc w:val="both"/>
        <w:rPr>
          <w:rFonts w:ascii="Arial" w:hAnsi="Arial" w:cs="Arial"/>
          <w:b/>
          <w:sz w:val="22"/>
          <w:szCs w:val="22"/>
        </w:rPr>
      </w:pPr>
      <w:r w:rsidRPr="00BE53F2">
        <w:rPr>
          <w:rFonts w:ascii="Arial" w:hAnsi="Arial" w:cs="Arial"/>
          <w:sz w:val="22"/>
        </w:rPr>
        <w:t xml:space="preserve">(3) </w:t>
      </w:r>
      <w:r w:rsidR="006135F4">
        <w:rPr>
          <w:rFonts w:ascii="Arial" w:hAnsi="Arial" w:cs="Arial"/>
          <w:sz w:val="22"/>
        </w:rPr>
        <w:tab/>
      </w:r>
      <w:r w:rsidR="00835437" w:rsidRPr="00BE53F2">
        <w:rPr>
          <w:rFonts w:ascii="Arial" w:hAnsi="Arial" w:cs="Arial"/>
          <w:sz w:val="22"/>
        </w:rPr>
        <w:t xml:space="preserve">The manner </w:t>
      </w:r>
      <w:r w:rsidR="0055194B">
        <w:rPr>
          <w:rFonts w:ascii="Arial" w:hAnsi="Arial" w:cs="Arial"/>
          <w:sz w:val="22"/>
        </w:rPr>
        <w:t xml:space="preserve">in </w:t>
      </w:r>
      <w:r w:rsidR="00835437" w:rsidRPr="00BE53F2">
        <w:rPr>
          <w:rFonts w:ascii="Arial" w:hAnsi="Arial" w:cs="Arial"/>
          <w:sz w:val="22"/>
        </w:rPr>
        <w:t>which a bank compensates a client depends on the bank’s internal policies</w:t>
      </w:r>
      <w:r w:rsidR="00D379BD">
        <w:rPr>
          <w:rFonts w:ascii="Arial" w:hAnsi="Arial" w:cs="Arial"/>
          <w:sz w:val="22"/>
        </w:rPr>
        <w:t xml:space="preserve"> and </w:t>
      </w:r>
      <w:proofErr w:type="gramStart"/>
      <w:r w:rsidR="00D379BD">
        <w:rPr>
          <w:rFonts w:ascii="Arial" w:hAnsi="Arial" w:cs="Arial"/>
          <w:sz w:val="22"/>
        </w:rPr>
        <w:t>are</w:t>
      </w:r>
      <w:proofErr w:type="gramEnd"/>
      <w:r w:rsidR="00D379BD">
        <w:rPr>
          <w:rFonts w:ascii="Arial" w:hAnsi="Arial" w:cs="Arial"/>
          <w:sz w:val="22"/>
        </w:rPr>
        <w:t xml:space="preserve"> </w:t>
      </w:r>
      <w:r w:rsidR="00B92669">
        <w:rPr>
          <w:rFonts w:ascii="Arial" w:hAnsi="Arial" w:cs="Arial"/>
          <w:sz w:val="22"/>
        </w:rPr>
        <w:t xml:space="preserve">generally </w:t>
      </w:r>
      <w:r w:rsidR="00D379BD">
        <w:rPr>
          <w:rFonts w:ascii="Arial" w:hAnsi="Arial" w:cs="Arial"/>
          <w:sz w:val="22"/>
        </w:rPr>
        <w:t>assessed on a case-by-case basis</w:t>
      </w:r>
      <w:r w:rsidR="00835437" w:rsidRPr="00BE53F2">
        <w:rPr>
          <w:rFonts w:ascii="Arial" w:hAnsi="Arial" w:cs="Arial"/>
          <w:sz w:val="22"/>
        </w:rPr>
        <w:t xml:space="preserve">. </w:t>
      </w:r>
      <w:r w:rsidR="00B03697" w:rsidRPr="00BE53F2">
        <w:rPr>
          <w:rFonts w:ascii="Arial" w:hAnsi="Arial" w:cs="Arial"/>
          <w:sz w:val="22"/>
        </w:rPr>
        <w:t xml:space="preserve">Clients that are not satisfied with the services of </w:t>
      </w:r>
      <w:r w:rsidRPr="00BE53F2">
        <w:rPr>
          <w:rFonts w:ascii="Arial" w:hAnsi="Arial" w:cs="Arial"/>
          <w:sz w:val="22"/>
        </w:rPr>
        <w:t>their b</w:t>
      </w:r>
      <w:r w:rsidR="00B03697" w:rsidRPr="00BE53F2">
        <w:rPr>
          <w:rFonts w:ascii="Arial" w:hAnsi="Arial" w:cs="Arial"/>
          <w:sz w:val="22"/>
        </w:rPr>
        <w:t xml:space="preserve">ank </w:t>
      </w:r>
      <w:r w:rsidRPr="00BE53F2">
        <w:rPr>
          <w:rFonts w:ascii="Arial" w:hAnsi="Arial" w:cs="Arial"/>
          <w:sz w:val="22"/>
        </w:rPr>
        <w:t xml:space="preserve">in relation to such compensation decisions </w:t>
      </w:r>
      <w:r w:rsidR="00B03697" w:rsidRPr="00BE53F2">
        <w:rPr>
          <w:rFonts w:ascii="Arial" w:hAnsi="Arial" w:cs="Arial"/>
          <w:sz w:val="22"/>
        </w:rPr>
        <w:t>can approach</w:t>
      </w:r>
      <w:r w:rsidRPr="00BE53F2">
        <w:rPr>
          <w:rFonts w:ascii="Arial" w:hAnsi="Arial" w:cs="Arial"/>
          <w:sz w:val="22"/>
        </w:rPr>
        <w:t xml:space="preserve"> </w:t>
      </w:r>
      <w:r w:rsidR="00B03697" w:rsidRPr="00BE53F2">
        <w:rPr>
          <w:rFonts w:ascii="Arial" w:hAnsi="Arial" w:cs="Arial"/>
          <w:sz w:val="22"/>
        </w:rPr>
        <w:t xml:space="preserve">the Ombudsman for Banking Services. </w:t>
      </w:r>
      <w:r w:rsidRPr="00BE53F2">
        <w:rPr>
          <w:rFonts w:ascii="Arial" w:hAnsi="Arial" w:cs="Arial"/>
          <w:sz w:val="22"/>
        </w:rPr>
        <w:t xml:space="preserve">The majority of retail banks in South Africa </w:t>
      </w:r>
      <w:r w:rsidR="00B03697" w:rsidRPr="00BE53F2">
        <w:rPr>
          <w:rFonts w:ascii="Arial" w:hAnsi="Arial" w:cs="Arial"/>
          <w:sz w:val="22"/>
        </w:rPr>
        <w:t>are members of the Ombudsman for Banking Services</w:t>
      </w:r>
      <w:r w:rsidRPr="00BE53F2">
        <w:rPr>
          <w:rFonts w:ascii="Arial" w:hAnsi="Arial" w:cs="Arial"/>
          <w:sz w:val="22"/>
        </w:rPr>
        <w:t>.</w:t>
      </w:r>
      <w:r w:rsidR="00624A13">
        <w:rPr>
          <w:rFonts w:ascii="Arial" w:hAnsi="Arial" w:cs="Arial"/>
          <w:sz w:val="22"/>
        </w:rPr>
        <w:t xml:space="preserve"> Going forward, it is worthwhile to note </w:t>
      </w:r>
      <w:r w:rsidR="006135F4">
        <w:rPr>
          <w:rFonts w:ascii="Arial" w:hAnsi="Arial" w:cs="Arial"/>
          <w:sz w:val="22"/>
        </w:rPr>
        <w:t xml:space="preserve">again </w:t>
      </w:r>
      <w:r w:rsidR="00624A13">
        <w:rPr>
          <w:rFonts w:ascii="Arial" w:hAnsi="Arial" w:cs="Arial"/>
          <w:sz w:val="22"/>
        </w:rPr>
        <w:t>that t</w:t>
      </w:r>
      <w:r w:rsidR="00B92669" w:rsidRPr="00B92669">
        <w:rPr>
          <w:rFonts w:ascii="Arial" w:hAnsi="Arial" w:cs="Arial"/>
          <w:sz w:val="22"/>
        </w:rPr>
        <w:t>h</w:t>
      </w:r>
      <w:r w:rsidR="00B92669">
        <w:rPr>
          <w:rFonts w:ascii="Arial" w:hAnsi="Arial" w:cs="Arial"/>
          <w:sz w:val="22"/>
        </w:rPr>
        <w:t xml:space="preserve">e conduct of business of retail banks, including its fair treatment of customers, </w:t>
      </w:r>
      <w:r w:rsidR="00B92669" w:rsidRPr="00B92669">
        <w:rPr>
          <w:rFonts w:ascii="Arial" w:hAnsi="Arial" w:cs="Arial"/>
          <w:sz w:val="22"/>
        </w:rPr>
        <w:t>will be regulated by the Financial Sector Conduct Authority when the Financial Sector Regulation Bill is enacted.</w:t>
      </w: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4BEC"/>
    <w:multiLevelType w:val="hybridMultilevel"/>
    <w:tmpl w:val="0F2C5946"/>
    <w:lvl w:ilvl="0" w:tplc="97121F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4614913"/>
    <w:multiLevelType w:val="hybridMultilevel"/>
    <w:tmpl w:val="4332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818C7"/>
    <w:multiLevelType w:val="hybridMultilevel"/>
    <w:tmpl w:val="EED64BC6"/>
    <w:lvl w:ilvl="0" w:tplc="259C3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0E15995"/>
    <w:multiLevelType w:val="hybridMultilevel"/>
    <w:tmpl w:val="67886094"/>
    <w:lvl w:ilvl="0" w:tplc="AD18E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774843"/>
    <w:multiLevelType w:val="hybridMultilevel"/>
    <w:tmpl w:val="4ECC3FAE"/>
    <w:lvl w:ilvl="0" w:tplc="0012E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85"/>
    <w:rsid w:val="00020C04"/>
    <w:rsid w:val="000221DC"/>
    <w:rsid w:val="00057F94"/>
    <w:rsid w:val="000C48D8"/>
    <w:rsid w:val="000F3B14"/>
    <w:rsid w:val="001433AE"/>
    <w:rsid w:val="0015727B"/>
    <w:rsid w:val="001713D2"/>
    <w:rsid w:val="0019774D"/>
    <w:rsid w:val="001B0917"/>
    <w:rsid w:val="001E3FB5"/>
    <w:rsid w:val="001E6902"/>
    <w:rsid w:val="002F6E86"/>
    <w:rsid w:val="003421BD"/>
    <w:rsid w:val="00392C87"/>
    <w:rsid w:val="00472928"/>
    <w:rsid w:val="0047760A"/>
    <w:rsid w:val="00497385"/>
    <w:rsid w:val="005141B3"/>
    <w:rsid w:val="00527E69"/>
    <w:rsid w:val="00532F92"/>
    <w:rsid w:val="0055194B"/>
    <w:rsid w:val="00574E19"/>
    <w:rsid w:val="005F3F28"/>
    <w:rsid w:val="006135F4"/>
    <w:rsid w:val="00613FC6"/>
    <w:rsid w:val="006239F1"/>
    <w:rsid w:val="00624A13"/>
    <w:rsid w:val="00624D20"/>
    <w:rsid w:val="0062770E"/>
    <w:rsid w:val="0064275F"/>
    <w:rsid w:val="00647EF2"/>
    <w:rsid w:val="00653A85"/>
    <w:rsid w:val="00695706"/>
    <w:rsid w:val="007118EA"/>
    <w:rsid w:val="00715524"/>
    <w:rsid w:val="00726A9C"/>
    <w:rsid w:val="00730B3E"/>
    <w:rsid w:val="007359BF"/>
    <w:rsid w:val="00773209"/>
    <w:rsid w:val="007914E0"/>
    <w:rsid w:val="007A32AF"/>
    <w:rsid w:val="007B1BA1"/>
    <w:rsid w:val="007C5093"/>
    <w:rsid w:val="0080157D"/>
    <w:rsid w:val="00835437"/>
    <w:rsid w:val="00835A0C"/>
    <w:rsid w:val="008767F3"/>
    <w:rsid w:val="00891265"/>
    <w:rsid w:val="008C2559"/>
    <w:rsid w:val="008E6BEE"/>
    <w:rsid w:val="00911717"/>
    <w:rsid w:val="009163A5"/>
    <w:rsid w:val="00953363"/>
    <w:rsid w:val="0096007E"/>
    <w:rsid w:val="009608B9"/>
    <w:rsid w:val="009A18A7"/>
    <w:rsid w:val="00A27751"/>
    <w:rsid w:val="00A525F0"/>
    <w:rsid w:val="00A72B9B"/>
    <w:rsid w:val="00AD00CE"/>
    <w:rsid w:val="00AD5C9B"/>
    <w:rsid w:val="00B03697"/>
    <w:rsid w:val="00B42AF5"/>
    <w:rsid w:val="00B447E6"/>
    <w:rsid w:val="00B77F67"/>
    <w:rsid w:val="00B92669"/>
    <w:rsid w:val="00BD31C6"/>
    <w:rsid w:val="00BE53F2"/>
    <w:rsid w:val="00C25C7E"/>
    <w:rsid w:val="00C312EA"/>
    <w:rsid w:val="00C44C35"/>
    <w:rsid w:val="00C60822"/>
    <w:rsid w:val="00CC2F3E"/>
    <w:rsid w:val="00CE2F9A"/>
    <w:rsid w:val="00D379BD"/>
    <w:rsid w:val="00DB2463"/>
    <w:rsid w:val="00DD5296"/>
    <w:rsid w:val="00DF0D26"/>
    <w:rsid w:val="00E013F1"/>
    <w:rsid w:val="00E77DF6"/>
    <w:rsid w:val="00E8352B"/>
    <w:rsid w:val="00E863E1"/>
    <w:rsid w:val="00EA6A49"/>
    <w:rsid w:val="00EC4C0E"/>
    <w:rsid w:val="00F51C17"/>
    <w:rsid w:val="00F5571A"/>
    <w:rsid w:val="00F87EA6"/>
    <w:rsid w:val="00FC2064"/>
    <w:rsid w:val="00FD41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7C5093"/>
    <w:pPr>
      <w:ind w:left="720"/>
      <w:contextualSpacing/>
    </w:pPr>
  </w:style>
  <w:style w:type="paragraph" w:customStyle="1" w:styleId="Default">
    <w:name w:val="Default"/>
    <w:rsid w:val="007C50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057F94"/>
    <w:rPr>
      <w:sz w:val="16"/>
      <w:szCs w:val="16"/>
    </w:rPr>
  </w:style>
  <w:style w:type="paragraph" w:styleId="CommentText">
    <w:name w:val="annotation text"/>
    <w:basedOn w:val="Normal"/>
    <w:link w:val="CommentTextChar"/>
    <w:rsid w:val="00057F94"/>
    <w:rPr>
      <w:sz w:val="20"/>
      <w:szCs w:val="20"/>
    </w:rPr>
  </w:style>
  <w:style w:type="character" w:customStyle="1" w:styleId="CommentTextChar">
    <w:name w:val="Comment Text Char"/>
    <w:basedOn w:val="DefaultParagraphFont"/>
    <w:link w:val="CommentText"/>
    <w:rsid w:val="00057F94"/>
    <w:rPr>
      <w:lang w:val="en-US" w:eastAsia="en-US"/>
    </w:rPr>
  </w:style>
  <w:style w:type="paragraph" w:styleId="CommentSubject">
    <w:name w:val="annotation subject"/>
    <w:basedOn w:val="CommentText"/>
    <w:next w:val="CommentText"/>
    <w:link w:val="CommentSubjectChar"/>
    <w:rsid w:val="00057F94"/>
    <w:rPr>
      <w:b/>
      <w:bCs/>
    </w:rPr>
  </w:style>
  <w:style w:type="character" w:customStyle="1" w:styleId="CommentSubjectChar">
    <w:name w:val="Comment Subject Char"/>
    <w:basedOn w:val="CommentTextChar"/>
    <w:link w:val="CommentSubject"/>
    <w:rsid w:val="00057F94"/>
    <w:rPr>
      <w:b/>
      <w:bCs/>
      <w:lang w:val="en-US" w:eastAsia="en-US"/>
    </w:rPr>
  </w:style>
  <w:style w:type="paragraph" w:styleId="BalloonText">
    <w:name w:val="Balloon Text"/>
    <w:basedOn w:val="Normal"/>
    <w:link w:val="BalloonTextChar"/>
    <w:rsid w:val="00057F94"/>
    <w:rPr>
      <w:rFonts w:ascii="Tahoma" w:hAnsi="Tahoma" w:cs="Tahoma"/>
      <w:sz w:val="16"/>
      <w:szCs w:val="16"/>
    </w:rPr>
  </w:style>
  <w:style w:type="character" w:customStyle="1" w:styleId="BalloonTextChar">
    <w:name w:val="Balloon Text Char"/>
    <w:basedOn w:val="DefaultParagraphFont"/>
    <w:link w:val="BalloonText"/>
    <w:rsid w:val="00057F9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7C5093"/>
    <w:pPr>
      <w:ind w:left="720"/>
      <w:contextualSpacing/>
    </w:pPr>
  </w:style>
  <w:style w:type="paragraph" w:customStyle="1" w:styleId="Default">
    <w:name w:val="Default"/>
    <w:rsid w:val="007C50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057F94"/>
    <w:rPr>
      <w:sz w:val="16"/>
      <w:szCs w:val="16"/>
    </w:rPr>
  </w:style>
  <w:style w:type="paragraph" w:styleId="CommentText">
    <w:name w:val="annotation text"/>
    <w:basedOn w:val="Normal"/>
    <w:link w:val="CommentTextChar"/>
    <w:rsid w:val="00057F94"/>
    <w:rPr>
      <w:sz w:val="20"/>
      <w:szCs w:val="20"/>
    </w:rPr>
  </w:style>
  <w:style w:type="character" w:customStyle="1" w:styleId="CommentTextChar">
    <w:name w:val="Comment Text Char"/>
    <w:basedOn w:val="DefaultParagraphFont"/>
    <w:link w:val="CommentText"/>
    <w:rsid w:val="00057F94"/>
    <w:rPr>
      <w:lang w:val="en-US" w:eastAsia="en-US"/>
    </w:rPr>
  </w:style>
  <w:style w:type="paragraph" w:styleId="CommentSubject">
    <w:name w:val="annotation subject"/>
    <w:basedOn w:val="CommentText"/>
    <w:next w:val="CommentText"/>
    <w:link w:val="CommentSubjectChar"/>
    <w:rsid w:val="00057F94"/>
    <w:rPr>
      <w:b/>
      <w:bCs/>
    </w:rPr>
  </w:style>
  <w:style w:type="character" w:customStyle="1" w:styleId="CommentSubjectChar">
    <w:name w:val="Comment Subject Char"/>
    <w:basedOn w:val="CommentTextChar"/>
    <w:link w:val="CommentSubject"/>
    <w:rsid w:val="00057F94"/>
    <w:rPr>
      <w:b/>
      <w:bCs/>
      <w:lang w:val="en-US" w:eastAsia="en-US"/>
    </w:rPr>
  </w:style>
  <w:style w:type="paragraph" w:styleId="BalloonText">
    <w:name w:val="Balloon Text"/>
    <w:basedOn w:val="Normal"/>
    <w:link w:val="BalloonTextChar"/>
    <w:rsid w:val="00057F94"/>
    <w:rPr>
      <w:rFonts w:ascii="Tahoma" w:hAnsi="Tahoma" w:cs="Tahoma"/>
      <w:sz w:val="16"/>
      <w:szCs w:val="16"/>
    </w:rPr>
  </w:style>
  <w:style w:type="character" w:customStyle="1" w:styleId="BalloonTextChar">
    <w:name w:val="Balloon Text Char"/>
    <w:basedOn w:val="DefaultParagraphFont"/>
    <w:link w:val="BalloonText"/>
    <w:rsid w:val="00057F9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9695">
      <w:bodyDiv w:val="1"/>
      <w:marLeft w:val="0"/>
      <w:marRight w:val="0"/>
      <w:marTop w:val="0"/>
      <w:marBottom w:val="0"/>
      <w:divBdr>
        <w:top w:val="none" w:sz="0" w:space="0" w:color="auto"/>
        <w:left w:val="none" w:sz="0" w:space="0" w:color="auto"/>
        <w:bottom w:val="none" w:sz="0" w:space="0" w:color="auto"/>
        <w:right w:val="none" w:sz="0" w:space="0" w:color="auto"/>
      </w:divBdr>
    </w:div>
    <w:div w:id="111525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3B51-2057-43B9-963E-71A7901B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Cindy August</cp:lastModifiedBy>
  <cp:revision>2</cp:revision>
  <cp:lastPrinted>2016-12-15T11:09:00Z</cp:lastPrinted>
  <dcterms:created xsi:type="dcterms:W3CDTF">2016-12-15T15:39:00Z</dcterms:created>
  <dcterms:modified xsi:type="dcterms:W3CDTF">2016-12-15T15:39:00Z</dcterms:modified>
</cp:coreProperties>
</file>