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05" w:rsidRDefault="00111205">
      <w:pPr>
        <w:pStyle w:val="BodyText"/>
        <w:ind w:left="3865"/>
        <w:rPr>
          <w:rFonts w:ascii="Times New Roman"/>
          <w:sz w:val="20"/>
        </w:rPr>
      </w:pPr>
    </w:p>
    <w:p w:rsidR="00111205" w:rsidRDefault="00111205">
      <w:pPr>
        <w:pStyle w:val="BodyText"/>
        <w:rPr>
          <w:sz w:val="20"/>
        </w:rPr>
      </w:pPr>
    </w:p>
    <w:p w:rsidR="00111205" w:rsidRDefault="00111205">
      <w:pPr>
        <w:pStyle w:val="BodyText"/>
        <w:spacing w:before="8"/>
        <w:rPr>
          <w:sz w:val="19"/>
        </w:rPr>
      </w:pPr>
    </w:p>
    <w:p w:rsidR="00111205" w:rsidRPr="0096649F" w:rsidRDefault="0096649F" w:rsidP="0096649F">
      <w:pPr>
        <w:pStyle w:val="Heading1"/>
        <w:ind w:left="3101" w:right="3118"/>
        <w:jc w:val="center"/>
        <w:rPr>
          <w:sz w:val="20"/>
          <w:szCs w:val="20"/>
        </w:rPr>
      </w:pPr>
      <w:r w:rsidRPr="0096649F">
        <w:rPr>
          <w:sz w:val="20"/>
          <w:szCs w:val="20"/>
        </w:rPr>
        <w:t>NATIONAL ASSEMBLY WRITTEN REPLY</w:t>
      </w:r>
    </w:p>
    <w:p w:rsidR="00111205" w:rsidRPr="0096649F" w:rsidRDefault="0096649F" w:rsidP="0096649F">
      <w:pPr>
        <w:ind w:left="462" w:right="475"/>
        <w:jc w:val="center"/>
        <w:rPr>
          <w:b/>
          <w:sz w:val="20"/>
          <w:szCs w:val="20"/>
        </w:rPr>
      </w:pPr>
      <w:r w:rsidRPr="0096649F">
        <w:rPr>
          <w:b/>
          <w:sz w:val="20"/>
          <w:szCs w:val="20"/>
        </w:rPr>
        <w:t>QUESTION NUMBER: 343 [NO2345E]</w:t>
      </w:r>
    </w:p>
    <w:p w:rsidR="00111205" w:rsidRPr="0096649F" w:rsidRDefault="00111205" w:rsidP="0096649F">
      <w:pPr>
        <w:pStyle w:val="BodyText"/>
        <w:rPr>
          <w:b/>
          <w:sz w:val="20"/>
          <w:szCs w:val="20"/>
        </w:rPr>
      </w:pPr>
    </w:p>
    <w:p w:rsidR="00111205" w:rsidRPr="0096649F" w:rsidRDefault="0096649F" w:rsidP="0096649F">
      <w:pPr>
        <w:tabs>
          <w:tab w:val="left" w:pos="820"/>
        </w:tabs>
        <w:ind w:left="100" w:right="717"/>
        <w:rPr>
          <w:b/>
          <w:sz w:val="20"/>
          <w:szCs w:val="20"/>
        </w:rPr>
      </w:pPr>
      <w:r w:rsidRPr="0096649F">
        <w:rPr>
          <w:b/>
          <w:sz w:val="20"/>
          <w:szCs w:val="20"/>
        </w:rPr>
        <w:t>343.</w:t>
      </w:r>
      <w:r w:rsidRPr="0096649F">
        <w:rPr>
          <w:b/>
          <w:sz w:val="20"/>
          <w:szCs w:val="20"/>
        </w:rPr>
        <w:tab/>
      </w:r>
      <w:proofErr w:type="spellStart"/>
      <w:r w:rsidRPr="0096649F">
        <w:rPr>
          <w:b/>
          <w:sz w:val="20"/>
          <w:szCs w:val="20"/>
        </w:rPr>
        <w:t>Mrs</w:t>
      </w:r>
      <w:proofErr w:type="spellEnd"/>
      <w:r w:rsidRPr="0096649F">
        <w:rPr>
          <w:b/>
          <w:sz w:val="20"/>
          <w:szCs w:val="20"/>
        </w:rPr>
        <w:t xml:space="preserve"> E N </w:t>
      </w:r>
      <w:proofErr w:type="spellStart"/>
      <w:r w:rsidRPr="0096649F">
        <w:rPr>
          <w:b/>
          <w:sz w:val="20"/>
          <w:szCs w:val="20"/>
        </w:rPr>
        <w:t>Ntlangwini</w:t>
      </w:r>
      <w:proofErr w:type="spellEnd"/>
      <w:r w:rsidRPr="0096649F">
        <w:rPr>
          <w:b/>
          <w:sz w:val="20"/>
          <w:szCs w:val="20"/>
        </w:rPr>
        <w:t xml:space="preserve"> (EFF) to ask the Minister of Employment and </w:t>
      </w:r>
      <w:proofErr w:type="spellStart"/>
      <w:r w:rsidRPr="0096649F">
        <w:rPr>
          <w:b/>
          <w:sz w:val="20"/>
          <w:szCs w:val="20"/>
        </w:rPr>
        <w:t>Labour</w:t>
      </w:r>
      <w:proofErr w:type="spellEnd"/>
      <w:r w:rsidRPr="0096649F">
        <w:rPr>
          <w:b/>
          <w:sz w:val="20"/>
          <w:szCs w:val="20"/>
        </w:rPr>
        <w:t>:</w:t>
      </w:r>
    </w:p>
    <w:p w:rsidR="00111205" w:rsidRPr="0096649F" w:rsidRDefault="00111205" w:rsidP="0096649F">
      <w:pPr>
        <w:pStyle w:val="BodyText"/>
        <w:rPr>
          <w:b/>
          <w:sz w:val="20"/>
          <w:szCs w:val="20"/>
        </w:rPr>
      </w:pPr>
    </w:p>
    <w:p w:rsidR="00111205" w:rsidRPr="0096649F" w:rsidRDefault="0096649F" w:rsidP="0096649F">
      <w:pPr>
        <w:pStyle w:val="BodyText"/>
        <w:ind w:left="100" w:right="119"/>
        <w:jc w:val="both"/>
        <w:rPr>
          <w:sz w:val="20"/>
          <w:szCs w:val="20"/>
        </w:rPr>
      </w:pPr>
      <w:r w:rsidRPr="0096649F">
        <w:rPr>
          <w:sz w:val="20"/>
          <w:szCs w:val="20"/>
        </w:rPr>
        <w:t>What</w:t>
      </w:r>
      <w:r w:rsidRPr="0096649F">
        <w:rPr>
          <w:spacing w:val="-9"/>
          <w:sz w:val="20"/>
          <w:szCs w:val="20"/>
        </w:rPr>
        <w:t xml:space="preserve"> </w:t>
      </w:r>
      <w:r w:rsidRPr="0096649F">
        <w:rPr>
          <w:sz w:val="20"/>
          <w:szCs w:val="20"/>
        </w:rPr>
        <w:t>(a)</w:t>
      </w:r>
      <w:r w:rsidRPr="0096649F">
        <w:rPr>
          <w:spacing w:val="-7"/>
          <w:sz w:val="20"/>
          <w:szCs w:val="20"/>
        </w:rPr>
        <w:t xml:space="preserve"> </w:t>
      </w:r>
      <w:r w:rsidRPr="0096649F">
        <w:rPr>
          <w:sz w:val="20"/>
          <w:szCs w:val="20"/>
        </w:rPr>
        <w:t>number</w:t>
      </w:r>
      <w:r w:rsidRPr="0096649F">
        <w:rPr>
          <w:spacing w:val="-7"/>
          <w:sz w:val="20"/>
          <w:szCs w:val="20"/>
        </w:rPr>
        <w:t xml:space="preserve"> </w:t>
      </w:r>
      <w:r w:rsidRPr="0096649F">
        <w:rPr>
          <w:sz w:val="20"/>
          <w:szCs w:val="20"/>
        </w:rPr>
        <w:t>of</w:t>
      </w:r>
      <w:r w:rsidRPr="0096649F">
        <w:rPr>
          <w:spacing w:val="-6"/>
          <w:sz w:val="20"/>
          <w:szCs w:val="20"/>
        </w:rPr>
        <w:t xml:space="preserve"> </w:t>
      </w:r>
      <w:r w:rsidRPr="0096649F">
        <w:rPr>
          <w:sz w:val="20"/>
          <w:szCs w:val="20"/>
        </w:rPr>
        <w:t>cases</w:t>
      </w:r>
      <w:r w:rsidRPr="0096649F">
        <w:rPr>
          <w:spacing w:val="-7"/>
          <w:sz w:val="20"/>
          <w:szCs w:val="20"/>
        </w:rPr>
        <w:t xml:space="preserve"> </w:t>
      </w:r>
      <w:r w:rsidRPr="0096649F">
        <w:rPr>
          <w:sz w:val="20"/>
          <w:szCs w:val="20"/>
        </w:rPr>
        <w:t>has</w:t>
      </w:r>
      <w:r w:rsidRPr="0096649F">
        <w:rPr>
          <w:spacing w:val="-9"/>
          <w:sz w:val="20"/>
          <w:szCs w:val="20"/>
        </w:rPr>
        <w:t xml:space="preserve"> </w:t>
      </w:r>
      <w:r w:rsidRPr="0096649F">
        <w:rPr>
          <w:sz w:val="20"/>
          <w:szCs w:val="20"/>
        </w:rPr>
        <w:t>his</w:t>
      </w:r>
      <w:r w:rsidRPr="0096649F">
        <w:rPr>
          <w:spacing w:val="-7"/>
          <w:sz w:val="20"/>
          <w:szCs w:val="20"/>
        </w:rPr>
        <w:t xml:space="preserve"> </w:t>
      </w:r>
      <w:r w:rsidRPr="0096649F">
        <w:rPr>
          <w:sz w:val="20"/>
          <w:szCs w:val="20"/>
        </w:rPr>
        <w:t>department</w:t>
      </w:r>
      <w:r w:rsidRPr="0096649F">
        <w:rPr>
          <w:spacing w:val="-6"/>
          <w:sz w:val="20"/>
          <w:szCs w:val="20"/>
        </w:rPr>
        <w:t xml:space="preserve"> </w:t>
      </w:r>
      <w:r w:rsidRPr="0096649F">
        <w:rPr>
          <w:sz w:val="20"/>
          <w:szCs w:val="20"/>
        </w:rPr>
        <w:t>detected</w:t>
      </w:r>
      <w:r w:rsidRPr="0096649F">
        <w:rPr>
          <w:spacing w:val="-6"/>
          <w:sz w:val="20"/>
          <w:szCs w:val="20"/>
        </w:rPr>
        <w:t xml:space="preserve"> </w:t>
      </w:r>
      <w:r w:rsidRPr="0096649F">
        <w:rPr>
          <w:sz w:val="20"/>
          <w:szCs w:val="20"/>
        </w:rPr>
        <w:t>of</w:t>
      </w:r>
      <w:r w:rsidRPr="0096649F">
        <w:rPr>
          <w:spacing w:val="-6"/>
          <w:sz w:val="20"/>
          <w:szCs w:val="20"/>
        </w:rPr>
        <w:t xml:space="preserve"> </w:t>
      </w:r>
      <w:r w:rsidRPr="0096649F">
        <w:rPr>
          <w:sz w:val="20"/>
          <w:szCs w:val="20"/>
        </w:rPr>
        <w:t>employers</w:t>
      </w:r>
      <w:r w:rsidRPr="0096649F">
        <w:rPr>
          <w:spacing w:val="-7"/>
          <w:sz w:val="20"/>
          <w:szCs w:val="20"/>
        </w:rPr>
        <w:t xml:space="preserve"> </w:t>
      </w:r>
      <w:r w:rsidRPr="0096649F">
        <w:rPr>
          <w:sz w:val="20"/>
          <w:szCs w:val="20"/>
        </w:rPr>
        <w:t>who</w:t>
      </w:r>
      <w:r w:rsidRPr="0096649F">
        <w:rPr>
          <w:spacing w:val="-6"/>
          <w:sz w:val="20"/>
          <w:szCs w:val="20"/>
        </w:rPr>
        <w:t xml:space="preserve"> </w:t>
      </w:r>
      <w:r w:rsidRPr="0096649F">
        <w:rPr>
          <w:sz w:val="20"/>
          <w:szCs w:val="20"/>
        </w:rPr>
        <w:t>claimed from the Unemployment Insurance Fund on behalf of employees, but did not pay their employees what was due to them and (b) action has his department taken against the employers?</w:t>
      </w:r>
      <w:r w:rsidRPr="0096649F">
        <w:rPr>
          <w:spacing w:val="66"/>
          <w:sz w:val="20"/>
          <w:szCs w:val="20"/>
        </w:rPr>
        <w:t xml:space="preserve"> </w:t>
      </w:r>
      <w:r w:rsidRPr="0096649F">
        <w:rPr>
          <w:sz w:val="20"/>
          <w:szCs w:val="20"/>
        </w:rPr>
        <w:t>NO2354E</w:t>
      </w: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96649F" w:rsidP="0096649F">
      <w:pPr>
        <w:pStyle w:val="Heading1"/>
        <w:rPr>
          <w:sz w:val="20"/>
          <w:szCs w:val="20"/>
        </w:rPr>
      </w:pPr>
      <w:r w:rsidRPr="0096649F">
        <w:rPr>
          <w:sz w:val="20"/>
          <w:szCs w:val="20"/>
        </w:rPr>
        <w:t>Reply:</w:t>
      </w:r>
    </w:p>
    <w:p w:rsidR="00111205" w:rsidRPr="0096649F" w:rsidRDefault="00111205" w:rsidP="0096649F">
      <w:pPr>
        <w:pStyle w:val="BodyText"/>
        <w:rPr>
          <w:b/>
          <w:sz w:val="20"/>
          <w:szCs w:val="20"/>
        </w:rPr>
      </w:pPr>
    </w:p>
    <w:p w:rsidR="00111205" w:rsidRPr="0096649F" w:rsidRDefault="0096649F" w:rsidP="0096649F">
      <w:pPr>
        <w:pStyle w:val="ListParagraph"/>
        <w:numPr>
          <w:ilvl w:val="0"/>
          <w:numId w:val="1"/>
        </w:numPr>
        <w:tabs>
          <w:tab w:val="left" w:pos="667"/>
        </w:tabs>
        <w:ind w:right="118"/>
        <w:jc w:val="both"/>
        <w:rPr>
          <w:sz w:val="20"/>
          <w:szCs w:val="20"/>
        </w:rPr>
      </w:pPr>
      <w:r w:rsidRPr="0096649F">
        <w:rPr>
          <w:sz w:val="20"/>
          <w:szCs w:val="20"/>
        </w:rPr>
        <w:t>The number of cases that have been detected of emplo</w:t>
      </w:r>
      <w:r w:rsidRPr="0096649F">
        <w:rPr>
          <w:sz w:val="20"/>
          <w:szCs w:val="20"/>
        </w:rPr>
        <w:t>yers who claimed from Unemployment Insurance Fund (UIF) on behalf of employees but did not pay their employees what was due to them is</w:t>
      </w:r>
      <w:r w:rsidRPr="0096649F">
        <w:rPr>
          <w:spacing w:val="-6"/>
          <w:sz w:val="20"/>
          <w:szCs w:val="20"/>
        </w:rPr>
        <w:t xml:space="preserve"> </w:t>
      </w:r>
      <w:r w:rsidRPr="0096649F">
        <w:rPr>
          <w:sz w:val="20"/>
          <w:szCs w:val="20"/>
        </w:rPr>
        <w:t>38</w:t>
      </w:r>
    </w:p>
    <w:p w:rsidR="00111205" w:rsidRPr="0096649F" w:rsidRDefault="00111205" w:rsidP="0096649F">
      <w:pPr>
        <w:pStyle w:val="BodyText"/>
        <w:rPr>
          <w:sz w:val="20"/>
          <w:szCs w:val="20"/>
        </w:rPr>
      </w:pPr>
    </w:p>
    <w:p w:rsidR="00111205" w:rsidRPr="0096649F" w:rsidRDefault="0096649F" w:rsidP="0096649F">
      <w:pPr>
        <w:pStyle w:val="ListParagraph"/>
        <w:numPr>
          <w:ilvl w:val="0"/>
          <w:numId w:val="1"/>
        </w:numPr>
        <w:tabs>
          <w:tab w:val="left" w:pos="667"/>
        </w:tabs>
        <w:jc w:val="both"/>
        <w:rPr>
          <w:sz w:val="20"/>
          <w:szCs w:val="20"/>
        </w:rPr>
      </w:pPr>
      <w:r w:rsidRPr="0096649F">
        <w:rPr>
          <w:sz w:val="20"/>
          <w:szCs w:val="20"/>
        </w:rPr>
        <w:t>These</w:t>
      </w:r>
      <w:r w:rsidRPr="0096649F">
        <w:rPr>
          <w:spacing w:val="-5"/>
          <w:sz w:val="20"/>
          <w:szCs w:val="20"/>
        </w:rPr>
        <w:t xml:space="preserve"> </w:t>
      </w:r>
      <w:r w:rsidRPr="0096649F">
        <w:rPr>
          <w:sz w:val="20"/>
          <w:szCs w:val="20"/>
        </w:rPr>
        <w:t>cases</w:t>
      </w:r>
      <w:r w:rsidRPr="0096649F">
        <w:rPr>
          <w:spacing w:val="-5"/>
          <w:sz w:val="20"/>
          <w:szCs w:val="20"/>
        </w:rPr>
        <w:t xml:space="preserve"> </w:t>
      </w:r>
      <w:r w:rsidRPr="0096649F">
        <w:rPr>
          <w:sz w:val="20"/>
          <w:szCs w:val="20"/>
        </w:rPr>
        <w:t>were</w:t>
      </w:r>
      <w:r w:rsidRPr="0096649F">
        <w:rPr>
          <w:spacing w:val="-4"/>
          <w:sz w:val="20"/>
          <w:szCs w:val="20"/>
        </w:rPr>
        <w:t xml:space="preserve"> </w:t>
      </w:r>
      <w:r w:rsidRPr="0096649F">
        <w:rPr>
          <w:sz w:val="20"/>
          <w:szCs w:val="20"/>
        </w:rPr>
        <w:t>subjected</w:t>
      </w:r>
      <w:r w:rsidRPr="0096649F">
        <w:rPr>
          <w:spacing w:val="-7"/>
          <w:sz w:val="20"/>
          <w:szCs w:val="20"/>
        </w:rPr>
        <w:t xml:space="preserve"> </w:t>
      </w:r>
      <w:r w:rsidRPr="0096649F">
        <w:rPr>
          <w:sz w:val="20"/>
          <w:szCs w:val="20"/>
        </w:rPr>
        <w:t>to</w:t>
      </w:r>
      <w:r w:rsidRPr="0096649F">
        <w:rPr>
          <w:spacing w:val="-4"/>
          <w:sz w:val="20"/>
          <w:szCs w:val="20"/>
        </w:rPr>
        <w:t xml:space="preserve"> </w:t>
      </w:r>
      <w:r w:rsidRPr="0096649F">
        <w:rPr>
          <w:sz w:val="20"/>
          <w:szCs w:val="20"/>
        </w:rPr>
        <w:t>investigation.</w:t>
      </w:r>
      <w:r w:rsidRPr="0096649F">
        <w:rPr>
          <w:spacing w:val="-4"/>
          <w:sz w:val="20"/>
          <w:szCs w:val="20"/>
        </w:rPr>
        <w:t xml:space="preserve"> </w:t>
      </w:r>
      <w:r w:rsidRPr="0096649F">
        <w:rPr>
          <w:sz w:val="20"/>
          <w:szCs w:val="20"/>
        </w:rPr>
        <w:t>In</w:t>
      </w:r>
      <w:r w:rsidRPr="0096649F">
        <w:rPr>
          <w:spacing w:val="-5"/>
          <w:sz w:val="20"/>
          <w:szCs w:val="20"/>
        </w:rPr>
        <w:t xml:space="preserve"> </w:t>
      </w:r>
      <w:r w:rsidRPr="0096649F">
        <w:rPr>
          <w:sz w:val="20"/>
          <w:szCs w:val="20"/>
        </w:rPr>
        <w:t>11</w:t>
      </w:r>
      <w:r w:rsidRPr="0096649F">
        <w:rPr>
          <w:spacing w:val="-6"/>
          <w:sz w:val="20"/>
          <w:szCs w:val="20"/>
        </w:rPr>
        <w:t xml:space="preserve"> </w:t>
      </w:r>
      <w:r w:rsidRPr="0096649F">
        <w:rPr>
          <w:sz w:val="20"/>
          <w:szCs w:val="20"/>
        </w:rPr>
        <w:t>of</w:t>
      </w:r>
      <w:r w:rsidRPr="0096649F">
        <w:rPr>
          <w:spacing w:val="-3"/>
          <w:sz w:val="20"/>
          <w:szCs w:val="20"/>
        </w:rPr>
        <w:t xml:space="preserve"> </w:t>
      </w:r>
      <w:r w:rsidRPr="0096649F">
        <w:rPr>
          <w:sz w:val="20"/>
          <w:szCs w:val="20"/>
        </w:rPr>
        <w:t>them</w:t>
      </w:r>
      <w:r w:rsidRPr="0096649F">
        <w:rPr>
          <w:spacing w:val="-4"/>
          <w:sz w:val="20"/>
          <w:szCs w:val="20"/>
        </w:rPr>
        <w:t xml:space="preserve"> </w:t>
      </w:r>
      <w:r w:rsidRPr="0096649F">
        <w:rPr>
          <w:sz w:val="20"/>
          <w:szCs w:val="20"/>
        </w:rPr>
        <w:t>investigation</w:t>
      </w:r>
      <w:r w:rsidRPr="0096649F">
        <w:rPr>
          <w:spacing w:val="-3"/>
          <w:sz w:val="20"/>
          <w:szCs w:val="20"/>
        </w:rPr>
        <w:t xml:space="preserve"> </w:t>
      </w:r>
      <w:r w:rsidRPr="0096649F">
        <w:rPr>
          <w:sz w:val="20"/>
          <w:szCs w:val="20"/>
        </w:rPr>
        <w:t xml:space="preserve">has been completed. </w:t>
      </w:r>
      <w:r w:rsidRPr="0096649F">
        <w:rPr>
          <w:spacing w:val="4"/>
          <w:sz w:val="20"/>
          <w:szCs w:val="20"/>
        </w:rPr>
        <w:t xml:space="preserve">We </w:t>
      </w:r>
      <w:r w:rsidRPr="0096649F">
        <w:rPr>
          <w:sz w:val="20"/>
          <w:szCs w:val="20"/>
        </w:rPr>
        <w:t>also came up with the</w:t>
      </w:r>
      <w:r w:rsidRPr="0096649F">
        <w:rPr>
          <w:sz w:val="20"/>
          <w:szCs w:val="20"/>
        </w:rPr>
        <w:t xml:space="preserve"> action that we termed ‘Follow </w:t>
      </w:r>
      <w:proofErr w:type="gramStart"/>
      <w:r w:rsidRPr="0096649F">
        <w:rPr>
          <w:sz w:val="20"/>
          <w:szCs w:val="20"/>
        </w:rPr>
        <w:t>The</w:t>
      </w:r>
      <w:proofErr w:type="gramEnd"/>
      <w:r w:rsidRPr="0096649F">
        <w:rPr>
          <w:spacing w:val="-5"/>
          <w:sz w:val="20"/>
          <w:szCs w:val="20"/>
        </w:rPr>
        <w:t xml:space="preserve"> </w:t>
      </w:r>
      <w:r w:rsidRPr="0096649F">
        <w:rPr>
          <w:sz w:val="20"/>
          <w:szCs w:val="20"/>
        </w:rPr>
        <w:t>Money’</w:t>
      </w:r>
      <w:r w:rsidRPr="0096649F">
        <w:rPr>
          <w:spacing w:val="-6"/>
          <w:sz w:val="20"/>
          <w:szCs w:val="20"/>
        </w:rPr>
        <w:t xml:space="preserve"> </w:t>
      </w:r>
      <w:r w:rsidRPr="0096649F">
        <w:rPr>
          <w:sz w:val="20"/>
          <w:szCs w:val="20"/>
        </w:rPr>
        <w:t>with</w:t>
      </w:r>
      <w:r w:rsidRPr="0096649F">
        <w:rPr>
          <w:spacing w:val="-4"/>
          <w:sz w:val="20"/>
          <w:szCs w:val="20"/>
        </w:rPr>
        <w:t xml:space="preserve"> </w:t>
      </w:r>
      <w:r w:rsidRPr="0096649F">
        <w:rPr>
          <w:sz w:val="20"/>
          <w:szCs w:val="20"/>
        </w:rPr>
        <w:t>its</w:t>
      </w:r>
      <w:r w:rsidRPr="0096649F">
        <w:rPr>
          <w:spacing w:val="-5"/>
          <w:sz w:val="20"/>
          <w:szCs w:val="20"/>
        </w:rPr>
        <w:t xml:space="preserve"> </w:t>
      </w:r>
      <w:r w:rsidRPr="0096649F">
        <w:rPr>
          <w:sz w:val="20"/>
          <w:szCs w:val="20"/>
        </w:rPr>
        <w:t>objective</w:t>
      </w:r>
      <w:r w:rsidRPr="0096649F">
        <w:rPr>
          <w:spacing w:val="-5"/>
          <w:sz w:val="20"/>
          <w:szCs w:val="20"/>
        </w:rPr>
        <w:t xml:space="preserve"> </w:t>
      </w:r>
      <w:r w:rsidRPr="0096649F">
        <w:rPr>
          <w:sz w:val="20"/>
          <w:szCs w:val="20"/>
        </w:rPr>
        <w:t>of</w:t>
      </w:r>
      <w:r w:rsidRPr="0096649F">
        <w:rPr>
          <w:spacing w:val="-3"/>
          <w:sz w:val="20"/>
          <w:szCs w:val="20"/>
        </w:rPr>
        <w:t xml:space="preserve"> </w:t>
      </w:r>
      <w:r w:rsidRPr="0096649F">
        <w:rPr>
          <w:sz w:val="20"/>
          <w:szCs w:val="20"/>
        </w:rPr>
        <w:t>conducting</w:t>
      </w:r>
      <w:r w:rsidRPr="0096649F">
        <w:rPr>
          <w:spacing w:val="-8"/>
          <w:sz w:val="20"/>
          <w:szCs w:val="20"/>
        </w:rPr>
        <w:t xml:space="preserve"> </w:t>
      </w:r>
      <w:r w:rsidRPr="0096649F">
        <w:rPr>
          <w:sz w:val="20"/>
          <w:szCs w:val="20"/>
        </w:rPr>
        <w:t>audit</w:t>
      </w:r>
      <w:r w:rsidRPr="0096649F">
        <w:rPr>
          <w:spacing w:val="-5"/>
          <w:sz w:val="20"/>
          <w:szCs w:val="20"/>
        </w:rPr>
        <w:t xml:space="preserve"> </w:t>
      </w:r>
      <w:r w:rsidRPr="0096649F">
        <w:rPr>
          <w:sz w:val="20"/>
          <w:szCs w:val="20"/>
        </w:rPr>
        <w:t>on</w:t>
      </w:r>
      <w:r w:rsidRPr="0096649F">
        <w:rPr>
          <w:spacing w:val="-6"/>
          <w:sz w:val="20"/>
          <w:szCs w:val="20"/>
        </w:rPr>
        <w:t xml:space="preserve"> </w:t>
      </w:r>
      <w:r w:rsidRPr="0096649F">
        <w:rPr>
          <w:sz w:val="20"/>
          <w:szCs w:val="20"/>
        </w:rPr>
        <w:t>all</w:t>
      </w:r>
      <w:r w:rsidRPr="0096649F">
        <w:rPr>
          <w:spacing w:val="-6"/>
          <w:sz w:val="20"/>
          <w:szCs w:val="20"/>
        </w:rPr>
        <w:t xml:space="preserve"> </w:t>
      </w:r>
      <w:r w:rsidRPr="0096649F">
        <w:rPr>
          <w:sz w:val="20"/>
          <w:szCs w:val="20"/>
        </w:rPr>
        <w:t>the</w:t>
      </w:r>
      <w:r w:rsidRPr="0096649F">
        <w:rPr>
          <w:spacing w:val="-7"/>
          <w:sz w:val="20"/>
          <w:szCs w:val="20"/>
        </w:rPr>
        <w:t xml:space="preserve"> </w:t>
      </w:r>
      <w:r w:rsidRPr="0096649F">
        <w:rPr>
          <w:sz w:val="20"/>
          <w:szCs w:val="20"/>
        </w:rPr>
        <w:t>payments.</w:t>
      </w:r>
      <w:r w:rsidRPr="0096649F">
        <w:rPr>
          <w:spacing w:val="-6"/>
          <w:sz w:val="20"/>
          <w:szCs w:val="20"/>
        </w:rPr>
        <w:t xml:space="preserve"> </w:t>
      </w:r>
      <w:r w:rsidRPr="0096649F">
        <w:rPr>
          <w:sz w:val="20"/>
          <w:szCs w:val="20"/>
        </w:rPr>
        <w:t>Again, the Department and UIF have worked through the Fusion Centre with other government departments, agencies and databases to close gaps and eliminate risks. The Fusion Centre is a combination of law enforcement agencies which is intended to speed up in</w:t>
      </w:r>
      <w:r w:rsidRPr="0096649F">
        <w:rPr>
          <w:sz w:val="20"/>
          <w:szCs w:val="20"/>
        </w:rPr>
        <w:t>vestigation and prosecution of COVID-19 related fraud and corruption</w:t>
      </w:r>
      <w:r w:rsidRPr="0096649F">
        <w:rPr>
          <w:spacing w:val="-4"/>
          <w:sz w:val="20"/>
          <w:szCs w:val="20"/>
        </w:rPr>
        <w:t xml:space="preserve"> </w:t>
      </w:r>
      <w:r w:rsidRPr="0096649F">
        <w:rPr>
          <w:sz w:val="20"/>
          <w:szCs w:val="20"/>
        </w:rPr>
        <w:t>cases.</w:t>
      </w: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Pr="0096649F" w:rsidRDefault="00111205" w:rsidP="0096649F">
      <w:pPr>
        <w:pStyle w:val="BodyText"/>
        <w:rPr>
          <w:sz w:val="20"/>
          <w:szCs w:val="20"/>
        </w:rPr>
      </w:pPr>
    </w:p>
    <w:p w:rsidR="00111205" w:rsidRDefault="0096649F" w:rsidP="0096649F">
      <w:pPr>
        <w:pStyle w:val="BodyText"/>
        <w:ind w:right="16"/>
        <w:jc w:val="center"/>
      </w:pPr>
      <w:r w:rsidRPr="0096649F">
        <w:rPr>
          <w:w w:val="99"/>
          <w:sz w:val="20"/>
          <w:szCs w:val="20"/>
        </w:rPr>
        <w:t>1</w:t>
      </w:r>
    </w:p>
    <w:sectPr w:rsidR="00111205" w:rsidSect="00111205">
      <w:type w:val="continuous"/>
      <w:pgSz w:w="12240" w:h="15840"/>
      <w:pgMar w:top="360" w:right="168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CFD"/>
    <w:multiLevelType w:val="hybridMultilevel"/>
    <w:tmpl w:val="AED46E14"/>
    <w:lvl w:ilvl="0" w:tplc="683EA2E8">
      <w:start w:val="1"/>
      <w:numFmt w:val="lowerLetter"/>
      <w:lvlText w:val="%1."/>
      <w:lvlJc w:val="left"/>
      <w:pPr>
        <w:ind w:left="666" w:hanging="567"/>
        <w:jc w:val="left"/>
      </w:pPr>
      <w:rPr>
        <w:rFonts w:ascii="Arial" w:eastAsia="Arial" w:hAnsi="Arial" w:cs="Arial" w:hint="default"/>
        <w:spacing w:val="-3"/>
        <w:w w:val="99"/>
        <w:sz w:val="24"/>
        <w:szCs w:val="24"/>
        <w:lang w:val="en-US" w:eastAsia="en-US" w:bidi="en-US"/>
      </w:rPr>
    </w:lvl>
    <w:lvl w:ilvl="1" w:tplc="51269486">
      <w:numFmt w:val="bullet"/>
      <w:lvlText w:val="•"/>
      <w:lvlJc w:val="left"/>
      <w:pPr>
        <w:ind w:left="1480" w:hanging="567"/>
      </w:pPr>
      <w:rPr>
        <w:rFonts w:hint="default"/>
        <w:lang w:val="en-US" w:eastAsia="en-US" w:bidi="en-US"/>
      </w:rPr>
    </w:lvl>
    <w:lvl w:ilvl="2" w:tplc="4B1E3542">
      <w:numFmt w:val="bullet"/>
      <w:lvlText w:val="•"/>
      <w:lvlJc w:val="left"/>
      <w:pPr>
        <w:ind w:left="2300" w:hanging="567"/>
      </w:pPr>
      <w:rPr>
        <w:rFonts w:hint="default"/>
        <w:lang w:val="en-US" w:eastAsia="en-US" w:bidi="en-US"/>
      </w:rPr>
    </w:lvl>
    <w:lvl w:ilvl="3" w:tplc="9724CE3A">
      <w:numFmt w:val="bullet"/>
      <w:lvlText w:val="•"/>
      <w:lvlJc w:val="left"/>
      <w:pPr>
        <w:ind w:left="3120" w:hanging="567"/>
      </w:pPr>
      <w:rPr>
        <w:rFonts w:hint="default"/>
        <w:lang w:val="en-US" w:eastAsia="en-US" w:bidi="en-US"/>
      </w:rPr>
    </w:lvl>
    <w:lvl w:ilvl="4" w:tplc="2AE2A6F2">
      <w:numFmt w:val="bullet"/>
      <w:lvlText w:val="•"/>
      <w:lvlJc w:val="left"/>
      <w:pPr>
        <w:ind w:left="3940" w:hanging="567"/>
      </w:pPr>
      <w:rPr>
        <w:rFonts w:hint="default"/>
        <w:lang w:val="en-US" w:eastAsia="en-US" w:bidi="en-US"/>
      </w:rPr>
    </w:lvl>
    <w:lvl w:ilvl="5" w:tplc="4626B4F0">
      <w:numFmt w:val="bullet"/>
      <w:lvlText w:val="•"/>
      <w:lvlJc w:val="left"/>
      <w:pPr>
        <w:ind w:left="4760" w:hanging="567"/>
      </w:pPr>
      <w:rPr>
        <w:rFonts w:hint="default"/>
        <w:lang w:val="en-US" w:eastAsia="en-US" w:bidi="en-US"/>
      </w:rPr>
    </w:lvl>
    <w:lvl w:ilvl="6" w:tplc="E05A6F06">
      <w:numFmt w:val="bullet"/>
      <w:lvlText w:val="•"/>
      <w:lvlJc w:val="left"/>
      <w:pPr>
        <w:ind w:left="5580" w:hanging="567"/>
      </w:pPr>
      <w:rPr>
        <w:rFonts w:hint="default"/>
        <w:lang w:val="en-US" w:eastAsia="en-US" w:bidi="en-US"/>
      </w:rPr>
    </w:lvl>
    <w:lvl w:ilvl="7" w:tplc="B9581D4E">
      <w:numFmt w:val="bullet"/>
      <w:lvlText w:val="•"/>
      <w:lvlJc w:val="left"/>
      <w:pPr>
        <w:ind w:left="6400" w:hanging="567"/>
      </w:pPr>
      <w:rPr>
        <w:rFonts w:hint="default"/>
        <w:lang w:val="en-US" w:eastAsia="en-US" w:bidi="en-US"/>
      </w:rPr>
    </w:lvl>
    <w:lvl w:ilvl="8" w:tplc="826C1004">
      <w:numFmt w:val="bullet"/>
      <w:lvlText w:val="•"/>
      <w:lvlJc w:val="left"/>
      <w:pPr>
        <w:ind w:left="7220" w:hanging="56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11205"/>
    <w:rsid w:val="00111205"/>
    <w:rsid w:val="009664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1205"/>
    <w:rPr>
      <w:rFonts w:ascii="Arial" w:eastAsia="Arial" w:hAnsi="Arial" w:cs="Arial"/>
      <w:lang w:bidi="en-US"/>
    </w:rPr>
  </w:style>
  <w:style w:type="paragraph" w:styleId="Heading1">
    <w:name w:val="heading 1"/>
    <w:basedOn w:val="Normal"/>
    <w:uiPriority w:val="1"/>
    <w:qFormat/>
    <w:rsid w:val="0011120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1205"/>
    <w:rPr>
      <w:sz w:val="24"/>
      <w:szCs w:val="24"/>
    </w:rPr>
  </w:style>
  <w:style w:type="paragraph" w:styleId="ListParagraph">
    <w:name w:val="List Paragraph"/>
    <w:basedOn w:val="Normal"/>
    <w:uiPriority w:val="1"/>
    <w:qFormat/>
    <w:rsid w:val="00111205"/>
    <w:pPr>
      <w:ind w:left="666" w:right="115" w:hanging="567"/>
      <w:jc w:val="both"/>
    </w:pPr>
  </w:style>
  <w:style w:type="paragraph" w:customStyle="1" w:styleId="TableParagraph">
    <w:name w:val="Table Paragraph"/>
    <w:basedOn w:val="Normal"/>
    <w:uiPriority w:val="1"/>
    <w:qFormat/>
    <w:rsid w:val="00111205"/>
  </w:style>
  <w:style w:type="paragraph" w:styleId="BalloonText">
    <w:name w:val="Balloon Text"/>
    <w:basedOn w:val="Normal"/>
    <w:link w:val="BalloonTextChar"/>
    <w:uiPriority w:val="99"/>
    <w:semiHidden/>
    <w:unhideWhenUsed/>
    <w:rsid w:val="0096649F"/>
    <w:rPr>
      <w:rFonts w:ascii="Tahoma" w:hAnsi="Tahoma" w:cs="Tahoma"/>
      <w:sz w:val="16"/>
      <w:szCs w:val="16"/>
    </w:rPr>
  </w:style>
  <w:style w:type="character" w:customStyle="1" w:styleId="BalloonTextChar">
    <w:name w:val="Balloon Text Char"/>
    <w:basedOn w:val="DefaultParagraphFont"/>
    <w:link w:val="BalloonText"/>
    <w:uiPriority w:val="99"/>
    <w:semiHidden/>
    <w:rsid w:val="0096649F"/>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Company>Toshiba</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PMG User</cp:lastModifiedBy>
  <cp:revision>2</cp:revision>
  <dcterms:created xsi:type="dcterms:W3CDTF">2020-09-14T21:56:00Z</dcterms:created>
  <dcterms:modified xsi:type="dcterms:W3CDTF">2020-09-14T21:56:00Z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2020-09-14T00:00:00Z</vt:filetime>
  </property>
</Properties>
</file>