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A0" w:rsidRPr="00874517" w:rsidRDefault="002035A0" w:rsidP="00874517">
      <w:pPr>
        <w:pStyle w:val="BodyText"/>
        <w:ind w:left="4053"/>
        <w:rPr>
          <w:sz w:val="20"/>
          <w:szCs w:val="20"/>
        </w:rPr>
      </w:pPr>
    </w:p>
    <w:p w:rsidR="002035A0" w:rsidRPr="00874517" w:rsidRDefault="002035A0" w:rsidP="00874517">
      <w:pPr>
        <w:pStyle w:val="BodyText"/>
        <w:rPr>
          <w:sz w:val="20"/>
          <w:szCs w:val="20"/>
        </w:rPr>
      </w:pPr>
    </w:p>
    <w:p w:rsidR="002035A0" w:rsidRPr="00874517" w:rsidRDefault="002035A0" w:rsidP="00874517">
      <w:pPr>
        <w:pStyle w:val="BodyText"/>
        <w:rPr>
          <w:sz w:val="20"/>
          <w:szCs w:val="20"/>
        </w:rPr>
      </w:pPr>
    </w:p>
    <w:p w:rsidR="002035A0" w:rsidRPr="00874517" w:rsidRDefault="00074F11" w:rsidP="00874517">
      <w:pPr>
        <w:ind w:left="2317" w:right="2332"/>
        <w:jc w:val="center"/>
        <w:rPr>
          <w:b/>
          <w:sz w:val="20"/>
          <w:szCs w:val="20"/>
        </w:rPr>
      </w:pPr>
      <w:r w:rsidRPr="00874517">
        <w:rPr>
          <w:b/>
          <w:color w:val="008000"/>
          <w:sz w:val="20"/>
          <w:szCs w:val="20"/>
        </w:rPr>
        <w:t>DEPUTY PRESIDENT: REPUBLIC OF SOUTH AFRICA</w:t>
      </w:r>
    </w:p>
    <w:p w:rsidR="002035A0" w:rsidRPr="00874517" w:rsidRDefault="002035A0" w:rsidP="00874517">
      <w:pPr>
        <w:pStyle w:val="BodyText"/>
        <w:rPr>
          <w:b/>
          <w:sz w:val="20"/>
          <w:szCs w:val="20"/>
        </w:rPr>
      </w:pPr>
    </w:p>
    <w:p w:rsidR="002035A0" w:rsidRPr="00874517" w:rsidRDefault="00074F11" w:rsidP="00874517">
      <w:pPr>
        <w:ind w:right="2925"/>
        <w:jc w:val="right"/>
        <w:rPr>
          <w:sz w:val="20"/>
          <w:szCs w:val="20"/>
        </w:rPr>
      </w:pPr>
      <w:r w:rsidRPr="00874517">
        <w:rPr>
          <w:sz w:val="20"/>
          <w:szCs w:val="20"/>
        </w:rPr>
        <w:t>Private Bag X 1000, Pretoria, 0001</w:t>
      </w:r>
    </w:p>
    <w:p w:rsidR="002035A0" w:rsidRPr="00874517" w:rsidRDefault="002035A0" w:rsidP="00874517">
      <w:pPr>
        <w:pStyle w:val="BodyText"/>
        <w:rPr>
          <w:sz w:val="20"/>
          <w:szCs w:val="20"/>
        </w:rPr>
      </w:pPr>
    </w:p>
    <w:p w:rsidR="002035A0" w:rsidRPr="00874517" w:rsidRDefault="002035A0" w:rsidP="00874517">
      <w:pPr>
        <w:pStyle w:val="BodyText"/>
        <w:rPr>
          <w:sz w:val="20"/>
          <w:szCs w:val="20"/>
        </w:rPr>
      </w:pPr>
    </w:p>
    <w:p w:rsidR="002035A0" w:rsidRPr="00874517" w:rsidRDefault="00074F11" w:rsidP="00874517">
      <w:pPr>
        <w:pStyle w:val="Heading1"/>
        <w:rPr>
          <w:sz w:val="20"/>
          <w:szCs w:val="20"/>
        </w:rPr>
      </w:pPr>
      <w:r w:rsidRPr="00874517">
        <w:rPr>
          <w:sz w:val="20"/>
          <w:szCs w:val="20"/>
        </w:rPr>
        <w:t>NATIONAL ASSEMBLY ORAL REPLIES THURSDAY, 20 AUGUST 2020</w:t>
      </w:r>
    </w:p>
    <w:p w:rsidR="002035A0" w:rsidRPr="00874517" w:rsidRDefault="00074F11" w:rsidP="00874517">
      <w:pPr>
        <w:ind w:left="3593" w:right="2780" w:hanging="94"/>
        <w:rPr>
          <w:b/>
          <w:sz w:val="20"/>
          <w:szCs w:val="20"/>
        </w:rPr>
      </w:pPr>
      <w:r w:rsidRPr="00874517">
        <w:rPr>
          <w:b/>
          <w:sz w:val="20"/>
          <w:szCs w:val="20"/>
        </w:rPr>
        <w:t>(Submitted as written) DEPUTY PRESIDENT</w:t>
      </w:r>
    </w:p>
    <w:p w:rsidR="002035A0" w:rsidRPr="00874517" w:rsidRDefault="002035A0" w:rsidP="00874517">
      <w:pPr>
        <w:pStyle w:val="BodyText"/>
        <w:rPr>
          <w:b/>
          <w:sz w:val="20"/>
          <w:szCs w:val="20"/>
        </w:rPr>
      </w:pPr>
    </w:p>
    <w:p w:rsidR="002035A0" w:rsidRPr="00874517" w:rsidRDefault="00074F11" w:rsidP="00874517">
      <w:pPr>
        <w:pStyle w:val="Heading2"/>
        <w:ind w:right="2882"/>
        <w:jc w:val="center"/>
        <w:rPr>
          <w:sz w:val="20"/>
          <w:szCs w:val="20"/>
        </w:rPr>
      </w:pPr>
      <w:r w:rsidRPr="00874517">
        <w:rPr>
          <w:sz w:val="20"/>
          <w:szCs w:val="20"/>
        </w:rPr>
        <w:t>11. Mr V Zungula (ATM) to ask the Deputy President:</w:t>
      </w:r>
    </w:p>
    <w:p w:rsidR="002035A0" w:rsidRPr="00874517" w:rsidRDefault="002035A0" w:rsidP="00874517">
      <w:pPr>
        <w:pStyle w:val="BodyText"/>
        <w:rPr>
          <w:b/>
          <w:sz w:val="20"/>
          <w:szCs w:val="20"/>
        </w:rPr>
      </w:pPr>
    </w:p>
    <w:p w:rsidR="002035A0" w:rsidRPr="00874517" w:rsidRDefault="002035A0" w:rsidP="00874517">
      <w:pPr>
        <w:pStyle w:val="BodyText"/>
        <w:rPr>
          <w:b/>
          <w:sz w:val="20"/>
          <w:szCs w:val="20"/>
        </w:rPr>
      </w:pPr>
    </w:p>
    <w:p w:rsidR="002035A0" w:rsidRPr="00874517" w:rsidRDefault="00074F11" w:rsidP="00874517">
      <w:pPr>
        <w:pStyle w:val="BodyText"/>
        <w:tabs>
          <w:tab w:val="left" w:pos="6581"/>
        </w:tabs>
        <w:ind w:left="100" w:right="116"/>
        <w:jc w:val="both"/>
        <w:rPr>
          <w:b/>
          <w:sz w:val="20"/>
          <w:szCs w:val="20"/>
        </w:rPr>
      </w:pPr>
      <w:r w:rsidRPr="00874517">
        <w:rPr>
          <w:sz w:val="20"/>
          <w:szCs w:val="20"/>
        </w:rPr>
        <w:t>Whether, the 70% of government spend on established white owned businesses to the</w:t>
      </w:r>
      <w:r w:rsidRPr="00874517">
        <w:rPr>
          <w:spacing w:val="-6"/>
          <w:sz w:val="20"/>
          <w:szCs w:val="20"/>
        </w:rPr>
        <w:t xml:space="preserve"> </w:t>
      </w:r>
      <w:r w:rsidRPr="00874517">
        <w:rPr>
          <w:sz w:val="20"/>
          <w:szCs w:val="20"/>
        </w:rPr>
        <w:t>exclusion</w:t>
      </w:r>
      <w:r w:rsidRPr="00874517">
        <w:rPr>
          <w:spacing w:val="-4"/>
          <w:sz w:val="20"/>
          <w:szCs w:val="20"/>
        </w:rPr>
        <w:t xml:space="preserve"> </w:t>
      </w:r>
      <w:r w:rsidRPr="00874517">
        <w:rPr>
          <w:sz w:val="20"/>
          <w:szCs w:val="20"/>
        </w:rPr>
        <w:t>of</w:t>
      </w:r>
      <w:r w:rsidRPr="00874517">
        <w:rPr>
          <w:spacing w:val="-4"/>
          <w:sz w:val="20"/>
          <w:szCs w:val="20"/>
        </w:rPr>
        <w:t xml:space="preserve"> </w:t>
      </w:r>
      <w:r w:rsidRPr="00874517">
        <w:rPr>
          <w:sz w:val="20"/>
          <w:szCs w:val="20"/>
        </w:rPr>
        <w:t>black</w:t>
      </w:r>
      <w:r w:rsidRPr="00874517">
        <w:rPr>
          <w:spacing w:val="-8"/>
          <w:sz w:val="20"/>
          <w:szCs w:val="20"/>
        </w:rPr>
        <w:t xml:space="preserve"> </w:t>
      </w:r>
      <w:r w:rsidRPr="00874517">
        <w:rPr>
          <w:sz w:val="20"/>
          <w:szCs w:val="20"/>
        </w:rPr>
        <w:t>youth,</w:t>
      </w:r>
      <w:r w:rsidRPr="00874517">
        <w:rPr>
          <w:spacing w:val="-4"/>
          <w:sz w:val="20"/>
          <w:szCs w:val="20"/>
        </w:rPr>
        <w:t xml:space="preserve"> </w:t>
      </w:r>
      <w:r w:rsidRPr="00874517">
        <w:rPr>
          <w:sz w:val="20"/>
          <w:szCs w:val="20"/>
        </w:rPr>
        <w:t>particularly</w:t>
      </w:r>
      <w:r w:rsidRPr="00874517">
        <w:rPr>
          <w:spacing w:val="-7"/>
          <w:sz w:val="20"/>
          <w:szCs w:val="20"/>
        </w:rPr>
        <w:t xml:space="preserve"> </w:t>
      </w:r>
      <w:r w:rsidRPr="00874517">
        <w:rPr>
          <w:sz w:val="20"/>
          <w:szCs w:val="20"/>
        </w:rPr>
        <w:t>young</w:t>
      </w:r>
      <w:r w:rsidRPr="00874517">
        <w:rPr>
          <w:spacing w:val="-6"/>
          <w:sz w:val="20"/>
          <w:szCs w:val="20"/>
        </w:rPr>
        <w:t xml:space="preserve"> </w:t>
      </w:r>
      <w:r w:rsidRPr="00874517">
        <w:rPr>
          <w:sz w:val="20"/>
          <w:szCs w:val="20"/>
        </w:rPr>
        <w:t>black</w:t>
      </w:r>
      <w:r w:rsidRPr="00874517">
        <w:rPr>
          <w:spacing w:val="-3"/>
          <w:sz w:val="20"/>
          <w:szCs w:val="20"/>
        </w:rPr>
        <w:t xml:space="preserve"> </w:t>
      </w:r>
      <w:r w:rsidRPr="00874517">
        <w:rPr>
          <w:sz w:val="20"/>
          <w:szCs w:val="20"/>
        </w:rPr>
        <w:t>women</w:t>
      </w:r>
      <w:r w:rsidRPr="00874517">
        <w:rPr>
          <w:spacing w:val="-4"/>
          <w:sz w:val="20"/>
          <w:szCs w:val="20"/>
        </w:rPr>
        <w:t xml:space="preserve"> </w:t>
      </w:r>
      <w:r w:rsidRPr="00874517">
        <w:rPr>
          <w:sz w:val="20"/>
          <w:szCs w:val="20"/>
        </w:rPr>
        <w:t>who</w:t>
      </w:r>
      <w:r w:rsidRPr="00874517">
        <w:rPr>
          <w:spacing w:val="-4"/>
          <w:sz w:val="20"/>
          <w:szCs w:val="20"/>
        </w:rPr>
        <w:t xml:space="preserve"> </w:t>
      </w:r>
      <w:r w:rsidRPr="00874517">
        <w:rPr>
          <w:sz w:val="20"/>
          <w:szCs w:val="20"/>
        </w:rPr>
        <w:t>only</w:t>
      </w:r>
      <w:r w:rsidRPr="00874517">
        <w:rPr>
          <w:spacing w:val="-7"/>
          <w:sz w:val="20"/>
          <w:szCs w:val="20"/>
        </w:rPr>
        <w:t xml:space="preserve"> </w:t>
      </w:r>
      <w:r w:rsidRPr="00874517">
        <w:rPr>
          <w:sz w:val="20"/>
          <w:szCs w:val="20"/>
        </w:rPr>
        <w:t>get</w:t>
      </w:r>
      <w:r w:rsidRPr="00874517">
        <w:rPr>
          <w:spacing w:val="-3"/>
          <w:sz w:val="20"/>
          <w:szCs w:val="20"/>
        </w:rPr>
        <w:t xml:space="preserve"> </w:t>
      </w:r>
      <w:r w:rsidRPr="00874517">
        <w:rPr>
          <w:sz w:val="20"/>
          <w:szCs w:val="20"/>
        </w:rPr>
        <w:t>30%,</w:t>
      </w:r>
      <w:r w:rsidRPr="00874517">
        <w:rPr>
          <w:spacing w:val="-4"/>
          <w:sz w:val="20"/>
          <w:szCs w:val="20"/>
        </w:rPr>
        <w:t xml:space="preserve"> </w:t>
      </w:r>
      <w:r w:rsidRPr="00874517">
        <w:rPr>
          <w:sz w:val="20"/>
          <w:szCs w:val="20"/>
        </w:rPr>
        <w:t>(a)</w:t>
      </w:r>
      <w:r w:rsidRPr="00874517">
        <w:rPr>
          <w:spacing w:val="-5"/>
          <w:sz w:val="20"/>
          <w:szCs w:val="20"/>
        </w:rPr>
        <w:t xml:space="preserve"> </w:t>
      </w:r>
      <w:r w:rsidRPr="00874517">
        <w:rPr>
          <w:sz w:val="20"/>
          <w:szCs w:val="20"/>
        </w:rPr>
        <w:t>is in line with the Government’s vision of stimulating and supporting rural and township economy through the implementation of empowerment models in building a capable State and (b) he has found that this lack of will to govern perpetuates this disparity w</w:t>
      </w:r>
      <w:r w:rsidRPr="00874517">
        <w:rPr>
          <w:sz w:val="20"/>
          <w:szCs w:val="20"/>
        </w:rPr>
        <w:t>hich entrenches the</w:t>
      </w:r>
      <w:r w:rsidRPr="00874517">
        <w:rPr>
          <w:spacing w:val="-10"/>
          <w:sz w:val="20"/>
          <w:szCs w:val="20"/>
        </w:rPr>
        <w:t xml:space="preserve"> </w:t>
      </w:r>
      <w:r w:rsidRPr="00874517">
        <w:rPr>
          <w:sz w:val="20"/>
          <w:szCs w:val="20"/>
        </w:rPr>
        <w:t>existing</w:t>
      </w:r>
      <w:r w:rsidRPr="00874517">
        <w:rPr>
          <w:spacing w:val="-4"/>
          <w:sz w:val="20"/>
          <w:szCs w:val="20"/>
        </w:rPr>
        <w:t xml:space="preserve"> </w:t>
      </w:r>
      <w:r w:rsidRPr="00874517">
        <w:rPr>
          <w:sz w:val="20"/>
          <w:szCs w:val="20"/>
        </w:rPr>
        <w:t>inequality?</w:t>
      </w:r>
      <w:r w:rsidRPr="00874517">
        <w:rPr>
          <w:sz w:val="20"/>
          <w:szCs w:val="20"/>
        </w:rPr>
        <w:tab/>
      </w:r>
      <w:r w:rsidRPr="00874517">
        <w:rPr>
          <w:b/>
          <w:sz w:val="20"/>
          <w:szCs w:val="20"/>
        </w:rPr>
        <w:t>NO1953E</w:t>
      </w:r>
    </w:p>
    <w:p w:rsidR="002035A0" w:rsidRPr="00874517" w:rsidRDefault="002035A0" w:rsidP="00874517">
      <w:pPr>
        <w:pStyle w:val="BodyText"/>
        <w:rPr>
          <w:b/>
          <w:sz w:val="20"/>
          <w:szCs w:val="20"/>
        </w:rPr>
      </w:pPr>
    </w:p>
    <w:p w:rsidR="002035A0" w:rsidRPr="00874517" w:rsidRDefault="00074F11" w:rsidP="00874517">
      <w:pPr>
        <w:pStyle w:val="Heading2"/>
        <w:ind w:left="100"/>
        <w:rPr>
          <w:sz w:val="20"/>
          <w:szCs w:val="20"/>
        </w:rPr>
      </w:pPr>
      <w:r w:rsidRPr="00874517">
        <w:rPr>
          <w:sz w:val="20"/>
          <w:szCs w:val="20"/>
        </w:rPr>
        <w:t>REPLY:</w:t>
      </w:r>
    </w:p>
    <w:p w:rsidR="002035A0" w:rsidRPr="00874517" w:rsidRDefault="002035A0" w:rsidP="00874517">
      <w:pPr>
        <w:pStyle w:val="BodyText"/>
        <w:rPr>
          <w:b/>
          <w:sz w:val="20"/>
          <w:szCs w:val="20"/>
        </w:rPr>
      </w:pPr>
    </w:p>
    <w:p w:rsidR="002035A0" w:rsidRPr="00874517" w:rsidRDefault="002035A0" w:rsidP="00874517">
      <w:pPr>
        <w:pStyle w:val="BodyText"/>
        <w:rPr>
          <w:b/>
          <w:sz w:val="20"/>
          <w:szCs w:val="20"/>
        </w:rPr>
      </w:pPr>
    </w:p>
    <w:p w:rsidR="002035A0" w:rsidRPr="00874517" w:rsidRDefault="00074F11" w:rsidP="00874517">
      <w:pPr>
        <w:pStyle w:val="BodyText"/>
        <w:ind w:left="100" w:right="121"/>
        <w:jc w:val="both"/>
        <w:rPr>
          <w:sz w:val="20"/>
          <w:szCs w:val="20"/>
        </w:rPr>
      </w:pPr>
      <w:r w:rsidRPr="00874517">
        <w:rPr>
          <w:sz w:val="20"/>
          <w:szCs w:val="20"/>
        </w:rPr>
        <w:t>Whereas</w:t>
      </w:r>
      <w:r w:rsidRPr="00874517">
        <w:rPr>
          <w:spacing w:val="-14"/>
          <w:sz w:val="20"/>
          <w:szCs w:val="20"/>
        </w:rPr>
        <w:t xml:space="preserve"> </w:t>
      </w:r>
      <w:r w:rsidRPr="00874517">
        <w:rPr>
          <w:sz w:val="20"/>
          <w:szCs w:val="20"/>
        </w:rPr>
        <w:t>it</w:t>
      </w:r>
      <w:r w:rsidRPr="00874517">
        <w:rPr>
          <w:spacing w:val="-14"/>
          <w:sz w:val="20"/>
          <w:szCs w:val="20"/>
        </w:rPr>
        <w:t xml:space="preserve"> </w:t>
      </w:r>
      <w:r w:rsidRPr="00874517">
        <w:rPr>
          <w:sz w:val="20"/>
          <w:szCs w:val="20"/>
        </w:rPr>
        <w:t>is</w:t>
      </w:r>
      <w:r w:rsidRPr="00874517">
        <w:rPr>
          <w:spacing w:val="-13"/>
          <w:sz w:val="20"/>
          <w:szCs w:val="20"/>
        </w:rPr>
        <w:t xml:space="preserve"> </w:t>
      </w:r>
      <w:r w:rsidRPr="00874517">
        <w:rPr>
          <w:sz w:val="20"/>
          <w:szCs w:val="20"/>
        </w:rPr>
        <w:t>not</w:t>
      </w:r>
      <w:r w:rsidRPr="00874517">
        <w:rPr>
          <w:spacing w:val="-16"/>
          <w:sz w:val="20"/>
          <w:szCs w:val="20"/>
        </w:rPr>
        <w:t xml:space="preserve"> </w:t>
      </w:r>
      <w:r w:rsidRPr="00874517">
        <w:rPr>
          <w:sz w:val="20"/>
          <w:szCs w:val="20"/>
        </w:rPr>
        <w:t>evident</w:t>
      </w:r>
      <w:r w:rsidRPr="00874517">
        <w:rPr>
          <w:spacing w:val="-15"/>
          <w:sz w:val="20"/>
          <w:szCs w:val="20"/>
        </w:rPr>
        <w:t xml:space="preserve"> </w:t>
      </w:r>
      <w:r w:rsidRPr="00874517">
        <w:rPr>
          <w:sz w:val="20"/>
          <w:szCs w:val="20"/>
        </w:rPr>
        <w:t>from</w:t>
      </w:r>
      <w:r w:rsidRPr="00874517">
        <w:rPr>
          <w:spacing w:val="-13"/>
          <w:sz w:val="20"/>
          <w:szCs w:val="20"/>
        </w:rPr>
        <w:t xml:space="preserve"> </w:t>
      </w:r>
      <w:r w:rsidRPr="00874517">
        <w:rPr>
          <w:sz w:val="20"/>
          <w:szCs w:val="20"/>
        </w:rPr>
        <w:t>where</w:t>
      </w:r>
      <w:r w:rsidRPr="00874517">
        <w:rPr>
          <w:spacing w:val="-13"/>
          <w:sz w:val="20"/>
          <w:szCs w:val="20"/>
        </w:rPr>
        <w:t xml:space="preserve"> </w:t>
      </w:r>
      <w:r w:rsidRPr="00874517">
        <w:rPr>
          <w:sz w:val="20"/>
          <w:szCs w:val="20"/>
        </w:rPr>
        <w:t>the</w:t>
      </w:r>
      <w:r w:rsidRPr="00874517">
        <w:rPr>
          <w:spacing w:val="-13"/>
          <w:sz w:val="20"/>
          <w:szCs w:val="20"/>
        </w:rPr>
        <w:t xml:space="preserve"> </w:t>
      </w:r>
      <w:r w:rsidRPr="00874517">
        <w:rPr>
          <w:sz w:val="20"/>
          <w:szCs w:val="20"/>
        </w:rPr>
        <w:t>statistics</w:t>
      </w:r>
      <w:r w:rsidRPr="00874517">
        <w:rPr>
          <w:spacing w:val="-13"/>
          <w:sz w:val="20"/>
          <w:szCs w:val="20"/>
        </w:rPr>
        <w:t xml:space="preserve"> </w:t>
      </w:r>
      <w:r w:rsidRPr="00874517">
        <w:rPr>
          <w:sz w:val="20"/>
          <w:szCs w:val="20"/>
        </w:rPr>
        <w:t>cited</w:t>
      </w:r>
      <w:r w:rsidRPr="00874517">
        <w:rPr>
          <w:spacing w:val="-13"/>
          <w:sz w:val="20"/>
          <w:szCs w:val="20"/>
        </w:rPr>
        <w:t xml:space="preserve"> </w:t>
      </w:r>
      <w:r w:rsidRPr="00874517">
        <w:rPr>
          <w:sz w:val="20"/>
          <w:szCs w:val="20"/>
        </w:rPr>
        <w:t>in</w:t>
      </w:r>
      <w:r w:rsidRPr="00874517">
        <w:rPr>
          <w:spacing w:val="-12"/>
          <w:sz w:val="20"/>
          <w:szCs w:val="20"/>
        </w:rPr>
        <w:t xml:space="preserve"> </w:t>
      </w:r>
      <w:r w:rsidRPr="00874517">
        <w:rPr>
          <w:sz w:val="20"/>
          <w:szCs w:val="20"/>
        </w:rPr>
        <w:t>the</w:t>
      </w:r>
      <w:r w:rsidRPr="00874517">
        <w:rPr>
          <w:spacing w:val="-13"/>
          <w:sz w:val="20"/>
          <w:szCs w:val="20"/>
        </w:rPr>
        <w:t xml:space="preserve"> </w:t>
      </w:r>
      <w:r w:rsidRPr="00874517">
        <w:rPr>
          <w:sz w:val="20"/>
          <w:szCs w:val="20"/>
        </w:rPr>
        <w:t>question</w:t>
      </w:r>
      <w:r w:rsidRPr="00874517">
        <w:rPr>
          <w:spacing w:val="-13"/>
          <w:sz w:val="20"/>
          <w:szCs w:val="20"/>
        </w:rPr>
        <w:t xml:space="preserve"> </w:t>
      </w:r>
      <w:r w:rsidRPr="00874517">
        <w:rPr>
          <w:sz w:val="20"/>
          <w:szCs w:val="20"/>
        </w:rPr>
        <w:t>is</w:t>
      </w:r>
      <w:r w:rsidRPr="00874517">
        <w:rPr>
          <w:spacing w:val="-13"/>
          <w:sz w:val="20"/>
          <w:szCs w:val="20"/>
        </w:rPr>
        <w:t xml:space="preserve"> </w:t>
      </w:r>
      <w:r w:rsidRPr="00874517">
        <w:rPr>
          <w:sz w:val="20"/>
          <w:szCs w:val="20"/>
        </w:rPr>
        <w:t>derived</w:t>
      </w:r>
      <w:r w:rsidRPr="00874517">
        <w:rPr>
          <w:spacing w:val="-13"/>
          <w:sz w:val="20"/>
          <w:szCs w:val="20"/>
        </w:rPr>
        <w:t xml:space="preserve"> </w:t>
      </w:r>
      <w:r w:rsidRPr="00874517">
        <w:rPr>
          <w:sz w:val="20"/>
          <w:szCs w:val="20"/>
        </w:rPr>
        <w:t>from, whenever we have responded to questions in Parliament on the revitalisation of rural and township economies, we have emphasised the objective of ensuring that we transform townships and villages from labour and consumption reserves into thriving prod</w:t>
      </w:r>
      <w:r w:rsidRPr="00874517">
        <w:rPr>
          <w:sz w:val="20"/>
          <w:szCs w:val="20"/>
        </w:rPr>
        <w:t>uctive investment hubs that contribute to broader economic transformation of previously marginalised</w:t>
      </w:r>
      <w:r w:rsidRPr="00874517">
        <w:rPr>
          <w:spacing w:val="-4"/>
          <w:sz w:val="20"/>
          <w:szCs w:val="20"/>
        </w:rPr>
        <w:t xml:space="preserve"> </w:t>
      </w:r>
      <w:r w:rsidRPr="00874517">
        <w:rPr>
          <w:sz w:val="20"/>
          <w:szCs w:val="20"/>
        </w:rPr>
        <w:t>communities.</w:t>
      </w:r>
    </w:p>
    <w:p w:rsidR="002035A0" w:rsidRPr="00874517" w:rsidRDefault="00074F11" w:rsidP="00874517">
      <w:pPr>
        <w:pStyle w:val="BodyText"/>
        <w:ind w:left="100" w:right="115"/>
        <w:jc w:val="both"/>
        <w:rPr>
          <w:sz w:val="20"/>
          <w:szCs w:val="20"/>
        </w:rPr>
      </w:pPr>
      <w:r w:rsidRPr="00874517">
        <w:rPr>
          <w:sz w:val="20"/>
          <w:szCs w:val="20"/>
        </w:rPr>
        <w:t>To achieve this, government policy seeks to bring Historically Disadvantaged Individuals and their businesses into the main stream economy. According to the National</w:t>
      </w:r>
      <w:r w:rsidRPr="00874517">
        <w:rPr>
          <w:spacing w:val="-12"/>
          <w:sz w:val="20"/>
          <w:szCs w:val="20"/>
        </w:rPr>
        <w:t xml:space="preserve"> </w:t>
      </w:r>
      <w:r w:rsidRPr="00874517">
        <w:rPr>
          <w:sz w:val="20"/>
          <w:szCs w:val="20"/>
        </w:rPr>
        <w:t>Treasury,</w:t>
      </w:r>
      <w:r w:rsidRPr="00874517">
        <w:rPr>
          <w:spacing w:val="-9"/>
          <w:sz w:val="20"/>
          <w:szCs w:val="20"/>
        </w:rPr>
        <w:t xml:space="preserve"> </w:t>
      </w:r>
      <w:r w:rsidRPr="00874517">
        <w:rPr>
          <w:sz w:val="20"/>
          <w:szCs w:val="20"/>
        </w:rPr>
        <w:t>it</w:t>
      </w:r>
      <w:r w:rsidRPr="00874517">
        <w:rPr>
          <w:spacing w:val="-9"/>
          <w:sz w:val="20"/>
          <w:szCs w:val="20"/>
        </w:rPr>
        <w:t xml:space="preserve"> </w:t>
      </w:r>
      <w:r w:rsidRPr="00874517">
        <w:rPr>
          <w:sz w:val="20"/>
          <w:szCs w:val="20"/>
        </w:rPr>
        <w:t>is</w:t>
      </w:r>
      <w:r w:rsidRPr="00874517">
        <w:rPr>
          <w:spacing w:val="-6"/>
          <w:sz w:val="20"/>
          <w:szCs w:val="20"/>
        </w:rPr>
        <w:t xml:space="preserve"> </w:t>
      </w:r>
      <w:r w:rsidRPr="00874517">
        <w:rPr>
          <w:sz w:val="20"/>
          <w:szCs w:val="20"/>
        </w:rPr>
        <w:t>not</w:t>
      </w:r>
      <w:r w:rsidRPr="00874517">
        <w:rPr>
          <w:spacing w:val="-9"/>
          <w:sz w:val="20"/>
          <w:szCs w:val="20"/>
        </w:rPr>
        <w:t xml:space="preserve"> </w:t>
      </w:r>
      <w:r w:rsidRPr="00874517">
        <w:rPr>
          <w:sz w:val="20"/>
          <w:szCs w:val="20"/>
        </w:rPr>
        <w:t>correct</w:t>
      </w:r>
      <w:r w:rsidRPr="00874517">
        <w:rPr>
          <w:spacing w:val="-9"/>
          <w:sz w:val="20"/>
          <w:szCs w:val="20"/>
        </w:rPr>
        <w:t xml:space="preserve"> </w:t>
      </w:r>
      <w:r w:rsidRPr="00874517">
        <w:rPr>
          <w:sz w:val="20"/>
          <w:szCs w:val="20"/>
        </w:rPr>
        <w:t>that</w:t>
      </w:r>
      <w:r w:rsidRPr="00874517">
        <w:rPr>
          <w:spacing w:val="-10"/>
          <w:sz w:val="20"/>
          <w:szCs w:val="20"/>
        </w:rPr>
        <w:t xml:space="preserve"> </w:t>
      </w:r>
      <w:r w:rsidRPr="00874517">
        <w:rPr>
          <w:sz w:val="20"/>
          <w:szCs w:val="20"/>
        </w:rPr>
        <w:t>70</w:t>
      </w:r>
      <w:r w:rsidRPr="00874517">
        <w:rPr>
          <w:spacing w:val="-8"/>
          <w:sz w:val="20"/>
          <w:szCs w:val="20"/>
        </w:rPr>
        <w:t xml:space="preserve"> </w:t>
      </w:r>
      <w:r w:rsidRPr="00874517">
        <w:rPr>
          <w:sz w:val="20"/>
          <w:szCs w:val="20"/>
        </w:rPr>
        <w:t>percent</w:t>
      </w:r>
      <w:r w:rsidRPr="00874517">
        <w:rPr>
          <w:spacing w:val="-9"/>
          <w:sz w:val="20"/>
          <w:szCs w:val="20"/>
        </w:rPr>
        <w:t xml:space="preserve"> </w:t>
      </w:r>
      <w:r w:rsidRPr="00874517">
        <w:rPr>
          <w:sz w:val="20"/>
          <w:szCs w:val="20"/>
        </w:rPr>
        <w:t>of</w:t>
      </w:r>
      <w:r w:rsidRPr="00874517">
        <w:rPr>
          <w:spacing w:val="-7"/>
          <w:sz w:val="20"/>
          <w:szCs w:val="20"/>
        </w:rPr>
        <w:t xml:space="preserve"> </w:t>
      </w:r>
      <w:r w:rsidRPr="00874517">
        <w:rPr>
          <w:sz w:val="20"/>
          <w:szCs w:val="20"/>
        </w:rPr>
        <w:t>government</w:t>
      </w:r>
      <w:r w:rsidRPr="00874517">
        <w:rPr>
          <w:spacing w:val="-8"/>
          <w:sz w:val="20"/>
          <w:szCs w:val="20"/>
        </w:rPr>
        <w:t xml:space="preserve"> </w:t>
      </w:r>
      <w:r w:rsidRPr="00874517">
        <w:rPr>
          <w:sz w:val="20"/>
          <w:szCs w:val="20"/>
        </w:rPr>
        <w:t>spend</w:t>
      </w:r>
      <w:r w:rsidRPr="00874517">
        <w:rPr>
          <w:spacing w:val="-8"/>
          <w:sz w:val="20"/>
          <w:szCs w:val="20"/>
        </w:rPr>
        <w:t xml:space="preserve"> </w:t>
      </w:r>
      <w:r w:rsidRPr="00874517">
        <w:rPr>
          <w:sz w:val="20"/>
          <w:szCs w:val="20"/>
        </w:rPr>
        <w:t>is</w:t>
      </w:r>
      <w:r w:rsidRPr="00874517">
        <w:rPr>
          <w:spacing w:val="-10"/>
          <w:sz w:val="20"/>
          <w:szCs w:val="20"/>
        </w:rPr>
        <w:t xml:space="preserve"> </w:t>
      </w:r>
      <w:r w:rsidRPr="00874517">
        <w:rPr>
          <w:sz w:val="20"/>
          <w:szCs w:val="20"/>
        </w:rPr>
        <w:t>allocated</w:t>
      </w:r>
      <w:r w:rsidRPr="00874517">
        <w:rPr>
          <w:spacing w:val="-7"/>
          <w:sz w:val="20"/>
          <w:szCs w:val="20"/>
        </w:rPr>
        <w:t xml:space="preserve"> </w:t>
      </w:r>
      <w:r w:rsidRPr="00874517">
        <w:rPr>
          <w:spacing w:val="-3"/>
          <w:sz w:val="20"/>
          <w:szCs w:val="20"/>
        </w:rPr>
        <w:t xml:space="preserve">to </w:t>
      </w:r>
      <w:r w:rsidRPr="00874517">
        <w:rPr>
          <w:sz w:val="20"/>
          <w:szCs w:val="20"/>
        </w:rPr>
        <w:t>establishe</w:t>
      </w:r>
      <w:r w:rsidRPr="00874517">
        <w:rPr>
          <w:sz w:val="20"/>
          <w:szCs w:val="20"/>
        </w:rPr>
        <w:t>d white owned businesses. The opposite is in fact true, where government spend has been used to transform the economy by sourcing from black-owned enterprises.</w:t>
      </w:r>
    </w:p>
    <w:p w:rsidR="002035A0" w:rsidRPr="00874517" w:rsidRDefault="002035A0" w:rsidP="00874517">
      <w:pPr>
        <w:pStyle w:val="BodyText"/>
        <w:rPr>
          <w:sz w:val="20"/>
          <w:szCs w:val="20"/>
        </w:rPr>
      </w:pPr>
    </w:p>
    <w:p w:rsidR="002035A0" w:rsidRPr="00874517" w:rsidRDefault="00074F11" w:rsidP="00874517">
      <w:pPr>
        <w:pStyle w:val="BodyText"/>
        <w:ind w:left="100" w:right="122"/>
        <w:jc w:val="both"/>
        <w:rPr>
          <w:sz w:val="20"/>
          <w:szCs w:val="20"/>
        </w:rPr>
      </w:pPr>
      <w:r w:rsidRPr="00874517">
        <w:rPr>
          <w:sz w:val="20"/>
          <w:szCs w:val="20"/>
        </w:rPr>
        <w:t>Further details on procurement by the state from these enterprises can be sourced from the Offi</w:t>
      </w:r>
      <w:r w:rsidRPr="00874517">
        <w:rPr>
          <w:sz w:val="20"/>
          <w:szCs w:val="20"/>
        </w:rPr>
        <w:t>ce of the Chief Procurement Officer in the National Treasury.</w:t>
      </w:r>
    </w:p>
    <w:p w:rsidR="002035A0" w:rsidRPr="00874517" w:rsidRDefault="002035A0" w:rsidP="00874517">
      <w:pPr>
        <w:pStyle w:val="BodyText"/>
        <w:rPr>
          <w:sz w:val="20"/>
          <w:szCs w:val="20"/>
        </w:rPr>
      </w:pPr>
    </w:p>
    <w:p w:rsidR="002035A0" w:rsidRPr="00874517" w:rsidRDefault="00074F11" w:rsidP="00874517">
      <w:pPr>
        <w:pStyle w:val="BodyText"/>
        <w:ind w:left="100" w:right="117"/>
        <w:jc w:val="both"/>
        <w:rPr>
          <w:sz w:val="20"/>
          <w:szCs w:val="20"/>
        </w:rPr>
      </w:pPr>
      <w:r w:rsidRPr="00874517">
        <w:rPr>
          <w:sz w:val="20"/>
          <w:szCs w:val="20"/>
        </w:rPr>
        <w:t>Failure</w:t>
      </w:r>
      <w:r w:rsidRPr="00874517">
        <w:rPr>
          <w:spacing w:val="-13"/>
          <w:sz w:val="20"/>
          <w:szCs w:val="20"/>
        </w:rPr>
        <w:t xml:space="preserve"> </w:t>
      </w:r>
      <w:r w:rsidRPr="00874517">
        <w:rPr>
          <w:sz w:val="20"/>
          <w:szCs w:val="20"/>
        </w:rPr>
        <w:t>to</w:t>
      </w:r>
      <w:r w:rsidRPr="00874517">
        <w:rPr>
          <w:spacing w:val="-11"/>
          <w:sz w:val="20"/>
          <w:szCs w:val="20"/>
        </w:rPr>
        <w:t xml:space="preserve"> </w:t>
      </w:r>
      <w:r w:rsidRPr="00874517">
        <w:rPr>
          <w:sz w:val="20"/>
          <w:szCs w:val="20"/>
        </w:rPr>
        <w:t>adequately</w:t>
      </w:r>
      <w:r w:rsidRPr="00874517">
        <w:rPr>
          <w:spacing w:val="-15"/>
          <w:sz w:val="20"/>
          <w:szCs w:val="20"/>
        </w:rPr>
        <w:t xml:space="preserve"> </w:t>
      </w:r>
      <w:r w:rsidRPr="00874517">
        <w:rPr>
          <w:sz w:val="20"/>
          <w:szCs w:val="20"/>
        </w:rPr>
        <w:t>empower</w:t>
      </w:r>
      <w:r w:rsidRPr="00874517">
        <w:rPr>
          <w:spacing w:val="-13"/>
          <w:sz w:val="20"/>
          <w:szCs w:val="20"/>
        </w:rPr>
        <w:t xml:space="preserve"> </w:t>
      </w:r>
      <w:r w:rsidRPr="00874517">
        <w:rPr>
          <w:sz w:val="20"/>
          <w:szCs w:val="20"/>
        </w:rPr>
        <w:t>women</w:t>
      </w:r>
      <w:r w:rsidRPr="00874517">
        <w:rPr>
          <w:spacing w:val="-12"/>
          <w:sz w:val="20"/>
          <w:szCs w:val="20"/>
        </w:rPr>
        <w:t xml:space="preserve"> </w:t>
      </w:r>
      <w:r w:rsidRPr="00874517">
        <w:rPr>
          <w:sz w:val="20"/>
          <w:szCs w:val="20"/>
        </w:rPr>
        <w:t>and</w:t>
      </w:r>
      <w:r w:rsidRPr="00874517">
        <w:rPr>
          <w:spacing w:val="-13"/>
          <w:sz w:val="20"/>
          <w:szCs w:val="20"/>
        </w:rPr>
        <w:t xml:space="preserve"> </w:t>
      </w:r>
      <w:r w:rsidRPr="00874517">
        <w:rPr>
          <w:sz w:val="20"/>
          <w:szCs w:val="20"/>
        </w:rPr>
        <w:t>capacitate</w:t>
      </w:r>
      <w:r w:rsidRPr="00874517">
        <w:rPr>
          <w:spacing w:val="-12"/>
          <w:sz w:val="20"/>
          <w:szCs w:val="20"/>
        </w:rPr>
        <w:t xml:space="preserve"> </w:t>
      </w:r>
      <w:r w:rsidRPr="00874517">
        <w:rPr>
          <w:sz w:val="20"/>
          <w:szCs w:val="20"/>
        </w:rPr>
        <w:t>youth</w:t>
      </w:r>
      <w:r w:rsidRPr="00874517">
        <w:rPr>
          <w:spacing w:val="-11"/>
          <w:sz w:val="20"/>
          <w:szCs w:val="20"/>
        </w:rPr>
        <w:t xml:space="preserve"> </w:t>
      </w:r>
      <w:r w:rsidRPr="00874517">
        <w:rPr>
          <w:sz w:val="20"/>
          <w:szCs w:val="20"/>
        </w:rPr>
        <w:t>compromises</w:t>
      </w:r>
      <w:r w:rsidRPr="00874517">
        <w:rPr>
          <w:spacing w:val="-12"/>
          <w:sz w:val="20"/>
          <w:szCs w:val="20"/>
        </w:rPr>
        <w:t xml:space="preserve"> </w:t>
      </w:r>
      <w:r w:rsidRPr="00874517">
        <w:rPr>
          <w:sz w:val="20"/>
          <w:szCs w:val="20"/>
        </w:rPr>
        <w:t>efforts</w:t>
      </w:r>
      <w:r w:rsidRPr="00874517">
        <w:rPr>
          <w:spacing w:val="-14"/>
          <w:sz w:val="20"/>
          <w:szCs w:val="20"/>
        </w:rPr>
        <w:t xml:space="preserve"> </w:t>
      </w:r>
      <w:r w:rsidRPr="00874517">
        <w:rPr>
          <w:sz w:val="20"/>
          <w:szCs w:val="20"/>
        </w:rPr>
        <w:t>and campaigns dedicated towards social cohesion and nation-building. In our effort to empower women and the youth, g</w:t>
      </w:r>
      <w:r w:rsidRPr="00874517">
        <w:rPr>
          <w:sz w:val="20"/>
          <w:szCs w:val="20"/>
        </w:rPr>
        <w:t>overnment’s approach is centred on promoting</w:t>
      </w:r>
      <w:r w:rsidRPr="00874517">
        <w:rPr>
          <w:spacing w:val="-43"/>
          <w:sz w:val="20"/>
          <w:szCs w:val="20"/>
        </w:rPr>
        <w:t xml:space="preserve"> </w:t>
      </w:r>
      <w:r w:rsidRPr="00874517">
        <w:rPr>
          <w:sz w:val="20"/>
          <w:szCs w:val="20"/>
        </w:rPr>
        <w:t>and supporting local businesses, whilst we emphasise the involvement of local communities.</w:t>
      </w:r>
    </w:p>
    <w:p w:rsidR="002035A0" w:rsidRPr="00874517" w:rsidRDefault="002035A0" w:rsidP="00874517">
      <w:pPr>
        <w:pStyle w:val="BodyText"/>
        <w:rPr>
          <w:sz w:val="20"/>
          <w:szCs w:val="20"/>
        </w:rPr>
      </w:pPr>
    </w:p>
    <w:p w:rsidR="002035A0" w:rsidRPr="00874517" w:rsidRDefault="002035A0" w:rsidP="00874517">
      <w:pPr>
        <w:pStyle w:val="BodyText"/>
        <w:rPr>
          <w:sz w:val="20"/>
          <w:szCs w:val="20"/>
        </w:rPr>
      </w:pPr>
    </w:p>
    <w:p w:rsidR="002035A0" w:rsidRPr="00874517" w:rsidRDefault="00074F11" w:rsidP="00874517">
      <w:pPr>
        <w:pStyle w:val="BodyText"/>
        <w:ind w:left="100" w:right="118"/>
        <w:jc w:val="both"/>
        <w:rPr>
          <w:sz w:val="20"/>
          <w:szCs w:val="20"/>
        </w:rPr>
      </w:pPr>
      <w:r w:rsidRPr="00874517">
        <w:rPr>
          <w:sz w:val="20"/>
          <w:szCs w:val="20"/>
        </w:rPr>
        <w:t>The National Treasury will release statistics on these categories of business in terms of Preferential Procurement Policy Framework Act (PPPFA) Objectives at the end of September 2020 for the 2019/2020 financial year, and up to August 2020 for the current</w:t>
      </w:r>
      <w:r w:rsidRPr="00874517">
        <w:rPr>
          <w:spacing w:val="-13"/>
          <w:sz w:val="20"/>
          <w:szCs w:val="20"/>
        </w:rPr>
        <w:t xml:space="preserve"> </w:t>
      </w:r>
      <w:r w:rsidRPr="00874517">
        <w:rPr>
          <w:sz w:val="20"/>
          <w:szCs w:val="20"/>
        </w:rPr>
        <w:t>financial</w:t>
      </w:r>
      <w:r w:rsidRPr="00874517">
        <w:rPr>
          <w:spacing w:val="-12"/>
          <w:sz w:val="20"/>
          <w:szCs w:val="20"/>
        </w:rPr>
        <w:t xml:space="preserve"> </w:t>
      </w:r>
      <w:r w:rsidRPr="00874517">
        <w:rPr>
          <w:sz w:val="20"/>
          <w:szCs w:val="20"/>
        </w:rPr>
        <w:t>year.</w:t>
      </w:r>
      <w:r w:rsidRPr="00874517">
        <w:rPr>
          <w:spacing w:val="-14"/>
          <w:sz w:val="20"/>
          <w:szCs w:val="20"/>
        </w:rPr>
        <w:t xml:space="preserve"> </w:t>
      </w:r>
      <w:r w:rsidRPr="00874517">
        <w:rPr>
          <w:sz w:val="20"/>
          <w:szCs w:val="20"/>
        </w:rPr>
        <w:t>The</w:t>
      </w:r>
      <w:r w:rsidRPr="00874517">
        <w:rPr>
          <w:spacing w:val="-10"/>
          <w:sz w:val="20"/>
          <w:szCs w:val="20"/>
        </w:rPr>
        <w:t xml:space="preserve"> </w:t>
      </w:r>
      <w:r w:rsidRPr="00874517">
        <w:rPr>
          <w:sz w:val="20"/>
          <w:szCs w:val="20"/>
        </w:rPr>
        <w:t>National</w:t>
      </w:r>
      <w:r w:rsidRPr="00874517">
        <w:rPr>
          <w:spacing w:val="-14"/>
          <w:sz w:val="20"/>
          <w:szCs w:val="20"/>
        </w:rPr>
        <w:t xml:space="preserve"> </w:t>
      </w:r>
      <w:r w:rsidRPr="00874517">
        <w:rPr>
          <w:sz w:val="20"/>
          <w:szCs w:val="20"/>
        </w:rPr>
        <w:t>Treasury</w:t>
      </w:r>
      <w:r w:rsidRPr="00874517">
        <w:rPr>
          <w:spacing w:val="-15"/>
          <w:sz w:val="20"/>
          <w:szCs w:val="20"/>
        </w:rPr>
        <w:t xml:space="preserve"> </w:t>
      </w:r>
      <w:r w:rsidRPr="00874517">
        <w:rPr>
          <w:sz w:val="20"/>
          <w:szCs w:val="20"/>
        </w:rPr>
        <w:t>has</w:t>
      </w:r>
      <w:r w:rsidRPr="00874517">
        <w:rPr>
          <w:spacing w:val="-12"/>
          <w:sz w:val="20"/>
          <w:szCs w:val="20"/>
        </w:rPr>
        <w:t xml:space="preserve"> </w:t>
      </w:r>
      <w:r w:rsidRPr="00874517">
        <w:rPr>
          <w:sz w:val="20"/>
          <w:szCs w:val="20"/>
        </w:rPr>
        <w:t>commenced</w:t>
      </w:r>
      <w:r w:rsidRPr="00874517">
        <w:rPr>
          <w:spacing w:val="-12"/>
          <w:sz w:val="20"/>
          <w:szCs w:val="20"/>
        </w:rPr>
        <w:t xml:space="preserve"> </w:t>
      </w:r>
      <w:r w:rsidRPr="00874517">
        <w:rPr>
          <w:sz w:val="20"/>
          <w:szCs w:val="20"/>
        </w:rPr>
        <w:t>a</w:t>
      </w:r>
      <w:r w:rsidRPr="00874517">
        <w:rPr>
          <w:spacing w:val="-11"/>
          <w:sz w:val="20"/>
          <w:szCs w:val="20"/>
        </w:rPr>
        <w:t xml:space="preserve"> </w:t>
      </w:r>
      <w:r w:rsidRPr="00874517">
        <w:rPr>
          <w:sz w:val="20"/>
          <w:szCs w:val="20"/>
        </w:rPr>
        <w:t>process</w:t>
      </w:r>
      <w:r w:rsidRPr="00874517">
        <w:rPr>
          <w:spacing w:val="-12"/>
          <w:sz w:val="20"/>
          <w:szCs w:val="20"/>
        </w:rPr>
        <w:t xml:space="preserve"> </w:t>
      </w:r>
      <w:r w:rsidRPr="00874517">
        <w:rPr>
          <w:sz w:val="20"/>
          <w:szCs w:val="20"/>
        </w:rPr>
        <w:t>to</w:t>
      </w:r>
      <w:r w:rsidRPr="00874517">
        <w:rPr>
          <w:spacing w:val="-13"/>
          <w:sz w:val="20"/>
          <w:szCs w:val="20"/>
        </w:rPr>
        <w:t xml:space="preserve"> </w:t>
      </w:r>
      <w:r w:rsidRPr="00874517">
        <w:rPr>
          <w:sz w:val="20"/>
          <w:szCs w:val="20"/>
        </w:rPr>
        <w:t>modernise and automate public procurement system as part of strengthening the</w:t>
      </w:r>
      <w:r w:rsidRPr="00874517">
        <w:rPr>
          <w:spacing w:val="-14"/>
          <w:sz w:val="20"/>
          <w:szCs w:val="20"/>
        </w:rPr>
        <w:t xml:space="preserve"> </w:t>
      </w:r>
      <w:r w:rsidRPr="00874517">
        <w:rPr>
          <w:sz w:val="20"/>
          <w:szCs w:val="20"/>
        </w:rPr>
        <w:t>system.</w:t>
      </w:r>
    </w:p>
    <w:p w:rsidR="002035A0" w:rsidRPr="00874517" w:rsidRDefault="002035A0" w:rsidP="00874517">
      <w:pPr>
        <w:pStyle w:val="BodyText"/>
        <w:rPr>
          <w:sz w:val="20"/>
          <w:szCs w:val="20"/>
        </w:rPr>
      </w:pPr>
    </w:p>
    <w:p w:rsidR="002035A0" w:rsidRPr="00874517" w:rsidRDefault="00074F11" w:rsidP="00874517">
      <w:pPr>
        <w:pStyle w:val="BodyText"/>
        <w:ind w:left="100" w:right="113"/>
        <w:jc w:val="both"/>
        <w:rPr>
          <w:sz w:val="20"/>
          <w:szCs w:val="20"/>
        </w:rPr>
      </w:pPr>
      <w:r w:rsidRPr="00874517">
        <w:rPr>
          <w:sz w:val="20"/>
          <w:szCs w:val="20"/>
        </w:rPr>
        <w:t>This is to enhance oversight and reporting including addressing of fragmented procurement systems in the different spheres of government and entities running separate systems and insufficient standardised transactional data being centrally collected.</w:t>
      </w:r>
      <w:r w:rsidRPr="00874517">
        <w:rPr>
          <w:spacing w:val="-6"/>
          <w:sz w:val="20"/>
          <w:szCs w:val="20"/>
        </w:rPr>
        <w:t xml:space="preserve"> </w:t>
      </w:r>
      <w:r w:rsidRPr="00874517">
        <w:rPr>
          <w:sz w:val="20"/>
          <w:szCs w:val="20"/>
        </w:rPr>
        <w:t>It</w:t>
      </w:r>
      <w:r w:rsidRPr="00874517">
        <w:rPr>
          <w:spacing w:val="-6"/>
          <w:sz w:val="20"/>
          <w:szCs w:val="20"/>
        </w:rPr>
        <w:t xml:space="preserve"> </w:t>
      </w:r>
      <w:r w:rsidRPr="00874517">
        <w:rPr>
          <w:sz w:val="20"/>
          <w:szCs w:val="20"/>
        </w:rPr>
        <w:t>is</w:t>
      </w:r>
      <w:r w:rsidRPr="00874517">
        <w:rPr>
          <w:spacing w:val="-7"/>
          <w:sz w:val="20"/>
          <w:szCs w:val="20"/>
        </w:rPr>
        <w:t xml:space="preserve"> </w:t>
      </w:r>
      <w:r w:rsidRPr="00874517">
        <w:rPr>
          <w:sz w:val="20"/>
          <w:szCs w:val="20"/>
        </w:rPr>
        <w:t>intended</w:t>
      </w:r>
      <w:r w:rsidRPr="00874517">
        <w:rPr>
          <w:spacing w:val="-8"/>
          <w:sz w:val="20"/>
          <w:szCs w:val="20"/>
        </w:rPr>
        <w:t xml:space="preserve"> </w:t>
      </w:r>
      <w:r w:rsidRPr="00874517">
        <w:rPr>
          <w:sz w:val="20"/>
          <w:szCs w:val="20"/>
        </w:rPr>
        <w:t>that</w:t>
      </w:r>
      <w:r w:rsidRPr="00874517">
        <w:rPr>
          <w:spacing w:val="-6"/>
          <w:sz w:val="20"/>
          <w:szCs w:val="20"/>
        </w:rPr>
        <w:t xml:space="preserve"> </w:t>
      </w:r>
      <w:r w:rsidRPr="00874517">
        <w:rPr>
          <w:sz w:val="20"/>
          <w:szCs w:val="20"/>
        </w:rPr>
        <w:t>procurement</w:t>
      </w:r>
      <w:r w:rsidRPr="00874517">
        <w:rPr>
          <w:spacing w:val="-6"/>
          <w:sz w:val="20"/>
          <w:szCs w:val="20"/>
        </w:rPr>
        <w:t xml:space="preserve"> </w:t>
      </w:r>
      <w:r w:rsidRPr="00874517">
        <w:rPr>
          <w:sz w:val="20"/>
          <w:szCs w:val="20"/>
        </w:rPr>
        <w:t>will</w:t>
      </w:r>
      <w:r w:rsidRPr="00874517">
        <w:rPr>
          <w:spacing w:val="-3"/>
          <w:sz w:val="20"/>
          <w:szCs w:val="20"/>
        </w:rPr>
        <w:t xml:space="preserve"> </w:t>
      </w:r>
      <w:r w:rsidRPr="00874517">
        <w:rPr>
          <w:sz w:val="20"/>
          <w:szCs w:val="20"/>
        </w:rPr>
        <w:t>be</w:t>
      </w:r>
      <w:r w:rsidRPr="00874517">
        <w:rPr>
          <w:spacing w:val="-6"/>
          <w:sz w:val="20"/>
          <w:szCs w:val="20"/>
        </w:rPr>
        <w:t xml:space="preserve"> </w:t>
      </w:r>
      <w:r w:rsidRPr="00874517">
        <w:rPr>
          <w:sz w:val="20"/>
          <w:szCs w:val="20"/>
        </w:rPr>
        <w:t>better</w:t>
      </w:r>
      <w:r w:rsidRPr="00874517">
        <w:rPr>
          <w:spacing w:val="-6"/>
          <w:sz w:val="20"/>
          <w:szCs w:val="20"/>
        </w:rPr>
        <w:t xml:space="preserve"> </w:t>
      </w:r>
      <w:r w:rsidRPr="00874517">
        <w:rPr>
          <w:sz w:val="20"/>
          <w:szCs w:val="20"/>
        </w:rPr>
        <w:t>reported</w:t>
      </w:r>
      <w:r w:rsidRPr="00874517">
        <w:rPr>
          <w:spacing w:val="-8"/>
          <w:sz w:val="20"/>
          <w:szCs w:val="20"/>
        </w:rPr>
        <w:t xml:space="preserve"> </w:t>
      </w:r>
      <w:r w:rsidRPr="00874517">
        <w:rPr>
          <w:sz w:val="20"/>
          <w:szCs w:val="20"/>
        </w:rPr>
        <w:t>on</w:t>
      </w:r>
      <w:r w:rsidRPr="00874517">
        <w:rPr>
          <w:spacing w:val="-6"/>
          <w:sz w:val="20"/>
          <w:szCs w:val="20"/>
        </w:rPr>
        <w:t xml:space="preserve"> </w:t>
      </w:r>
      <w:r w:rsidRPr="00874517">
        <w:rPr>
          <w:sz w:val="20"/>
          <w:szCs w:val="20"/>
        </w:rPr>
        <w:t>including</w:t>
      </w:r>
      <w:r w:rsidRPr="00874517">
        <w:rPr>
          <w:spacing w:val="-8"/>
          <w:sz w:val="20"/>
          <w:szCs w:val="20"/>
        </w:rPr>
        <w:t xml:space="preserve"> </w:t>
      </w:r>
      <w:r w:rsidRPr="00874517">
        <w:rPr>
          <w:sz w:val="20"/>
          <w:szCs w:val="20"/>
        </w:rPr>
        <w:t>all</w:t>
      </w:r>
      <w:r w:rsidRPr="00874517">
        <w:rPr>
          <w:spacing w:val="-8"/>
          <w:sz w:val="20"/>
          <w:szCs w:val="20"/>
        </w:rPr>
        <w:t xml:space="preserve"> </w:t>
      </w:r>
      <w:r w:rsidRPr="00874517">
        <w:rPr>
          <w:sz w:val="20"/>
          <w:szCs w:val="20"/>
        </w:rPr>
        <w:t>spend across all of government by designated groups according to the PPPFA objectives frequently and</w:t>
      </w:r>
      <w:r w:rsidRPr="00874517">
        <w:rPr>
          <w:spacing w:val="-4"/>
          <w:sz w:val="20"/>
          <w:szCs w:val="20"/>
        </w:rPr>
        <w:t xml:space="preserve"> </w:t>
      </w:r>
      <w:r w:rsidRPr="00874517">
        <w:rPr>
          <w:sz w:val="20"/>
          <w:szCs w:val="20"/>
        </w:rPr>
        <w:t>regularly.</w:t>
      </w:r>
    </w:p>
    <w:p w:rsidR="002035A0" w:rsidRPr="00874517" w:rsidRDefault="002035A0" w:rsidP="00874517">
      <w:pPr>
        <w:pStyle w:val="BodyText"/>
        <w:rPr>
          <w:sz w:val="20"/>
          <w:szCs w:val="20"/>
        </w:rPr>
      </w:pPr>
    </w:p>
    <w:p w:rsidR="002035A0" w:rsidRPr="00874517" w:rsidRDefault="00074F11" w:rsidP="00874517">
      <w:pPr>
        <w:pStyle w:val="BodyText"/>
        <w:ind w:left="100" w:right="117"/>
        <w:jc w:val="both"/>
        <w:rPr>
          <w:sz w:val="20"/>
          <w:szCs w:val="20"/>
        </w:rPr>
      </w:pPr>
      <w:r w:rsidRPr="00874517">
        <w:rPr>
          <w:sz w:val="20"/>
          <w:szCs w:val="20"/>
        </w:rPr>
        <w:t>This will assist us in examining the spread of the procurement spend and ca</w:t>
      </w:r>
      <w:r w:rsidRPr="00874517">
        <w:rPr>
          <w:sz w:val="20"/>
          <w:szCs w:val="20"/>
        </w:rPr>
        <w:t>tegories of goods and services rendered and where possible, identify gaps and areas of the economy</w:t>
      </w:r>
      <w:r w:rsidRPr="00874517">
        <w:rPr>
          <w:spacing w:val="-10"/>
          <w:sz w:val="20"/>
          <w:szCs w:val="20"/>
        </w:rPr>
        <w:t xml:space="preserve"> </w:t>
      </w:r>
      <w:r w:rsidRPr="00874517">
        <w:rPr>
          <w:sz w:val="20"/>
          <w:szCs w:val="20"/>
        </w:rPr>
        <w:t>that</w:t>
      </w:r>
      <w:r w:rsidRPr="00874517">
        <w:rPr>
          <w:spacing w:val="-6"/>
          <w:sz w:val="20"/>
          <w:szCs w:val="20"/>
        </w:rPr>
        <w:t xml:space="preserve"> </w:t>
      </w:r>
      <w:r w:rsidRPr="00874517">
        <w:rPr>
          <w:sz w:val="20"/>
          <w:szCs w:val="20"/>
        </w:rPr>
        <w:t>requires</w:t>
      </w:r>
      <w:r w:rsidRPr="00874517">
        <w:rPr>
          <w:spacing w:val="-9"/>
          <w:sz w:val="20"/>
          <w:szCs w:val="20"/>
        </w:rPr>
        <w:t xml:space="preserve"> </w:t>
      </w:r>
      <w:r w:rsidRPr="00874517">
        <w:rPr>
          <w:sz w:val="20"/>
          <w:szCs w:val="20"/>
        </w:rPr>
        <w:t>further</w:t>
      </w:r>
      <w:r w:rsidRPr="00874517">
        <w:rPr>
          <w:spacing w:val="-7"/>
          <w:sz w:val="20"/>
          <w:szCs w:val="20"/>
        </w:rPr>
        <w:t xml:space="preserve"> </w:t>
      </w:r>
      <w:r w:rsidRPr="00874517">
        <w:rPr>
          <w:sz w:val="20"/>
          <w:szCs w:val="20"/>
        </w:rPr>
        <w:t>intervention.</w:t>
      </w:r>
      <w:r w:rsidRPr="00874517">
        <w:rPr>
          <w:spacing w:val="-9"/>
          <w:sz w:val="20"/>
          <w:szCs w:val="20"/>
        </w:rPr>
        <w:t xml:space="preserve"> </w:t>
      </w:r>
      <w:r w:rsidRPr="00874517">
        <w:rPr>
          <w:sz w:val="20"/>
          <w:szCs w:val="20"/>
        </w:rPr>
        <w:t>These</w:t>
      </w:r>
      <w:r w:rsidRPr="00874517">
        <w:rPr>
          <w:spacing w:val="-6"/>
          <w:sz w:val="20"/>
          <w:szCs w:val="20"/>
        </w:rPr>
        <w:t xml:space="preserve"> </w:t>
      </w:r>
      <w:r w:rsidRPr="00874517">
        <w:rPr>
          <w:sz w:val="20"/>
          <w:szCs w:val="20"/>
        </w:rPr>
        <w:t>interventions</w:t>
      </w:r>
      <w:r w:rsidRPr="00874517">
        <w:rPr>
          <w:spacing w:val="-7"/>
          <w:sz w:val="20"/>
          <w:szCs w:val="20"/>
        </w:rPr>
        <w:t xml:space="preserve"> </w:t>
      </w:r>
      <w:r w:rsidRPr="00874517">
        <w:rPr>
          <w:sz w:val="20"/>
          <w:szCs w:val="20"/>
        </w:rPr>
        <w:t>are</w:t>
      </w:r>
      <w:r w:rsidRPr="00874517">
        <w:rPr>
          <w:spacing w:val="-8"/>
          <w:sz w:val="20"/>
          <w:szCs w:val="20"/>
        </w:rPr>
        <w:t xml:space="preserve"> </w:t>
      </w:r>
      <w:r w:rsidRPr="00874517">
        <w:rPr>
          <w:sz w:val="20"/>
          <w:szCs w:val="20"/>
        </w:rPr>
        <w:t>critical</w:t>
      </w:r>
      <w:r w:rsidRPr="00874517">
        <w:rPr>
          <w:spacing w:val="-7"/>
          <w:sz w:val="20"/>
          <w:szCs w:val="20"/>
        </w:rPr>
        <w:t xml:space="preserve"> </w:t>
      </w:r>
      <w:r w:rsidRPr="00874517">
        <w:rPr>
          <w:sz w:val="20"/>
          <w:szCs w:val="20"/>
        </w:rPr>
        <w:t>if</w:t>
      </w:r>
      <w:r w:rsidRPr="00874517">
        <w:rPr>
          <w:spacing w:val="-5"/>
          <w:sz w:val="20"/>
          <w:szCs w:val="20"/>
        </w:rPr>
        <w:t xml:space="preserve"> </w:t>
      </w:r>
      <w:r w:rsidRPr="00874517">
        <w:rPr>
          <w:sz w:val="20"/>
          <w:szCs w:val="20"/>
        </w:rPr>
        <w:t>we</w:t>
      </w:r>
      <w:r w:rsidRPr="00874517">
        <w:rPr>
          <w:spacing w:val="-6"/>
          <w:sz w:val="20"/>
          <w:szCs w:val="20"/>
        </w:rPr>
        <w:t xml:space="preserve"> </w:t>
      </w:r>
      <w:r w:rsidRPr="00874517">
        <w:rPr>
          <w:sz w:val="20"/>
          <w:szCs w:val="20"/>
        </w:rPr>
        <w:t>are</w:t>
      </w:r>
      <w:r w:rsidRPr="00874517">
        <w:rPr>
          <w:spacing w:val="-7"/>
          <w:sz w:val="20"/>
          <w:szCs w:val="20"/>
        </w:rPr>
        <w:t xml:space="preserve"> </w:t>
      </w:r>
      <w:r w:rsidRPr="00874517">
        <w:rPr>
          <w:sz w:val="20"/>
          <w:szCs w:val="20"/>
        </w:rPr>
        <w:t xml:space="preserve">to promote inclusive economic growth and </w:t>
      </w:r>
      <w:r w:rsidRPr="00874517">
        <w:rPr>
          <w:sz w:val="20"/>
          <w:szCs w:val="20"/>
        </w:rPr>
        <w:lastRenderedPageBreak/>
        <w:t>equitable employment</w:t>
      </w:r>
      <w:r w:rsidRPr="00874517">
        <w:rPr>
          <w:spacing w:val="-11"/>
          <w:sz w:val="20"/>
          <w:szCs w:val="20"/>
        </w:rPr>
        <w:t xml:space="preserve"> </w:t>
      </w:r>
      <w:r w:rsidRPr="00874517">
        <w:rPr>
          <w:sz w:val="20"/>
          <w:szCs w:val="20"/>
        </w:rPr>
        <w:t>opportunities.</w:t>
      </w:r>
    </w:p>
    <w:p w:rsidR="002035A0" w:rsidRPr="00874517" w:rsidRDefault="002035A0" w:rsidP="00874517">
      <w:pPr>
        <w:pStyle w:val="BodyText"/>
        <w:rPr>
          <w:sz w:val="20"/>
          <w:szCs w:val="20"/>
        </w:rPr>
      </w:pPr>
    </w:p>
    <w:p w:rsidR="002035A0" w:rsidRPr="00874517" w:rsidRDefault="00074F11" w:rsidP="00874517">
      <w:pPr>
        <w:pStyle w:val="BodyText"/>
        <w:ind w:left="100" w:right="111"/>
        <w:jc w:val="both"/>
        <w:rPr>
          <w:sz w:val="20"/>
          <w:szCs w:val="20"/>
        </w:rPr>
      </w:pPr>
      <w:r w:rsidRPr="00874517">
        <w:rPr>
          <w:sz w:val="20"/>
          <w:szCs w:val="20"/>
        </w:rPr>
        <w:t>This government remains steadfast in its commitment to implement legislation, policies, regulations and programmes which seek to redress the legacy of apartheid with a particular focus on black women and youth. Inequalities are indeed deeply entrenched and</w:t>
      </w:r>
      <w:r w:rsidRPr="00874517">
        <w:rPr>
          <w:sz w:val="20"/>
          <w:szCs w:val="20"/>
        </w:rPr>
        <w:t xml:space="preserve"> will require continued, purposeful action by all.</w:t>
      </w:r>
    </w:p>
    <w:p w:rsidR="002035A0" w:rsidRPr="00874517" w:rsidRDefault="002035A0" w:rsidP="00874517">
      <w:pPr>
        <w:pStyle w:val="BodyText"/>
        <w:rPr>
          <w:sz w:val="20"/>
          <w:szCs w:val="20"/>
        </w:rPr>
      </w:pPr>
    </w:p>
    <w:p w:rsidR="002035A0" w:rsidRPr="00874517" w:rsidRDefault="00074F11" w:rsidP="00874517">
      <w:pPr>
        <w:pStyle w:val="Heading2"/>
        <w:ind w:left="2315" w:right="2332"/>
        <w:jc w:val="center"/>
        <w:rPr>
          <w:sz w:val="20"/>
          <w:szCs w:val="20"/>
        </w:rPr>
      </w:pPr>
      <w:r w:rsidRPr="00874517">
        <w:rPr>
          <w:sz w:val="20"/>
          <w:szCs w:val="20"/>
        </w:rPr>
        <w:t>-End-</w:t>
      </w:r>
    </w:p>
    <w:sectPr w:rsidR="002035A0" w:rsidRPr="00874517" w:rsidSect="002035A0">
      <w:footerReference w:type="default" r:id="rId6"/>
      <w:pgSz w:w="11900" w:h="16850"/>
      <w:pgMar w:top="1600" w:right="1320" w:bottom="1200" w:left="13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11" w:rsidRDefault="00074F11" w:rsidP="002035A0">
      <w:r>
        <w:separator/>
      </w:r>
    </w:p>
  </w:endnote>
  <w:endnote w:type="continuationSeparator" w:id="1">
    <w:p w:rsidR="00074F11" w:rsidRDefault="00074F11" w:rsidP="00203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A0" w:rsidRDefault="002035A0">
    <w:pPr>
      <w:pStyle w:val="BodyText"/>
      <w:spacing w:line="14" w:lineRule="auto"/>
      <w:rPr>
        <w:sz w:val="20"/>
      </w:rPr>
    </w:pPr>
    <w:r w:rsidRPr="002035A0">
      <w:pict>
        <v:shapetype id="_x0000_t202" coordsize="21600,21600" o:spt="202" path="m,l,21600r21600,l21600,xe">
          <v:stroke joinstyle="miter"/>
          <v:path gradientshapeok="t" o:connecttype="rect"/>
        </v:shapetype>
        <v:shape id="_x0000_s1025" type="#_x0000_t202" style="position:absolute;margin-left:291.75pt;margin-top:781pt;width:11.6pt;height:13.05pt;z-index:-251658752;mso-position-horizontal-relative:page;mso-position-vertical-relative:page" filled="f" stroked="f">
          <v:textbox inset="0,0,0,0">
            <w:txbxContent>
              <w:p w:rsidR="002035A0" w:rsidRDefault="002035A0">
                <w:pPr>
                  <w:spacing w:line="245" w:lineRule="exact"/>
                  <w:ind w:left="60"/>
                  <w:rPr>
                    <w:rFonts w:ascii="Calibri"/>
                  </w:rPr>
                </w:pPr>
                <w:r>
                  <w:fldChar w:fldCharType="begin"/>
                </w:r>
                <w:r w:rsidR="00074F11">
                  <w:rPr>
                    <w:rFonts w:ascii="Calibri"/>
                  </w:rPr>
                  <w:instrText xml:space="preserve"> PAGE </w:instrText>
                </w:r>
                <w:r>
                  <w:fldChar w:fldCharType="separate"/>
                </w:r>
                <w:r w:rsidR="00874517">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11" w:rsidRDefault="00074F11" w:rsidP="002035A0">
      <w:r>
        <w:separator/>
      </w:r>
    </w:p>
  </w:footnote>
  <w:footnote w:type="continuationSeparator" w:id="1">
    <w:p w:rsidR="00074F11" w:rsidRDefault="00074F11" w:rsidP="00203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2035A0"/>
    <w:rsid w:val="00074F11"/>
    <w:rsid w:val="002035A0"/>
    <w:rsid w:val="008745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5A0"/>
    <w:rPr>
      <w:rFonts w:ascii="Arial" w:eastAsia="Arial" w:hAnsi="Arial" w:cs="Arial"/>
      <w:lang w:bidi="en-US"/>
    </w:rPr>
  </w:style>
  <w:style w:type="paragraph" w:styleId="Heading1">
    <w:name w:val="heading 1"/>
    <w:basedOn w:val="Normal"/>
    <w:uiPriority w:val="1"/>
    <w:qFormat/>
    <w:rsid w:val="002035A0"/>
    <w:pPr>
      <w:ind w:left="2978" w:right="1998" w:hanging="983"/>
      <w:outlineLvl w:val="0"/>
    </w:pPr>
    <w:rPr>
      <w:b/>
      <w:bCs/>
      <w:sz w:val="28"/>
      <w:szCs w:val="28"/>
    </w:rPr>
  </w:style>
  <w:style w:type="paragraph" w:styleId="Heading2">
    <w:name w:val="heading 2"/>
    <w:basedOn w:val="Normal"/>
    <w:uiPriority w:val="1"/>
    <w:qFormat/>
    <w:rsid w:val="002035A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35A0"/>
    <w:rPr>
      <w:sz w:val="24"/>
      <w:szCs w:val="24"/>
    </w:rPr>
  </w:style>
  <w:style w:type="paragraph" w:styleId="ListParagraph">
    <w:name w:val="List Paragraph"/>
    <w:basedOn w:val="Normal"/>
    <w:uiPriority w:val="1"/>
    <w:qFormat/>
    <w:rsid w:val="002035A0"/>
  </w:style>
  <w:style w:type="paragraph" w:customStyle="1" w:styleId="TableParagraph">
    <w:name w:val="Table Paragraph"/>
    <w:basedOn w:val="Normal"/>
    <w:uiPriority w:val="1"/>
    <w:qFormat/>
    <w:rsid w:val="002035A0"/>
  </w:style>
  <w:style w:type="paragraph" w:styleId="BalloonText">
    <w:name w:val="Balloon Text"/>
    <w:basedOn w:val="Normal"/>
    <w:link w:val="BalloonTextChar"/>
    <w:uiPriority w:val="99"/>
    <w:semiHidden/>
    <w:unhideWhenUsed/>
    <w:rsid w:val="00874517"/>
    <w:rPr>
      <w:rFonts w:ascii="Tahoma" w:hAnsi="Tahoma" w:cs="Tahoma"/>
      <w:sz w:val="16"/>
      <w:szCs w:val="16"/>
    </w:rPr>
  </w:style>
  <w:style w:type="character" w:customStyle="1" w:styleId="BalloonTextChar">
    <w:name w:val="Balloon Text Char"/>
    <w:basedOn w:val="DefaultParagraphFont"/>
    <w:link w:val="BalloonText"/>
    <w:uiPriority w:val="99"/>
    <w:semiHidden/>
    <w:rsid w:val="00874517"/>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Company>Toshiba</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PMG User</cp:lastModifiedBy>
  <cp:revision>2</cp:revision>
  <dcterms:created xsi:type="dcterms:W3CDTF">2020-09-21T12:37:00Z</dcterms:created>
  <dcterms:modified xsi:type="dcterms:W3CDTF">2020-09-21T12:37:00Z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