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83D3" w14:textId="5C42D057" w:rsidR="00106280" w:rsidRPr="00051606" w:rsidRDefault="00051606" w:rsidP="009351CB">
      <w:pPr>
        <w:tabs>
          <w:tab w:val="left" w:pos="2552"/>
        </w:tabs>
        <w:autoSpaceDE w:val="0"/>
        <w:autoSpaceDN w:val="0"/>
        <w:adjustRightInd w:val="0"/>
        <w:spacing w:line="360" w:lineRule="auto"/>
        <w:jc w:val="both"/>
        <w:rPr>
          <w:b/>
          <w:sz w:val="28"/>
          <w:szCs w:val="28"/>
        </w:rPr>
      </w:pPr>
      <w:r w:rsidRPr="00051606">
        <w:rPr>
          <w:b/>
          <w:sz w:val="28"/>
          <w:szCs w:val="28"/>
        </w:rPr>
        <w:t xml:space="preserve">1. </w:t>
      </w:r>
      <w:r w:rsidR="00106280" w:rsidRPr="00051606">
        <w:rPr>
          <w:b/>
          <w:sz w:val="28"/>
          <w:szCs w:val="28"/>
        </w:rPr>
        <w:t xml:space="preserve">The Budgetary Review and Recommendation Report of the Portfolio Committee on Justice and Correctional Services, dated </w:t>
      </w:r>
      <w:r w:rsidR="00FD0282" w:rsidRPr="00051606">
        <w:rPr>
          <w:b/>
          <w:sz w:val="28"/>
          <w:szCs w:val="28"/>
        </w:rPr>
        <w:t xml:space="preserve">29 </w:t>
      </w:r>
      <w:r w:rsidR="007A0FF0" w:rsidRPr="00051606">
        <w:rPr>
          <w:b/>
          <w:sz w:val="28"/>
          <w:szCs w:val="28"/>
        </w:rPr>
        <w:t>October 2019</w:t>
      </w:r>
    </w:p>
    <w:p w14:paraId="1645E6F5" w14:textId="77777777" w:rsidR="00106280" w:rsidRPr="009351CB" w:rsidRDefault="00106280" w:rsidP="009351CB">
      <w:pPr>
        <w:autoSpaceDE w:val="0"/>
        <w:autoSpaceDN w:val="0"/>
        <w:adjustRightInd w:val="0"/>
        <w:spacing w:line="360" w:lineRule="auto"/>
        <w:jc w:val="both"/>
      </w:pPr>
      <w:bookmarkStart w:id="0" w:name="_GoBack"/>
      <w:bookmarkEnd w:id="0"/>
    </w:p>
    <w:p w14:paraId="12BA0C6A" w14:textId="77777777" w:rsidR="00106280" w:rsidRPr="009351CB" w:rsidRDefault="00106280" w:rsidP="009351CB">
      <w:pPr>
        <w:autoSpaceDE w:val="0"/>
        <w:autoSpaceDN w:val="0"/>
        <w:adjustRightInd w:val="0"/>
        <w:spacing w:line="360" w:lineRule="auto"/>
        <w:jc w:val="both"/>
        <w:rPr>
          <w:b/>
        </w:rPr>
      </w:pPr>
      <w:r w:rsidRPr="009351CB">
        <w:t>The Portfolio Committee on Justice and Correctional Services, having considered the performance</w:t>
      </w:r>
      <w:r w:rsidR="007D42EC" w:rsidRPr="009351CB">
        <w:t xml:space="preserve">, spending and </w:t>
      </w:r>
      <w:r w:rsidRPr="009351CB">
        <w:t xml:space="preserve">requests for additional allocations for the medium term period of the Department of Justice and Constitutional Development, National Prosecuting Authority, </w:t>
      </w:r>
      <w:r w:rsidR="00DF03D5" w:rsidRPr="009351CB">
        <w:t xml:space="preserve">Information Regulator, </w:t>
      </w:r>
      <w:r w:rsidRPr="009351CB">
        <w:t>Legal Aid South Africa, Special Investigating Unit, South African Human Rights Commission and Publi</w:t>
      </w:r>
      <w:r w:rsidR="00A56844" w:rsidRPr="009351CB">
        <w:t>c Protector</w:t>
      </w:r>
      <w:r w:rsidR="004A75E5" w:rsidRPr="009351CB">
        <w:t xml:space="preserve">, </w:t>
      </w:r>
      <w:r w:rsidRPr="009351CB">
        <w:t>reports as follows:</w:t>
      </w:r>
    </w:p>
    <w:p w14:paraId="067AF5F5" w14:textId="77777777" w:rsidR="00106280" w:rsidRPr="009351CB" w:rsidRDefault="00106280" w:rsidP="009351CB">
      <w:pPr>
        <w:autoSpaceDE w:val="0"/>
        <w:autoSpaceDN w:val="0"/>
        <w:adjustRightInd w:val="0"/>
        <w:spacing w:line="360" w:lineRule="auto"/>
      </w:pPr>
    </w:p>
    <w:p w14:paraId="363A7B5E" w14:textId="77777777" w:rsidR="00106280" w:rsidRPr="009351CB" w:rsidRDefault="00106280" w:rsidP="0047685F">
      <w:pPr>
        <w:numPr>
          <w:ilvl w:val="0"/>
          <w:numId w:val="2"/>
        </w:numPr>
        <w:tabs>
          <w:tab w:val="clear" w:pos="360"/>
          <w:tab w:val="num" w:pos="709"/>
        </w:tabs>
        <w:autoSpaceDE w:val="0"/>
        <w:autoSpaceDN w:val="0"/>
        <w:adjustRightInd w:val="0"/>
        <w:spacing w:line="360" w:lineRule="auto"/>
        <w:ind w:left="709" w:hanging="709"/>
        <w:rPr>
          <w:b/>
        </w:rPr>
      </w:pPr>
      <w:r w:rsidRPr="009351CB">
        <w:rPr>
          <w:b/>
        </w:rPr>
        <w:t>Introduction</w:t>
      </w:r>
    </w:p>
    <w:p w14:paraId="7C9B83EF" w14:textId="77777777" w:rsidR="00106280" w:rsidRPr="009351CB" w:rsidRDefault="00106280" w:rsidP="009351CB">
      <w:pPr>
        <w:spacing w:line="360" w:lineRule="auto"/>
        <w:jc w:val="both"/>
      </w:pPr>
    </w:p>
    <w:p w14:paraId="75217044" w14:textId="77777777" w:rsidR="00106280" w:rsidRPr="009351CB" w:rsidRDefault="002D0ED0" w:rsidP="004F6019">
      <w:pPr>
        <w:numPr>
          <w:ilvl w:val="1"/>
          <w:numId w:val="5"/>
        </w:numPr>
        <w:spacing w:line="360" w:lineRule="auto"/>
        <w:ind w:left="709" w:hanging="709"/>
        <w:jc w:val="both"/>
        <w:rPr>
          <w:lang w:val="en-US"/>
        </w:rPr>
      </w:pPr>
      <w:r w:rsidRPr="009351CB">
        <w:rPr>
          <w:lang w:val="en-US"/>
        </w:rPr>
        <w:t>The Money Bills Procedure</w:t>
      </w:r>
      <w:r w:rsidR="00106280" w:rsidRPr="009351CB">
        <w:rPr>
          <w:lang w:val="en-US"/>
        </w:rPr>
        <w:t xml:space="preserve"> </w:t>
      </w:r>
      <w:r w:rsidR="00E91B7A" w:rsidRPr="009351CB">
        <w:rPr>
          <w:lang w:val="en-US"/>
        </w:rPr>
        <w:t xml:space="preserve">Amendment </w:t>
      </w:r>
      <w:r w:rsidR="00106280" w:rsidRPr="009351CB">
        <w:rPr>
          <w:lang w:val="en-US"/>
        </w:rPr>
        <w:t xml:space="preserve">and Related Matters Act 9 of </w:t>
      </w:r>
      <w:r w:rsidR="00B46554" w:rsidRPr="009351CB">
        <w:rPr>
          <w:lang w:val="en-US"/>
        </w:rPr>
        <w:t>2009 requires</w:t>
      </w:r>
      <w:r w:rsidR="00E23CDC" w:rsidRPr="009351CB">
        <w:rPr>
          <w:lang w:val="en-US"/>
        </w:rPr>
        <w:t xml:space="preserve"> </w:t>
      </w:r>
      <w:r w:rsidR="00106280" w:rsidRPr="009351CB">
        <w:rPr>
          <w:lang w:val="en-US"/>
        </w:rPr>
        <w:t xml:space="preserve">portfolio committees </w:t>
      </w:r>
      <w:r w:rsidR="00E23CDC" w:rsidRPr="009351CB">
        <w:rPr>
          <w:lang w:val="en-US"/>
        </w:rPr>
        <w:t xml:space="preserve">to </w:t>
      </w:r>
      <w:r w:rsidR="00106280" w:rsidRPr="009351CB">
        <w:rPr>
          <w:lang w:val="en-US"/>
        </w:rPr>
        <w:t>compile Budgetary Review and Recommendation Reports (BRRR)</w:t>
      </w:r>
      <w:r w:rsidR="007D42EC" w:rsidRPr="009351CB">
        <w:rPr>
          <w:lang w:val="en-US"/>
        </w:rPr>
        <w:t xml:space="preserve">. </w:t>
      </w:r>
      <w:r w:rsidR="005771DF" w:rsidRPr="009351CB">
        <w:rPr>
          <w:lang w:val="en-US"/>
        </w:rPr>
        <w:t xml:space="preserve">Portfolio Committees may </w:t>
      </w:r>
      <w:r w:rsidR="00106280" w:rsidRPr="009351CB">
        <w:rPr>
          <w:lang w:val="en-US"/>
        </w:rPr>
        <w:t>make recommendations on the future allocation of resources</w:t>
      </w:r>
      <w:r w:rsidR="005C6607" w:rsidRPr="009351CB">
        <w:rPr>
          <w:lang w:val="en-US"/>
        </w:rPr>
        <w:t>,</w:t>
      </w:r>
      <w:r w:rsidR="007D42EC" w:rsidRPr="009351CB">
        <w:rPr>
          <w:lang w:val="en-US"/>
        </w:rPr>
        <w:t xml:space="preserve"> having assessed service delivery performance; evaluated the effective and efficient use of the resources allocated and considered the planned forward allocation of resources</w:t>
      </w:r>
      <w:r w:rsidR="00106280" w:rsidRPr="009351CB">
        <w:rPr>
          <w:lang w:val="en-US"/>
        </w:rPr>
        <w:t xml:space="preserve">. </w:t>
      </w:r>
      <w:r w:rsidR="007A5CEA" w:rsidRPr="009351CB">
        <w:rPr>
          <w:lang w:val="en-US"/>
        </w:rPr>
        <w:t xml:space="preserve">These BRRR are also source documents for the Standing Committee on Appropriations when it makes recommendations to the House on the Medium-Term Budget Policy Statement (MTBPS). </w:t>
      </w:r>
      <w:r w:rsidR="00106280" w:rsidRPr="009351CB">
        <w:rPr>
          <w:lang w:val="en-US"/>
        </w:rPr>
        <w:t>The annual review of expenditure and performance for 201</w:t>
      </w:r>
      <w:r w:rsidR="005C6607" w:rsidRPr="009351CB">
        <w:rPr>
          <w:lang w:val="en-US"/>
        </w:rPr>
        <w:t>8</w:t>
      </w:r>
      <w:r w:rsidR="00106280" w:rsidRPr="009351CB">
        <w:rPr>
          <w:lang w:val="en-US"/>
        </w:rPr>
        <w:t>/1</w:t>
      </w:r>
      <w:r w:rsidR="005C6607" w:rsidRPr="009351CB">
        <w:rPr>
          <w:lang w:val="en-US"/>
        </w:rPr>
        <w:t>9</w:t>
      </w:r>
      <w:r w:rsidR="00106280" w:rsidRPr="009351CB">
        <w:rPr>
          <w:lang w:val="en-US"/>
        </w:rPr>
        <w:t xml:space="preserve"> forms part of this process.</w:t>
      </w:r>
    </w:p>
    <w:p w14:paraId="1EDCD811" w14:textId="77777777" w:rsidR="00106280" w:rsidRPr="009351CB" w:rsidRDefault="00106280" w:rsidP="009351CB">
      <w:pPr>
        <w:spacing w:line="360" w:lineRule="auto"/>
        <w:ind w:left="540"/>
        <w:jc w:val="both"/>
        <w:rPr>
          <w:lang w:val="en-US"/>
        </w:rPr>
      </w:pPr>
    </w:p>
    <w:p w14:paraId="1959C54B" w14:textId="77777777" w:rsidR="002F4F97" w:rsidRPr="009351CB" w:rsidRDefault="00106280" w:rsidP="004F6019">
      <w:pPr>
        <w:numPr>
          <w:ilvl w:val="1"/>
          <w:numId w:val="5"/>
        </w:numPr>
        <w:spacing w:line="360" w:lineRule="auto"/>
        <w:ind w:left="709" w:hanging="709"/>
        <w:jc w:val="both"/>
        <w:rPr>
          <w:lang w:val="en-US"/>
        </w:rPr>
      </w:pPr>
      <w:r w:rsidRPr="009351CB">
        <w:t xml:space="preserve">The Committee oversees the Department of Justice and Constitutional Development </w:t>
      </w:r>
      <w:r w:rsidR="00991FE8" w:rsidRPr="009351CB">
        <w:t xml:space="preserve">(the Department) </w:t>
      </w:r>
      <w:r w:rsidRPr="009351CB">
        <w:t xml:space="preserve">and other </w:t>
      </w:r>
      <w:r w:rsidR="00A56844" w:rsidRPr="009351CB">
        <w:t xml:space="preserve">entities and </w:t>
      </w:r>
      <w:r w:rsidRPr="009351CB">
        <w:t>institutions that receive their allocation under the Justice and Constitutional Development Vote. These include the National Prosecuting Authority (NPA)</w:t>
      </w:r>
      <w:r w:rsidR="002D0ED0" w:rsidRPr="009351CB">
        <w:t xml:space="preserve">, </w:t>
      </w:r>
      <w:r w:rsidRPr="009351CB">
        <w:t>Legal Aid South A</w:t>
      </w:r>
      <w:r w:rsidR="005C6607" w:rsidRPr="009351CB">
        <w:t xml:space="preserve">frica </w:t>
      </w:r>
      <w:r w:rsidR="002F4F97" w:rsidRPr="009351CB">
        <w:t xml:space="preserve">and </w:t>
      </w:r>
      <w:r w:rsidRPr="009351CB">
        <w:t>Special Investigating Unit (SIU)</w:t>
      </w:r>
      <w:r w:rsidR="00B840C0" w:rsidRPr="009351CB">
        <w:t>. The</w:t>
      </w:r>
      <w:r w:rsidRPr="009351CB">
        <w:t xml:space="preserve"> </w:t>
      </w:r>
      <w:r w:rsidR="007D42EC" w:rsidRPr="009351CB">
        <w:t xml:space="preserve">Vote also contains the allocation </w:t>
      </w:r>
      <w:r w:rsidR="005C6607" w:rsidRPr="009351CB">
        <w:t xml:space="preserve">in the form of a direct transfer </w:t>
      </w:r>
      <w:r w:rsidR="007D42EC" w:rsidRPr="009351CB">
        <w:t xml:space="preserve">to the </w:t>
      </w:r>
      <w:r w:rsidRPr="009351CB">
        <w:t>South African Human Rights Commission (SAHRC) and Public Protector South Africa (PPSA)</w:t>
      </w:r>
      <w:r w:rsidR="002F4F97" w:rsidRPr="009351CB">
        <w:t xml:space="preserve">, </w:t>
      </w:r>
      <w:r w:rsidR="007D42EC" w:rsidRPr="009351CB">
        <w:t xml:space="preserve">both </w:t>
      </w:r>
      <w:r w:rsidR="002F4F97" w:rsidRPr="009351CB">
        <w:lastRenderedPageBreak/>
        <w:t>established in Chapter 9 of the Constitution as State Institutions Supp</w:t>
      </w:r>
      <w:r w:rsidR="005C6607" w:rsidRPr="009351CB">
        <w:t>orting Constitutional Democracy</w:t>
      </w:r>
      <w:r w:rsidR="00FD3988" w:rsidRPr="009351CB">
        <w:t xml:space="preserve">. </w:t>
      </w:r>
    </w:p>
    <w:p w14:paraId="23F27BCE" w14:textId="77777777" w:rsidR="008B5CFB" w:rsidRPr="009351CB" w:rsidRDefault="008B5CFB" w:rsidP="009351CB">
      <w:pPr>
        <w:pStyle w:val="ListParagraph"/>
        <w:spacing w:line="360" w:lineRule="auto"/>
        <w:rPr>
          <w:lang w:val="en-US"/>
        </w:rPr>
      </w:pPr>
    </w:p>
    <w:p w14:paraId="28845219" w14:textId="77777777" w:rsidR="005771DF" w:rsidRPr="009351CB" w:rsidRDefault="005771DF" w:rsidP="004F6019">
      <w:pPr>
        <w:numPr>
          <w:ilvl w:val="1"/>
          <w:numId w:val="5"/>
        </w:numPr>
        <w:spacing w:line="360" w:lineRule="auto"/>
        <w:ind w:left="709" w:hanging="709"/>
        <w:jc w:val="both"/>
        <w:rPr>
          <w:lang w:val="en-US"/>
        </w:rPr>
      </w:pPr>
      <w:r w:rsidRPr="009351CB">
        <w:t>Section</w:t>
      </w:r>
      <w:r w:rsidRPr="009351CB">
        <w:rPr>
          <w:lang w:val="en-US"/>
        </w:rPr>
        <w:t xml:space="preserve"> 39 of the Protection of Personal Information Act, 2013, (POPIA) establishes the Information Regulator as an independent juristic person that is accountable to the National Assembly. The Information Regulator has responsibilities in terms of both POPIA and the Promotion of Access to Information Act, 2000 (PAIA). Towards the end of 2016, the Members of the Regulator were appointed. At present, until fully operational, funding for the Regulator remains under Pr</w:t>
      </w:r>
      <w:r w:rsidR="005C6607" w:rsidRPr="009351CB">
        <w:rPr>
          <w:lang w:val="en-US"/>
        </w:rPr>
        <w:t>ogramme 3: State Legal Services. However, the Information Regulator prepared and presented its Annual Report for 2018/19.</w:t>
      </w:r>
    </w:p>
    <w:p w14:paraId="774E4EC3" w14:textId="77777777" w:rsidR="005771DF" w:rsidRPr="009351CB" w:rsidRDefault="005771DF" w:rsidP="009351CB">
      <w:pPr>
        <w:spacing w:line="360" w:lineRule="auto"/>
        <w:ind w:left="540"/>
        <w:jc w:val="both"/>
        <w:rPr>
          <w:lang w:val="en-US"/>
        </w:rPr>
      </w:pPr>
    </w:p>
    <w:p w14:paraId="12308C33" w14:textId="77777777" w:rsidR="00E14136" w:rsidRPr="009351CB" w:rsidRDefault="00E14136" w:rsidP="004F6019">
      <w:pPr>
        <w:numPr>
          <w:ilvl w:val="1"/>
          <w:numId w:val="5"/>
        </w:numPr>
        <w:spacing w:line="360" w:lineRule="auto"/>
        <w:ind w:left="709" w:hanging="709"/>
        <w:jc w:val="both"/>
      </w:pPr>
      <w:r w:rsidRPr="009351CB">
        <w:t xml:space="preserve">The Vote has five programmes: </w:t>
      </w:r>
    </w:p>
    <w:p w14:paraId="6B7F2FA8" w14:textId="77777777" w:rsidR="007D42EC" w:rsidRPr="009351CB" w:rsidRDefault="00E14136" w:rsidP="009351CB">
      <w:pPr>
        <w:numPr>
          <w:ilvl w:val="0"/>
          <w:numId w:val="1"/>
        </w:numPr>
        <w:tabs>
          <w:tab w:val="clear" w:pos="720"/>
          <w:tab w:val="num" w:pos="990"/>
        </w:tabs>
        <w:spacing w:line="360" w:lineRule="auto"/>
        <w:ind w:left="990" w:hanging="450"/>
        <w:jc w:val="both"/>
        <w:rPr>
          <w:lang w:val="en-US"/>
        </w:rPr>
      </w:pPr>
      <w:r w:rsidRPr="009351CB">
        <w:rPr>
          <w:lang w:val="en-US"/>
        </w:rPr>
        <w:t>The Department of Justice and Constitutional Development is directly responsible for the Administration, Court Services</w:t>
      </w:r>
      <w:r w:rsidR="007D42EC" w:rsidRPr="009351CB">
        <w:rPr>
          <w:lang w:val="en-US"/>
        </w:rPr>
        <w:t xml:space="preserve"> and </w:t>
      </w:r>
      <w:r w:rsidRPr="009351CB">
        <w:rPr>
          <w:lang w:val="en-US"/>
        </w:rPr>
        <w:t>State Legal Services</w:t>
      </w:r>
      <w:r w:rsidR="007D42EC" w:rsidRPr="009351CB">
        <w:rPr>
          <w:lang w:val="en-US"/>
        </w:rPr>
        <w:t>.</w:t>
      </w:r>
    </w:p>
    <w:p w14:paraId="0954238A" w14:textId="19CFBF04" w:rsidR="00E14136" w:rsidRPr="009351CB" w:rsidRDefault="000770E2" w:rsidP="009351CB">
      <w:pPr>
        <w:numPr>
          <w:ilvl w:val="0"/>
          <w:numId w:val="1"/>
        </w:numPr>
        <w:tabs>
          <w:tab w:val="clear" w:pos="720"/>
          <w:tab w:val="num" w:pos="990"/>
        </w:tabs>
        <w:spacing w:line="360" w:lineRule="auto"/>
        <w:ind w:left="990" w:hanging="450"/>
        <w:jc w:val="both"/>
        <w:rPr>
          <w:lang w:val="en-US"/>
        </w:rPr>
      </w:pPr>
      <w:r w:rsidRPr="009351CB">
        <w:rPr>
          <w:lang w:val="en-US"/>
        </w:rPr>
        <w:t xml:space="preserve">The NPA appears as a Programme under the Vote. </w:t>
      </w:r>
      <w:r w:rsidR="007A0FF0" w:rsidRPr="009351CB">
        <w:rPr>
          <w:lang w:val="en-US"/>
        </w:rPr>
        <w:t>(</w:t>
      </w:r>
      <w:r w:rsidR="00503C53" w:rsidRPr="009351CB">
        <w:rPr>
          <w:lang w:val="en-US"/>
        </w:rPr>
        <w:t xml:space="preserve">Although </w:t>
      </w:r>
      <w:r w:rsidR="00144A86" w:rsidRPr="009351CB">
        <w:rPr>
          <w:lang w:val="en-US"/>
        </w:rPr>
        <w:t xml:space="preserve">the NPA’s prosecutorial independence is constitutionally guaranteed, the </w:t>
      </w:r>
      <w:r w:rsidRPr="009351CB">
        <w:rPr>
          <w:lang w:val="en-US"/>
        </w:rPr>
        <w:t xml:space="preserve">National Prosecuting Authority Act, 1998, </w:t>
      </w:r>
      <w:r w:rsidR="00144A86" w:rsidRPr="009351CB">
        <w:rPr>
          <w:lang w:val="en-US"/>
        </w:rPr>
        <w:t xml:space="preserve">provides </w:t>
      </w:r>
      <w:r w:rsidR="00FF71A5" w:rsidRPr="009351CB">
        <w:rPr>
          <w:lang w:val="en-US"/>
        </w:rPr>
        <w:t xml:space="preserve">for the </w:t>
      </w:r>
      <w:r w:rsidR="00144A86" w:rsidRPr="009351CB">
        <w:rPr>
          <w:lang w:val="en-US"/>
        </w:rPr>
        <w:t>Director General: Justice and Constitutional Development</w:t>
      </w:r>
      <w:r w:rsidR="00FF71A5" w:rsidRPr="009351CB">
        <w:rPr>
          <w:lang w:val="en-US"/>
        </w:rPr>
        <w:t xml:space="preserve"> to be its accounting officer</w:t>
      </w:r>
      <w:r w:rsidR="007A0FF0" w:rsidRPr="009351CB">
        <w:rPr>
          <w:lang w:val="en-US"/>
        </w:rPr>
        <w:t>.)</w:t>
      </w:r>
    </w:p>
    <w:p w14:paraId="7BE420FF" w14:textId="77777777" w:rsidR="00E14136" w:rsidRPr="009351CB" w:rsidRDefault="00E14136" w:rsidP="009351CB">
      <w:pPr>
        <w:numPr>
          <w:ilvl w:val="0"/>
          <w:numId w:val="1"/>
        </w:numPr>
        <w:tabs>
          <w:tab w:val="clear" w:pos="720"/>
          <w:tab w:val="num" w:pos="990"/>
        </w:tabs>
        <w:spacing w:line="360" w:lineRule="auto"/>
        <w:ind w:left="990" w:hanging="450"/>
        <w:jc w:val="both"/>
        <w:rPr>
          <w:lang w:val="en-US"/>
        </w:rPr>
      </w:pPr>
      <w:r w:rsidRPr="009351CB">
        <w:rPr>
          <w:lang w:val="en-US"/>
        </w:rPr>
        <w:t>Programme 5 contains allocations to various auxiliary and associated services, including transfer payments to Legal Aid South Africa and the Special Investigating Unit (SIU), as well as to the South African Human Rights Commission (SAHRC) and the Public Protector South Africa (PPSA).</w:t>
      </w:r>
    </w:p>
    <w:p w14:paraId="79D2DBDB" w14:textId="77777777" w:rsidR="00E14136" w:rsidRPr="009351CB" w:rsidRDefault="00E14136" w:rsidP="009351CB">
      <w:pPr>
        <w:numPr>
          <w:ilvl w:val="0"/>
          <w:numId w:val="1"/>
        </w:numPr>
        <w:tabs>
          <w:tab w:val="clear" w:pos="720"/>
          <w:tab w:val="num" w:pos="990"/>
        </w:tabs>
        <w:spacing w:line="360" w:lineRule="auto"/>
        <w:ind w:left="990" w:hanging="450"/>
        <w:jc w:val="both"/>
        <w:rPr>
          <w:lang w:val="en-US"/>
        </w:rPr>
      </w:pPr>
      <w:r w:rsidRPr="009351CB">
        <w:rPr>
          <w:lang w:val="en-US"/>
        </w:rPr>
        <w:t>Programme 5 also includes the Justice Modernisation sub-programme, which is responsible for the design and implementation of IT infrastructure for the integration of business processes within the criminal justice system, involving Justice Crime Prevention and Security (JCPS) Cluster departments.</w:t>
      </w:r>
    </w:p>
    <w:p w14:paraId="29495F44" w14:textId="77777777" w:rsidR="00106280" w:rsidRPr="009351CB" w:rsidRDefault="00106280" w:rsidP="009351CB">
      <w:pPr>
        <w:spacing w:line="360" w:lineRule="auto"/>
        <w:jc w:val="both"/>
      </w:pPr>
    </w:p>
    <w:p w14:paraId="7ED86D2B" w14:textId="77777777" w:rsidR="00106280" w:rsidRPr="009351CB" w:rsidRDefault="00106280" w:rsidP="0047685F">
      <w:pPr>
        <w:numPr>
          <w:ilvl w:val="0"/>
          <w:numId w:val="2"/>
        </w:numPr>
        <w:tabs>
          <w:tab w:val="clear" w:pos="360"/>
          <w:tab w:val="num" w:pos="709"/>
        </w:tabs>
        <w:autoSpaceDE w:val="0"/>
        <w:autoSpaceDN w:val="0"/>
        <w:adjustRightInd w:val="0"/>
        <w:spacing w:line="360" w:lineRule="auto"/>
        <w:ind w:left="709" w:hanging="709"/>
        <w:rPr>
          <w:b/>
          <w:lang w:val="en-US"/>
        </w:rPr>
      </w:pPr>
      <w:r w:rsidRPr="0047685F">
        <w:rPr>
          <w:b/>
        </w:rPr>
        <w:t>Method</w:t>
      </w:r>
    </w:p>
    <w:p w14:paraId="4FE11709" w14:textId="77777777" w:rsidR="00106280" w:rsidRPr="009351CB" w:rsidRDefault="00106280" w:rsidP="009351CB">
      <w:pPr>
        <w:spacing w:line="360" w:lineRule="auto"/>
        <w:jc w:val="both"/>
        <w:rPr>
          <w:lang w:val="en-US"/>
        </w:rPr>
      </w:pPr>
    </w:p>
    <w:p w14:paraId="093D9D66" w14:textId="17F2C85F" w:rsidR="005C6607" w:rsidRPr="0047685F" w:rsidRDefault="003C4002" w:rsidP="0047685F">
      <w:pPr>
        <w:pStyle w:val="ListParagraph"/>
        <w:numPr>
          <w:ilvl w:val="1"/>
          <w:numId w:val="2"/>
        </w:numPr>
        <w:tabs>
          <w:tab w:val="clear" w:pos="862"/>
          <w:tab w:val="num" w:pos="709"/>
        </w:tabs>
        <w:spacing w:line="360" w:lineRule="auto"/>
        <w:ind w:left="709" w:hanging="709"/>
        <w:jc w:val="both"/>
        <w:rPr>
          <w:lang w:val="en-US"/>
        </w:rPr>
      </w:pPr>
      <w:r w:rsidRPr="0047685F">
        <w:t>The</w:t>
      </w:r>
      <w:r w:rsidRPr="0047685F">
        <w:rPr>
          <w:lang w:val="en-US"/>
        </w:rPr>
        <w:t xml:space="preserve"> Committee met with the Auditor-General on the </w:t>
      </w:r>
      <w:r w:rsidR="005544A0" w:rsidRPr="0047685F">
        <w:rPr>
          <w:lang w:val="en-US"/>
        </w:rPr>
        <w:t>audit outcome</w:t>
      </w:r>
      <w:r w:rsidR="005C6607" w:rsidRPr="0047685F">
        <w:rPr>
          <w:lang w:val="en-US"/>
        </w:rPr>
        <w:t>s for the Vote on 8 October 2019</w:t>
      </w:r>
      <w:r w:rsidRPr="0047685F">
        <w:rPr>
          <w:lang w:val="en-US"/>
        </w:rPr>
        <w:t xml:space="preserve">. </w:t>
      </w:r>
    </w:p>
    <w:p w14:paraId="1BCBFF77" w14:textId="77777777" w:rsidR="005C6607" w:rsidRPr="009351CB" w:rsidRDefault="005C6607" w:rsidP="009351CB">
      <w:pPr>
        <w:spacing w:line="360" w:lineRule="auto"/>
        <w:ind w:left="540"/>
        <w:jc w:val="both"/>
        <w:rPr>
          <w:lang w:val="en-US"/>
        </w:rPr>
      </w:pPr>
    </w:p>
    <w:p w14:paraId="7C142E8D" w14:textId="77777777" w:rsidR="003C4002" w:rsidRPr="009351CB" w:rsidRDefault="00F25690" w:rsidP="0047685F">
      <w:pPr>
        <w:numPr>
          <w:ilvl w:val="1"/>
          <w:numId w:val="2"/>
        </w:numPr>
        <w:spacing w:line="360" w:lineRule="auto"/>
        <w:ind w:left="540" w:hanging="540"/>
        <w:jc w:val="both"/>
        <w:rPr>
          <w:lang w:val="en-US"/>
        </w:rPr>
      </w:pPr>
      <w:r w:rsidRPr="009351CB">
        <w:rPr>
          <w:lang w:val="en-US"/>
        </w:rPr>
        <w:t>On 16</w:t>
      </w:r>
      <w:r w:rsidR="005C6607" w:rsidRPr="009351CB">
        <w:rPr>
          <w:lang w:val="en-US"/>
        </w:rPr>
        <w:t xml:space="preserve"> October 2019, the </w:t>
      </w:r>
      <w:r w:rsidR="0098462E" w:rsidRPr="009351CB">
        <w:rPr>
          <w:lang w:val="en-US"/>
        </w:rPr>
        <w:t xml:space="preserve">Minister of </w:t>
      </w:r>
      <w:r w:rsidR="003C4002" w:rsidRPr="009351CB">
        <w:rPr>
          <w:lang w:val="en-US"/>
        </w:rPr>
        <w:t>Justice and Correctional Services</w:t>
      </w:r>
      <w:r w:rsidR="0098462E" w:rsidRPr="009351CB">
        <w:rPr>
          <w:lang w:val="en-US"/>
        </w:rPr>
        <w:t xml:space="preserve">, </w:t>
      </w:r>
      <w:r w:rsidR="00991FE8" w:rsidRPr="009351CB">
        <w:rPr>
          <w:lang w:val="en-US"/>
        </w:rPr>
        <w:t>Mr.</w:t>
      </w:r>
      <w:r w:rsidR="0098462E" w:rsidRPr="009351CB">
        <w:rPr>
          <w:lang w:val="en-US"/>
        </w:rPr>
        <w:t xml:space="preserve"> </w:t>
      </w:r>
      <w:r w:rsidR="005C6607" w:rsidRPr="009351CB">
        <w:rPr>
          <w:lang w:val="en-US"/>
        </w:rPr>
        <w:t>R Lamola</w:t>
      </w:r>
      <w:r w:rsidR="0098462E" w:rsidRPr="009351CB">
        <w:rPr>
          <w:lang w:val="en-US"/>
        </w:rPr>
        <w:t>,</w:t>
      </w:r>
      <w:r w:rsidR="003C4002" w:rsidRPr="009351CB">
        <w:rPr>
          <w:lang w:val="en-US"/>
        </w:rPr>
        <w:t xml:space="preserve"> addressed the Committee, providing a </w:t>
      </w:r>
      <w:r w:rsidR="0098462E" w:rsidRPr="009351CB">
        <w:rPr>
          <w:lang w:val="en-US"/>
        </w:rPr>
        <w:t xml:space="preserve">political </w:t>
      </w:r>
      <w:r w:rsidR="005C6607" w:rsidRPr="009351CB">
        <w:rPr>
          <w:lang w:val="en-US"/>
        </w:rPr>
        <w:t>perspective o</w:t>
      </w:r>
      <w:r w:rsidRPr="009351CB">
        <w:rPr>
          <w:lang w:val="en-US"/>
        </w:rPr>
        <w:t xml:space="preserve">n </w:t>
      </w:r>
      <w:r w:rsidR="0098462E" w:rsidRPr="009351CB">
        <w:rPr>
          <w:lang w:val="en-US"/>
        </w:rPr>
        <w:t>the</w:t>
      </w:r>
      <w:r w:rsidRPr="009351CB">
        <w:rPr>
          <w:lang w:val="en-US"/>
        </w:rPr>
        <w:t xml:space="preserve"> Department’s performance for </w:t>
      </w:r>
      <w:r w:rsidR="003C4002" w:rsidRPr="009351CB">
        <w:rPr>
          <w:lang w:val="en-US"/>
        </w:rPr>
        <w:t>201</w:t>
      </w:r>
      <w:r w:rsidR="005C6607" w:rsidRPr="009351CB">
        <w:rPr>
          <w:lang w:val="en-US"/>
        </w:rPr>
        <w:t>8/19</w:t>
      </w:r>
      <w:r w:rsidR="003C4002" w:rsidRPr="009351CB">
        <w:rPr>
          <w:lang w:val="en-US"/>
        </w:rPr>
        <w:t xml:space="preserve"> </w:t>
      </w:r>
      <w:r w:rsidR="005C6607" w:rsidRPr="009351CB">
        <w:rPr>
          <w:lang w:val="en-US"/>
        </w:rPr>
        <w:t>and</w:t>
      </w:r>
      <w:r w:rsidRPr="009351CB">
        <w:rPr>
          <w:lang w:val="en-US"/>
        </w:rPr>
        <w:t xml:space="preserve">, also, </w:t>
      </w:r>
      <w:r w:rsidR="005C6607" w:rsidRPr="009351CB">
        <w:rPr>
          <w:lang w:val="en-US"/>
        </w:rPr>
        <w:t>highlight</w:t>
      </w:r>
      <w:r w:rsidRPr="009351CB">
        <w:rPr>
          <w:lang w:val="en-US"/>
        </w:rPr>
        <w:t>ed key priorities going forward</w:t>
      </w:r>
      <w:r w:rsidR="003C4002" w:rsidRPr="009351CB">
        <w:rPr>
          <w:lang w:val="en-US"/>
        </w:rPr>
        <w:t>.</w:t>
      </w:r>
      <w:r w:rsidRPr="009351CB">
        <w:rPr>
          <w:lang w:val="en-US"/>
        </w:rPr>
        <w:t xml:space="preserve"> </w:t>
      </w:r>
    </w:p>
    <w:p w14:paraId="2D4ACB83" w14:textId="77777777" w:rsidR="00F25690" w:rsidRPr="009351CB" w:rsidRDefault="00F25690" w:rsidP="009351CB">
      <w:pPr>
        <w:spacing w:line="360" w:lineRule="auto"/>
        <w:ind w:left="540"/>
        <w:jc w:val="both"/>
        <w:rPr>
          <w:lang w:val="en-US"/>
        </w:rPr>
      </w:pPr>
    </w:p>
    <w:p w14:paraId="296E36D6" w14:textId="40F3F24F" w:rsidR="00106280" w:rsidRPr="009351CB" w:rsidRDefault="00106280" w:rsidP="0047685F">
      <w:pPr>
        <w:pStyle w:val="ListParagraph"/>
        <w:numPr>
          <w:ilvl w:val="1"/>
          <w:numId w:val="2"/>
        </w:numPr>
        <w:spacing w:line="360" w:lineRule="auto"/>
        <w:ind w:left="709" w:hanging="709"/>
        <w:jc w:val="both"/>
        <w:rPr>
          <w:lang w:val="en-US"/>
        </w:rPr>
      </w:pPr>
      <w:r w:rsidRPr="009351CB">
        <w:rPr>
          <w:lang w:val="en-US"/>
        </w:rPr>
        <w:t>The Committee engaged with the Department</w:t>
      </w:r>
      <w:r w:rsidR="006452A7" w:rsidRPr="009351CB">
        <w:rPr>
          <w:lang w:val="en-US"/>
        </w:rPr>
        <w:t xml:space="preserve">, </w:t>
      </w:r>
      <w:r w:rsidRPr="009351CB">
        <w:rPr>
          <w:lang w:val="en-US"/>
        </w:rPr>
        <w:t xml:space="preserve">NPA, Legal Aid SA, SIU, </w:t>
      </w:r>
      <w:r w:rsidR="002D0ED0" w:rsidRPr="009351CB">
        <w:rPr>
          <w:lang w:val="en-US"/>
        </w:rPr>
        <w:t xml:space="preserve">Information Regulator, </w:t>
      </w:r>
      <w:r w:rsidRPr="009351CB">
        <w:rPr>
          <w:lang w:val="en-US"/>
        </w:rPr>
        <w:t>SAHRC and PPSA on their respective annual perfo</w:t>
      </w:r>
      <w:r w:rsidR="00F25690" w:rsidRPr="009351CB">
        <w:rPr>
          <w:lang w:val="en-US"/>
        </w:rPr>
        <w:t xml:space="preserve">rmance and spending for 2018/19 and the </w:t>
      </w:r>
      <w:r w:rsidR="00FF71A5" w:rsidRPr="009351CB">
        <w:rPr>
          <w:lang w:val="en-US"/>
        </w:rPr>
        <w:t>First</w:t>
      </w:r>
      <w:r w:rsidR="00F25690" w:rsidRPr="009351CB">
        <w:rPr>
          <w:lang w:val="en-US"/>
        </w:rPr>
        <w:t xml:space="preserve"> Quarter 2019/20, </w:t>
      </w:r>
      <w:r w:rsidRPr="009351CB">
        <w:rPr>
          <w:lang w:val="en-US"/>
        </w:rPr>
        <w:t xml:space="preserve">as well as </w:t>
      </w:r>
      <w:r w:rsidR="00991FE8" w:rsidRPr="009351CB">
        <w:rPr>
          <w:lang w:val="en-US"/>
        </w:rPr>
        <w:t xml:space="preserve">any </w:t>
      </w:r>
      <w:r w:rsidRPr="009351CB">
        <w:rPr>
          <w:lang w:val="en-US"/>
        </w:rPr>
        <w:t>funding needs</w:t>
      </w:r>
      <w:r w:rsidR="00F25690" w:rsidRPr="009351CB">
        <w:rPr>
          <w:lang w:val="en-US"/>
        </w:rPr>
        <w:t>/concerns</w:t>
      </w:r>
      <w:r w:rsidRPr="009351CB">
        <w:rPr>
          <w:lang w:val="en-US"/>
        </w:rPr>
        <w:t xml:space="preserve"> for the 2</w:t>
      </w:r>
      <w:r w:rsidR="005544A0" w:rsidRPr="009351CB">
        <w:rPr>
          <w:lang w:val="en-US"/>
        </w:rPr>
        <w:t>0</w:t>
      </w:r>
      <w:r w:rsidR="00F25690" w:rsidRPr="009351CB">
        <w:rPr>
          <w:lang w:val="en-US"/>
        </w:rPr>
        <w:t>20</w:t>
      </w:r>
      <w:r w:rsidRPr="009351CB">
        <w:rPr>
          <w:lang w:val="en-US"/>
        </w:rPr>
        <w:t xml:space="preserve"> MTEF. These briefings took place over a two-week period in October 201</w:t>
      </w:r>
      <w:r w:rsidR="00F25690" w:rsidRPr="009351CB">
        <w:rPr>
          <w:lang w:val="en-US"/>
        </w:rPr>
        <w:t>9</w:t>
      </w:r>
      <w:r w:rsidRPr="009351CB">
        <w:rPr>
          <w:lang w:val="en-US"/>
        </w:rPr>
        <w:t>, as follows:</w:t>
      </w:r>
    </w:p>
    <w:p w14:paraId="043A65D8" w14:textId="77777777" w:rsidR="00F25690" w:rsidRPr="009351CB" w:rsidRDefault="00F25690" w:rsidP="009351CB">
      <w:pPr>
        <w:numPr>
          <w:ilvl w:val="0"/>
          <w:numId w:val="1"/>
        </w:numPr>
        <w:tabs>
          <w:tab w:val="clear" w:pos="720"/>
          <w:tab w:val="num" w:pos="990"/>
        </w:tabs>
        <w:spacing w:line="360" w:lineRule="auto"/>
        <w:ind w:left="990" w:hanging="450"/>
        <w:jc w:val="both"/>
        <w:rPr>
          <w:lang w:val="en-US"/>
        </w:rPr>
      </w:pPr>
      <w:r w:rsidRPr="009351CB">
        <w:rPr>
          <w:lang w:val="en-US"/>
        </w:rPr>
        <w:t>South African Human Rights Commission – 8 October 2019.</w:t>
      </w:r>
    </w:p>
    <w:p w14:paraId="4F61C87D" w14:textId="77777777" w:rsidR="00F25690" w:rsidRPr="009351CB" w:rsidRDefault="00F25690" w:rsidP="009351CB">
      <w:pPr>
        <w:numPr>
          <w:ilvl w:val="0"/>
          <w:numId w:val="1"/>
        </w:numPr>
        <w:tabs>
          <w:tab w:val="clear" w:pos="720"/>
          <w:tab w:val="num" w:pos="990"/>
        </w:tabs>
        <w:spacing w:line="360" w:lineRule="auto"/>
        <w:ind w:left="990" w:hanging="450"/>
        <w:jc w:val="both"/>
        <w:rPr>
          <w:lang w:val="en-US"/>
        </w:rPr>
      </w:pPr>
      <w:r w:rsidRPr="009351CB">
        <w:rPr>
          <w:lang w:val="en-US"/>
        </w:rPr>
        <w:t>Information Regulator – 10 October 2019.</w:t>
      </w:r>
    </w:p>
    <w:p w14:paraId="75554603" w14:textId="77777777" w:rsidR="00F25690" w:rsidRPr="009351CB" w:rsidRDefault="00F25690" w:rsidP="009351CB">
      <w:pPr>
        <w:numPr>
          <w:ilvl w:val="0"/>
          <w:numId w:val="1"/>
        </w:numPr>
        <w:tabs>
          <w:tab w:val="clear" w:pos="720"/>
          <w:tab w:val="num" w:pos="990"/>
        </w:tabs>
        <w:spacing w:line="360" w:lineRule="auto"/>
        <w:ind w:left="990" w:hanging="450"/>
        <w:jc w:val="both"/>
        <w:rPr>
          <w:lang w:val="en-US"/>
        </w:rPr>
      </w:pPr>
      <w:r w:rsidRPr="009351CB">
        <w:rPr>
          <w:lang w:val="en-US"/>
        </w:rPr>
        <w:t>Legal Aid South Africa – 10 October 2019.</w:t>
      </w:r>
    </w:p>
    <w:p w14:paraId="636BE2CA" w14:textId="77777777" w:rsidR="00106280" w:rsidRPr="009351CB" w:rsidRDefault="00106280" w:rsidP="009351CB">
      <w:pPr>
        <w:numPr>
          <w:ilvl w:val="0"/>
          <w:numId w:val="1"/>
        </w:numPr>
        <w:tabs>
          <w:tab w:val="clear" w:pos="720"/>
          <w:tab w:val="num" w:pos="990"/>
        </w:tabs>
        <w:spacing w:line="360" w:lineRule="auto"/>
        <w:ind w:left="990" w:hanging="450"/>
        <w:jc w:val="both"/>
        <w:rPr>
          <w:lang w:val="en-US"/>
        </w:rPr>
      </w:pPr>
      <w:r w:rsidRPr="009351CB">
        <w:rPr>
          <w:lang w:val="en-US"/>
        </w:rPr>
        <w:t xml:space="preserve">National Prosecuting Authority – </w:t>
      </w:r>
      <w:r w:rsidR="00F25690" w:rsidRPr="009351CB">
        <w:rPr>
          <w:lang w:val="en-US"/>
        </w:rPr>
        <w:t>15</w:t>
      </w:r>
      <w:r w:rsidR="00F84DEB" w:rsidRPr="009351CB">
        <w:rPr>
          <w:lang w:val="en-US"/>
        </w:rPr>
        <w:t xml:space="preserve"> Octobe</w:t>
      </w:r>
      <w:r w:rsidR="00F25690" w:rsidRPr="009351CB">
        <w:rPr>
          <w:lang w:val="en-US"/>
        </w:rPr>
        <w:t>r 2019</w:t>
      </w:r>
      <w:r w:rsidRPr="009351CB">
        <w:rPr>
          <w:lang w:val="en-US"/>
        </w:rPr>
        <w:t>.</w:t>
      </w:r>
    </w:p>
    <w:p w14:paraId="3CE84968" w14:textId="77777777" w:rsidR="002B32B4" w:rsidRPr="009351CB" w:rsidRDefault="002B32B4" w:rsidP="009351CB">
      <w:pPr>
        <w:numPr>
          <w:ilvl w:val="0"/>
          <w:numId w:val="1"/>
        </w:numPr>
        <w:tabs>
          <w:tab w:val="clear" w:pos="720"/>
          <w:tab w:val="num" w:pos="990"/>
        </w:tabs>
        <w:spacing w:line="360" w:lineRule="auto"/>
        <w:ind w:left="990" w:hanging="450"/>
        <w:jc w:val="both"/>
        <w:rPr>
          <w:lang w:val="en-US"/>
        </w:rPr>
      </w:pPr>
      <w:r w:rsidRPr="009351CB">
        <w:rPr>
          <w:lang w:val="en-US"/>
        </w:rPr>
        <w:t>Special Investigating Unit – 15 October 2019.</w:t>
      </w:r>
    </w:p>
    <w:p w14:paraId="3654F572" w14:textId="77777777" w:rsidR="002B32B4" w:rsidRPr="009351CB" w:rsidRDefault="002B32B4" w:rsidP="009351CB">
      <w:pPr>
        <w:numPr>
          <w:ilvl w:val="0"/>
          <w:numId w:val="1"/>
        </w:numPr>
        <w:tabs>
          <w:tab w:val="clear" w:pos="720"/>
          <w:tab w:val="num" w:pos="990"/>
        </w:tabs>
        <w:spacing w:line="360" w:lineRule="auto"/>
        <w:ind w:left="990" w:hanging="450"/>
        <w:jc w:val="both"/>
        <w:rPr>
          <w:lang w:val="en-US"/>
        </w:rPr>
      </w:pPr>
      <w:r w:rsidRPr="009351CB">
        <w:rPr>
          <w:lang w:val="en-US"/>
        </w:rPr>
        <w:t>Department of Justice and Constitutional Development – 16 October 2018.</w:t>
      </w:r>
    </w:p>
    <w:p w14:paraId="7458E802" w14:textId="77777777" w:rsidR="00106280" w:rsidRPr="009351CB" w:rsidRDefault="00106280" w:rsidP="009351CB">
      <w:pPr>
        <w:numPr>
          <w:ilvl w:val="0"/>
          <w:numId w:val="1"/>
        </w:numPr>
        <w:tabs>
          <w:tab w:val="clear" w:pos="720"/>
          <w:tab w:val="num" w:pos="990"/>
        </w:tabs>
        <w:spacing w:line="360" w:lineRule="auto"/>
        <w:ind w:left="990" w:hanging="450"/>
        <w:jc w:val="both"/>
        <w:rPr>
          <w:lang w:val="en-US"/>
        </w:rPr>
      </w:pPr>
      <w:r w:rsidRPr="009351CB">
        <w:rPr>
          <w:lang w:val="en-US"/>
        </w:rPr>
        <w:t>Public Protector</w:t>
      </w:r>
      <w:r w:rsidR="007506A3" w:rsidRPr="009351CB">
        <w:rPr>
          <w:lang w:val="en-US"/>
        </w:rPr>
        <w:t xml:space="preserve"> </w:t>
      </w:r>
      <w:r w:rsidR="003B4FD6" w:rsidRPr="009351CB">
        <w:rPr>
          <w:lang w:val="en-US"/>
        </w:rPr>
        <w:t>–</w:t>
      </w:r>
      <w:r w:rsidR="00AA0015" w:rsidRPr="009351CB">
        <w:rPr>
          <w:lang w:val="en-US"/>
        </w:rPr>
        <w:t xml:space="preserve"> </w:t>
      </w:r>
      <w:r w:rsidR="00F25690" w:rsidRPr="009351CB">
        <w:rPr>
          <w:lang w:val="en-US"/>
        </w:rPr>
        <w:t>18</w:t>
      </w:r>
      <w:r w:rsidR="003B4FD6" w:rsidRPr="009351CB">
        <w:rPr>
          <w:lang w:val="en-US"/>
        </w:rPr>
        <w:t xml:space="preserve"> </w:t>
      </w:r>
      <w:r w:rsidR="00F25690" w:rsidRPr="009351CB">
        <w:rPr>
          <w:lang w:val="en-US"/>
        </w:rPr>
        <w:t>October 2019</w:t>
      </w:r>
      <w:r w:rsidRPr="009351CB">
        <w:rPr>
          <w:lang w:val="en-US"/>
        </w:rPr>
        <w:t>.</w:t>
      </w:r>
    </w:p>
    <w:p w14:paraId="11C98D84" w14:textId="77777777" w:rsidR="00106280" w:rsidRPr="009351CB" w:rsidRDefault="00106280" w:rsidP="009351CB">
      <w:pPr>
        <w:spacing w:line="360" w:lineRule="auto"/>
        <w:rPr>
          <w:lang w:val="en-US"/>
        </w:rPr>
      </w:pPr>
    </w:p>
    <w:p w14:paraId="7C46ACEF" w14:textId="77777777" w:rsidR="00106280" w:rsidRPr="009351CB" w:rsidRDefault="00106280" w:rsidP="0047685F">
      <w:pPr>
        <w:pStyle w:val="ListParagraph"/>
        <w:numPr>
          <w:ilvl w:val="1"/>
          <w:numId w:val="2"/>
        </w:numPr>
        <w:spacing w:line="360" w:lineRule="auto"/>
        <w:ind w:left="709" w:hanging="709"/>
        <w:jc w:val="both"/>
        <w:rPr>
          <w:lang w:val="en-US"/>
        </w:rPr>
      </w:pPr>
      <w:r w:rsidRPr="009351CB">
        <w:rPr>
          <w:lang w:val="en-US"/>
        </w:rPr>
        <w:t>Copies of all the presentations are availa</w:t>
      </w:r>
      <w:r w:rsidR="005544A0" w:rsidRPr="009351CB">
        <w:rPr>
          <w:lang w:val="en-US"/>
        </w:rPr>
        <w:t>ble from the committee secretariat</w:t>
      </w:r>
      <w:r w:rsidRPr="009351CB">
        <w:rPr>
          <w:lang w:val="en-US"/>
        </w:rPr>
        <w:t xml:space="preserve">. </w:t>
      </w:r>
    </w:p>
    <w:p w14:paraId="3E653E91" w14:textId="77777777" w:rsidR="00106280" w:rsidRPr="009351CB" w:rsidRDefault="00106280" w:rsidP="009351CB">
      <w:pPr>
        <w:tabs>
          <w:tab w:val="num" w:pos="2520"/>
        </w:tabs>
        <w:spacing w:line="360" w:lineRule="auto"/>
        <w:jc w:val="both"/>
        <w:rPr>
          <w:b/>
        </w:rPr>
      </w:pPr>
    </w:p>
    <w:p w14:paraId="4D1E1053" w14:textId="77777777" w:rsidR="00106280" w:rsidRPr="009351CB" w:rsidRDefault="00106280" w:rsidP="009351CB">
      <w:pPr>
        <w:spacing w:line="360" w:lineRule="auto"/>
        <w:rPr>
          <w:b/>
          <w:lang w:val="en-US"/>
        </w:rPr>
      </w:pPr>
    </w:p>
    <w:p w14:paraId="15651D37" w14:textId="77777777" w:rsidR="00106280" w:rsidRPr="009351CB" w:rsidRDefault="00106280" w:rsidP="009351CB">
      <w:pPr>
        <w:spacing w:line="360" w:lineRule="auto"/>
        <w:jc w:val="center"/>
        <w:rPr>
          <w:b/>
          <w:lang w:val="en-US"/>
        </w:rPr>
      </w:pPr>
      <w:r w:rsidRPr="009351CB">
        <w:rPr>
          <w:b/>
          <w:lang w:val="en-US"/>
        </w:rPr>
        <w:t>Part 1</w:t>
      </w:r>
    </w:p>
    <w:p w14:paraId="631E9162" w14:textId="77777777" w:rsidR="00106280" w:rsidRPr="009351CB" w:rsidRDefault="00106280" w:rsidP="009351CB">
      <w:pPr>
        <w:spacing w:line="360" w:lineRule="auto"/>
        <w:jc w:val="both"/>
      </w:pPr>
    </w:p>
    <w:p w14:paraId="26BC449B" w14:textId="77777777" w:rsidR="00106280" w:rsidRPr="009351CB" w:rsidRDefault="00106280" w:rsidP="0047685F">
      <w:pPr>
        <w:numPr>
          <w:ilvl w:val="0"/>
          <w:numId w:val="2"/>
        </w:numPr>
        <w:tabs>
          <w:tab w:val="clear" w:pos="360"/>
          <w:tab w:val="num" w:pos="709"/>
        </w:tabs>
        <w:spacing w:line="360" w:lineRule="auto"/>
        <w:ind w:left="709" w:hanging="709"/>
        <w:jc w:val="both"/>
        <w:rPr>
          <w:b/>
        </w:rPr>
      </w:pPr>
      <w:r w:rsidRPr="009351CB">
        <w:rPr>
          <w:b/>
        </w:rPr>
        <w:t xml:space="preserve">Overview of key policy </w:t>
      </w:r>
      <w:r w:rsidR="00F41FC7" w:rsidRPr="009351CB">
        <w:rPr>
          <w:b/>
        </w:rPr>
        <w:t xml:space="preserve">and operational </w:t>
      </w:r>
      <w:r w:rsidRPr="009351CB">
        <w:rPr>
          <w:b/>
        </w:rPr>
        <w:t>developments</w:t>
      </w:r>
      <w:r w:rsidR="00D3360D" w:rsidRPr="009351CB">
        <w:rPr>
          <w:b/>
        </w:rPr>
        <w:t xml:space="preserve"> </w:t>
      </w:r>
    </w:p>
    <w:p w14:paraId="1FA0A648" w14:textId="77777777" w:rsidR="0098462E" w:rsidRPr="009351CB" w:rsidRDefault="0098462E" w:rsidP="009351CB">
      <w:pPr>
        <w:spacing w:line="360" w:lineRule="auto"/>
        <w:ind w:left="540"/>
        <w:jc w:val="both"/>
        <w:rPr>
          <w:b/>
        </w:rPr>
      </w:pPr>
    </w:p>
    <w:p w14:paraId="7117E5EE" w14:textId="77777777" w:rsidR="00A7726B" w:rsidRPr="009351CB" w:rsidRDefault="0098462E" w:rsidP="002C3BE7">
      <w:pPr>
        <w:pStyle w:val="ListParagraph"/>
        <w:numPr>
          <w:ilvl w:val="1"/>
          <w:numId w:val="2"/>
        </w:numPr>
        <w:spacing w:line="360" w:lineRule="auto"/>
        <w:ind w:left="709" w:hanging="709"/>
        <w:jc w:val="both"/>
        <w:rPr>
          <w:lang w:val="en-US"/>
        </w:rPr>
      </w:pPr>
      <w:r w:rsidRPr="009351CB">
        <w:rPr>
          <w:lang w:val="en-US"/>
        </w:rPr>
        <w:t xml:space="preserve">As </w:t>
      </w:r>
      <w:r w:rsidR="00A7726B" w:rsidRPr="009351CB">
        <w:rPr>
          <w:lang w:val="en-US"/>
        </w:rPr>
        <w:t xml:space="preserve">the </w:t>
      </w:r>
      <w:r w:rsidR="00F25690" w:rsidRPr="009351CB">
        <w:rPr>
          <w:lang w:val="en-US"/>
        </w:rPr>
        <w:t>5th</w:t>
      </w:r>
      <w:r w:rsidR="00A7726B" w:rsidRPr="009351CB">
        <w:rPr>
          <w:lang w:val="en-US"/>
        </w:rPr>
        <w:t xml:space="preserve"> Administration </w:t>
      </w:r>
      <w:r w:rsidRPr="009351CB">
        <w:rPr>
          <w:lang w:val="en-US"/>
        </w:rPr>
        <w:t>near</w:t>
      </w:r>
      <w:r w:rsidR="00F25690" w:rsidRPr="009351CB">
        <w:rPr>
          <w:lang w:val="en-US"/>
        </w:rPr>
        <w:t>ed</w:t>
      </w:r>
      <w:r w:rsidRPr="009351CB">
        <w:rPr>
          <w:lang w:val="en-US"/>
        </w:rPr>
        <w:t xml:space="preserve"> the end of </w:t>
      </w:r>
      <w:r w:rsidR="00503C53" w:rsidRPr="009351CB">
        <w:rPr>
          <w:lang w:val="en-US"/>
        </w:rPr>
        <w:t>the five-year</w:t>
      </w:r>
      <w:r w:rsidRPr="009351CB">
        <w:rPr>
          <w:lang w:val="en-US"/>
        </w:rPr>
        <w:t xml:space="preserve"> term, </w:t>
      </w:r>
      <w:r w:rsidR="00F25690" w:rsidRPr="009351CB">
        <w:rPr>
          <w:lang w:val="en-US"/>
        </w:rPr>
        <w:t xml:space="preserve">the focus </w:t>
      </w:r>
      <w:r w:rsidR="002B32B4" w:rsidRPr="009351CB">
        <w:rPr>
          <w:lang w:val="en-US"/>
        </w:rPr>
        <w:t xml:space="preserve">for 2018/19 </w:t>
      </w:r>
      <w:r w:rsidR="00F25690" w:rsidRPr="009351CB">
        <w:rPr>
          <w:lang w:val="en-US"/>
        </w:rPr>
        <w:t>wa</w:t>
      </w:r>
      <w:r w:rsidR="008B5CFB" w:rsidRPr="009351CB">
        <w:rPr>
          <w:lang w:val="en-US"/>
        </w:rPr>
        <w:t xml:space="preserve">s </w:t>
      </w:r>
      <w:r w:rsidR="00A7726B" w:rsidRPr="009351CB">
        <w:rPr>
          <w:lang w:val="en-US"/>
        </w:rPr>
        <w:t xml:space="preserve">largely </w:t>
      </w:r>
      <w:r w:rsidR="00F25690" w:rsidRPr="009351CB">
        <w:rPr>
          <w:lang w:val="en-US"/>
        </w:rPr>
        <w:t>on the con</w:t>
      </w:r>
      <w:r w:rsidR="00A7726B" w:rsidRPr="009351CB">
        <w:rPr>
          <w:lang w:val="en-US"/>
        </w:rPr>
        <w:t>solidat</w:t>
      </w:r>
      <w:r w:rsidR="00F25690" w:rsidRPr="009351CB">
        <w:rPr>
          <w:lang w:val="en-US"/>
        </w:rPr>
        <w:t>ion of policies and legislation</w:t>
      </w:r>
      <w:r w:rsidR="00A7726B" w:rsidRPr="009351CB">
        <w:rPr>
          <w:lang w:val="en-US"/>
        </w:rPr>
        <w:t xml:space="preserve"> and </w:t>
      </w:r>
      <w:r w:rsidR="00F41FC7" w:rsidRPr="009351CB">
        <w:rPr>
          <w:lang w:val="en-US"/>
        </w:rPr>
        <w:t xml:space="preserve">the </w:t>
      </w:r>
      <w:r w:rsidR="00A7726B" w:rsidRPr="009351CB">
        <w:rPr>
          <w:lang w:val="en-US"/>
        </w:rPr>
        <w:t xml:space="preserve">effective implementation of programmes aimed at responding to Government’s </w:t>
      </w:r>
      <w:r w:rsidR="00F543DC" w:rsidRPr="009351CB">
        <w:rPr>
          <w:lang w:val="en-US"/>
        </w:rPr>
        <w:t>P</w:t>
      </w:r>
      <w:r w:rsidR="00A7726B" w:rsidRPr="009351CB">
        <w:rPr>
          <w:lang w:val="en-US"/>
        </w:rPr>
        <w:t xml:space="preserve">rogramme of Action. </w:t>
      </w:r>
    </w:p>
    <w:p w14:paraId="3CDCCA21" w14:textId="77777777" w:rsidR="00A7726B" w:rsidRPr="009351CB" w:rsidRDefault="00A7726B" w:rsidP="009351CB">
      <w:pPr>
        <w:spacing w:line="360" w:lineRule="auto"/>
        <w:ind w:left="540"/>
        <w:jc w:val="both"/>
        <w:rPr>
          <w:lang w:val="en-US"/>
        </w:rPr>
      </w:pPr>
    </w:p>
    <w:p w14:paraId="7D4338C3" w14:textId="77777777" w:rsidR="0062540A" w:rsidRPr="009351CB" w:rsidRDefault="0062540A" w:rsidP="002C3BE7">
      <w:pPr>
        <w:pStyle w:val="ListParagraph"/>
        <w:numPr>
          <w:ilvl w:val="1"/>
          <w:numId w:val="2"/>
        </w:numPr>
        <w:spacing w:line="360" w:lineRule="auto"/>
        <w:ind w:left="709" w:hanging="709"/>
        <w:jc w:val="both"/>
      </w:pPr>
      <w:r w:rsidRPr="009351CB">
        <w:rPr>
          <w:lang w:val="en-US"/>
        </w:rPr>
        <w:t>The</w:t>
      </w:r>
      <w:r w:rsidRPr="009351CB">
        <w:t xml:space="preserve"> delivery of services, however, has taken place within a context of fiscal austerity. Furthermore, the economic and revenue outlook has weakened since the MTBPS in October 2018 and there are increased funding pressures from the state owned enterprises</w:t>
      </w:r>
      <w:r w:rsidR="00503C53" w:rsidRPr="009351CB">
        <w:t>, which has led to announcements of further budget reductions</w:t>
      </w:r>
      <w:r w:rsidRPr="009351CB">
        <w:t xml:space="preserve">. As there are no additional resources available, any further allocations to a programme must be funded by reductions in funding for another programme, either within the department’s budget, or from another department’s budget. </w:t>
      </w:r>
    </w:p>
    <w:p w14:paraId="16E59CCF" w14:textId="77777777" w:rsidR="0062540A" w:rsidRPr="009351CB" w:rsidRDefault="0062540A" w:rsidP="009351CB">
      <w:pPr>
        <w:autoSpaceDE w:val="0"/>
        <w:autoSpaceDN w:val="0"/>
        <w:adjustRightInd w:val="0"/>
        <w:spacing w:line="360" w:lineRule="auto"/>
        <w:ind w:left="720"/>
      </w:pPr>
    </w:p>
    <w:p w14:paraId="01BD705E" w14:textId="77777777" w:rsidR="0062540A" w:rsidRPr="009351CB" w:rsidRDefault="0062540A" w:rsidP="002C3BE7">
      <w:pPr>
        <w:pStyle w:val="ListParagraph"/>
        <w:numPr>
          <w:ilvl w:val="1"/>
          <w:numId w:val="2"/>
        </w:numPr>
        <w:spacing w:line="360" w:lineRule="auto"/>
        <w:ind w:left="709" w:hanging="709"/>
        <w:jc w:val="both"/>
      </w:pPr>
      <w:r w:rsidRPr="009351CB">
        <w:t xml:space="preserve">Managing the public service wage bill is regarded as key. Departments, therefore, are expected to operate within their compensation of employees’ expenditure ceilings by containing costs and improving efficiency through the undertaking of appropriate operational changes. Although headcounts have declined sufficiently to absorb the </w:t>
      </w:r>
      <w:r w:rsidR="00503C53" w:rsidRPr="009351CB">
        <w:t>wage increases, over the medium-</w:t>
      </w:r>
      <w:r w:rsidRPr="009351CB">
        <w:t xml:space="preserve">term government </w:t>
      </w:r>
      <w:r w:rsidR="00503C53" w:rsidRPr="009351CB">
        <w:t xml:space="preserve">has indicated that it </w:t>
      </w:r>
      <w:r w:rsidRPr="009351CB">
        <w:t xml:space="preserve">will take active measures to reduce the number of employees further. It is acknowledged that departments, which are labour intensive, run the risk of breaching their compensation of employees’ ceilings. </w:t>
      </w:r>
    </w:p>
    <w:p w14:paraId="5B8C7E58" w14:textId="77777777" w:rsidR="0062540A" w:rsidRPr="009351CB" w:rsidRDefault="0062540A" w:rsidP="009351CB">
      <w:pPr>
        <w:autoSpaceDE w:val="0"/>
        <w:autoSpaceDN w:val="0"/>
        <w:adjustRightInd w:val="0"/>
        <w:spacing w:line="360" w:lineRule="auto"/>
        <w:ind w:left="720"/>
      </w:pPr>
    </w:p>
    <w:p w14:paraId="37D7D8A7" w14:textId="77777777" w:rsidR="00BE434E" w:rsidRPr="009351CB" w:rsidRDefault="00A7503D" w:rsidP="002C3BE7">
      <w:pPr>
        <w:pStyle w:val="ListParagraph"/>
        <w:numPr>
          <w:ilvl w:val="1"/>
          <w:numId w:val="2"/>
        </w:numPr>
        <w:spacing w:line="360" w:lineRule="auto"/>
        <w:ind w:left="709" w:hanging="709"/>
        <w:jc w:val="both"/>
      </w:pPr>
      <w:r w:rsidRPr="009351CB">
        <w:t xml:space="preserve">A key commitment </w:t>
      </w:r>
      <w:r w:rsidR="00503C53" w:rsidRPr="009351CB">
        <w:t xml:space="preserve">by government that directly affects the sector </w:t>
      </w:r>
      <w:r w:rsidRPr="009351CB">
        <w:t>in the period under review has been to intensify the fight against corruption</w:t>
      </w:r>
      <w:r w:rsidR="00BE434E" w:rsidRPr="009351CB">
        <w:t xml:space="preserve"> and to stabilise and restore the credibility of institutions</w:t>
      </w:r>
      <w:r w:rsidR="00503C53" w:rsidRPr="009351CB">
        <w:t>,</w:t>
      </w:r>
      <w:r w:rsidR="00BE434E" w:rsidRPr="009351CB">
        <w:t xml:space="preserve"> such as the NPA. There have been a number of interventions in this regard:</w:t>
      </w:r>
    </w:p>
    <w:p w14:paraId="6E9F519C" w14:textId="77777777" w:rsidR="00F1099D" w:rsidRPr="009351CB" w:rsidRDefault="00F1099D" w:rsidP="004F6019">
      <w:pPr>
        <w:pStyle w:val="ListParagraph"/>
        <w:numPr>
          <w:ilvl w:val="0"/>
          <w:numId w:val="8"/>
        </w:numPr>
        <w:autoSpaceDE w:val="0"/>
        <w:autoSpaceDN w:val="0"/>
        <w:adjustRightInd w:val="0"/>
        <w:spacing w:line="360" w:lineRule="auto"/>
        <w:jc w:val="both"/>
      </w:pPr>
      <w:r w:rsidRPr="009351CB">
        <w:t xml:space="preserve">Advocate Shamila Batohi </w:t>
      </w:r>
      <w:r w:rsidR="00503C53" w:rsidRPr="009351CB">
        <w:t xml:space="preserve">was appointed </w:t>
      </w:r>
      <w:r w:rsidRPr="009351CB">
        <w:t>as the new National Director of Public Prosecutions with effect from 1 February 2019.</w:t>
      </w:r>
    </w:p>
    <w:p w14:paraId="710AD0CB" w14:textId="77777777" w:rsidR="0062540A" w:rsidRPr="009351CB" w:rsidRDefault="00F1099D" w:rsidP="004F6019">
      <w:pPr>
        <w:pStyle w:val="ListParagraph"/>
        <w:numPr>
          <w:ilvl w:val="0"/>
          <w:numId w:val="8"/>
        </w:numPr>
        <w:autoSpaceDE w:val="0"/>
        <w:autoSpaceDN w:val="0"/>
        <w:adjustRightInd w:val="0"/>
        <w:spacing w:line="360" w:lineRule="auto"/>
        <w:jc w:val="both"/>
      </w:pPr>
      <w:r w:rsidRPr="009351CB">
        <w:t xml:space="preserve">The </w:t>
      </w:r>
      <w:r w:rsidR="00BE434E" w:rsidRPr="009351CB">
        <w:t xml:space="preserve">urgent establishment </w:t>
      </w:r>
      <w:r w:rsidR="00503C53" w:rsidRPr="009351CB">
        <w:t xml:space="preserve">by way of proclamation </w:t>
      </w:r>
      <w:r w:rsidR="00BE434E" w:rsidRPr="009351CB">
        <w:t xml:space="preserve">in the Office of the National Director of Public Prosecutions (NDPP), of an investigating directorate to deal with serious corruption and associated offences by focusing on the evidence emerging from the Commission of Inquiry into State Capture and other commissions. </w:t>
      </w:r>
      <w:r w:rsidRPr="009351CB">
        <w:t>Advocate Hermione Cronje has been appointed to head the Investigating Directorate with effect from 15 May 2019.</w:t>
      </w:r>
    </w:p>
    <w:p w14:paraId="46F8F727" w14:textId="77777777" w:rsidR="00F1099D" w:rsidRPr="009351CB" w:rsidRDefault="00F1099D" w:rsidP="004F6019">
      <w:pPr>
        <w:pStyle w:val="ListParagraph"/>
        <w:numPr>
          <w:ilvl w:val="0"/>
          <w:numId w:val="8"/>
        </w:numPr>
        <w:autoSpaceDE w:val="0"/>
        <w:autoSpaceDN w:val="0"/>
        <w:adjustRightInd w:val="0"/>
        <w:spacing w:line="360" w:lineRule="auto"/>
        <w:jc w:val="both"/>
      </w:pPr>
      <w:r w:rsidRPr="009351CB">
        <w:t xml:space="preserve">The establishment of the Special Tribunal that will allow for </w:t>
      </w:r>
      <w:r w:rsidR="00503C53" w:rsidRPr="009351CB">
        <w:t>the expedited recovery through civil processes of monies lost to the Stat</w:t>
      </w:r>
      <w:r w:rsidR="00FD0282" w:rsidRPr="009351CB">
        <w:t xml:space="preserve">e through corruption and other </w:t>
      </w:r>
      <w:r w:rsidR="00503C53" w:rsidRPr="009351CB">
        <w:t>illicit flows.</w:t>
      </w:r>
    </w:p>
    <w:p w14:paraId="582E734D" w14:textId="77777777" w:rsidR="00F909B2" w:rsidRPr="009351CB" w:rsidRDefault="00F909B2" w:rsidP="009351CB">
      <w:pPr>
        <w:pStyle w:val="ListParagraph"/>
        <w:autoSpaceDE w:val="0"/>
        <w:autoSpaceDN w:val="0"/>
        <w:adjustRightInd w:val="0"/>
        <w:spacing w:line="360" w:lineRule="auto"/>
        <w:ind w:left="1080"/>
        <w:jc w:val="both"/>
      </w:pPr>
    </w:p>
    <w:p w14:paraId="090A2C8A" w14:textId="77777777" w:rsidR="0062540A" w:rsidRPr="009351CB" w:rsidRDefault="00A7503D" w:rsidP="002C3BE7">
      <w:pPr>
        <w:pStyle w:val="ListParagraph"/>
        <w:numPr>
          <w:ilvl w:val="1"/>
          <w:numId w:val="2"/>
        </w:numPr>
        <w:spacing w:line="360" w:lineRule="auto"/>
        <w:ind w:left="709" w:hanging="709"/>
        <w:jc w:val="both"/>
      </w:pPr>
      <w:r w:rsidRPr="009351CB">
        <w:t>A further commitment by Government is to halve violent crime in ten years and to work towards ending gender-based violence.</w:t>
      </w:r>
      <w:r w:rsidR="0062540A" w:rsidRPr="009351CB">
        <w:t xml:space="preserve"> </w:t>
      </w:r>
      <w:r w:rsidRPr="009351CB">
        <w:t xml:space="preserve">Regarding gender-based violence, </w:t>
      </w:r>
      <w:r w:rsidR="004C3E40" w:rsidRPr="009351CB">
        <w:t>the implementation at departmental level of the resolutions taken at the Presidential Summit and Declaration against Gender-based Violence and Femicide (November 2018) was highlighted.</w:t>
      </w:r>
    </w:p>
    <w:p w14:paraId="665B5C42" w14:textId="77777777" w:rsidR="0062540A" w:rsidRPr="009351CB" w:rsidRDefault="0062540A" w:rsidP="009351CB">
      <w:pPr>
        <w:pStyle w:val="ListParagraph"/>
        <w:spacing w:line="360" w:lineRule="auto"/>
      </w:pPr>
    </w:p>
    <w:p w14:paraId="59EF3DAC" w14:textId="77777777" w:rsidR="00A7726B" w:rsidRPr="009351CB" w:rsidRDefault="00A7726B" w:rsidP="002C3BE7">
      <w:pPr>
        <w:pStyle w:val="ListParagraph"/>
        <w:numPr>
          <w:ilvl w:val="1"/>
          <w:numId w:val="2"/>
        </w:numPr>
        <w:spacing w:line="360" w:lineRule="auto"/>
        <w:ind w:left="709" w:hanging="709"/>
        <w:jc w:val="both"/>
      </w:pPr>
      <w:r w:rsidRPr="009351CB">
        <w:t xml:space="preserve">To achieve its </w:t>
      </w:r>
      <w:r w:rsidR="00F543DC" w:rsidRPr="009351CB">
        <w:t>objective</w:t>
      </w:r>
      <w:r w:rsidR="00991FE8" w:rsidRPr="009351CB">
        <w:t xml:space="preserve"> of</w:t>
      </w:r>
      <w:r w:rsidRPr="009351CB">
        <w:t xml:space="preserve"> deliver</w:t>
      </w:r>
      <w:r w:rsidR="00991FE8" w:rsidRPr="009351CB">
        <w:t>ing</w:t>
      </w:r>
      <w:r w:rsidRPr="009351CB">
        <w:t xml:space="preserve"> justice to all, the Department has placed considerable focus on </w:t>
      </w:r>
      <w:r w:rsidR="00F41FC7" w:rsidRPr="009351CB">
        <w:t xml:space="preserve">the </w:t>
      </w:r>
      <w:r w:rsidRPr="009351CB">
        <w:t>transformation of the justice system in its entirety and of the legal profession as well. Priorities</w:t>
      </w:r>
      <w:r w:rsidR="00553738" w:rsidRPr="009351CB">
        <w:t xml:space="preserve"> over the Fifth administration</w:t>
      </w:r>
      <w:r w:rsidRPr="009351CB">
        <w:t>, therefore, include</w:t>
      </w:r>
      <w:r w:rsidR="00D3360D" w:rsidRPr="009351CB">
        <w:t>d</w:t>
      </w:r>
      <w:r w:rsidRPr="009351CB">
        <w:t>:</w:t>
      </w:r>
    </w:p>
    <w:p w14:paraId="4A1DC653" w14:textId="77777777" w:rsidR="00A7726B" w:rsidRPr="009351CB" w:rsidRDefault="00A7726B" w:rsidP="004F6019">
      <w:pPr>
        <w:pStyle w:val="ListParagraph"/>
        <w:numPr>
          <w:ilvl w:val="0"/>
          <w:numId w:val="8"/>
        </w:numPr>
        <w:autoSpaceDE w:val="0"/>
        <w:autoSpaceDN w:val="0"/>
        <w:adjustRightInd w:val="0"/>
        <w:spacing w:line="360" w:lineRule="auto"/>
        <w:jc w:val="both"/>
      </w:pPr>
      <w:r w:rsidRPr="009351CB">
        <w:t>Finalising a policy to address the constitutional imperative of a single, integrated judicial system by migrating the administration of the Lower Courts to the Office of the Chief Justice.</w:t>
      </w:r>
    </w:p>
    <w:p w14:paraId="734E4BFF" w14:textId="77777777" w:rsidR="00A7726B" w:rsidRPr="009351CB" w:rsidRDefault="00A7726B" w:rsidP="004F6019">
      <w:pPr>
        <w:pStyle w:val="ListParagraph"/>
        <w:numPr>
          <w:ilvl w:val="0"/>
          <w:numId w:val="8"/>
        </w:numPr>
        <w:autoSpaceDE w:val="0"/>
        <w:autoSpaceDN w:val="0"/>
        <w:adjustRightInd w:val="0"/>
        <w:spacing w:line="360" w:lineRule="auto"/>
        <w:jc w:val="both"/>
      </w:pPr>
      <w:r w:rsidRPr="009351CB">
        <w:t>Finalising a policy relating to judicial gove</w:t>
      </w:r>
      <w:r w:rsidR="002B32B4" w:rsidRPr="009351CB">
        <w:t>rnance and court administration.</w:t>
      </w:r>
    </w:p>
    <w:p w14:paraId="1DC65A6B" w14:textId="77777777" w:rsidR="00A7726B" w:rsidRPr="009351CB" w:rsidRDefault="00A7726B" w:rsidP="004F6019">
      <w:pPr>
        <w:pStyle w:val="ListParagraph"/>
        <w:numPr>
          <w:ilvl w:val="0"/>
          <w:numId w:val="8"/>
        </w:numPr>
        <w:autoSpaceDE w:val="0"/>
        <w:autoSpaceDN w:val="0"/>
        <w:adjustRightInd w:val="0"/>
        <w:spacing w:line="360" w:lineRule="auto"/>
        <w:jc w:val="both"/>
      </w:pPr>
      <w:r w:rsidRPr="009351CB">
        <w:t xml:space="preserve">The systematic development of a new body of law steeped in constitutional values as part of the </w:t>
      </w:r>
      <w:r w:rsidR="00991FE8" w:rsidRPr="009351CB">
        <w:t>‘</w:t>
      </w:r>
      <w:r w:rsidRPr="009351CB">
        <w:t>Renaissance Project</w:t>
      </w:r>
      <w:r w:rsidR="00991FE8" w:rsidRPr="009351CB">
        <w:t>’</w:t>
      </w:r>
      <w:r w:rsidRPr="009351CB">
        <w:t xml:space="preserve">. </w:t>
      </w:r>
    </w:p>
    <w:p w14:paraId="5D877A2F" w14:textId="77777777" w:rsidR="00A7726B" w:rsidRPr="009351CB" w:rsidRDefault="00A7726B" w:rsidP="004F6019">
      <w:pPr>
        <w:pStyle w:val="ListParagraph"/>
        <w:numPr>
          <w:ilvl w:val="0"/>
          <w:numId w:val="8"/>
        </w:numPr>
        <w:autoSpaceDE w:val="0"/>
        <w:autoSpaceDN w:val="0"/>
        <w:adjustRightInd w:val="0"/>
        <w:spacing w:line="360" w:lineRule="auto"/>
        <w:jc w:val="both"/>
      </w:pPr>
      <w:r w:rsidRPr="009351CB">
        <w:t>Overhauling the Magistrate’s Courts Act, 1944, as part of the Department’s broader transformation agenda.</w:t>
      </w:r>
    </w:p>
    <w:p w14:paraId="31674992" w14:textId="77777777" w:rsidR="00A7726B" w:rsidRPr="009351CB" w:rsidRDefault="00A7726B" w:rsidP="004F6019">
      <w:pPr>
        <w:pStyle w:val="ListParagraph"/>
        <w:numPr>
          <w:ilvl w:val="0"/>
          <w:numId w:val="8"/>
        </w:numPr>
        <w:autoSpaceDE w:val="0"/>
        <w:autoSpaceDN w:val="0"/>
        <w:adjustRightInd w:val="0"/>
        <w:spacing w:line="360" w:lineRule="auto"/>
        <w:jc w:val="both"/>
      </w:pPr>
      <w:r w:rsidRPr="009351CB">
        <w:t xml:space="preserve">Developing a policy and legislative framework for community courts and for the best use of community advice offices, as mechanisms that will enhance access to justice. </w:t>
      </w:r>
    </w:p>
    <w:p w14:paraId="627E407A" w14:textId="77777777" w:rsidR="00CC339B" w:rsidRPr="009351CB" w:rsidRDefault="00A7726B" w:rsidP="004F6019">
      <w:pPr>
        <w:pStyle w:val="ListParagraph"/>
        <w:numPr>
          <w:ilvl w:val="0"/>
          <w:numId w:val="8"/>
        </w:numPr>
        <w:autoSpaceDE w:val="0"/>
        <w:autoSpaceDN w:val="0"/>
        <w:adjustRightInd w:val="0"/>
        <w:spacing w:line="360" w:lineRule="auto"/>
        <w:jc w:val="both"/>
      </w:pPr>
      <w:r w:rsidRPr="009351CB">
        <w:t xml:space="preserve">Continuing to establish dedicated sexual offences courts that meet the blueprint approved </w:t>
      </w:r>
      <w:r w:rsidR="002B32B4" w:rsidRPr="009351CB">
        <w:t>in 2013 for these courts</w:t>
      </w:r>
      <w:r w:rsidRPr="009351CB">
        <w:t xml:space="preserve">. </w:t>
      </w:r>
    </w:p>
    <w:p w14:paraId="207C6B61" w14:textId="77777777" w:rsidR="00CC339B" w:rsidRPr="009351CB" w:rsidRDefault="00A7726B" w:rsidP="004F6019">
      <w:pPr>
        <w:pStyle w:val="ListParagraph"/>
        <w:numPr>
          <w:ilvl w:val="0"/>
          <w:numId w:val="8"/>
        </w:numPr>
        <w:autoSpaceDE w:val="0"/>
        <w:autoSpaceDN w:val="0"/>
        <w:adjustRightInd w:val="0"/>
        <w:spacing w:line="360" w:lineRule="auto"/>
        <w:jc w:val="both"/>
      </w:pPr>
      <w:r w:rsidRPr="009351CB">
        <w:t>Continuing the process of aligning court jurisdictional boundaries with that of the applicable municipal and provincial boundaries</w:t>
      </w:r>
      <w:r w:rsidR="002B32B4" w:rsidRPr="009351CB">
        <w:t xml:space="preserve"> to increase access to justice</w:t>
      </w:r>
      <w:r w:rsidRPr="009351CB">
        <w:t xml:space="preserve">. </w:t>
      </w:r>
    </w:p>
    <w:p w14:paraId="603020A8" w14:textId="77777777" w:rsidR="00A7726B" w:rsidRPr="009351CB" w:rsidRDefault="00A7726B" w:rsidP="004F6019">
      <w:pPr>
        <w:pStyle w:val="ListParagraph"/>
        <w:numPr>
          <w:ilvl w:val="0"/>
          <w:numId w:val="8"/>
        </w:numPr>
        <w:autoSpaceDE w:val="0"/>
        <w:autoSpaceDN w:val="0"/>
        <w:adjustRightInd w:val="0"/>
        <w:spacing w:line="360" w:lineRule="auto"/>
        <w:jc w:val="both"/>
      </w:pPr>
      <w:r w:rsidRPr="009351CB">
        <w:t>Continuing to build, upgrade and maintain the court infrastructure</w:t>
      </w:r>
      <w:r w:rsidR="0041414D" w:rsidRPr="009351CB">
        <w:t xml:space="preserve"> to enhance access to justice for all.</w:t>
      </w:r>
      <w:r w:rsidRPr="009351CB">
        <w:t xml:space="preserve"> </w:t>
      </w:r>
    </w:p>
    <w:p w14:paraId="3161C49E" w14:textId="77777777" w:rsidR="00106280" w:rsidRPr="009351CB" w:rsidRDefault="00106280" w:rsidP="009351CB">
      <w:pPr>
        <w:spacing w:line="360" w:lineRule="auto"/>
        <w:jc w:val="both"/>
      </w:pPr>
    </w:p>
    <w:p w14:paraId="0EC0B758" w14:textId="77777777" w:rsidR="00FD0282" w:rsidRPr="009351CB" w:rsidRDefault="00FD0282" w:rsidP="002C3BE7">
      <w:pPr>
        <w:pStyle w:val="ListParagraph"/>
        <w:numPr>
          <w:ilvl w:val="1"/>
          <w:numId w:val="2"/>
        </w:numPr>
        <w:spacing w:line="360" w:lineRule="auto"/>
        <w:ind w:left="709" w:hanging="709"/>
        <w:jc w:val="both"/>
      </w:pPr>
      <w:r w:rsidRPr="009351CB">
        <w:t>The National Action Plan to Combat Racism, Racial Discrimination, Xenophobia and Related Intolerance (NAP) was approved by Cabinet in February 2019.</w:t>
      </w:r>
    </w:p>
    <w:p w14:paraId="12466B8F" w14:textId="77777777" w:rsidR="00FD0282" w:rsidRPr="009351CB" w:rsidRDefault="00FD0282" w:rsidP="009351CB">
      <w:pPr>
        <w:pStyle w:val="ListParagraph"/>
        <w:shd w:val="clear" w:color="auto" w:fill="FFFFFF" w:themeFill="background1"/>
        <w:spacing w:line="360" w:lineRule="auto"/>
        <w:ind w:left="567"/>
        <w:jc w:val="both"/>
      </w:pPr>
    </w:p>
    <w:p w14:paraId="32991674" w14:textId="77777777" w:rsidR="00CC501E" w:rsidRPr="009351CB" w:rsidRDefault="000859F5" w:rsidP="002C3BE7">
      <w:pPr>
        <w:pStyle w:val="ListParagraph"/>
        <w:numPr>
          <w:ilvl w:val="1"/>
          <w:numId w:val="2"/>
        </w:numPr>
        <w:spacing w:line="360" w:lineRule="auto"/>
        <w:ind w:left="709" w:hanging="709"/>
        <w:jc w:val="both"/>
      </w:pPr>
      <w:r w:rsidRPr="009351CB">
        <w:t xml:space="preserve">A </w:t>
      </w:r>
      <w:r w:rsidR="00CC501E" w:rsidRPr="009351CB">
        <w:t>complete overhaul of the criminal justice system is planned</w:t>
      </w:r>
      <w:r w:rsidR="0062540A" w:rsidRPr="009351CB">
        <w:t xml:space="preserve"> to </w:t>
      </w:r>
      <w:r w:rsidR="00CC501E" w:rsidRPr="009351CB">
        <w:t xml:space="preserve">address challenges that relate to the slow pace of modernization of court processes through the Integrated Justice System </w:t>
      </w:r>
      <w:r w:rsidR="006C735A" w:rsidRPr="009351CB">
        <w:t xml:space="preserve">(IJS) </w:t>
      </w:r>
      <w:r w:rsidR="00CC501E" w:rsidRPr="009351CB">
        <w:t xml:space="preserve">programme and the lack of effective co-ordination across Justice Crime Prevention and Security </w:t>
      </w:r>
      <w:r w:rsidR="006C735A" w:rsidRPr="009351CB">
        <w:t xml:space="preserve">(JCPS) </w:t>
      </w:r>
      <w:r w:rsidR="00CC501E" w:rsidRPr="009351CB">
        <w:t>Cluster departments</w:t>
      </w:r>
      <w:r w:rsidR="0062540A" w:rsidRPr="009351CB">
        <w:t>.</w:t>
      </w:r>
      <w:r w:rsidR="00CC501E" w:rsidRPr="009351CB">
        <w:t xml:space="preserve"> </w:t>
      </w:r>
    </w:p>
    <w:p w14:paraId="35FF4140" w14:textId="77777777" w:rsidR="00CC501E" w:rsidRPr="009351CB" w:rsidRDefault="00CC501E" w:rsidP="009351CB">
      <w:pPr>
        <w:pStyle w:val="ListParagraph"/>
        <w:shd w:val="clear" w:color="auto" w:fill="FFFFFF" w:themeFill="background1"/>
        <w:spacing w:line="360" w:lineRule="auto"/>
        <w:jc w:val="both"/>
      </w:pPr>
    </w:p>
    <w:p w14:paraId="1C76F750" w14:textId="77777777" w:rsidR="00FD0282" w:rsidRPr="009351CB" w:rsidRDefault="00FD0282" w:rsidP="002C3BE7">
      <w:pPr>
        <w:pStyle w:val="ListParagraph"/>
        <w:numPr>
          <w:ilvl w:val="1"/>
          <w:numId w:val="2"/>
        </w:numPr>
        <w:spacing w:line="360" w:lineRule="auto"/>
        <w:ind w:left="709" w:hanging="709"/>
        <w:jc w:val="both"/>
      </w:pPr>
      <w:r w:rsidRPr="009351CB">
        <w:t xml:space="preserve">There is also a focus on the transformation of State Legal Services to strengthen the capability of the State to manage litigation and to address organisational challenges in the State Attorney environment. </w:t>
      </w:r>
    </w:p>
    <w:p w14:paraId="1AFA8158" w14:textId="77777777" w:rsidR="00FD0282" w:rsidRPr="009351CB" w:rsidRDefault="00FD0282" w:rsidP="009351CB">
      <w:pPr>
        <w:pStyle w:val="ListParagraph"/>
        <w:spacing w:line="360" w:lineRule="auto"/>
        <w:ind w:left="567"/>
        <w:jc w:val="both"/>
      </w:pPr>
    </w:p>
    <w:p w14:paraId="1740D92C" w14:textId="77777777" w:rsidR="00CC501E" w:rsidRPr="009351CB" w:rsidRDefault="00CC501E" w:rsidP="002C3BE7">
      <w:pPr>
        <w:pStyle w:val="ListParagraph"/>
        <w:numPr>
          <w:ilvl w:val="1"/>
          <w:numId w:val="2"/>
        </w:numPr>
        <w:spacing w:line="360" w:lineRule="auto"/>
        <w:ind w:left="709" w:hanging="709"/>
        <w:jc w:val="both"/>
      </w:pPr>
      <w:r w:rsidRPr="009351CB">
        <w:t xml:space="preserve">Implementation of the Legal Practice Act, 2014, is </w:t>
      </w:r>
      <w:r w:rsidR="00E14136" w:rsidRPr="009351CB">
        <w:t xml:space="preserve">well </w:t>
      </w:r>
      <w:r w:rsidRPr="009351CB">
        <w:t>underway</w:t>
      </w:r>
      <w:r w:rsidR="002B32B4" w:rsidRPr="009351CB">
        <w:t xml:space="preserve">: the new regulatory body, the </w:t>
      </w:r>
      <w:r w:rsidRPr="009351CB">
        <w:t xml:space="preserve">Legal Practice Council </w:t>
      </w:r>
      <w:r w:rsidR="002B32B4" w:rsidRPr="009351CB">
        <w:t xml:space="preserve">was </w:t>
      </w:r>
      <w:r w:rsidR="00553738" w:rsidRPr="009351CB">
        <w:t>established in</w:t>
      </w:r>
      <w:r w:rsidR="002B32B4" w:rsidRPr="009351CB">
        <w:t xml:space="preserve"> </w:t>
      </w:r>
      <w:r w:rsidR="00C61610" w:rsidRPr="009351CB">
        <w:t>October 2018.</w:t>
      </w:r>
    </w:p>
    <w:p w14:paraId="2DD83C69" w14:textId="77777777" w:rsidR="00C61610" w:rsidRPr="009351CB" w:rsidRDefault="00C61610" w:rsidP="009351CB">
      <w:pPr>
        <w:pStyle w:val="ListParagraph"/>
        <w:spacing w:line="360" w:lineRule="auto"/>
      </w:pPr>
    </w:p>
    <w:p w14:paraId="5B92504D" w14:textId="77777777" w:rsidR="001E7251" w:rsidRPr="009351CB" w:rsidRDefault="001E7251" w:rsidP="009351CB">
      <w:pPr>
        <w:pStyle w:val="ListParagraph"/>
        <w:spacing w:line="360" w:lineRule="auto"/>
      </w:pPr>
    </w:p>
    <w:p w14:paraId="171F70BE" w14:textId="77777777" w:rsidR="00553738" w:rsidRPr="009351CB" w:rsidRDefault="00553738" w:rsidP="002C3BE7">
      <w:pPr>
        <w:numPr>
          <w:ilvl w:val="0"/>
          <w:numId w:val="2"/>
        </w:numPr>
        <w:tabs>
          <w:tab w:val="clear" w:pos="360"/>
          <w:tab w:val="num" w:pos="709"/>
        </w:tabs>
        <w:spacing w:line="360" w:lineRule="auto"/>
        <w:ind w:left="709" w:hanging="709"/>
        <w:jc w:val="both"/>
        <w:rPr>
          <w:b/>
        </w:rPr>
      </w:pPr>
      <w:r w:rsidRPr="009351CB">
        <w:rPr>
          <w:b/>
        </w:rPr>
        <w:t>Budgetary Review and Recommendation Report (BRRR) October 2018 and Minister of Finance’s response</w:t>
      </w:r>
    </w:p>
    <w:p w14:paraId="2C34E98A" w14:textId="77777777" w:rsidR="00553738" w:rsidRPr="009351CB" w:rsidRDefault="00553738" w:rsidP="009351CB">
      <w:pPr>
        <w:autoSpaceDE w:val="0"/>
        <w:autoSpaceDN w:val="0"/>
        <w:adjustRightInd w:val="0"/>
        <w:spacing w:line="360" w:lineRule="auto"/>
        <w:ind w:left="720"/>
        <w:rPr>
          <w:b/>
        </w:rPr>
      </w:pPr>
    </w:p>
    <w:p w14:paraId="04F015AC" w14:textId="34C04103" w:rsidR="00553738" w:rsidRPr="009351CB" w:rsidRDefault="00553738" w:rsidP="002C3BE7">
      <w:pPr>
        <w:pStyle w:val="ListParagraph"/>
        <w:numPr>
          <w:ilvl w:val="1"/>
          <w:numId w:val="2"/>
        </w:numPr>
        <w:tabs>
          <w:tab w:val="clear" w:pos="862"/>
        </w:tabs>
        <w:spacing w:line="360" w:lineRule="auto"/>
        <w:ind w:left="709" w:hanging="709"/>
        <w:jc w:val="both"/>
      </w:pPr>
      <w:r w:rsidRPr="009351CB">
        <w:t xml:space="preserve">In </w:t>
      </w:r>
      <w:r w:rsidR="00FF71A5" w:rsidRPr="009351CB">
        <w:t xml:space="preserve">last year’s </w:t>
      </w:r>
      <w:r w:rsidRPr="009351CB">
        <w:t xml:space="preserve">Budgetary Review and Recommendation Report (October 2018), the </w:t>
      </w:r>
      <w:r w:rsidR="00FF71A5" w:rsidRPr="009351CB">
        <w:t xml:space="preserve">then </w:t>
      </w:r>
      <w:r w:rsidRPr="009351CB">
        <w:t>Committee expressed grave concern about the consequences of the R2 billion baseline reductions over the medium term. There is a “thin line between a so-called lean organisation where available resources – both human and financial – are used carefully and well and an organisation that is starved of means that it can no longer perform its mandated task</w:t>
      </w:r>
      <w:r w:rsidR="00FF71A5" w:rsidRPr="009351CB">
        <w:t>’</w:t>
      </w:r>
      <w:r w:rsidRPr="009351CB">
        <w:t xml:space="preserve">. The Committee was especially concerned that the reduced staff establishment could undermine the work needed to create a transformed and responsive justice system. </w:t>
      </w:r>
    </w:p>
    <w:p w14:paraId="097C265A" w14:textId="77777777" w:rsidR="00553738" w:rsidRPr="009351CB" w:rsidRDefault="00553738" w:rsidP="009351CB">
      <w:pPr>
        <w:pStyle w:val="ListParagraph"/>
        <w:spacing w:line="360" w:lineRule="auto"/>
      </w:pPr>
    </w:p>
    <w:p w14:paraId="7AD80D61" w14:textId="77777777" w:rsidR="00553738" w:rsidRPr="009351CB" w:rsidRDefault="00553738" w:rsidP="002C3BE7">
      <w:pPr>
        <w:pStyle w:val="ListParagraph"/>
        <w:numPr>
          <w:ilvl w:val="1"/>
          <w:numId w:val="2"/>
        </w:numPr>
        <w:tabs>
          <w:tab w:val="clear" w:pos="862"/>
        </w:tabs>
        <w:spacing w:line="360" w:lineRule="auto"/>
        <w:ind w:left="709" w:hanging="709"/>
        <w:jc w:val="both"/>
      </w:pPr>
      <w:r w:rsidRPr="009351CB">
        <w:t>The Report recommended that additional funding be allocated to:</w:t>
      </w:r>
    </w:p>
    <w:p w14:paraId="4D863567" w14:textId="77777777" w:rsidR="00553738" w:rsidRPr="00F151D4" w:rsidRDefault="00553738" w:rsidP="004F6019">
      <w:pPr>
        <w:pStyle w:val="ListParagraph"/>
        <w:numPr>
          <w:ilvl w:val="0"/>
          <w:numId w:val="8"/>
        </w:numPr>
        <w:autoSpaceDE w:val="0"/>
        <w:autoSpaceDN w:val="0"/>
        <w:adjustRightInd w:val="0"/>
        <w:spacing w:line="360" w:lineRule="auto"/>
        <w:jc w:val="both"/>
      </w:pPr>
      <w:r w:rsidRPr="009351CB">
        <w:t>T</w:t>
      </w:r>
      <w:r w:rsidRPr="00F151D4">
        <w:t xml:space="preserve">he NPA </w:t>
      </w:r>
      <w:r w:rsidRPr="009351CB">
        <w:t xml:space="preserve">for </w:t>
      </w:r>
      <w:r w:rsidRPr="00F151D4">
        <w:t>the shortfall in its compensation of employees’ budget</w:t>
      </w:r>
      <w:r w:rsidRPr="009351CB">
        <w:t>;</w:t>
      </w:r>
      <w:r w:rsidRPr="00F151D4">
        <w:t xml:space="preserve"> to fill vacancies; to create capacity in new courts; and</w:t>
      </w:r>
      <w:r w:rsidRPr="009351CB">
        <w:t xml:space="preserve"> to</w:t>
      </w:r>
      <w:r w:rsidRPr="00F151D4">
        <w:t xml:space="preserve"> resume the aspirant prosecutor programme.</w:t>
      </w:r>
    </w:p>
    <w:p w14:paraId="30BB914D" w14:textId="77777777" w:rsidR="00553738" w:rsidRPr="009351CB" w:rsidRDefault="00553738" w:rsidP="004F6019">
      <w:pPr>
        <w:pStyle w:val="ListParagraph"/>
        <w:numPr>
          <w:ilvl w:val="0"/>
          <w:numId w:val="8"/>
        </w:numPr>
        <w:autoSpaceDE w:val="0"/>
        <w:autoSpaceDN w:val="0"/>
        <w:adjustRightInd w:val="0"/>
        <w:spacing w:line="360" w:lineRule="auto"/>
        <w:jc w:val="both"/>
        <w:rPr>
          <w:lang w:val="x-none"/>
        </w:rPr>
      </w:pPr>
      <w:r w:rsidRPr="00F151D4">
        <w:t xml:space="preserve">Legal Aid South Africa </w:t>
      </w:r>
      <w:r w:rsidRPr="009351CB">
        <w:t xml:space="preserve">to prevent it from having to cut posts </w:t>
      </w:r>
      <w:r w:rsidRPr="00F151D4">
        <w:t>and to ensure</w:t>
      </w:r>
      <w:r w:rsidRPr="009351CB">
        <w:rPr>
          <w:lang w:val="x-none"/>
        </w:rPr>
        <w:t xml:space="preserve"> that it can maintain </w:t>
      </w:r>
      <w:r w:rsidRPr="009351CB">
        <w:t xml:space="preserve">its </w:t>
      </w:r>
      <w:r w:rsidRPr="009351CB">
        <w:rPr>
          <w:lang w:val="x-none"/>
        </w:rPr>
        <w:t>civil work.</w:t>
      </w:r>
    </w:p>
    <w:p w14:paraId="26C20B7E" w14:textId="77777777" w:rsidR="00553738" w:rsidRPr="009351CB" w:rsidRDefault="00553738" w:rsidP="009351CB">
      <w:pPr>
        <w:autoSpaceDE w:val="0"/>
        <w:autoSpaceDN w:val="0"/>
        <w:adjustRightInd w:val="0"/>
        <w:spacing w:line="360" w:lineRule="auto"/>
        <w:ind w:left="1353"/>
        <w:rPr>
          <w:lang w:val="x-none"/>
        </w:rPr>
      </w:pPr>
    </w:p>
    <w:p w14:paraId="7D3FB66A" w14:textId="77777777" w:rsidR="00553738" w:rsidRPr="009351CB" w:rsidRDefault="00553738" w:rsidP="002C3BE7">
      <w:pPr>
        <w:pStyle w:val="ListParagraph"/>
        <w:numPr>
          <w:ilvl w:val="1"/>
          <w:numId w:val="2"/>
        </w:numPr>
        <w:tabs>
          <w:tab w:val="clear" w:pos="862"/>
        </w:tabs>
        <w:spacing w:line="360" w:lineRule="auto"/>
        <w:ind w:left="709" w:hanging="709"/>
        <w:jc w:val="both"/>
        <w:rPr>
          <w:lang w:val="x-none"/>
        </w:rPr>
      </w:pPr>
      <w:r w:rsidRPr="009351CB">
        <w:t xml:space="preserve">The Minister of Finance’s response regarding the recommendation for additional funding to the NPA </w:t>
      </w:r>
      <w:r w:rsidR="00E45232" w:rsidRPr="009351CB">
        <w:t xml:space="preserve">was that </w:t>
      </w:r>
      <w:r w:rsidRPr="009351CB">
        <w:t>“due to the constrained fiscal outlook, the scope to provide additional funding is limited. Departments, entities and constitutional institutions are required to reprioritise funds within their existing baselines to fund any emerging priorities. Should the fiscal outlook improve, future recommendations for additional funding may be considered” (National Treasury, Budget Review, p104). However, in his Budget Speech, the Minister of Finance made assurances that National Treasury and the Justice Department would work to support the establishment of a new Investigating Directorate at the NPA.</w:t>
      </w:r>
    </w:p>
    <w:p w14:paraId="1045F1F4" w14:textId="77777777" w:rsidR="00553738" w:rsidRPr="009351CB" w:rsidRDefault="00553738" w:rsidP="009351CB">
      <w:pPr>
        <w:pStyle w:val="ListParagraph"/>
        <w:spacing w:line="360" w:lineRule="auto"/>
        <w:rPr>
          <w:lang w:val="x-none"/>
        </w:rPr>
      </w:pPr>
    </w:p>
    <w:p w14:paraId="665FD16A" w14:textId="77777777" w:rsidR="00553738" w:rsidRPr="009351CB" w:rsidRDefault="00553738" w:rsidP="002C3BE7">
      <w:pPr>
        <w:pStyle w:val="ListParagraph"/>
        <w:numPr>
          <w:ilvl w:val="1"/>
          <w:numId w:val="2"/>
        </w:numPr>
        <w:tabs>
          <w:tab w:val="clear" w:pos="862"/>
        </w:tabs>
        <w:spacing w:line="360" w:lineRule="auto"/>
        <w:ind w:left="709" w:hanging="709"/>
        <w:jc w:val="both"/>
        <w:rPr>
          <w:lang w:val="x-none"/>
        </w:rPr>
      </w:pPr>
      <w:r w:rsidRPr="009351CB">
        <w:t>In the case of Leg</w:t>
      </w:r>
      <w:r w:rsidR="00E45232" w:rsidRPr="009351CB">
        <w:t>al Aid SA, provision wa</w:t>
      </w:r>
      <w:r w:rsidRPr="009351CB">
        <w:t>s made for the allocation of an additional R300 million over the MTEF to retain its public defenders. Of this, R104.5 million is reprioritised funding from the Justice Department.</w:t>
      </w:r>
    </w:p>
    <w:p w14:paraId="04F1BD0F" w14:textId="77777777" w:rsidR="00E14136" w:rsidRPr="009351CB" w:rsidRDefault="00E14136" w:rsidP="009351CB">
      <w:pPr>
        <w:spacing w:line="360" w:lineRule="auto"/>
        <w:jc w:val="both"/>
      </w:pPr>
    </w:p>
    <w:p w14:paraId="48EE8AFE" w14:textId="77777777" w:rsidR="00732CCB" w:rsidRPr="009351CB" w:rsidRDefault="001E05D7" w:rsidP="002C3BE7">
      <w:pPr>
        <w:numPr>
          <w:ilvl w:val="0"/>
          <w:numId w:val="2"/>
        </w:numPr>
        <w:tabs>
          <w:tab w:val="clear" w:pos="360"/>
          <w:tab w:val="num" w:pos="709"/>
        </w:tabs>
        <w:spacing w:line="360" w:lineRule="auto"/>
        <w:ind w:left="709" w:hanging="709"/>
        <w:jc w:val="both"/>
        <w:rPr>
          <w:b/>
        </w:rPr>
      </w:pPr>
      <w:r w:rsidRPr="009351CB">
        <w:rPr>
          <w:b/>
        </w:rPr>
        <w:t>Audit outcomes for 201</w:t>
      </w:r>
      <w:r w:rsidR="00F25690" w:rsidRPr="009351CB">
        <w:rPr>
          <w:b/>
        </w:rPr>
        <w:t>8/19</w:t>
      </w:r>
    </w:p>
    <w:p w14:paraId="02570200" w14:textId="77777777" w:rsidR="00732CCB" w:rsidRPr="009351CB" w:rsidRDefault="00732CCB" w:rsidP="009351CB">
      <w:pPr>
        <w:pStyle w:val="ListParagraph"/>
        <w:spacing w:line="360" w:lineRule="auto"/>
        <w:ind w:left="540"/>
        <w:jc w:val="both"/>
        <w:rPr>
          <w:b/>
        </w:rPr>
      </w:pPr>
    </w:p>
    <w:p w14:paraId="5EF477AA" w14:textId="77777777" w:rsidR="00D36A57" w:rsidRPr="009351CB" w:rsidRDefault="00732CCB" w:rsidP="002C3BE7">
      <w:pPr>
        <w:pStyle w:val="ListParagraph"/>
        <w:numPr>
          <w:ilvl w:val="1"/>
          <w:numId w:val="2"/>
        </w:numPr>
        <w:tabs>
          <w:tab w:val="clear" w:pos="862"/>
        </w:tabs>
        <w:spacing w:line="360" w:lineRule="auto"/>
        <w:ind w:left="709" w:hanging="709"/>
        <w:jc w:val="both"/>
        <w:rPr>
          <w:b/>
        </w:rPr>
      </w:pPr>
      <w:r w:rsidRPr="009351CB">
        <w:t xml:space="preserve">The Auditor-General reports </w:t>
      </w:r>
      <w:r w:rsidR="00533C4D" w:rsidRPr="009351CB">
        <w:t xml:space="preserve">the following </w:t>
      </w:r>
      <w:r w:rsidR="00216765" w:rsidRPr="009351CB">
        <w:t>audit outcomes</w:t>
      </w:r>
      <w:r w:rsidR="00D36A57" w:rsidRPr="009351CB">
        <w:t xml:space="preserve"> </w:t>
      </w:r>
      <w:r w:rsidR="00533C4D" w:rsidRPr="009351CB">
        <w:t xml:space="preserve">for </w:t>
      </w:r>
      <w:r w:rsidR="00216765" w:rsidRPr="009351CB">
        <w:t>the Justice Portfolio</w:t>
      </w:r>
      <w:r w:rsidR="002B32B4" w:rsidRPr="009351CB">
        <w:t xml:space="preserve"> for 2018/19</w:t>
      </w:r>
      <w:r w:rsidR="00D36A57" w:rsidRPr="009351CB">
        <w:t xml:space="preserve">: </w:t>
      </w:r>
    </w:p>
    <w:p w14:paraId="639FA168" w14:textId="77777777" w:rsidR="00576A4A" w:rsidRPr="009351CB" w:rsidRDefault="00576A4A" w:rsidP="004F6019">
      <w:pPr>
        <w:pStyle w:val="ListParagraph"/>
        <w:numPr>
          <w:ilvl w:val="0"/>
          <w:numId w:val="8"/>
        </w:numPr>
        <w:autoSpaceDE w:val="0"/>
        <w:autoSpaceDN w:val="0"/>
        <w:adjustRightInd w:val="0"/>
        <w:spacing w:line="360" w:lineRule="auto"/>
        <w:jc w:val="both"/>
      </w:pPr>
      <w:r w:rsidRPr="00F151D4">
        <w:t xml:space="preserve">The Department received a qualified audit opinion with findings for the </w:t>
      </w:r>
      <w:r w:rsidR="00F25690" w:rsidRPr="00F151D4">
        <w:t>third</w:t>
      </w:r>
      <w:r w:rsidRPr="00F151D4">
        <w:t xml:space="preserve"> consecutive</w:t>
      </w:r>
      <w:r w:rsidRPr="009351CB">
        <w:t xml:space="preserve"> year.</w:t>
      </w:r>
    </w:p>
    <w:p w14:paraId="7DFFEBCB" w14:textId="77777777" w:rsidR="00D36A57" w:rsidRPr="00F151D4" w:rsidRDefault="008B5CFB" w:rsidP="004F6019">
      <w:pPr>
        <w:pStyle w:val="ListParagraph"/>
        <w:numPr>
          <w:ilvl w:val="0"/>
          <w:numId w:val="8"/>
        </w:numPr>
        <w:autoSpaceDE w:val="0"/>
        <w:autoSpaceDN w:val="0"/>
        <w:adjustRightInd w:val="0"/>
        <w:spacing w:line="360" w:lineRule="auto"/>
        <w:jc w:val="both"/>
      </w:pPr>
      <w:r w:rsidRPr="00F151D4">
        <w:t xml:space="preserve">The </w:t>
      </w:r>
      <w:r w:rsidR="00533C4D" w:rsidRPr="00F151D4">
        <w:t>CARA</w:t>
      </w:r>
      <w:r w:rsidRPr="00F151D4">
        <w:t xml:space="preserve"> Fund</w:t>
      </w:r>
      <w:r w:rsidR="00533C4D" w:rsidRPr="00F151D4">
        <w:t>, Guardian’s Fund, President’s Fund, Legal Aid SA, SIU</w:t>
      </w:r>
      <w:r w:rsidRPr="00F151D4">
        <w:t xml:space="preserve"> and </w:t>
      </w:r>
      <w:r w:rsidR="00D36A57" w:rsidRPr="00F151D4">
        <w:t xml:space="preserve">Third Party Fund </w:t>
      </w:r>
      <w:r w:rsidR="00F25690" w:rsidRPr="00F151D4">
        <w:t>all achieved clean audit opinions</w:t>
      </w:r>
      <w:r w:rsidRPr="00F151D4">
        <w:t xml:space="preserve">. </w:t>
      </w:r>
    </w:p>
    <w:p w14:paraId="5E05C2DB" w14:textId="757465F2" w:rsidR="00D36A57" w:rsidRPr="009351CB" w:rsidRDefault="00D36A57" w:rsidP="004F6019">
      <w:pPr>
        <w:pStyle w:val="ListParagraph"/>
        <w:numPr>
          <w:ilvl w:val="0"/>
          <w:numId w:val="8"/>
        </w:numPr>
        <w:autoSpaceDE w:val="0"/>
        <w:autoSpaceDN w:val="0"/>
        <w:adjustRightInd w:val="0"/>
        <w:spacing w:line="360" w:lineRule="auto"/>
        <w:jc w:val="both"/>
        <w:rPr>
          <w:lang w:val="en-US"/>
        </w:rPr>
      </w:pPr>
      <w:r w:rsidRPr="00F151D4">
        <w:t>The</w:t>
      </w:r>
      <w:r w:rsidRPr="009351CB">
        <w:rPr>
          <w:lang w:val="en-US"/>
        </w:rPr>
        <w:t xml:space="preserve"> </w:t>
      </w:r>
      <w:r w:rsidR="00887DC2" w:rsidRPr="009351CB">
        <w:rPr>
          <w:lang w:val="en-US"/>
        </w:rPr>
        <w:t xml:space="preserve">PPSA </w:t>
      </w:r>
      <w:r w:rsidR="00FF71A5" w:rsidRPr="009351CB">
        <w:rPr>
          <w:lang w:val="en-US"/>
        </w:rPr>
        <w:t xml:space="preserve">and SAHRC </w:t>
      </w:r>
      <w:r w:rsidR="00887DC2" w:rsidRPr="009351CB">
        <w:rPr>
          <w:lang w:val="en-US"/>
        </w:rPr>
        <w:t xml:space="preserve">received </w:t>
      </w:r>
      <w:r w:rsidRPr="009351CB">
        <w:rPr>
          <w:lang w:val="en-US"/>
        </w:rPr>
        <w:t xml:space="preserve">an unqualified audit opinion with findings. </w:t>
      </w:r>
    </w:p>
    <w:p w14:paraId="13D18059" w14:textId="77777777" w:rsidR="00F909B2" w:rsidRPr="009351CB" w:rsidRDefault="00F909B2" w:rsidP="009351CB">
      <w:pPr>
        <w:spacing w:line="360" w:lineRule="auto"/>
        <w:jc w:val="both"/>
      </w:pPr>
    </w:p>
    <w:p w14:paraId="67359E56" w14:textId="77777777" w:rsidR="00732CCB" w:rsidRPr="009351CB" w:rsidRDefault="00732CCB" w:rsidP="009351CB">
      <w:pPr>
        <w:spacing w:line="360" w:lineRule="auto"/>
        <w:jc w:val="both"/>
        <w:rPr>
          <w:b/>
        </w:rPr>
      </w:pPr>
      <w:r w:rsidRPr="009351CB">
        <w:rPr>
          <w:b/>
        </w:rPr>
        <w:t xml:space="preserve">Table 1: Summary of audit outcomes for the </w:t>
      </w:r>
      <w:r w:rsidR="008B5CFB" w:rsidRPr="009351CB">
        <w:rPr>
          <w:b/>
        </w:rPr>
        <w:t xml:space="preserve">Vote: </w:t>
      </w:r>
      <w:r w:rsidRPr="009351CB">
        <w:rPr>
          <w:b/>
        </w:rPr>
        <w:t xml:space="preserve"> 2014/15 – 201</w:t>
      </w:r>
      <w:r w:rsidR="002B32B4" w:rsidRPr="009351CB">
        <w:rPr>
          <w:b/>
        </w:rPr>
        <w:t>8/19</w:t>
      </w:r>
    </w:p>
    <w:tbl>
      <w:tblPr>
        <w:tblStyle w:val="TableGrid"/>
        <w:tblW w:w="5000" w:type="pct"/>
        <w:tblLook w:val="04A0" w:firstRow="1" w:lastRow="0" w:firstColumn="1" w:lastColumn="0" w:noHBand="0" w:noVBand="1"/>
      </w:tblPr>
      <w:tblGrid>
        <w:gridCol w:w="1616"/>
        <w:gridCol w:w="1363"/>
        <w:gridCol w:w="1363"/>
        <w:gridCol w:w="1363"/>
        <w:gridCol w:w="1363"/>
        <w:gridCol w:w="1364"/>
      </w:tblGrid>
      <w:tr w:rsidR="00696DD2" w:rsidRPr="009351CB" w14:paraId="2A68DB35" w14:textId="77777777" w:rsidTr="00F909B2">
        <w:trPr>
          <w:tblHeader/>
        </w:trPr>
        <w:tc>
          <w:tcPr>
            <w:tcW w:w="954" w:type="pct"/>
            <w:shd w:val="clear" w:color="auto" w:fill="D9D9D9" w:themeFill="background1" w:themeFillShade="D9"/>
          </w:tcPr>
          <w:p w14:paraId="0F083870" w14:textId="77777777" w:rsidR="00CE4E24" w:rsidRPr="009351CB" w:rsidRDefault="00CE4E24" w:rsidP="009351CB">
            <w:pPr>
              <w:spacing w:line="360" w:lineRule="auto"/>
              <w:jc w:val="both"/>
              <w:rPr>
                <w:lang w:val="en-ZA"/>
              </w:rPr>
            </w:pPr>
          </w:p>
        </w:tc>
        <w:tc>
          <w:tcPr>
            <w:tcW w:w="809" w:type="pct"/>
            <w:shd w:val="clear" w:color="auto" w:fill="D9D9D9" w:themeFill="background1" w:themeFillShade="D9"/>
          </w:tcPr>
          <w:p w14:paraId="4969E971" w14:textId="77777777" w:rsidR="00CE4E24" w:rsidRPr="009351CB" w:rsidRDefault="00CE4E24" w:rsidP="009351CB">
            <w:pPr>
              <w:spacing w:line="360" w:lineRule="auto"/>
              <w:jc w:val="center"/>
              <w:rPr>
                <w:b/>
                <w:lang w:val="en-ZA"/>
              </w:rPr>
            </w:pPr>
            <w:r w:rsidRPr="009351CB">
              <w:rPr>
                <w:b/>
                <w:lang w:val="en-ZA"/>
              </w:rPr>
              <w:t>2014/15</w:t>
            </w:r>
          </w:p>
        </w:tc>
        <w:tc>
          <w:tcPr>
            <w:tcW w:w="809" w:type="pct"/>
            <w:shd w:val="clear" w:color="auto" w:fill="D9D9D9" w:themeFill="background1" w:themeFillShade="D9"/>
          </w:tcPr>
          <w:p w14:paraId="7F2D7C33" w14:textId="77777777" w:rsidR="00CE4E24" w:rsidRPr="009351CB" w:rsidRDefault="00CE4E24" w:rsidP="009351CB">
            <w:pPr>
              <w:spacing w:line="360" w:lineRule="auto"/>
              <w:jc w:val="center"/>
              <w:rPr>
                <w:b/>
                <w:lang w:val="en-ZA"/>
              </w:rPr>
            </w:pPr>
            <w:r w:rsidRPr="009351CB">
              <w:rPr>
                <w:b/>
                <w:lang w:val="en-ZA"/>
              </w:rPr>
              <w:t>2015/2016</w:t>
            </w:r>
          </w:p>
        </w:tc>
        <w:tc>
          <w:tcPr>
            <w:tcW w:w="809" w:type="pct"/>
            <w:shd w:val="clear" w:color="auto" w:fill="D9D9D9" w:themeFill="background1" w:themeFillShade="D9"/>
          </w:tcPr>
          <w:p w14:paraId="0F029CCD" w14:textId="77777777" w:rsidR="00CE4E24" w:rsidRPr="009351CB" w:rsidRDefault="00CE4E24" w:rsidP="009351CB">
            <w:pPr>
              <w:spacing w:line="360" w:lineRule="auto"/>
              <w:jc w:val="center"/>
              <w:rPr>
                <w:b/>
                <w:lang w:val="en-ZA"/>
              </w:rPr>
            </w:pPr>
            <w:r w:rsidRPr="009351CB">
              <w:rPr>
                <w:b/>
                <w:lang w:val="en-ZA"/>
              </w:rPr>
              <w:t>2016/17</w:t>
            </w:r>
          </w:p>
        </w:tc>
        <w:tc>
          <w:tcPr>
            <w:tcW w:w="809" w:type="pct"/>
            <w:shd w:val="clear" w:color="auto" w:fill="D9D9D9" w:themeFill="background1" w:themeFillShade="D9"/>
          </w:tcPr>
          <w:p w14:paraId="72462A14" w14:textId="77777777" w:rsidR="00CE4E24" w:rsidRPr="009351CB" w:rsidRDefault="00CE4E24" w:rsidP="009351CB">
            <w:pPr>
              <w:spacing w:line="360" w:lineRule="auto"/>
              <w:jc w:val="center"/>
              <w:rPr>
                <w:b/>
              </w:rPr>
            </w:pPr>
            <w:r w:rsidRPr="009351CB">
              <w:rPr>
                <w:b/>
              </w:rPr>
              <w:t>2017/18</w:t>
            </w:r>
          </w:p>
        </w:tc>
        <w:tc>
          <w:tcPr>
            <w:tcW w:w="809" w:type="pct"/>
            <w:shd w:val="clear" w:color="auto" w:fill="D9D9D9" w:themeFill="background1" w:themeFillShade="D9"/>
          </w:tcPr>
          <w:p w14:paraId="08C937A8" w14:textId="77777777" w:rsidR="00CE4E24" w:rsidRPr="009351CB" w:rsidRDefault="00CE4E24" w:rsidP="009351CB">
            <w:pPr>
              <w:spacing w:line="360" w:lineRule="auto"/>
              <w:jc w:val="center"/>
              <w:rPr>
                <w:b/>
              </w:rPr>
            </w:pPr>
            <w:r w:rsidRPr="009351CB">
              <w:rPr>
                <w:b/>
              </w:rPr>
              <w:t>2018/19</w:t>
            </w:r>
          </w:p>
        </w:tc>
      </w:tr>
      <w:tr w:rsidR="00CE4E24" w:rsidRPr="009351CB" w14:paraId="17089961" w14:textId="77777777" w:rsidTr="00F909B2">
        <w:trPr>
          <w:trHeight w:val="419"/>
        </w:trPr>
        <w:tc>
          <w:tcPr>
            <w:tcW w:w="954" w:type="pct"/>
          </w:tcPr>
          <w:p w14:paraId="13AE5C6B" w14:textId="77777777" w:rsidR="00CE4E24" w:rsidRPr="009351CB" w:rsidRDefault="00CE4E24" w:rsidP="009351CB">
            <w:pPr>
              <w:spacing w:line="360" w:lineRule="auto"/>
              <w:jc w:val="both"/>
              <w:rPr>
                <w:b/>
                <w:lang w:val="en-ZA"/>
              </w:rPr>
            </w:pPr>
            <w:r w:rsidRPr="009351CB">
              <w:rPr>
                <w:b/>
                <w:lang w:val="en-ZA"/>
              </w:rPr>
              <w:t xml:space="preserve">Justice </w:t>
            </w:r>
          </w:p>
        </w:tc>
        <w:tc>
          <w:tcPr>
            <w:tcW w:w="809" w:type="pct"/>
          </w:tcPr>
          <w:p w14:paraId="231C3862" w14:textId="77777777" w:rsidR="00CE4E24" w:rsidRPr="009351CB" w:rsidRDefault="00CE4E24" w:rsidP="009351CB">
            <w:pPr>
              <w:spacing w:line="360" w:lineRule="auto"/>
              <w:jc w:val="both"/>
              <w:rPr>
                <w:lang w:val="en-ZA"/>
              </w:rPr>
            </w:pPr>
            <w:r w:rsidRPr="009351CB">
              <w:rPr>
                <w:lang w:val="en-ZA"/>
              </w:rPr>
              <w:t xml:space="preserve">Unqualified with findings </w:t>
            </w:r>
          </w:p>
        </w:tc>
        <w:tc>
          <w:tcPr>
            <w:tcW w:w="809" w:type="pct"/>
          </w:tcPr>
          <w:p w14:paraId="0CABD455" w14:textId="77777777" w:rsidR="00CE4E24" w:rsidRPr="009351CB" w:rsidRDefault="00CE4E24" w:rsidP="009351CB">
            <w:pPr>
              <w:spacing w:line="360" w:lineRule="auto"/>
              <w:jc w:val="both"/>
              <w:rPr>
                <w:lang w:val="en-ZA"/>
              </w:rPr>
            </w:pPr>
            <w:r w:rsidRPr="009351CB">
              <w:rPr>
                <w:lang w:val="en-ZA"/>
              </w:rPr>
              <w:t>Unqualified with findings</w:t>
            </w:r>
          </w:p>
        </w:tc>
        <w:tc>
          <w:tcPr>
            <w:tcW w:w="809" w:type="pct"/>
          </w:tcPr>
          <w:p w14:paraId="36FD745B" w14:textId="77777777" w:rsidR="00CE4E24" w:rsidRPr="009351CB" w:rsidRDefault="00CE4E24" w:rsidP="009351CB">
            <w:pPr>
              <w:spacing w:line="360" w:lineRule="auto"/>
              <w:jc w:val="both"/>
              <w:rPr>
                <w:lang w:val="en-ZA"/>
              </w:rPr>
            </w:pPr>
            <w:r w:rsidRPr="009351CB">
              <w:rPr>
                <w:lang w:val="en-ZA"/>
              </w:rPr>
              <w:t xml:space="preserve">Qualified with findings </w:t>
            </w:r>
          </w:p>
        </w:tc>
        <w:tc>
          <w:tcPr>
            <w:tcW w:w="809" w:type="pct"/>
          </w:tcPr>
          <w:p w14:paraId="346598BB" w14:textId="77777777" w:rsidR="00CE4E24" w:rsidRPr="009351CB" w:rsidRDefault="00CE4E24" w:rsidP="009351CB">
            <w:pPr>
              <w:spacing w:line="360" w:lineRule="auto"/>
              <w:jc w:val="both"/>
            </w:pPr>
            <w:r w:rsidRPr="009351CB">
              <w:t>Qualified with findings</w:t>
            </w:r>
          </w:p>
        </w:tc>
        <w:tc>
          <w:tcPr>
            <w:tcW w:w="809" w:type="pct"/>
          </w:tcPr>
          <w:p w14:paraId="38A11753" w14:textId="77777777" w:rsidR="00CE4E24" w:rsidRPr="009351CB" w:rsidRDefault="00CE4E24" w:rsidP="009351CB">
            <w:pPr>
              <w:spacing w:line="360" w:lineRule="auto"/>
              <w:jc w:val="both"/>
            </w:pPr>
            <w:r w:rsidRPr="009351CB">
              <w:t>Qualified with findings</w:t>
            </w:r>
          </w:p>
        </w:tc>
      </w:tr>
      <w:tr w:rsidR="00696DD2" w:rsidRPr="009351CB" w14:paraId="70645521" w14:textId="77777777" w:rsidTr="00F909B2">
        <w:tc>
          <w:tcPr>
            <w:tcW w:w="954" w:type="pct"/>
          </w:tcPr>
          <w:p w14:paraId="3FF0E9FE" w14:textId="77777777" w:rsidR="00696DD2" w:rsidRPr="009351CB" w:rsidRDefault="00696DD2" w:rsidP="009351CB">
            <w:pPr>
              <w:spacing w:line="360" w:lineRule="auto"/>
              <w:jc w:val="both"/>
              <w:rPr>
                <w:b/>
                <w:lang w:val="en-ZA"/>
              </w:rPr>
            </w:pPr>
            <w:r w:rsidRPr="009351CB">
              <w:rPr>
                <w:b/>
                <w:lang w:val="en-ZA"/>
              </w:rPr>
              <w:t>NPA</w:t>
            </w:r>
          </w:p>
        </w:tc>
        <w:tc>
          <w:tcPr>
            <w:tcW w:w="4046" w:type="pct"/>
            <w:gridSpan w:val="5"/>
          </w:tcPr>
          <w:p w14:paraId="184D8141" w14:textId="77777777" w:rsidR="00696DD2" w:rsidRPr="009351CB" w:rsidRDefault="00696DD2" w:rsidP="009351CB">
            <w:pPr>
              <w:spacing w:line="360" w:lineRule="auto"/>
              <w:jc w:val="both"/>
            </w:pPr>
            <w:r w:rsidRPr="009351CB">
              <w:rPr>
                <w:lang w:val="en-ZA"/>
              </w:rPr>
              <w:t>Not applicable: Reports as part of the Justice Department</w:t>
            </w:r>
          </w:p>
        </w:tc>
      </w:tr>
      <w:tr w:rsidR="00CE4E24" w:rsidRPr="009351CB" w14:paraId="50852D10" w14:textId="77777777" w:rsidTr="00F909B2">
        <w:tc>
          <w:tcPr>
            <w:tcW w:w="954" w:type="pct"/>
          </w:tcPr>
          <w:p w14:paraId="5422CDDF" w14:textId="77777777" w:rsidR="00CE4E24" w:rsidRPr="009351CB" w:rsidRDefault="00CE4E24" w:rsidP="009351CB">
            <w:pPr>
              <w:spacing w:line="360" w:lineRule="auto"/>
              <w:jc w:val="both"/>
              <w:rPr>
                <w:b/>
                <w:lang w:val="en-ZA"/>
              </w:rPr>
            </w:pPr>
            <w:r w:rsidRPr="009351CB">
              <w:rPr>
                <w:b/>
                <w:lang w:val="en-ZA"/>
              </w:rPr>
              <w:t>Legal Aid SA</w:t>
            </w:r>
          </w:p>
        </w:tc>
        <w:tc>
          <w:tcPr>
            <w:tcW w:w="809" w:type="pct"/>
          </w:tcPr>
          <w:p w14:paraId="5640B9A7"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0C1F2D1D"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2312652A"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13BFB582" w14:textId="77777777" w:rsidR="00CE4E24" w:rsidRPr="009351CB" w:rsidRDefault="00CE4E24" w:rsidP="009351CB">
            <w:pPr>
              <w:spacing w:line="360" w:lineRule="auto"/>
              <w:jc w:val="both"/>
            </w:pPr>
            <w:r w:rsidRPr="009351CB">
              <w:t>Unqualified</w:t>
            </w:r>
          </w:p>
        </w:tc>
        <w:tc>
          <w:tcPr>
            <w:tcW w:w="809" w:type="pct"/>
          </w:tcPr>
          <w:p w14:paraId="3CA2E703" w14:textId="77777777" w:rsidR="00CE4E24" w:rsidRPr="009351CB" w:rsidRDefault="00CE4E24" w:rsidP="009351CB">
            <w:pPr>
              <w:spacing w:line="360" w:lineRule="auto"/>
              <w:jc w:val="both"/>
            </w:pPr>
            <w:r w:rsidRPr="009351CB">
              <w:t>Unqualified</w:t>
            </w:r>
          </w:p>
        </w:tc>
      </w:tr>
      <w:tr w:rsidR="00CE4E24" w:rsidRPr="009351CB" w14:paraId="5E6A024F" w14:textId="77777777" w:rsidTr="00F909B2">
        <w:tc>
          <w:tcPr>
            <w:tcW w:w="954" w:type="pct"/>
          </w:tcPr>
          <w:p w14:paraId="201EA9E3" w14:textId="77777777" w:rsidR="00696DD2" w:rsidRPr="009351CB" w:rsidRDefault="00CE4E24" w:rsidP="009351CB">
            <w:pPr>
              <w:spacing w:line="360" w:lineRule="auto"/>
              <w:jc w:val="both"/>
              <w:rPr>
                <w:b/>
                <w:lang w:val="en-ZA"/>
              </w:rPr>
            </w:pPr>
            <w:r w:rsidRPr="009351CB">
              <w:rPr>
                <w:b/>
                <w:lang w:val="en-ZA"/>
              </w:rPr>
              <w:t>Third Party Funds/</w:t>
            </w:r>
          </w:p>
          <w:p w14:paraId="53683298" w14:textId="77777777" w:rsidR="00CE4E24" w:rsidRPr="009351CB" w:rsidRDefault="00CE4E24" w:rsidP="009351CB">
            <w:pPr>
              <w:spacing w:line="360" w:lineRule="auto"/>
              <w:jc w:val="both"/>
              <w:rPr>
                <w:b/>
                <w:lang w:val="en-ZA"/>
              </w:rPr>
            </w:pPr>
            <w:r w:rsidRPr="009351CB">
              <w:rPr>
                <w:b/>
                <w:lang w:val="en-ZA"/>
              </w:rPr>
              <w:t>Justice Administered Fund</w:t>
            </w:r>
          </w:p>
        </w:tc>
        <w:tc>
          <w:tcPr>
            <w:tcW w:w="809" w:type="pct"/>
          </w:tcPr>
          <w:p w14:paraId="5F69D5D9" w14:textId="77777777" w:rsidR="00CE4E24" w:rsidRPr="009351CB" w:rsidRDefault="00CE4E24" w:rsidP="009351CB">
            <w:pPr>
              <w:spacing w:line="360" w:lineRule="auto"/>
              <w:jc w:val="both"/>
              <w:rPr>
                <w:lang w:val="en-ZA"/>
              </w:rPr>
            </w:pPr>
            <w:r w:rsidRPr="009351CB">
              <w:rPr>
                <w:lang w:val="en-ZA"/>
              </w:rPr>
              <w:t xml:space="preserve">Disclaimer </w:t>
            </w:r>
          </w:p>
        </w:tc>
        <w:tc>
          <w:tcPr>
            <w:tcW w:w="809" w:type="pct"/>
          </w:tcPr>
          <w:p w14:paraId="7A3DBD7F" w14:textId="77777777" w:rsidR="00CE4E24" w:rsidRPr="009351CB" w:rsidRDefault="00CE4E24" w:rsidP="009351CB">
            <w:pPr>
              <w:spacing w:line="360" w:lineRule="auto"/>
              <w:jc w:val="both"/>
              <w:rPr>
                <w:lang w:val="en-ZA"/>
              </w:rPr>
            </w:pPr>
            <w:r w:rsidRPr="009351CB">
              <w:rPr>
                <w:lang w:val="en-ZA"/>
              </w:rPr>
              <w:t>Qualified</w:t>
            </w:r>
          </w:p>
        </w:tc>
        <w:tc>
          <w:tcPr>
            <w:tcW w:w="809" w:type="pct"/>
          </w:tcPr>
          <w:p w14:paraId="2D9B9EE8" w14:textId="77777777" w:rsidR="00CE4E24" w:rsidRPr="009351CB" w:rsidRDefault="00CE4E24" w:rsidP="009351CB">
            <w:pPr>
              <w:spacing w:line="360" w:lineRule="auto"/>
              <w:jc w:val="both"/>
              <w:rPr>
                <w:lang w:val="en-ZA"/>
              </w:rPr>
            </w:pPr>
            <w:r w:rsidRPr="009351CB">
              <w:rPr>
                <w:lang w:val="en-ZA"/>
              </w:rPr>
              <w:t>Qualified</w:t>
            </w:r>
          </w:p>
        </w:tc>
        <w:tc>
          <w:tcPr>
            <w:tcW w:w="809" w:type="pct"/>
          </w:tcPr>
          <w:p w14:paraId="462C082B" w14:textId="77777777" w:rsidR="00CE4E24" w:rsidRPr="009351CB" w:rsidRDefault="00CE4E24" w:rsidP="009351CB">
            <w:pPr>
              <w:spacing w:line="360" w:lineRule="auto"/>
              <w:jc w:val="both"/>
            </w:pPr>
            <w:r w:rsidRPr="009351CB">
              <w:t>Unqualified</w:t>
            </w:r>
          </w:p>
        </w:tc>
        <w:tc>
          <w:tcPr>
            <w:tcW w:w="809" w:type="pct"/>
          </w:tcPr>
          <w:p w14:paraId="224223F4" w14:textId="77777777" w:rsidR="00CE4E24" w:rsidRPr="009351CB" w:rsidRDefault="00F909B2" w:rsidP="009351CB">
            <w:pPr>
              <w:spacing w:line="360" w:lineRule="auto"/>
              <w:jc w:val="both"/>
            </w:pPr>
            <w:r w:rsidRPr="009351CB">
              <w:t>Unqualified</w:t>
            </w:r>
          </w:p>
        </w:tc>
      </w:tr>
      <w:tr w:rsidR="00CE4E24" w:rsidRPr="009351CB" w14:paraId="6F395FB3" w14:textId="77777777" w:rsidTr="00F909B2">
        <w:tc>
          <w:tcPr>
            <w:tcW w:w="954" w:type="pct"/>
          </w:tcPr>
          <w:p w14:paraId="23E77328" w14:textId="77777777" w:rsidR="00CE4E24" w:rsidRPr="009351CB" w:rsidRDefault="00CE4E24" w:rsidP="009351CB">
            <w:pPr>
              <w:spacing w:line="360" w:lineRule="auto"/>
              <w:jc w:val="both"/>
              <w:rPr>
                <w:b/>
                <w:lang w:val="en-ZA"/>
              </w:rPr>
            </w:pPr>
            <w:r w:rsidRPr="009351CB">
              <w:rPr>
                <w:b/>
                <w:lang w:val="en-ZA"/>
              </w:rPr>
              <w:t>Guardian’s Fund</w:t>
            </w:r>
          </w:p>
        </w:tc>
        <w:tc>
          <w:tcPr>
            <w:tcW w:w="809" w:type="pct"/>
          </w:tcPr>
          <w:p w14:paraId="013992F0"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18C6A6A8"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17F4279E"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0CA09A4D" w14:textId="77777777" w:rsidR="00CE4E24" w:rsidRPr="009351CB" w:rsidRDefault="00CE4E24" w:rsidP="009351CB">
            <w:pPr>
              <w:spacing w:line="360" w:lineRule="auto"/>
              <w:jc w:val="both"/>
            </w:pPr>
            <w:r w:rsidRPr="009351CB">
              <w:t>Unqualified</w:t>
            </w:r>
          </w:p>
        </w:tc>
        <w:tc>
          <w:tcPr>
            <w:tcW w:w="809" w:type="pct"/>
          </w:tcPr>
          <w:p w14:paraId="084C3928" w14:textId="77777777" w:rsidR="00CE4E24" w:rsidRPr="009351CB" w:rsidRDefault="00CE4E24" w:rsidP="009351CB">
            <w:pPr>
              <w:spacing w:line="360" w:lineRule="auto"/>
              <w:jc w:val="both"/>
            </w:pPr>
            <w:r w:rsidRPr="009351CB">
              <w:t>Unqualified</w:t>
            </w:r>
          </w:p>
        </w:tc>
      </w:tr>
      <w:tr w:rsidR="00CE4E24" w:rsidRPr="009351CB" w14:paraId="199046EE" w14:textId="77777777" w:rsidTr="00F909B2">
        <w:tc>
          <w:tcPr>
            <w:tcW w:w="954" w:type="pct"/>
          </w:tcPr>
          <w:p w14:paraId="07194603" w14:textId="77777777" w:rsidR="00CE4E24" w:rsidRPr="009351CB" w:rsidRDefault="00CE4E24" w:rsidP="009351CB">
            <w:pPr>
              <w:spacing w:line="360" w:lineRule="auto"/>
              <w:jc w:val="both"/>
              <w:rPr>
                <w:b/>
                <w:lang w:val="en-ZA"/>
              </w:rPr>
            </w:pPr>
            <w:r w:rsidRPr="009351CB">
              <w:rPr>
                <w:b/>
                <w:lang w:val="en-ZA"/>
              </w:rPr>
              <w:t>President’s Fund</w:t>
            </w:r>
          </w:p>
        </w:tc>
        <w:tc>
          <w:tcPr>
            <w:tcW w:w="809" w:type="pct"/>
          </w:tcPr>
          <w:p w14:paraId="6F9F9337"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57DF92AD"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370ACDB1"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3481C6C9" w14:textId="77777777" w:rsidR="00CE4E24" w:rsidRPr="009351CB" w:rsidRDefault="00CE4E24" w:rsidP="009351CB">
            <w:pPr>
              <w:spacing w:line="360" w:lineRule="auto"/>
              <w:jc w:val="both"/>
            </w:pPr>
            <w:r w:rsidRPr="009351CB">
              <w:t>Unqualified</w:t>
            </w:r>
          </w:p>
        </w:tc>
        <w:tc>
          <w:tcPr>
            <w:tcW w:w="809" w:type="pct"/>
          </w:tcPr>
          <w:p w14:paraId="71B3CB6F" w14:textId="77777777" w:rsidR="00CE4E24" w:rsidRPr="009351CB" w:rsidRDefault="00CE4E24" w:rsidP="009351CB">
            <w:pPr>
              <w:spacing w:line="360" w:lineRule="auto"/>
              <w:jc w:val="both"/>
            </w:pPr>
            <w:r w:rsidRPr="009351CB">
              <w:t>Unqualified</w:t>
            </w:r>
          </w:p>
        </w:tc>
      </w:tr>
      <w:tr w:rsidR="00CE4E24" w:rsidRPr="009351CB" w14:paraId="4FF071FC" w14:textId="77777777" w:rsidTr="00F909B2">
        <w:tc>
          <w:tcPr>
            <w:tcW w:w="954" w:type="pct"/>
          </w:tcPr>
          <w:p w14:paraId="4EFDD7A0" w14:textId="77777777" w:rsidR="00CE4E24" w:rsidRPr="009351CB" w:rsidRDefault="00CE4E24" w:rsidP="009351CB">
            <w:pPr>
              <w:spacing w:line="360" w:lineRule="auto"/>
              <w:jc w:val="both"/>
              <w:rPr>
                <w:b/>
                <w:lang w:val="en-ZA"/>
              </w:rPr>
            </w:pPr>
            <w:r w:rsidRPr="009351CB">
              <w:rPr>
                <w:b/>
                <w:lang w:val="en-ZA"/>
              </w:rPr>
              <w:t>SIU</w:t>
            </w:r>
          </w:p>
        </w:tc>
        <w:tc>
          <w:tcPr>
            <w:tcW w:w="809" w:type="pct"/>
          </w:tcPr>
          <w:p w14:paraId="7B45F3AE" w14:textId="77777777" w:rsidR="00CE4E24" w:rsidRPr="009351CB" w:rsidRDefault="00696DD2" w:rsidP="009351CB">
            <w:pPr>
              <w:spacing w:line="360" w:lineRule="auto"/>
              <w:rPr>
                <w:lang w:val="en-ZA"/>
              </w:rPr>
            </w:pPr>
            <w:r w:rsidRPr="009351CB">
              <w:rPr>
                <w:lang w:val="en-ZA"/>
              </w:rPr>
              <w:t>Unqualified with findings</w:t>
            </w:r>
          </w:p>
        </w:tc>
        <w:tc>
          <w:tcPr>
            <w:tcW w:w="809" w:type="pct"/>
          </w:tcPr>
          <w:p w14:paraId="45A26341" w14:textId="77777777" w:rsidR="00CE4E24" w:rsidRPr="009351CB" w:rsidRDefault="00696DD2" w:rsidP="009351CB">
            <w:pPr>
              <w:spacing w:line="360" w:lineRule="auto"/>
              <w:rPr>
                <w:lang w:val="en-ZA"/>
              </w:rPr>
            </w:pPr>
            <w:r w:rsidRPr="009351CB">
              <w:rPr>
                <w:lang w:val="en-ZA"/>
              </w:rPr>
              <w:t>Unqualified with findings</w:t>
            </w:r>
          </w:p>
        </w:tc>
        <w:tc>
          <w:tcPr>
            <w:tcW w:w="809" w:type="pct"/>
          </w:tcPr>
          <w:p w14:paraId="01C69700" w14:textId="77777777" w:rsidR="00CE4E24" w:rsidRPr="009351CB" w:rsidRDefault="00CE4E24" w:rsidP="009351CB">
            <w:pPr>
              <w:spacing w:line="360" w:lineRule="auto"/>
              <w:rPr>
                <w:lang w:val="en-ZA"/>
              </w:rPr>
            </w:pPr>
            <w:r w:rsidRPr="009351CB">
              <w:rPr>
                <w:lang w:val="en-ZA"/>
              </w:rPr>
              <w:t>Unqualified</w:t>
            </w:r>
          </w:p>
        </w:tc>
        <w:tc>
          <w:tcPr>
            <w:tcW w:w="809" w:type="pct"/>
          </w:tcPr>
          <w:p w14:paraId="3A9B7B12" w14:textId="77777777" w:rsidR="00CE4E24" w:rsidRPr="009351CB" w:rsidRDefault="00CE4E24" w:rsidP="009351CB">
            <w:pPr>
              <w:spacing w:line="360" w:lineRule="auto"/>
            </w:pPr>
            <w:r w:rsidRPr="009351CB">
              <w:t>Unqualified</w:t>
            </w:r>
          </w:p>
        </w:tc>
        <w:tc>
          <w:tcPr>
            <w:tcW w:w="809" w:type="pct"/>
          </w:tcPr>
          <w:p w14:paraId="79CD317D" w14:textId="77777777" w:rsidR="00CE4E24" w:rsidRPr="009351CB" w:rsidRDefault="00CE4E24" w:rsidP="009351CB">
            <w:pPr>
              <w:spacing w:line="360" w:lineRule="auto"/>
            </w:pPr>
            <w:r w:rsidRPr="009351CB">
              <w:t>Unqualified</w:t>
            </w:r>
          </w:p>
        </w:tc>
      </w:tr>
      <w:tr w:rsidR="00696DD2" w:rsidRPr="009351CB" w14:paraId="04ED7689" w14:textId="77777777" w:rsidTr="00F909B2">
        <w:tc>
          <w:tcPr>
            <w:tcW w:w="954" w:type="pct"/>
          </w:tcPr>
          <w:p w14:paraId="5651A7D6" w14:textId="77777777" w:rsidR="00696DD2" w:rsidRPr="009351CB" w:rsidRDefault="00696DD2" w:rsidP="009351CB">
            <w:pPr>
              <w:spacing w:line="360" w:lineRule="auto"/>
              <w:jc w:val="both"/>
              <w:rPr>
                <w:b/>
                <w:lang w:val="en-ZA"/>
              </w:rPr>
            </w:pPr>
            <w:r w:rsidRPr="009351CB">
              <w:rPr>
                <w:b/>
                <w:lang w:val="en-ZA"/>
              </w:rPr>
              <w:t>PPSA</w:t>
            </w:r>
          </w:p>
        </w:tc>
        <w:tc>
          <w:tcPr>
            <w:tcW w:w="809" w:type="pct"/>
          </w:tcPr>
          <w:p w14:paraId="15A0AE09" w14:textId="77777777" w:rsidR="00696DD2" w:rsidRPr="009351CB" w:rsidRDefault="00696DD2" w:rsidP="009351CB">
            <w:pPr>
              <w:spacing w:line="360" w:lineRule="auto"/>
            </w:pPr>
            <w:r w:rsidRPr="009351CB">
              <w:rPr>
                <w:lang w:val="en-ZA"/>
              </w:rPr>
              <w:t>Unqualified with findings</w:t>
            </w:r>
          </w:p>
        </w:tc>
        <w:tc>
          <w:tcPr>
            <w:tcW w:w="809" w:type="pct"/>
          </w:tcPr>
          <w:p w14:paraId="50415B52" w14:textId="77777777" w:rsidR="00696DD2" w:rsidRPr="009351CB" w:rsidRDefault="00696DD2" w:rsidP="009351CB">
            <w:pPr>
              <w:spacing w:line="360" w:lineRule="auto"/>
            </w:pPr>
            <w:r w:rsidRPr="009351CB">
              <w:rPr>
                <w:lang w:val="en-ZA"/>
              </w:rPr>
              <w:t>Unqualified with findings</w:t>
            </w:r>
          </w:p>
        </w:tc>
        <w:tc>
          <w:tcPr>
            <w:tcW w:w="809" w:type="pct"/>
          </w:tcPr>
          <w:p w14:paraId="765940A3" w14:textId="77777777" w:rsidR="00696DD2" w:rsidRPr="009351CB" w:rsidRDefault="00696DD2" w:rsidP="009351CB">
            <w:pPr>
              <w:spacing w:line="360" w:lineRule="auto"/>
              <w:rPr>
                <w:lang w:val="en-ZA"/>
              </w:rPr>
            </w:pPr>
            <w:r w:rsidRPr="009351CB">
              <w:rPr>
                <w:lang w:val="en-ZA"/>
              </w:rPr>
              <w:t>Unqualified with findings</w:t>
            </w:r>
          </w:p>
        </w:tc>
        <w:tc>
          <w:tcPr>
            <w:tcW w:w="809" w:type="pct"/>
          </w:tcPr>
          <w:p w14:paraId="5911A3FA" w14:textId="77777777" w:rsidR="00696DD2" w:rsidRPr="009351CB" w:rsidRDefault="00696DD2" w:rsidP="009351CB">
            <w:pPr>
              <w:spacing w:line="360" w:lineRule="auto"/>
            </w:pPr>
            <w:r w:rsidRPr="009351CB">
              <w:t>Unqualified with findings</w:t>
            </w:r>
          </w:p>
        </w:tc>
        <w:tc>
          <w:tcPr>
            <w:tcW w:w="809" w:type="pct"/>
          </w:tcPr>
          <w:p w14:paraId="14CC83EA" w14:textId="77777777" w:rsidR="00696DD2" w:rsidRPr="009351CB" w:rsidRDefault="00696DD2" w:rsidP="009351CB">
            <w:pPr>
              <w:spacing w:line="360" w:lineRule="auto"/>
            </w:pPr>
            <w:r w:rsidRPr="009351CB">
              <w:t>Unqualified</w:t>
            </w:r>
            <w:r w:rsidR="00F909B2" w:rsidRPr="009351CB">
              <w:t xml:space="preserve"> with findings</w:t>
            </w:r>
          </w:p>
        </w:tc>
      </w:tr>
      <w:tr w:rsidR="00CE4E24" w:rsidRPr="009351CB" w14:paraId="73BECBF7" w14:textId="77777777" w:rsidTr="00F909B2">
        <w:tc>
          <w:tcPr>
            <w:tcW w:w="954" w:type="pct"/>
          </w:tcPr>
          <w:p w14:paraId="24E92709" w14:textId="77777777" w:rsidR="00CE4E24" w:rsidRPr="009351CB" w:rsidRDefault="00CE4E24" w:rsidP="009351CB">
            <w:pPr>
              <w:spacing w:line="360" w:lineRule="auto"/>
              <w:jc w:val="both"/>
              <w:rPr>
                <w:b/>
                <w:lang w:val="en-ZA"/>
              </w:rPr>
            </w:pPr>
            <w:r w:rsidRPr="009351CB">
              <w:rPr>
                <w:b/>
                <w:lang w:val="en-ZA"/>
              </w:rPr>
              <w:t>SAHRC</w:t>
            </w:r>
          </w:p>
        </w:tc>
        <w:tc>
          <w:tcPr>
            <w:tcW w:w="809" w:type="pct"/>
          </w:tcPr>
          <w:p w14:paraId="1F8B3FC4" w14:textId="77777777" w:rsidR="00CE4E24" w:rsidRPr="009351CB" w:rsidRDefault="00696DD2" w:rsidP="009351CB">
            <w:pPr>
              <w:spacing w:line="360" w:lineRule="auto"/>
              <w:jc w:val="both"/>
              <w:rPr>
                <w:lang w:val="en-ZA"/>
              </w:rPr>
            </w:pPr>
            <w:r w:rsidRPr="009351CB">
              <w:rPr>
                <w:lang w:val="en-ZA"/>
              </w:rPr>
              <w:t>Unqualified with findings</w:t>
            </w:r>
          </w:p>
        </w:tc>
        <w:tc>
          <w:tcPr>
            <w:tcW w:w="809" w:type="pct"/>
          </w:tcPr>
          <w:p w14:paraId="3C19FE39"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4C3A9724" w14:textId="77777777" w:rsidR="00CE4E24" w:rsidRPr="009351CB" w:rsidRDefault="00CE4E24" w:rsidP="009351CB">
            <w:pPr>
              <w:spacing w:line="360" w:lineRule="auto"/>
              <w:jc w:val="both"/>
              <w:rPr>
                <w:lang w:val="en-ZA"/>
              </w:rPr>
            </w:pPr>
            <w:r w:rsidRPr="009351CB">
              <w:rPr>
                <w:lang w:val="en-ZA"/>
              </w:rPr>
              <w:t>Unqualified</w:t>
            </w:r>
          </w:p>
        </w:tc>
        <w:tc>
          <w:tcPr>
            <w:tcW w:w="809" w:type="pct"/>
          </w:tcPr>
          <w:p w14:paraId="7EC51006" w14:textId="77777777" w:rsidR="00CE4E24" w:rsidRPr="009351CB" w:rsidRDefault="00CE4E24" w:rsidP="009351CB">
            <w:pPr>
              <w:spacing w:line="360" w:lineRule="auto"/>
              <w:jc w:val="both"/>
            </w:pPr>
            <w:r w:rsidRPr="009351CB">
              <w:t>Unqualified with findings</w:t>
            </w:r>
          </w:p>
        </w:tc>
        <w:tc>
          <w:tcPr>
            <w:tcW w:w="809" w:type="pct"/>
          </w:tcPr>
          <w:p w14:paraId="6904AF1D" w14:textId="77777777" w:rsidR="00CE4E24" w:rsidRPr="009351CB" w:rsidRDefault="00CE4E24" w:rsidP="009351CB">
            <w:pPr>
              <w:spacing w:line="360" w:lineRule="auto"/>
              <w:jc w:val="both"/>
            </w:pPr>
            <w:r w:rsidRPr="009351CB">
              <w:t>Unqualified with findings</w:t>
            </w:r>
          </w:p>
        </w:tc>
      </w:tr>
    </w:tbl>
    <w:p w14:paraId="79A3BA2A" w14:textId="77777777" w:rsidR="00732CCB" w:rsidRPr="009351CB" w:rsidRDefault="00107FD1" w:rsidP="009351CB">
      <w:pPr>
        <w:pStyle w:val="ListParagraph"/>
        <w:spacing w:line="360" w:lineRule="auto"/>
        <w:ind w:left="567"/>
        <w:jc w:val="both"/>
      </w:pPr>
      <w:r w:rsidRPr="009351CB">
        <w:t xml:space="preserve"> </w:t>
      </w:r>
    </w:p>
    <w:p w14:paraId="1929CBC8" w14:textId="77777777" w:rsidR="0026238F" w:rsidRPr="009351CB" w:rsidRDefault="00E45232" w:rsidP="002C3BE7">
      <w:pPr>
        <w:pStyle w:val="ListParagraph"/>
        <w:numPr>
          <w:ilvl w:val="1"/>
          <w:numId w:val="2"/>
        </w:numPr>
        <w:tabs>
          <w:tab w:val="clear" w:pos="862"/>
        </w:tabs>
        <w:spacing w:line="360" w:lineRule="auto"/>
        <w:ind w:left="709" w:hanging="709"/>
        <w:jc w:val="both"/>
        <w:rPr>
          <w:b/>
        </w:rPr>
      </w:pPr>
      <w:r w:rsidRPr="009351CB">
        <w:rPr>
          <w:b/>
        </w:rPr>
        <w:t xml:space="preserve">Audit outcome - </w:t>
      </w:r>
      <w:r w:rsidR="0026238F" w:rsidRPr="009351CB">
        <w:rPr>
          <w:b/>
        </w:rPr>
        <w:t>Department of Justice and Constitutional Development</w:t>
      </w:r>
    </w:p>
    <w:p w14:paraId="737B6822" w14:textId="77777777" w:rsidR="0026238F" w:rsidRPr="009351CB" w:rsidRDefault="0026238F" w:rsidP="009351CB">
      <w:pPr>
        <w:pStyle w:val="ListParagraph"/>
        <w:spacing w:line="360" w:lineRule="auto"/>
        <w:ind w:left="567"/>
        <w:jc w:val="both"/>
        <w:rPr>
          <w:b/>
        </w:rPr>
      </w:pPr>
    </w:p>
    <w:p w14:paraId="6056CE32" w14:textId="375975FF" w:rsidR="0026238F" w:rsidRPr="009351CB" w:rsidRDefault="0026238F" w:rsidP="004F6019">
      <w:pPr>
        <w:pStyle w:val="ListParagraph"/>
        <w:numPr>
          <w:ilvl w:val="2"/>
          <w:numId w:val="11"/>
        </w:numPr>
        <w:spacing w:line="360" w:lineRule="auto"/>
        <w:jc w:val="both"/>
      </w:pPr>
      <w:r w:rsidRPr="009351CB">
        <w:t>The Department received a qualified audit opinion for 201</w:t>
      </w:r>
      <w:r w:rsidR="008A1E7B" w:rsidRPr="009351CB">
        <w:t>8/19</w:t>
      </w:r>
      <w:r w:rsidRPr="009351CB">
        <w:t xml:space="preserve"> with the following findings: </w:t>
      </w:r>
    </w:p>
    <w:p w14:paraId="7D313917" w14:textId="53D6B1B6" w:rsidR="00920AB9" w:rsidRPr="009351CB" w:rsidRDefault="0026238F" w:rsidP="004F6019">
      <w:pPr>
        <w:pStyle w:val="ListParagraph"/>
        <w:numPr>
          <w:ilvl w:val="0"/>
          <w:numId w:val="8"/>
        </w:numPr>
        <w:autoSpaceDE w:val="0"/>
        <w:autoSpaceDN w:val="0"/>
        <w:adjustRightInd w:val="0"/>
        <w:spacing w:line="360" w:lineRule="auto"/>
        <w:jc w:val="both"/>
      </w:pPr>
      <w:r w:rsidRPr="00F151D4">
        <w:t>Contingent liabilities stated at R2.2</w:t>
      </w:r>
      <w:r w:rsidR="008A1E7B" w:rsidRPr="00F151D4">
        <w:t>35</w:t>
      </w:r>
      <w:r w:rsidRPr="00F151D4">
        <w:t xml:space="preserve"> billion</w:t>
      </w:r>
      <w:r w:rsidRPr="009351CB">
        <w:t>. The Auditor-General found that the Department d</w:t>
      </w:r>
      <w:r w:rsidR="00FF71A5" w:rsidRPr="009351CB">
        <w:t>id</w:t>
      </w:r>
      <w:r w:rsidRPr="009351CB">
        <w:t xml:space="preserve"> not have adequate internal controls to estimate the likely settlement amounts for claims against the State</w:t>
      </w:r>
    </w:p>
    <w:p w14:paraId="64681AE5" w14:textId="77777777" w:rsidR="0026238F" w:rsidRPr="009351CB" w:rsidRDefault="00EF4E62" w:rsidP="004F6019">
      <w:pPr>
        <w:pStyle w:val="ListParagraph"/>
        <w:numPr>
          <w:ilvl w:val="0"/>
          <w:numId w:val="8"/>
        </w:numPr>
        <w:autoSpaceDE w:val="0"/>
        <w:autoSpaceDN w:val="0"/>
        <w:adjustRightInd w:val="0"/>
        <w:spacing w:line="360" w:lineRule="auto"/>
        <w:jc w:val="both"/>
      </w:pPr>
      <w:r w:rsidRPr="00F151D4">
        <w:t xml:space="preserve">Movable tangible </w:t>
      </w:r>
      <w:r w:rsidR="00920AB9" w:rsidRPr="00F151D4">
        <w:t xml:space="preserve">capital </w:t>
      </w:r>
      <w:r w:rsidRPr="00F151D4">
        <w:t>assets</w:t>
      </w:r>
      <w:r w:rsidR="0026238F" w:rsidRPr="009351CB">
        <w:t xml:space="preserve">. The Auditor-General </w:t>
      </w:r>
      <w:r w:rsidR="003A53B1" w:rsidRPr="009351CB">
        <w:t>found that the Department did not have adequate internal controls to ensure effective maintenance of the asset register.</w:t>
      </w:r>
    </w:p>
    <w:p w14:paraId="08DCA0A1" w14:textId="77777777" w:rsidR="0026238F" w:rsidRPr="009351CB" w:rsidRDefault="0026238F" w:rsidP="009351CB">
      <w:pPr>
        <w:pStyle w:val="ListParagraph"/>
        <w:spacing w:line="360" w:lineRule="auto"/>
        <w:jc w:val="both"/>
      </w:pPr>
    </w:p>
    <w:p w14:paraId="130B0760" w14:textId="77777777" w:rsidR="0026238F" w:rsidRPr="009351CB" w:rsidRDefault="0026238F" w:rsidP="004F6019">
      <w:pPr>
        <w:pStyle w:val="ListParagraph"/>
        <w:numPr>
          <w:ilvl w:val="2"/>
          <w:numId w:val="11"/>
        </w:numPr>
        <w:spacing w:line="360" w:lineRule="auto"/>
        <w:jc w:val="both"/>
      </w:pPr>
      <w:r w:rsidRPr="009351CB">
        <w:t xml:space="preserve">On the </w:t>
      </w:r>
      <w:r w:rsidR="003A53B1" w:rsidRPr="009351CB">
        <w:t xml:space="preserve">quality of </w:t>
      </w:r>
      <w:r w:rsidRPr="009351CB">
        <w:t>the reported performance information, the Auditor-General made the following material findings:</w:t>
      </w:r>
    </w:p>
    <w:p w14:paraId="29269AE9" w14:textId="17513248" w:rsidR="0026238F" w:rsidRPr="009351CB" w:rsidRDefault="0026238F" w:rsidP="004F6019">
      <w:pPr>
        <w:pStyle w:val="ListParagraph"/>
        <w:numPr>
          <w:ilvl w:val="0"/>
          <w:numId w:val="8"/>
        </w:numPr>
        <w:autoSpaceDE w:val="0"/>
        <w:autoSpaceDN w:val="0"/>
        <w:adjustRightInd w:val="0"/>
        <w:spacing w:line="360" w:lineRule="auto"/>
        <w:jc w:val="both"/>
      </w:pPr>
      <w:r w:rsidRPr="009351CB">
        <w:t xml:space="preserve">Sufficient appropriate audit evidence could not be provided in some instances, while in others the supporting evidence provided did not agree with the reported achievements. As the Auditor-General was unable to confirm the reason for the variances by alternative means, it was not possible to determine whether any adjustments were necessary to </w:t>
      </w:r>
      <w:r w:rsidR="00FF71A5" w:rsidRPr="009351CB">
        <w:t xml:space="preserve">the </w:t>
      </w:r>
      <w:r w:rsidRPr="009351CB">
        <w:t>reported achievements of various indicators under Court Ser</w:t>
      </w:r>
      <w:r w:rsidR="00466E2C" w:rsidRPr="009351CB">
        <w:t>vices and State Legal Services (</w:t>
      </w:r>
      <w:r w:rsidRPr="009351CB">
        <w:t>The following indicators under</w:t>
      </w:r>
      <w:r w:rsidR="00466E2C" w:rsidRPr="009351CB">
        <w:t xml:space="preserve"> Courts Services are affected: n</w:t>
      </w:r>
      <w:r w:rsidRPr="009351CB">
        <w:t xml:space="preserve">umber of criminal cases on the backlog roll in lower courts; percentage of </w:t>
      </w:r>
      <w:r w:rsidR="003A53B1" w:rsidRPr="009351CB">
        <w:t xml:space="preserve">child justice preliminary inquiries finalised within 90 days after first appearance; percentage of criminal cases postponed due to unavailability of court administration staff; percentage of </w:t>
      </w:r>
      <w:r w:rsidRPr="009351CB">
        <w:t>maintenance matters finalised within 90 day of service</w:t>
      </w:r>
      <w:r w:rsidR="003A53B1" w:rsidRPr="009351CB">
        <w:t>.</w:t>
      </w:r>
      <w:r w:rsidR="00466E2C" w:rsidRPr="009351CB">
        <w:t xml:space="preserve"> </w:t>
      </w:r>
      <w:r w:rsidRPr="009351CB">
        <w:t>In the State Legal Services programme, the following indicators were identifi</w:t>
      </w:r>
      <w:r w:rsidR="00466E2C" w:rsidRPr="009351CB">
        <w:t>ed: n</w:t>
      </w:r>
      <w:r w:rsidRPr="009351CB">
        <w:t xml:space="preserve">umber of </w:t>
      </w:r>
      <w:r w:rsidR="003A53B1" w:rsidRPr="009351CB">
        <w:t xml:space="preserve">enrolled matters presented in the </w:t>
      </w:r>
      <w:r w:rsidRPr="009351CB">
        <w:t xml:space="preserve">High Court by the State Attorney; and </w:t>
      </w:r>
      <w:r w:rsidR="003A53B1" w:rsidRPr="009351CB">
        <w:t>percentage of litigation cases settled)</w:t>
      </w:r>
      <w:r w:rsidRPr="009351CB">
        <w:t>.</w:t>
      </w:r>
    </w:p>
    <w:p w14:paraId="4911967D" w14:textId="77777777" w:rsidR="0026238F" w:rsidRPr="009351CB" w:rsidRDefault="0026238F" w:rsidP="009351CB">
      <w:pPr>
        <w:spacing w:line="360" w:lineRule="auto"/>
        <w:jc w:val="both"/>
      </w:pPr>
    </w:p>
    <w:p w14:paraId="42C71BF1" w14:textId="77777777" w:rsidR="0026238F" w:rsidRPr="009351CB" w:rsidRDefault="0026238F" w:rsidP="004F6019">
      <w:pPr>
        <w:pStyle w:val="ListParagraph"/>
        <w:numPr>
          <w:ilvl w:val="2"/>
          <w:numId w:val="11"/>
        </w:numPr>
        <w:spacing w:line="360" w:lineRule="auto"/>
        <w:jc w:val="both"/>
      </w:pPr>
      <w:r w:rsidRPr="009351CB">
        <w:t>On compliance with legislation, the Auditor-General reported as follows:</w:t>
      </w:r>
    </w:p>
    <w:p w14:paraId="6B87C0EB"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 xml:space="preserve">Uncorrected material misstatements </w:t>
      </w:r>
      <w:r w:rsidR="009F2D5F" w:rsidRPr="009351CB">
        <w:t xml:space="preserve">resulted in the financial statements receiving a </w:t>
      </w:r>
      <w:r w:rsidRPr="009351CB">
        <w:t>qualified opinion.</w:t>
      </w:r>
    </w:p>
    <w:p w14:paraId="5200E571"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 xml:space="preserve">Effective steps were not taken to prevent irregular expenditure. </w:t>
      </w:r>
      <w:r w:rsidR="008B3F27" w:rsidRPr="009351CB">
        <w:t xml:space="preserve">In addition, the value stated in the Annual Financial Statements was not complete. The majority of the irregular expenditure relates to non-compliance with supply chain management legislation. </w:t>
      </w:r>
    </w:p>
    <w:p w14:paraId="076EF373" w14:textId="019271BF" w:rsidR="0026238F" w:rsidRPr="009351CB" w:rsidRDefault="0026238F" w:rsidP="004F6019">
      <w:pPr>
        <w:pStyle w:val="ListParagraph"/>
        <w:numPr>
          <w:ilvl w:val="0"/>
          <w:numId w:val="8"/>
        </w:numPr>
        <w:autoSpaceDE w:val="0"/>
        <w:autoSpaceDN w:val="0"/>
        <w:adjustRightInd w:val="0"/>
        <w:spacing w:line="360" w:lineRule="auto"/>
        <w:jc w:val="both"/>
      </w:pPr>
      <w:r w:rsidRPr="009351CB">
        <w:t>Effective steps were not taken to prevent fruitless and wasteful expenditure.</w:t>
      </w:r>
    </w:p>
    <w:p w14:paraId="467E3C9F"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Contracts were extended or modified without approval of a properly delegated official.</w:t>
      </w:r>
    </w:p>
    <w:p w14:paraId="73E8824A"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 xml:space="preserve">Some goods and services with a value of more than R500 000 were procured without inviting competitive bids </w:t>
      </w:r>
      <w:r w:rsidR="008B3F27" w:rsidRPr="009351CB">
        <w:t xml:space="preserve">and deviations were approved </w:t>
      </w:r>
      <w:r w:rsidRPr="009351CB">
        <w:t>although it was practical to invite bids.</w:t>
      </w:r>
    </w:p>
    <w:p w14:paraId="39DB4B9E"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 xml:space="preserve">Some goods and services with a contract value of less than R500 000 were procured without obtaining the required price quotations. </w:t>
      </w:r>
    </w:p>
    <w:p w14:paraId="2CF0B442" w14:textId="77777777" w:rsidR="00614763" w:rsidRPr="009351CB" w:rsidRDefault="00614763" w:rsidP="004F6019">
      <w:pPr>
        <w:pStyle w:val="ListParagraph"/>
        <w:numPr>
          <w:ilvl w:val="0"/>
          <w:numId w:val="8"/>
        </w:numPr>
        <w:autoSpaceDE w:val="0"/>
        <w:autoSpaceDN w:val="0"/>
        <w:adjustRightInd w:val="0"/>
        <w:spacing w:line="360" w:lineRule="auto"/>
        <w:jc w:val="both"/>
      </w:pPr>
      <w:r w:rsidRPr="009351CB">
        <w:t xml:space="preserve">In some instances, persons in service of the department failed to disclose that close family members, partners or associates had a private or business interest in contracts awarded by the department. </w:t>
      </w:r>
    </w:p>
    <w:p w14:paraId="294002DF"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The Accounting Officer did not effectively oversee financial and performance reporting and compliance, as well as related internal controls.</w:t>
      </w:r>
    </w:p>
    <w:p w14:paraId="17BAF603"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 xml:space="preserve">Management </w:t>
      </w:r>
      <w:r w:rsidR="00614763" w:rsidRPr="009351CB">
        <w:t xml:space="preserve">did not adequately monitor the implementation of action plans to address internal control deficiencies; </w:t>
      </w:r>
      <w:r w:rsidRPr="009351CB">
        <w:t>there were insufficient monitoring controls in place to ensure compliance with legislation; and proper record management systems and internal processes were not in place to ensure timely, credible financial and performance reporting.</w:t>
      </w:r>
    </w:p>
    <w:p w14:paraId="7A7C9220" w14:textId="77777777" w:rsidR="00614763" w:rsidRPr="009351CB" w:rsidRDefault="00614763" w:rsidP="004F6019">
      <w:pPr>
        <w:pStyle w:val="ListParagraph"/>
        <w:numPr>
          <w:ilvl w:val="0"/>
          <w:numId w:val="8"/>
        </w:numPr>
        <w:autoSpaceDE w:val="0"/>
        <w:autoSpaceDN w:val="0"/>
        <w:adjustRightInd w:val="0"/>
        <w:spacing w:line="360" w:lineRule="auto"/>
        <w:jc w:val="both"/>
      </w:pPr>
      <w:r w:rsidRPr="009351CB">
        <w:t xml:space="preserve">Management did not design and implement formal </w:t>
      </w:r>
      <w:r w:rsidR="00920AB9" w:rsidRPr="009351CB">
        <w:t>controls over</w:t>
      </w:r>
      <w:r w:rsidRPr="009351CB">
        <w:t xml:space="preserve"> IT systems to ensure the reliability of the systems and the availability, accuracy and protection of information.</w:t>
      </w:r>
    </w:p>
    <w:p w14:paraId="17FEC8F1" w14:textId="77777777" w:rsidR="0026238F" w:rsidRPr="009351CB" w:rsidRDefault="0026238F" w:rsidP="009351CB">
      <w:pPr>
        <w:pStyle w:val="ListParagraph"/>
        <w:spacing w:line="360" w:lineRule="auto"/>
      </w:pPr>
    </w:p>
    <w:p w14:paraId="246F8E02" w14:textId="77777777" w:rsidR="0026238F" w:rsidRPr="009351CB" w:rsidRDefault="0026238F" w:rsidP="004F6019">
      <w:pPr>
        <w:pStyle w:val="ListParagraph"/>
        <w:numPr>
          <w:ilvl w:val="2"/>
          <w:numId w:val="11"/>
        </w:numPr>
        <w:spacing w:line="360" w:lineRule="auto"/>
        <w:jc w:val="both"/>
      </w:pPr>
      <w:r w:rsidRPr="009351CB">
        <w:t xml:space="preserve">The Department recorded increases in both irregular </w:t>
      </w:r>
      <w:r w:rsidR="00466E2C" w:rsidRPr="009351CB">
        <w:t xml:space="preserve">expenditure </w:t>
      </w:r>
      <w:r w:rsidRPr="009351CB">
        <w:t>and fruitless and wasteful expenditure i</w:t>
      </w:r>
      <w:r w:rsidR="00920AB9" w:rsidRPr="009351CB">
        <w:t>n 2018/19</w:t>
      </w:r>
      <w:r w:rsidR="00466E2C" w:rsidRPr="009351CB">
        <w:t>:</w:t>
      </w:r>
    </w:p>
    <w:p w14:paraId="66A7AF00" w14:textId="77777777" w:rsidR="00F41FC7" w:rsidRPr="009351CB" w:rsidRDefault="0026238F" w:rsidP="004F6019">
      <w:pPr>
        <w:pStyle w:val="ListParagraph"/>
        <w:numPr>
          <w:ilvl w:val="0"/>
          <w:numId w:val="8"/>
        </w:numPr>
        <w:autoSpaceDE w:val="0"/>
        <w:autoSpaceDN w:val="0"/>
        <w:adjustRightInd w:val="0"/>
        <w:spacing w:line="360" w:lineRule="auto"/>
        <w:jc w:val="both"/>
      </w:pPr>
      <w:r w:rsidRPr="009351CB">
        <w:t>Irregu</w:t>
      </w:r>
      <w:r w:rsidR="00920AB9" w:rsidRPr="009351CB">
        <w:t>lar expenditure increased to R1.1 billion in 2018/19, of which R771 million relates to 2017/18</w:t>
      </w:r>
      <w:r w:rsidR="00F41FC7" w:rsidRPr="009351CB">
        <w:t xml:space="preserve"> and R592.2. million in 2018/19.</w:t>
      </w:r>
    </w:p>
    <w:p w14:paraId="49F18FC1" w14:textId="77777777" w:rsidR="0026238F" w:rsidRPr="009351CB" w:rsidRDefault="0026238F" w:rsidP="004F6019">
      <w:pPr>
        <w:pStyle w:val="ListParagraph"/>
        <w:numPr>
          <w:ilvl w:val="0"/>
          <w:numId w:val="8"/>
        </w:numPr>
        <w:autoSpaceDE w:val="0"/>
        <w:autoSpaceDN w:val="0"/>
        <w:adjustRightInd w:val="0"/>
        <w:spacing w:line="360" w:lineRule="auto"/>
        <w:jc w:val="both"/>
      </w:pPr>
      <w:r w:rsidRPr="009351CB">
        <w:t>Fruitles</w:t>
      </w:r>
      <w:r w:rsidR="00920AB9" w:rsidRPr="009351CB">
        <w:t>s and wasteful expenditure of R1.25 million was identified in 2018/19</w:t>
      </w:r>
      <w:r w:rsidRPr="009351CB">
        <w:t>.</w:t>
      </w:r>
    </w:p>
    <w:p w14:paraId="5324C983" w14:textId="77777777" w:rsidR="0026238F" w:rsidRPr="009351CB" w:rsidRDefault="0026238F" w:rsidP="009351CB">
      <w:pPr>
        <w:spacing w:line="360" w:lineRule="auto"/>
        <w:jc w:val="both"/>
      </w:pPr>
    </w:p>
    <w:p w14:paraId="45537DBB" w14:textId="77777777" w:rsidR="00965A96" w:rsidRPr="009351CB" w:rsidRDefault="00965A96" w:rsidP="009351CB">
      <w:pPr>
        <w:autoSpaceDE w:val="0"/>
        <w:autoSpaceDN w:val="0"/>
        <w:adjustRightInd w:val="0"/>
        <w:spacing w:line="360" w:lineRule="auto"/>
        <w:jc w:val="both"/>
        <w:rPr>
          <w:lang w:val="en-US"/>
        </w:rPr>
      </w:pPr>
    </w:p>
    <w:p w14:paraId="2F0B524A" w14:textId="77777777" w:rsidR="00106280" w:rsidRPr="009351CB" w:rsidRDefault="00FD0282" w:rsidP="002C3BE7">
      <w:pPr>
        <w:numPr>
          <w:ilvl w:val="0"/>
          <w:numId w:val="2"/>
        </w:numPr>
        <w:tabs>
          <w:tab w:val="clear" w:pos="360"/>
          <w:tab w:val="num" w:pos="709"/>
        </w:tabs>
        <w:spacing w:line="360" w:lineRule="auto"/>
        <w:ind w:left="709" w:hanging="709"/>
        <w:jc w:val="both"/>
        <w:rPr>
          <w:b/>
        </w:rPr>
      </w:pPr>
      <w:r w:rsidRPr="009351CB">
        <w:rPr>
          <w:b/>
        </w:rPr>
        <w:t xml:space="preserve">Vote </w:t>
      </w:r>
      <w:r w:rsidR="00F909B2" w:rsidRPr="009351CB">
        <w:rPr>
          <w:b/>
        </w:rPr>
        <w:t>e</w:t>
      </w:r>
      <w:r w:rsidR="00243513" w:rsidRPr="009351CB">
        <w:rPr>
          <w:b/>
        </w:rPr>
        <w:t>xpenditure 2018/19</w:t>
      </w:r>
      <w:r w:rsidR="006C735A" w:rsidRPr="009351CB">
        <w:rPr>
          <w:b/>
        </w:rPr>
        <w:t xml:space="preserve"> </w:t>
      </w:r>
    </w:p>
    <w:p w14:paraId="6060B52D" w14:textId="77777777" w:rsidR="00CC339B" w:rsidRPr="009351CB" w:rsidRDefault="00CC339B" w:rsidP="009351CB">
      <w:pPr>
        <w:pStyle w:val="ListParagraph"/>
        <w:spacing w:line="360" w:lineRule="auto"/>
        <w:ind w:left="540"/>
        <w:jc w:val="both"/>
        <w:rPr>
          <w:b/>
        </w:rPr>
      </w:pPr>
    </w:p>
    <w:p w14:paraId="79136672" w14:textId="7B6E876C" w:rsidR="00CC339B" w:rsidRPr="009351CB" w:rsidRDefault="00E14136" w:rsidP="002C3BE7">
      <w:pPr>
        <w:pStyle w:val="ListParagraph"/>
        <w:numPr>
          <w:ilvl w:val="1"/>
          <w:numId w:val="2"/>
        </w:numPr>
        <w:tabs>
          <w:tab w:val="clear" w:pos="862"/>
          <w:tab w:val="num" w:pos="709"/>
        </w:tabs>
        <w:spacing w:line="360" w:lineRule="auto"/>
        <w:ind w:left="709" w:hanging="709"/>
        <w:jc w:val="both"/>
      </w:pPr>
      <w:r w:rsidRPr="009351CB">
        <w:rPr>
          <w:rFonts w:eastAsiaTheme="minorHAnsi"/>
          <w:color w:val="000000"/>
          <w:lang w:eastAsia="en-US"/>
        </w:rPr>
        <w:t>In 201</w:t>
      </w:r>
      <w:r w:rsidR="00920AB9" w:rsidRPr="009351CB">
        <w:rPr>
          <w:rFonts w:eastAsiaTheme="minorHAnsi"/>
          <w:color w:val="000000"/>
          <w:lang w:eastAsia="en-US"/>
        </w:rPr>
        <w:t xml:space="preserve">8/19, </w:t>
      </w:r>
      <w:r w:rsidR="005F39F1" w:rsidRPr="009351CB">
        <w:rPr>
          <w:rFonts w:eastAsiaTheme="minorHAnsi"/>
          <w:color w:val="000000"/>
          <w:lang w:eastAsia="en-US"/>
        </w:rPr>
        <w:t>t</w:t>
      </w:r>
      <w:r w:rsidR="00106280" w:rsidRPr="009351CB">
        <w:rPr>
          <w:rFonts w:eastAsiaTheme="minorHAnsi"/>
          <w:color w:val="000000"/>
          <w:lang w:eastAsia="en-US"/>
        </w:rPr>
        <w:t xml:space="preserve">he </w:t>
      </w:r>
      <w:r w:rsidR="00B80ACE" w:rsidRPr="009351CB">
        <w:rPr>
          <w:rFonts w:eastAsiaTheme="minorHAnsi"/>
          <w:color w:val="000000"/>
          <w:lang w:eastAsia="en-US"/>
        </w:rPr>
        <w:t xml:space="preserve">Vote </w:t>
      </w:r>
      <w:r w:rsidRPr="009351CB">
        <w:rPr>
          <w:rFonts w:eastAsiaTheme="minorHAnsi"/>
          <w:color w:val="000000"/>
          <w:lang w:eastAsia="en-US"/>
        </w:rPr>
        <w:t xml:space="preserve">was </w:t>
      </w:r>
      <w:r w:rsidR="00CC339B" w:rsidRPr="009351CB">
        <w:rPr>
          <w:rFonts w:eastAsiaTheme="minorHAnsi"/>
          <w:color w:val="000000"/>
          <w:lang w:eastAsia="en-US"/>
        </w:rPr>
        <w:t xml:space="preserve">allocated </w:t>
      </w:r>
      <w:r w:rsidR="00A70889" w:rsidRPr="009351CB">
        <w:rPr>
          <w:rFonts w:eastAsiaTheme="minorHAnsi"/>
          <w:color w:val="000000"/>
          <w:lang w:eastAsia="en-US"/>
        </w:rPr>
        <w:t>R19.2</w:t>
      </w:r>
      <w:r w:rsidR="00920AB9" w:rsidRPr="009351CB">
        <w:rPr>
          <w:rFonts w:eastAsiaTheme="minorHAnsi"/>
          <w:color w:val="000000"/>
          <w:lang w:eastAsia="en-US"/>
        </w:rPr>
        <w:t xml:space="preserve"> billion</w:t>
      </w:r>
      <w:r w:rsidR="005F39F1" w:rsidRPr="009351CB">
        <w:rPr>
          <w:rFonts w:eastAsiaTheme="minorHAnsi"/>
          <w:color w:val="000000"/>
          <w:lang w:eastAsia="en-US"/>
        </w:rPr>
        <w:t>,</w:t>
      </w:r>
      <w:r w:rsidR="0002312F" w:rsidRPr="009351CB">
        <w:rPr>
          <w:rFonts w:eastAsiaTheme="minorHAnsi"/>
          <w:color w:val="000000"/>
          <w:lang w:eastAsia="en-US"/>
        </w:rPr>
        <w:t xml:space="preserve"> as follows: </w:t>
      </w:r>
      <w:r w:rsidR="00CB7D03" w:rsidRPr="009351CB">
        <w:rPr>
          <w:rFonts w:eastAsiaTheme="minorHAnsi"/>
          <w:color w:val="000000"/>
          <w:lang w:eastAsia="en-US"/>
        </w:rPr>
        <w:t>p</w:t>
      </w:r>
      <w:r w:rsidR="00B80ACE" w:rsidRPr="009351CB">
        <w:rPr>
          <w:rFonts w:eastAsiaTheme="minorHAnsi"/>
          <w:color w:val="000000"/>
          <w:lang w:eastAsia="en-US"/>
        </w:rPr>
        <w:t xml:space="preserve">rogrammes were allocated </w:t>
      </w:r>
      <w:r w:rsidRPr="009351CB">
        <w:rPr>
          <w:rFonts w:eastAsiaTheme="minorHAnsi"/>
          <w:color w:val="000000"/>
          <w:lang w:eastAsia="en-US"/>
        </w:rPr>
        <w:t>R1</w:t>
      </w:r>
      <w:r w:rsidR="00A70889" w:rsidRPr="009351CB">
        <w:rPr>
          <w:rFonts w:eastAsiaTheme="minorHAnsi"/>
          <w:color w:val="000000"/>
          <w:lang w:eastAsia="en-US"/>
        </w:rPr>
        <w:t>7.04</w:t>
      </w:r>
      <w:r w:rsidR="003C4002" w:rsidRPr="009351CB">
        <w:rPr>
          <w:rFonts w:eastAsiaTheme="minorHAnsi"/>
          <w:color w:val="000000"/>
          <w:lang w:eastAsia="en-US"/>
        </w:rPr>
        <w:t xml:space="preserve"> billion</w:t>
      </w:r>
      <w:r w:rsidR="0002312F" w:rsidRPr="009351CB">
        <w:rPr>
          <w:rFonts w:eastAsiaTheme="minorHAnsi"/>
          <w:color w:val="000000"/>
          <w:lang w:eastAsia="en-US"/>
        </w:rPr>
        <w:t xml:space="preserve"> and a </w:t>
      </w:r>
      <w:r w:rsidR="003C4002" w:rsidRPr="009351CB">
        <w:rPr>
          <w:rFonts w:eastAsiaTheme="minorHAnsi"/>
          <w:color w:val="000000"/>
          <w:lang w:eastAsia="en-US"/>
        </w:rPr>
        <w:t>further R2</w:t>
      </w:r>
      <w:r w:rsidRPr="009351CB">
        <w:rPr>
          <w:rFonts w:eastAsiaTheme="minorHAnsi"/>
          <w:color w:val="000000"/>
          <w:lang w:eastAsia="en-US"/>
        </w:rPr>
        <w:t>.2</w:t>
      </w:r>
      <w:r w:rsidR="003C4002" w:rsidRPr="009351CB">
        <w:rPr>
          <w:rFonts w:eastAsiaTheme="minorHAnsi"/>
          <w:color w:val="000000"/>
          <w:lang w:eastAsia="en-US"/>
        </w:rPr>
        <w:t xml:space="preserve"> billion was allocated for magistrates</w:t>
      </w:r>
      <w:r w:rsidR="00C662B4" w:rsidRPr="009351CB">
        <w:rPr>
          <w:rFonts w:eastAsiaTheme="minorHAnsi"/>
          <w:color w:val="000000"/>
          <w:lang w:eastAsia="en-US"/>
        </w:rPr>
        <w:t>’</w:t>
      </w:r>
      <w:r w:rsidR="003C4002" w:rsidRPr="009351CB">
        <w:rPr>
          <w:rFonts w:eastAsiaTheme="minorHAnsi"/>
          <w:color w:val="000000"/>
          <w:lang w:eastAsia="en-US"/>
        </w:rPr>
        <w:t xml:space="preserve"> salaries. </w:t>
      </w:r>
      <w:r w:rsidR="00EC7A22" w:rsidRPr="009351CB">
        <w:t>Following</w:t>
      </w:r>
      <w:r w:rsidR="00EC7A22" w:rsidRPr="009351CB">
        <w:rPr>
          <w:rFonts w:eastAsiaTheme="minorHAnsi"/>
          <w:color w:val="000000"/>
          <w:lang w:eastAsia="en-US"/>
        </w:rPr>
        <w:t xml:space="preserve"> the </w:t>
      </w:r>
      <w:r w:rsidR="00CC339B" w:rsidRPr="009351CB">
        <w:rPr>
          <w:rFonts w:eastAsiaTheme="minorHAnsi"/>
          <w:color w:val="000000"/>
          <w:lang w:eastAsia="en-US"/>
        </w:rPr>
        <w:t>A</w:t>
      </w:r>
      <w:r w:rsidR="00EC7A22" w:rsidRPr="009351CB">
        <w:rPr>
          <w:rFonts w:eastAsiaTheme="minorHAnsi"/>
          <w:color w:val="000000"/>
          <w:lang w:eastAsia="en-US"/>
        </w:rPr>
        <w:t>dju</w:t>
      </w:r>
      <w:r w:rsidR="00FF71A5" w:rsidRPr="009351CB">
        <w:rPr>
          <w:rFonts w:eastAsiaTheme="minorHAnsi"/>
          <w:color w:val="000000"/>
          <w:lang w:eastAsia="en-US"/>
        </w:rPr>
        <w:t>stment</w:t>
      </w:r>
      <w:r w:rsidRPr="009351CB">
        <w:rPr>
          <w:rFonts w:eastAsiaTheme="minorHAnsi"/>
          <w:color w:val="000000"/>
          <w:lang w:eastAsia="en-US"/>
        </w:rPr>
        <w:t xml:space="preserve"> p</w:t>
      </w:r>
      <w:r w:rsidR="00A70889" w:rsidRPr="009351CB">
        <w:rPr>
          <w:rFonts w:eastAsiaTheme="minorHAnsi"/>
          <w:color w:val="000000"/>
          <w:lang w:eastAsia="en-US"/>
        </w:rPr>
        <w:t>rocess in October 2018</w:t>
      </w:r>
      <w:r w:rsidR="00EC7A22" w:rsidRPr="009351CB">
        <w:rPr>
          <w:rFonts w:eastAsiaTheme="minorHAnsi"/>
          <w:color w:val="000000"/>
          <w:lang w:eastAsia="en-US"/>
        </w:rPr>
        <w:t xml:space="preserve">, the allocation was </w:t>
      </w:r>
      <w:r w:rsidRPr="009351CB">
        <w:rPr>
          <w:rFonts w:eastAsiaTheme="minorHAnsi"/>
          <w:color w:val="000000"/>
          <w:lang w:eastAsia="en-US"/>
        </w:rPr>
        <w:t xml:space="preserve">adjusted </w:t>
      </w:r>
      <w:r w:rsidR="00A70889" w:rsidRPr="009351CB">
        <w:rPr>
          <w:rFonts w:eastAsiaTheme="minorHAnsi"/>
          <w:color w:val="000000"/>
          <w:lang w:eastAsia="en-US"/>
        </w:rPr>
        <w:t>up</w:t>
      </w:r>
      <w:r w:rsidRPr="009351CB">
        <w:rPr>
          <w:rFonts w:eastAsiaTheme="minorHAnsi"/>
          <w:color w:val="000000"/>
          <w:lang w:eastAsia="en-US"/>
        </w:rPr>
        <w:t>wards by R</w:t>
      </w:r>
      <w:r w:rsidR="00A70889" w:rsidRPr="009351CB">
        <w:rPr>
          <w:rFonts w:eastAsiaTheme="minorHAnsi"/>
          <w:color w:val="000000"/>
          <w:lang w:eastAsia="en-US"/>
        </w:rPr>
        <w:t xml:space="preserve">409.4 </w:t>
      </w:r>
      <w:r w:rsidRPr="009351CB">
        <w:rPr>
          <w:rFonts w:eastAsiaTheme="minorHAnsi"/>
          <w:color w:val="000000"/>
          <w:lang w:eastAsia="en-US"/>
        </w:rPr>
        <w:t xml:space="preserve">million </w:t>
      </w:r>
      <w:r w:rsidR="00A70889" w:rsidRPr="009351CB">
        <w:rPr>
          <w:rFonts w:eastAsiaTheme="minorHAnsi"/>
          <w:color w:val="000000"/>
          <w:lang w:eastAsia="en-US"/>
        </w:rPr>
        <w:t>to R19.</w:t>
      </w:r>
      <w:r w:rsidR="009D7530" w:rsidRPr="009351CB">
        <w:rPr>
          <w:rFonts w:eastAsiaTheme="minorHAnsi"/>
          <w:color w:val="000000"/>
          <w:lang w:eastAsia="en-US"/>
        </w:rPr>
        <w:t>8 billion</w:t>
      </w:r>
      <w:r w:rsidR="00A70889" w:rsidRPr="009351CB">
        <w:rPr>
          <w:rFonts w:eastAsiaTheme="minorHAnsi"/>
          <w:color w:val="000000"/>
          <w:lang w:eastAsia="en-US"/>
        </w:rPr>
        <w:t xml:space="preserve"> for the work of the judicial commissions of inquiry.</w:t>
      </w:r>
      <w:r w:rsidR="00576A4A" w:rsidRPr="009351CB">
        <w:rPr>
          <w:rFonts w:eastAsiaTheme="minorHAnsi"/>
          <w:color w:val="000000"/>
          <w:lang w:eastAsia="en-US"/>
        </w:rPr>
        <w:t xml:space="preserve"> </w:t>
      </w:r>
    </w:p>
    <w:p w14:paraId="784E2137" w14:textId="77777777" w:rsidR="00CC339B" w:rsidRPr="009351CB" w:rsidRDefault="00CC339B" w:rsidP="009351CB">
      <w:pPr>
        <w:spacing w:line="360" w:lineRule="auto"/>
        <w:ind w:left="375"/>
        <w:rPr>
          <w:b/>
        </w:rPr>
      </w:pPr>
    </w:p>
    <w:p w14:paraId="685D3A48" w14:textId="77777777" w:rsidR="00CC339B" w:rsidRPr="009351CB" w:rsidRDefault="00CC339B" w:rsidP="009351CB">
      <w:pPr>
        <w:spacing w:line="360" w:lineRule="auto"/>
        <w:ind w:left="375"/>
        <w:rPr>
          <w:b/>
        </w:rPr>
      </w:pPr>
      <w:r w:rsidRPr="009351CB">
        <w:rPr>
          <w:b/>
        </w:rPr>
        <w:t>Table 2: Vote 21 - Justice and Constitutional Devel</w:t>
      </w:r>
      <w:r w:rsidR="00795655" w:rsidRPr="009351CB">
        <w:rPr>
          <w:b/>
        </w:rPr>
        <w:t xml:space="preserve">opment – </w:t>
      </w:r>
      <w:r w:rsidR="007D4C73" w:rsidRPr="009351CB">
        <w:rPr>
          <w:b/>
        </w:rPr>
        <w:t>Projected vs Actual Expenditure 2018/19</w:t>
      </w:r>
    </w:p>
    <w:tbl>
      <w:tblPr>
        <w:tblW w:w="5000" w:type="pct"/>
        <w:tblLook w:val="0000" w:firstRow="0" w:lastRow="0" w:firstColumn="0" w:lastColumn="0" w:noHBand="0" w:noVBand="0"/>
      </w:tblPr>
      <w:tblGrid>
        <w:gridCol w:w="1994"/>
        <w:gridCol w:w="1757"/>
        <w:gridCol w:w="1482"/>
        <w:gridCol w:w="1538"/>
        <w:gridCol w:w="1661"/>
      </w:tblGrid>
      <w:tr w:rsidR="00CC339B" w:rsidRPr="009351CB" w14:paraId="3DE9F802" w14:textId="77777777" w:rsidTr="00F909B2">
        <w:trPr>
          <w:trHeight w:val="742"/>
          <w:tblHeader/>
        </w:trPr>
        <w:tc>
          <w:tcPr>
            <w:tcW w:w="1182" w:type="pct"/>
            <w:vMerge w:val="restart"/>
            <w:tcBorders>
              <w:top w:val="single" w:sz="2" w:space="0" w:color="000000"/>
              <w:left w:val="single" w:sz="2" w:space="0" w:color="000000"/>
              <w:right w:val="single" w:sz="6" w:space="0" w:color="auto"/>
            </w:tcBorders>
            <w:shd w:val="clear" w:color="auto" w:fill="D9D9D9"/>
          </w:tcPr>
          <w:p w14:paraId="5B91CD5F" w14:textId="77777777" w:rsidR="00CC339B" w:rsidRPr="009351CB" w:rsidRDefault="00CC339B"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Programme</w:t>
            </w:r>
          </w:p>
          <w:p w14:paraId="0380A0F7" w14:textId="77777777" w:rsidR="00CC339B" w:rsidRPr="009351CB" w:rsidRDefault="00CC339B"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(R ‘million)</w:t>
            </w:r>
          </w:p>
        </w:tc>
        <w:tc>
          <w:tcPr>
            <w:tcW w:w="3818" w:type="pct"/>
            <w:gridSpan w:val="4"/>
            <w:tcBorders>
              <w:top w:val="single" w:sz="6" w:space="0" w:color="auto"/>
              <w:left w:val="single" w:sz="6" w:space="0" w:color="auto"/>
              <w:bottom w:val="single" w:sz="4" w:space="0" w:color="auto"/>
              <w:right w:val="single" w:sz="6" w:space="0" w:color="auto"/>
            </w:tcBorders>
            <w:shd w:val="clear" w:color="auto" w:fill="D9D9D9"/>
          </w:tcPr>
          <w:p w14:paraId="78ABC2F9" w14:textId="77777777" w:rsidR="00CC339B" w:rsidRPr="009351CB" w:rsidRDefault="007D4C73"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Projected vs Actual Expenditure 2018/19</w:t>
            </w:r>
          </w:p>
          <w:p w14:paraId="7063C0D7" w14:textId="77777777" w:rsidR="00CC339B" w:rsidRPr="009351CB" w:rsidRDefault="00F909B2"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(R’000)</w:t>
            </w:r>
          </w:p>
        </w:tc>
      </w:tr>
      <w:tr w:rsidR="00CC339B" w:rsidRPr="009351CB" w14:paraId="3F17F959" w14:textId="77777777" w:rsidTr="00F909B2">
        <w:trPr>
          <w:trHeight w:val="247"/>
          <w:tblHeader/>
        </w:trPr>
        <w:tc>
          <w:tcPr>
            <w:tcW w:w="1182" w:type="pct"/>
            <w:vMerge/>
            <w:tcBorders>
              <w:left w:val="single" w:sz="2" w:space="0" w:color="000000"/>
              <w:bottom w:val="single" w:sz="2" w:space="0" w:color="000000"/>
              <w:right w:val="single" w:sz="6" w:space="0" w:color="auto"/>
            </w:tcBorders>
          </w:tcPr>
          <w:p w14:paraId="53DC40F6" w14:textId="77777777" w:rsidR="00CC339B" w:rsidRPr="009351CB" w:rsidRDefault="00CC339B" w:rsidP="009351CB">
            <w:pPr>
              <w:autoSpaceDE w:val="0"/>
              <w:autoSpaceDN w:val="0"/>
              <w:adjustRightInd w:val="0"/>
              <w:spacing w:line="360" w:lineRule="auto"/>
              <w:jc w:val="center"/>
              <w:rPr>
                <w:rFonts w:eastAsia="Calibri"/>
                <w:b/>
                <w:bCs/>
                <w:lang w:eastAsia="en-US"/>
              </w:rPr>
            </w:pPr>
          </w:p>
        </w:tc>
        <w:tc>
          <w:tcPr>
            <w:tcW w:w="1042" w:type="pct"/>
            <w:tcBorders>
              <w:top w:val="single" w:sz="4" w:space="0" w:color="auto"/>
              <w:left w:val="single" w:sz="6" w:space="0" w:color="auto"/>
              <w:bottom w:val="single" w:sz="6" w:space="0" w:color="auto"/>
              <w:right w:val="single" w:sz="4" w:space="0" w:color="auto"/>
            </w:tcBorders>
            <w:shd w:val="clear" w:color="auto" w:fill="D9D9D9"/>
          </w:tcPr>
          <w:p w14:paraId="43B50E36" w14:textId="77777777" w:rsidR="00CC339B" w:rsidRPr="009351CB" w:rsidRDefault="007D4C73"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Final Appropriation</w:t>
            </w:r>
          </w:p>
        </w:tc>
        <w:tc>
          <w:tcPr>
            <w:tcW w:w="879" w:type="pct"/>
            <w:tcBorders>
              <w:top w:val="single" w:sz="4" w:space="0" w:color="auto"/>
              <w:left w:val="single" w:sz="4" w:space="0" w:color="auto"/>
              <w:bottom w:val="single" w:sz="6" w:space="0" w:color="auto"/>
              <w:right w:val="single" w:sz="4" w:space="0" w:color="auto"/>
            </w:tcBorders>
            <w:shd w:val="clear" w:color="auto" w:fill="D9D9D9"/>
          </w:tcPr>
          <w:p w14:paraId="13EEF63A" w14:textId="77777777" w:rsidR="00CC339B" w:rsidRPr="009351CB" w:rsidRDefault="007D4C73"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Actual expenditure</w:t>
            </w:r>
          </w:p>
        </w:tc>
        <w:tc>
          <w:tcPr>
            <w:tcW w:w="912" w:type="pct"/>
            <w:tcBorders>
              <w:top w:val="single" w:sz="4" w:space="0" w:color="auto"/>
              <w:left w:val="single" w:sz="4" w:space="0" w:color="auto"/>
              <w:bottom w:val="single" w:sz="6" w:space="0" w:color="auto"/>
              <w:right w:val="single" w:sz="4" w:space="0" w:color="auto"/>
            </w:tcBorders>
            <w:shd w:val="clear" w:color="auto" w:fill="D9D9D9"/>
          </w:tcPr>
          <w:p w14:paraId="5168C2EC" w14:textId="77777777" w:rsidR="00CC339B" w:rsidRPr="009351CB" w:rsidRDefault="007D4C73"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Percentage Actual Expenditure</w:t>
            </w:r>
          </w:p>
        </w:tc>
        <w:tc>
          <w:tcPr>
            <w:tcW w:w="985" w:type="pct"/>
            <w:tcBorders>
              <w:top w:val="single" w:sz="4" w:space="0" w:color="auto"/>
              <w:left w:val="single" w:sz="4" w:space="0" w:color="auto"/>
              <w:bottom w:val="single" w:sz="6" w:space="0" w:color="auto"/>
              <w:right w:val="single" w:sz="6" w:space="0" w:color="auto"/>
            </w:tcBorders>
            <w:shd w:val="clear" w:color="auto" w:fill="D9D9D9"/>
          </w:tcPr>
          <w:p w14:paraId="3B0AA5E3" w14:textId="77777777" w:rsidR="00F909B2" w:rsidRPr="009351CB" w:rsidRDefault="007D4C73"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(Under)/</w:t>
            </w:r>
          </w:p>
          <w:p w14:paraId="228ABA40" w14:textId="77777777" w:rsidR="00CC339B" w:rsidRPr="009351CB" w:rsidRDefault="007D4C73" w:rsidP="009351CB">
            <w:pPr>
              <w:autoSpaceDE w:val="0"/>
              <w:autoSpaceDN w:val="0"/>
              <w:adjustRightInd w:val="0"/>
              <w:spacing w:line="360" w:lineRule="auto"/>
              <w:jc w:val="center"/>
              <w:rPr>
                <w:rFonts w:eastAsia="Calibri"/>
                <w:b/>
                <w:bCs/>
                <w:lang w:eastAsia="en-US"/>
              </w:rPr>
            </w:pPr>
            <w:r w:rsidRPr="009351CB">
              <w:rPr>
                <w:rFonts w:eastAsia="Calibri"/>
                <w:b/>
                <w:bCs/>
                <w:lang w:eastAsia="en-US"/>
              </w:rPr>
              <w:t>Over Spending</w:t>
            </w:r>
          </w:p>
        </w:tc>
      </w:tr>
      <w:tr w:rsidR="007D4C73" w:rsidRPr="009351CB" w14:paraId="4617716A"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15C5ABD8" w14:textId="77777777" w:rsidR="007D4C73" w:rsidRPr="009351CB" w:rsidRDefault="007D4C73" w:rsidP="009351CB">
            <w:pPr>
              <w:autoSpaceDE w:val="0"/>
              <w:autoSpaceDN w:val="0"/>
              <w:adjustRightInd w:val="0"/>
              <w:spacing w:line="360" w:lineRule="auto"/>
              <w:rPr>
                <w:rFonts w:eastAsia="Calibri"/>
                <w:lang w:eastAsia="en-US"/>
              </w:rPr>
            </w:pPr>
            <w:r w:rsidRPr="009351CB">
              <w:rPr>
                <w:rFonts w:eastAsia="Calibri"/>
                <w:lang w:eastAsia="en-US"/>
              </w:rPr>
              <w:t xml:space="preserve">Administration </w:t>
            </w:r>
          </w:p>
        </w:tc>
        <w:tc>
          <w:tcPr>
            <w:tcW w:w="1042" w:type="pct"/>
            <w:tcBorders>
              <w:top w:val="single" w:sz="2" w:space="0" w:color="000000"/>
              <w:left w:val="single" w:sz="2" w:space="0" w:color="000000"/>
              <w:bottom w:val="single" w:sz="2" w:space="0" w:color="000000"/>
              <w:right w:val="single" w:sz="2" w:space="0" w:color="000000"/>
            </w:tcBorders>
          </w:tcPr>
          <w:p w14:paraId="5B5E2F25" w14:textId="77777777" w:rsidR="007D4C73" w:rsidRPr="009351CB" w:rsidRDefault="00793772" w:rsidP="009351CB">
            <w:pPr>
              <w:autoSpaceDE w:val="0"/>
              <w:autoSpaceDN w:val="0"/>
              <w:adjustRightInd w:val="0"/>
              <w:spacing w:line="360" w:lineRule="auto"/>
              <w:jc w:val="center"/>
              <w:rPr>
                <w:rFonts w:eastAsia="Calibri"/>
                <w:lang w:eastAsia="en-US"/>
              </w:rPr>
            </w:pPr>
            <w:r w:rsidRPr="009351CB">
              <w:rPr>
                <w:rFonts w:eastAsia="Calibri"/>
                <w:lang w:eastAsia="en-US"/>
              </w:rPr>
              <w:t>2</w:t>
            </w:r>
            <w:r w:rsidR="009467D5" w:rsidRPr="009351CB">
              <w:rPr>
                <w:rFonts w:eastAsia="Calibri"/>
                <w:lang w:eastAsia="en-US"/>
              </w:rPr>
              <w:t> </w:t>
            </w:r>
            <w:r w:rsidRPr="009351CB">
              <w:rPr>
                <w:rFonts w:eastAsia="Calibri"/>
                <w:lang w:eastAsia="en-US"/>
              </w:rPr>
              <w:t>592</w:t>
            </w:r>
            <w:r w:rsidR="009467D5" w:rsidRPr="009351CB">
              <w:rPr>
                <w:rFonts w:eastAsia="Calibri"/>
                <w:lang w:eastAsia="en-US"/>
              </w:rPr>
              <w:t xml:space="preserve"> 6</w:t>
            </w:r>
            <w:r w:rsidRPr="009351CB">
              <w:rPr>
                <w:rFonts w:eastAsia="Calibri"/>
                <w:lang w:eastAsia="en-US"/>
              </w:rPr>
              <w:t>7</w:t>
            </w:r>
            <w:r w:rsidR="009467D5" w:rsidRPr="009351CB">
              <w:rPr>
                <w:rFonts w:eastAsia="Calibri"/>
                <w:lang w:eastAsia="en-US"/>
              </w:rPr>
              <w:t>1</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474388B1" w14:textId="77777777" w:rsidR="007D4C73" w:rsidRPr="009351CB" w:rsidRDefault="00793772" w:rsidP="009351CB">
            <w:pPr>
              <w:autoSpaceDE w:val="0"/>
              <w:autoSpaceDN w:val="0"/>
              <w:adjustRightInd w:val="0"/>
              <w:spacing w:line="360" w:lineRule="auto"/>
              <w:jc w:val="center"/>
              <w:rPr>
                <w:rFonts w:eastAsia="Calibri"/>
                <w:lang w:eastAsia="en-US"/>
              </w:rPr>
            </w:pPr>
            <w:r w:rsidRPr="009351CB">
              <w:rPr>
                <w:rFonts w:eastAsia="Calibri"/>
                <w:lang w:eastAsia="en-US"/>
              </w:rPr>
              <w:t>2</w:t>
            </w:r>
            <w:r w:rsidR="009467D5" w:rsidRPr="009351CB">
              <w:rPr>
                <w:rFonts w:eastAsia="Calibri"/>
                <w:lang w:eastAsia="en-US"/>
              </w:rPr>
              <w:t> 428 79</w:t>
            </w:r>
            <w:r w:rsidRPr="009351CB">
              <w:rPr>
                <w:rFonts w:eastAsia="Calibri"/>
                <w:lang w:eastAsia="en-US"/>
              </w:rPr>
              <w:t>8</w:t>
            </w:r>
          </w:p>
        </w:tc>
        <w:tc>
          <w:tcPr>
            <w:tcW w:w="912" w:type="pct"/>
            <w:tcBorders>
              <w:top w:val="single" w:sz="2" w:space="0" w:color="000000"/>
              <w:left w:val="single" w:sz="2" w:space="0" w:color="000000"/>
              <w:bottom w:val="single" w:sz="2" w:space="0" w:color="000000"/>
              <w:right w:val="single" w:sz="2" w:space="0" w:color="000000"/>
            </w:tcBorders>
          </w:tcPr>
          <w:p w14:paraId="04DFB782"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93.7%</w:t>
            </w:r>
          </w:p>
        </w:tc>
        <w:tc>
          <w:tcPr>
            <w:tcW w:w="985" w:type="pct"/>
            <w:tcBorders>
              <w:top w:val="single" w:sz="2" w:space="0" w:color="000000"/>
              <w:left w:val="single" w:sz="2" w:space="0" w:color="000000"/>
              <w:bottom w:val="single" w:sz="2" w:space="0" w:color="000000"/>
              <w:right w:val="single" w:sz="2" w:space="0" w:color="000000"/>
            </w:tcBorders>
          </w:tcPr>
          <w:p w14:paraId="158FBB77"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163 873</w:t>
            </w:r>
          </w:p>
        </w:tc>
      </w:tr>
      <w:tr w:rsidR="007D4C73" w:rsidRPr="009351CB" w14:paraId="1F9ABBF3"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0C66B74B" w14:textId="77777777" w:rsidR="007D4C73" w:rsidRPr="009351CB" w:rsidRDefault="007D4C73" w:rsidP="009351CB">
            <w:pPr>
              <w:autoSpaceDE w:val="0"/>
              <w:autoSpaceDN w:val="0"/>
              <w:adjustRightInd w:val="0"/>
              <w:spacing w:line="360" w:lineRule="auto"/>
              <w:rPr>
                <w:rFonts w:eastAsia="Calibri"/>
                <w:lang w:eastAsia="en-US"/>
              </w:rPr>
            </w:pPr>
            <w:r w:rsidRPr="009351CB">
              <w:rPr>
                <w:rFonts w:eastAsia="Calibri"/>
                <w:lang w:eastAsia="en-US"/>
              </w:rPr>
              <w:t>Court Services</w:t>
            </w:r>
          </w:p>
        </w:tc>
        <w:tc>
          <w:tcPr>
            <w:tcW w:w="1042" w:type="pct"/>
            <w:tcBorders>
              <w:top w:val="single" w:sz="2" w:space="0" w:color="000000"/>
              <w:left w:val="single" w:sz="2" w:space="0" w:color="000000"/>
              <w:bottom w:val="single" w:sz="2" w:space="0" w:color="000000"/>
              <w:right w:val="single" w:sz="2" w:space="0" w:color="000000"/>
            </w:tcBorders>
          </w:tcPr>
          <w:p w14:paraId="5B926C2C" w14:textId="77777777" w:rsidR="007D4C73" w:rsidRPr="009351CB" w:rsidRDefault="00793772" w:rsidP="009351CB">
            <w:pPr>
              <w:autoSpaceDE w:val="0"/>
              <w:autoSpaceDN w:val="0"/>
              <w:adjustRightInd w:val="0"/>
              <w:spacing w:line="360" w:lineRule="auto"/>
              <w:jc w:val="center"/>
              <w:rPr>
                <w:rFonts w:eastAsia="Calibri"/>
                <w:lang w:eastAsia="en-US"/>
              </w:rPr>
            </w:pPr>
            <w:r w:rsidRPr="009351CB">
              <w:rPr>
                <w:rFonts w:eastAsia="Calibri"/>
                <w:lang w:eastAsia="en-US"/>
              </w:rPr>
              <w:t>6</w:t>
            </w:r>
            <w:r w:rsidR="009467D5" w:rsidRPr="009351CB">
              <w:rPr>
                <w:rFonts w:eastAsia="Calibri"/>
                <w:lang w:eastAsia="en-US"/>
              </w:rPr>
              <w:t> 374 048</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1B4CA91B"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6 320 062</w:t>
            </w:r>
          </w:p>
        </w:tc>
        <w:tc>
          <w:tcPr>
            <w:tcW w:w="912" w:type="pct"/>
            <w:tcBorders>
              <w:top w:val="single" w:sz="2" w:space="0" w:color="000000"/>
              <w:left w:val="single" w:sz="2" w:space="0" w:color="000000"/>
              <w:bottom w:val="single" w:sz="2" w:space="0" w:color="000000"/>
              <w:right w:val="single" w:sz="2" w:space="0" w:color="000000"/>
            </w:tcBorders>
          </w:tcPr>
          <w:p w14:paraId="67003178"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99.2%</w:t>
            </w:r>
          </w:p>
        </w:tc>
        <w:tc>
          <w:tcPr>
            <w:tcW w:w="985" w:type="pct"/>
            <w:tcBorders>
              <w:top w:val="single" w:sz="2" w:space="0" w:color="000000"/>
              <w:left w:val="single" w:sz="2" w:space="0" w:color="000000"/>
              <w:bottom w:val="single" w:sz="2" w:space="0" w:color="000000"/>
              <w:right w:val="single" w:sz="2" w:space="0" w:color="000000"/>
            </w:tcBorders>
          </w:tcPr>
          <w:p w14:paraId="0D76BF6F"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53 986</w:t>
            </w:r>
          </w:p>
        </w:tc>
      </w:tr>
      <w:tr w:rsidR="007D4C73" w:rsidRPr="009351CB" w14:paraId="07FE2AC2"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0E291CB7" w14:textId="77777777" w:rsidR="007D4C73" w:rsidRPr="009351CB" w:rsidRDefault="007D4C73" w:rsidP="009351CB">
            <w:pPr>
              <w:autoSpaceDE w:val="0"/>
              <w:autoSpaceDN w:val="0"/>
              <w:adjustRightInd w:val="0"/>
              <w:spacing w:line="360" w:lineRule="auto"/>
              <w:rPr>
                <w:rFonts w:eastAsia="Calibri"/>
                <w:lang w:eastAsia="en-US"/>
              </w:rPr>
            </w:pPr>
            <w:r w:rsidRPr="009351CB">
              <w:rPr>
                <w:rFonts w:eastAsia="Calibri"/>
                <w:lang w:eastAsia="en-US"/>
              </w:rPr>
              <w:t>State Legal Services</w:t>
            </w:r>
          </w:p>
        </w:tc>
        <w:tc>
          <w:tcPr>
            <w:tcW w:w="1042" w:type="pct"/>
            <w:tcBorders>
              <w:top w:val="single" w:sz="2" w:space="0" w:color="000000"/>
              <w:left w:val="single" w:sz="2" w:space="0" w:color="000000"/>
              <w:bottom w:val="single" w:sz="2" w:space="0" w:color="000000"/>
              <w:right w:val="single" w:sz="2" w:space="0" w:color="000000"/>
            </w:tcBorders>
          </w:tcPr>
          <w:p w14:paraId="5A3F5E3D"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1 269 400</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4C0F281F"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1 210 819</w:t>
            </w:r>
          </w:p>
        </w:tc>
        <w:tc>
          <w:tcPr>
            <w:tcW w:w="912" w:type="pct"/>
            <w:tcBorders>
              <w:top w:val="single" w:sz="2" w:space="0" w:color="000000"/>
              <w:left w:val="single" w:sz="2" w:space="0" w:color="000000"/>
              <w:bottom w:val="single" w:sz="2" w:space="0" w:color="000000"/>
              <w:right w:val="single" w:sz="2" w:space="0" w:color="000000"/>
            </w:tcBorders>
          </w:tcPr>
          <w:p w14:paraId="7C82FE8E"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95.4%</w:t>
            </w:r>
          </w:p>
        </w:tc>
        <w:tc>
          <w:tcPr>
            <w:tcW w:w="985" w:type="pct"/>
            <w:tcBorders>
              <w:top w:val="single" w:sz="2" w:space="0" w:color="000000"/>
              <w:left w:val="single" w:sz="2" w:space="0" w:color="000000"/>
              <w:bottom w:val="single" w:sz="2" w:space="0" w:color="000000"/>
              <w:right w:val="single" w:sz="2" w:space="0" w:color="000000"/>
            </w:tcBorders>
          </w:tcPr>
          <w:p w14:paraId="486C90DC"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58 581</w:t>
            </w:r>
          </w:p>
        </w:tc>
      </w:tr>
      <w:tr w:rsidR="007D4C73" w:rsidRPr="009351CB" w14:paraId="0F1BD6D4"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3CBAF7FE" w14:textId="77777777" w:rsidR="007D4C73" w:rsidRPr="009351CB" w:rsidRDefault="007D4C73" w:rsidP="009351CB">
            <w:pPr>
              <w:autoSpaceDE w:val="0"/>
              <w:autoSpaceDN w:val="0"/>
              <w:adjustRightInd w:val="0"/>
              <w:spacing w:line="360" w:lineRule="auto"/>
              <w:rPr>
                <w:rFonts w:eastAsia="Calibri"/>
                <w:lang w:eastAsia="en-US"/>
              </w:rPr>
            </w:pPr>
            <w:r w:rsidRPr="009351CB">
              <w:rPr>
                <w:rFonts w:eastAsia="Calibri"/>
                <w:lang w:eastAsia="en-US"/>
              </w:rPr>
              <w:t>National Prosecuting Authority</w:t>
            </w:r>
          </w:p>
        </w:tc>
        <w:tc>
          <w:tcPr>
            <w:tcW w:w="1042" w:type="pct"/>
            <w:tcBorders>
              <w:top w:val="single" w:sz="2" w:space="0" w:color="000000"/>
              <w:left w:val="single" w:sz="2" w:space="0" w:color="000000"/>
              <w:bottom w:val="single" w:sz="2" w:space="0" w:color="000000"/>
              <w:right w:val="single" w:sz="2" w:space="0" w:color="000000"/>
            </w:tcBorders>
          </w:tcPr>
          <w:p w14:paraId="6BC8A8DB"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3 799 676</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0C02D4BF"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3 799 395</w:t>
            </w:r>
          </w:p>
        </w:tc>
        <w:tc>
          <w:tcPr>
            <w:tcW w:w="912" w:type="pct"/>
            <w:tcBorders>
              <w:top w:val="single" w:sz="2" w:space="0" w:color="000000"/>
              <w:left w:val="single" w:sz="2" w:space="0" w:color="000000"/>
              <w:bottom w:val="single" w:sz="2" w:space="0" w:color="000000"/>
              <w:right w:val="single" w:sz="2" w:space="0" w:color="000000"/>
            </w:tcBorders>
          </w:tcPr>
          <w:p w14:paraId="63A8482D"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100%</w:t>
            </w:r>
          </w:p>
        </w:tc>
        <w:tc>
          <w:tcPr>
            <w:tcW w:w="985" w:type="pct"/>
            <w:tcBorders>
              <w:top w:val="single" w:sz="2" w:space="0" w:color="000000"/>
              <w:left w:val="single" w:sz="2" w:space="0" w:color="000000"/>
              <w:bottom w:val="single" w:sz="2" w:space="0" w:color="000000"/>
              <w:right w:val="single" w:sz="2" w:space="0" w:color="000000"/>
            </w:tcBorders>
          </w:tcPr>
          <w:p w14:paraId="49E5C74E" w14:textId="77777777" w:rsidR="007D4C73" w:rsidRPr="009351CB" w:rsidRDefault="009467D5" w:rsidP="009351CB">
            <w:pPr>
              <w:autoSpaceDE w:val="0"/>
              <w:autoSpaceDN w:val="0"/>
              <w:adjustRightInd w:val="0"/>
              <w:spacing w:line="360" w:lineRule="auto"/>
              <w:jc w:val="center"/>
              <w:rPr>
                <w:rFonts w:eastAsia="Calibri"/>
                <w:lang w:eastAsia="en-US"/>
              </w:rPr>
            </w:pPr>
            <w:r w:rsidRPr="009351CB">
              <w:rPr>
                <w:rFonts w:eastAsia="Calibri"/>
                <w:lang w:eastAsia="en-US"/>
              </w:rPr>
              <w:t>281</w:t>
            </w:r>
          </w:p>
        </w:tc>
      </w:tr>
      <w:tr w:rsidR="007D4C73" w:rsidRPr="009351CB" w14:paraId="72EBCCE8"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3A0D2E2D" w14:textId="77777777" w:rsidR="00793772" w:rsidRPr="009351CB" w:rsidRDefault="007D4C73" w:rsidP="009351CB">
            <w:pPr>
              <w:autoSpaceDE w:val="0"/>
              <w:autoSpaceDN w:val="0"/>
              <w:adjustRightInd w:val="0"/>
              <w:spacing w:line="360" w:lineRule="auto"/>
              <w:rPr>
                <w:rFonts w:eastAsia="Calibri"/>
                <w:lang w:eastAsia="en-US"/>
              </w:rPr>
            </w:pPr>
            <w:r w:rsidRPr="009351CB">
              <w:rPr>
                <w:rFonts w:eastAsia="Calibri"/>
                <w:lang w:eastAsia="en-US"/>
              </w:rPr>
              <w:t>Auxiliary and Associated Services</w:t>
            </w:r>
          </w:p>
        </w:tc>
        <w:tc>
          <w:tcPr>
            <w:tcW w:w="1042" w:type="pct"/>
            <w:tcBorders>
              <w:top w:val="single" w:sz="2" w:space="0" w:color="000000"/>
              <w:left w:val="single" w:sz="2" w:space="0" w:color="000000"/>
              <w:bottom w:val="single" w:sz="2" w:space="0" w:color="000000"/>
              <w:right w:val="single" w:sz="2" w:space="0" w:color="000000"/>
            </w:tcBorders>
          </w:tcPr>
          <w:p w14:paraId="26B13FCD"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3 423 034</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78E971F0"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3 423 033</w:t>
            </w:r>
          </w:p>
        </w:tc>
        <w:tc>
          <w:tcPr>
            <w:tcW w:w="912" w:type="pct"/>
            <w:tcBorders>
              <w:top w:val="single" w:sz="2" w:space="0" w:color="000000"/>
              <w:left w:val="single" w:sz="2" w:space="0" w:color="000000"/>
              <w:bottom w:val="single" w:sz="2" w:space="0" w:color="000000"/>
              <w:right w:val="single" w:sz="2" w:space="0" w:color="000000"/>
            </w:tcBorders>
          </w:tcPr>
          <w:p w14:paraId="2EC4F58E"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100%</w:t>
            </w:r>
          </w:p>
        </w:tc>
        <w:tc>
          <w:tcPr>
            <w:tcW w:w="985" w:type="pct"/>
            <w:tcBorders>
              <w:top w:val="single" w:sz="2" w:space="0" w:color="000000"/>
              <w:left w:val="single" w:sz="2" w:space="0" w:color="000000"/>
              <w:bottom w:val="single" w:sz="2" w:space="0" w:color="000000"/>
              <w:right w:val="single" w:sz="2" w:space="0" w:color="000000"/>
            </w:tcBorders>
          </w:tcPr>
          <w:p w14:paraId="550D1BAE" w14:textId="77777777" w:rsidR="007D4C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1</w:t>
            </w:r>
          </w:p>
        </w:tc>
      </w:tr>
      <w:tr w:rsidR="007F3F73" w:rsidRPr="009351CB" w14:paraId="3041AFA3"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5B20D34B" w14:textId="77777777" w:rsidR="007F3F73" w:rsidRPr="009351CB" w:rsidRDefault="007F3F73" w:rsidP="009351CB">
            <w:pPr>
              <w:autoSpaceDE w:val="0"/>
              <w:autoSpaceDN w:val="0"/>
              <w:adjustRightInd w:val="0"/>
              <w:spacing w:line="360" w:lineRule="auto"/>
              <w:rPr>
                <w:rFonts w:eastAsia="Calibri"/>
                <w:b/>
                <w:lang w:eastAsia="en-US"/>
              </w:rPr>
            </w:pPr>
            <w:r w:rsidRPr="009351CB">
              <w:rPr>
                <w:rFonts w:eastAsia="Calibri"/>
                <w:b/>
                <w:lang w:eastAsia="en-US"/>
              </w:rPr>
              <w:t>TOTAL</w:t>
            </w:r>
          </w:p>
        </w:tc>
        <w:tc>
          <w:tcPr>
            <w:tcW w:w="1042" w:type="pct"/>
            <w:tcBorders>
              <w:top w:val="single" w:sz="2" w:space="0" w:color="000000"/>
              <w:left w:val="single" w:sz="2" w:space="0" w:color="000000"/>
              <w:bottom w:val="single" w:sz="2" w:space="0" w:color="000000"/>
              <w:right w:val="single" w:sz="2" w:space="0" w:color="000000"/>
            </w:tcBorders>
          </w:tcPr>
          <w:p w14:paraId="1556DD8F"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17 458 829</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407E6D59"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17 182 107</w:t>
            </w:r>
          </w:p>
        </w:tc>
        <w:tc>
          <w:tcPr>
            <w:tcW w:w="912" w:type="pct"/>
            <w:tcBorders>
              <w:top w:val="single" w:sz="2" w:space="0" w:color="000000"/>
              <w:left w:val="single" w:sz="2" w:space="0" w:color="000000"/>
              <w:bottom w:val="single" w:sz="2" w:space="0" w:color="000000"/>
              <w:right w:val="single" w:sz="2" w:space="0" w:color="000000"/>
            </w:tcBorders>
          </w:tcPr>
          <w:p w14:paraId="4D35C43A"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98.4%</w:t>
            </w:r>
          </w:p>
        </w:tc>
        <w:tc>
          <w:tcPr>
            <w:tcW w:w="985" w:type="pct"/>
            <w:tcBorders>
              <w:top w:val="single" w:sz="2" w:space="0" w:color="000000"/>
              <w:left w:val="single" w:sz="2" w:space="0" w:color="000000"/>
              <w:bottom w:val="single" w:sz="2" w:space="0" w:color="000000"/>
              <w:right w:val="single" w:sz="2" w:space="0" w:color="000000"/>
            </w:tcBorders>
          </w:tcPr>
          <w:p w14:paraId="22B5B732"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276 722</w:t>
            </w:r>
          </w:p>
        </w:tc>
      </w:tr>
      <w:tr w:rsidR="007F3F73" w:rsidRPr="009351CB" w14:paraId="5AF42A70"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62FBDC13" w14:textId="77777777" w:rsidR="007F3F73" w:rsidRPr="009351CB" w:rsidRDefault="007F3F73" w:rsidP="009351CB">
            <w:pPr>
              <w:autoSpaceDE w:val="0"/>
              <w:autoSpaceDN w:val="0"/>
              <w:adjustRightInd w:val="0"/>
              <w:spacing w:line="360" w:lineRule="auto"/>
              <w:rPr>
                <w:rFonts w:eastAsia="Calibri"/>
                <w:lang w:eastAsia="en-US"/>
              </w:rPr>
            </w:pPr>
            <w:r w:rsidRPr="009351CB">
              <w:rPr>
                <w:rFonts w:eastAsia="Calibri"/>
                <w:lang w:eastAsia="en-US"/>
              </w:rPr>
              <w:t>Magistrates’ Salaries</w:t>
            </w:r>
          </w:p>
        </w:tc>
        <w:tc>
          <w:tcPr>
            <w:tcW w:w="1042" w:type="pct"/>
            <w:tcBorders>
              <w:top w:val="single" w:sz="2" w:space="0" w:color="000000"/>
              <w:left w:val="single" w:sz="2" w:space="0" w:color="000000"/>
              <w:bottom w:val="single" w:sz="2" w:space="0" w:color="000000"/>
              <w:right w:val="single" w:sz="2" w:space="0" w:color="000000"/>
            </w:tcBorders>
          </w:tcPr>
          <w:p w14:paraId="7336B943" w14:textId="77777777" w:rsidR="007F3F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2 215 538</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156E42EB" w14:textId="77777777" w:rsidR="007F3F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2 047 385</w:t>
            </w:r>
          </w:p>
        </w:tc>
        <w:tc>
          <w:tcPr>
            <w:tcW w:w="912" w:type="pct"/>
            <w:tcBorders>
              <w:top w:val="single" w:sz="2" w:space="0" w:color="000000"/>
              <w:left w:val="single" w:sz="2" w:space="0" w:color="000000"/>
              <w:bottom w:val="single" w:sz="2" w:space="0" w:color="000000"/>
              <w:right w:val="single" w:sz="2" w:space="0" w:color="000000"/>
            </w:tcBorders>
          </w:tcPr>
          <w:p w14:paraId="4209E359" w14:textId="77777777" w:rsidR="007F3F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92.4</w:t>
            </w:r>
          </w:p>
        </w:tc>
        <w:tc>
          <w:tcPr>
            <w:tcW w:w="985" w:type="pct"/>
            <w:tcBorders>
              <w:top w:val="single" w:sz="2" w:space="0" w:color="000000"/>
              <w:left w:val="single" w:sz="2" w:space="0" w:color="000000"/>
              <w:bottom w:val="single" w:sz="2" w:space="0" w:color="000000"/>
              <w:right w:val="single" w:sz="2" w:space="0" w:color="000000"/>
            </w:tcBorders>
          </w:tcPr>
          <w:p w14:paraId="1063AD18" w14:textId="77777777" w:rsidR="007F3F73" w:rsidRPr="009351CB" w:rsidRDefault="007F3F73" w:rsidP="009351CB">
            <w:pPr>
              <w:autoSpaceDE w:val="0"/>
              <w:autoSpaceDN w:val="0"/>
              <w:adjustRightInd w:val="0"/>
              <w:spacing w:line="360" w:lineRule="auto"/>
              <w:jc w:val="center"/>
              <w:rPr>
                <w:rFonts w:eastAsia="Calibri"/>
                <w:lang w:eastAsia="en-US"/>
              </w:rPr>
            </w:pPr>
            <w:r w:rsidRPr="009351CB">
              <w:rPr>
                <w:rFonts w:eastAsia="Calibri"/>
                <w:lang w:eastAsia="en-US"/>
              </w:rPr>
              <w:t>168 153</w:t>
            </w:r>
          </w:p>
        </w:tc>
      </w:tr>
      <w:tr w:rsidR="007F3F73" w:rsidRPr="009351CB" w14:paraId="3E89D4F1" w14:textId="77777777" w:rsidTr="00F909B2">
        <w:trPr>
          <w:trHeight w:val="247"/>
        </w:trPr>
        <w:tc>
          <w:tcPr>
            <w:tcW w:w="1182" w:type="pct"/>
            <w:tcBorders>
              <w:top w:val="single" w:sz="2" w:space="0" w:color="000000"/>
              <w:left w:val="single" w:sz="2" w:space="0" w:color="000000"/>
              <w:bottom w:val="single" w:sz="2" w:space="0" w:color="000000"/>
              <w:right w:val="single" w:sz="2" w:space="0" w:color="000000"/>
            </w:tcBorders>
          </w:tcPr>
          <w:p w14:paraId="640CF7C8" w14:textId="77777777" w:rsidR="007F3F73" w:rsidRPr="009351CB" w:rsidRDefault="007F3F73" w:rsidP="009351CB">
            <w:pPr>
              <w:autoSpaceDE w:val="0"/>
              <w:autoSpaceDN w:val="0"/>
              <w:adjustRightInd w:val="0"/>
              <w:spacing w:line="360" w:lineRule="auto"/>
              <w:rPr>
                <w:rFonts w:eastAsia="Calibri"/>
                <w:b/>
                <w:caps/>
                <w:lang w:eastAsia="en-US"/>
              </w:rPr>
            </w:pPr>
            <w:r w:rsidRPr="009351CB">
              <w:rPr>
                <w:rFonts w:eastAsia="Calibri"/>
                <w:b/>
                <w:caps/>
                <w:lang w:eastAsia="en-US"/>
              </w:rPr>
              <w:t>Total</w:t>
            </w:r>
          </w:p>
        </w:tc>
        <w:tc>
          <w:tcPr>
            <w:tcW w:w="1042" w:type="pct"/>
            <w:tcBorders>
              <w:top w:val="single" w:sz="2" w:space="0" w:color="000000"/>
              <w:left w:val="single" w:sz="2" w:space="0" w:color="000000"/>
              <w:bottom w:val="single" w:sz="2" w:space="0" w:color="000000"/>
              <w:right w:val="single" w:sz="2" w:space="0" w:color="000000"/>
            </w:tcBorders>
          </w:tcPr>
          <w:p w14:paraId="608A9F7A"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19 674 367</w:t>
            </w:r>
          </w:p>
        </w:tc>
        <w:tc>
          <w:tcPr>
            <w:tcW w:w="879" w:type="pct"/>
            <w:tcBorders>
              <w:top w:val="single" w:sz="2" w:space="0" w:color="000000"/>
              <w:left w:val="single" w:sz="2" w:space="0" w:color="000000"/>
              <w:bottom w:val="single" w:sz="2" w:space="0" w:color="000000"/>
              <w:right w:val="single" w:sz="2" w:space="0" w:color="000000"/>
            </w:tcBorders>
            <w:shd w:val="clear" w:color="auto" w:fill="D9D9D9"/>
          </w:tcPr>
          <w:p w14:paraId="4114F3C5"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19 265.0</w:t>
            </w:r>
          </w:p>
        </w:tc>
        <w:tc>
          <w:tcPr>
            <w:tcW w:w="912" w:type="pct"/>
            <w:tcBorders>
              <w:top w:val="single" w:sz="2" w:space="0" w:color="000000"/>
              <w:left w:val="single" w:sz="2" w:space="0" w:color="000000"/>
              <w:bottom w:val="single" w:sz="2" w:space="0" w:color="000000"/>
              <w:right w:val="single" w:sz="2" w:space="0" w:color="000000"/>
            </w:tcBorders>
          </w:tcPr>
          <w:p w14:paraId="5BD8AE59"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97.7%</w:t>
            </w:r>
          </w:p>
        </w:tc>
        <w:tc>
          <w:tcPr>
            <w:tcW w:w="985" w:type="pct"/>
            <w:tcBorders>
              <w:top w:val="single" w:sz="2" w:space="0" w:color="000000"/>
              <w:left w:val="single" w:sz="2" w:space="0" w:color="000000"/>
              <w:bottom w:val="single" w:sz="2" w:space="0" w:color="000000"/>
              <w:right w:val="single" w:sz="2" w:space="0" w:color="000000"/>
            </w:tcBorders>
          </w:tcPr>
          <w:p w14:paraId="22A567BF" w14:textId="77777777" w:rsidR="007F3F73" w:rsidRPr="009351CB" w:rsidRDefault="007F3F73" w:rsidP="009351CB">
            <w:pPr>
              <w:autoSpaceDE w:val="0"/>
              <w:autoSpaceDN w:val="0"/>
              <w:adjustRightInd w:val="0"/>
              <w:spacing w:line="360" w:lineRule="auto"/>
              <w:jc w:val="center"/>
              <w:rPr>
                <w:rFonts w:eastAsia="Calibri"/>
                <w:b/>
                <w:lang w:eastAsia="en-US"/>
              </w:rPr>
            </w:pPr>
            <w:r w:rsidRPr="009351CB">
              <w:rPr>
                <w:rFonts w:eastAsia="Calibri"/>
                <w:b/>
                <w:lang w:eastAsia="en-US"/>
              </w:rPr>
              <w:t>444 875</w:t>
            </w:r>
          </w:p>
        </w:tc>
      </w:tr>
    </w:tbl>
    <w:p w14:paraId="48BAF120" w14:textId="77777777" w:rsidR="00EC7A22" w:rsidRPr="009351CB" w:rsidRDefault="00EC7A22" w:rsidP="009351CB">
      <w:pPr>
        <w:pStyle w:val="ListParagraph"/>
        <w:autoSpaceDE w:val="0"/>
        <w:autoSpaceDN w:val="0"/>
        <w:adjustRightInd w:val="0"/>
        <w:spacing w:line="360" w:lineRule="auto"/>
        <w:jc w:val="both"/>
        <w:rPr>
          <w:rFonts w:eastAsiaTheme="minorHAnsi"/>
          <w:color w:val="000000"/>
          <w:lang w:eastAsia="en-US"/>
        </w:rPr>
      </w:pPr>
    </w:p>
    <w:p w14:paraId="46C12EB8" w14:textId="77777777" w:rsidR="005F5265" w:rsidRPr="009351CB" w:rsidRDefault="00A70889" w:rsidP="002C3BE7">
      <w:pPr>
        <w:pStyle w:val="ListParagraph"/>
        <w:numPr>
          <w:ilvl w:val="1"/>
          <w:numId w:val="2"/>
        </w:numPr>
        <w:tabs>
          <w:tab w:val="clear" w:pos="862"/>
        </w:tabs>
        <w:spacing w:line="360" w:lineRule="auto"/>
        <w:ind w:left="709" w:hanging="709"/>
        <w:jc w:val="both"/>
      </w:pPr>
      <w:r w:rsidRPr="009351CB">
        <w:t>S</w:t>
      </w:r>
      <w:r w:rsidR="005F5265" w:rsidRPr="009351CB">
        <w:t>pendi</w:t>
      </w:r>
      <w:r w:rsidR="00CB7D03" w:rsidRPr="009351CB">
        <w:t xml:space="preserve">ng </w:t>
      </w:r>
      <w:r w:rsidR="00795655" w:rsidRPr="009351CB">
        <w:t xml:space="preserve">under the Vote </w:t>
      </w:r>
      <w:r w:rsidR="00CB7D03" w:rsidRPr="009351CB">
        <w:t>for 201</w:t>
      </w:r>
      <w:r w:rsidRPr="009351CB">
        <w:t>8</w:t>
      </w:r>
      <w:r w:rsidR="00CB7D03" w:rsidRPr="009351CB">
        <w:t>/</w:t>
      </w:r>
      <w:r w:rsidR="00696DD2" w:rsidRPr="009351CB">
        <w:t>1</w:t>
      </w:r>
      <w:r w:rsidRPr="009351CB">
        <w:t>9</w:t>
      </w:r>
      <w:r w:rsidR="00CB7D03" w:rsidRPr="009351CB">
        <w:t xml:space="preserve"> was</w:t>
      </w:r>
      <w:r w:rsidR="005F5265" w:rsidRPr="009351CB">
        <w:t xml:space="preserve"> as follows:</w:t>
      </w:r>
    </w:p>
    <w:p w14:paraId="75CF58C5" w14:textId="77777777" w:rsidR="00A70889" w:rsidRPr="009351CB" w:rsidRDefault="007D4C73" w:rsidP="004F6019">
      <w:pPr>
        <w:pStyle w:val="ListParagraph"/>
        <w:numPr>
          <w:ilvl w:val="0"/>
          <w:numId w:val="7"/>
        </w:numPr>
        <w:spacing w:line="360" w:lineRule="auto"/>
        <w:jc w:val="both"/>
        <w:rPr>
          <w:lang w:val="en-US"/>
        </w:rPr>
      </w:pPr>
      <w:r w:rsidRPr="009351CB">
        <w:t>A</w:t>
      </w:r>
      <w:r w:rsidR="00D3360D" w:rsidRPr="009351CB">
        <w:t>n</w:t>
      </w:r>
      <w:r w:rsidR="00D3360D" w:rsidRPr="009351CB">
        <w:rPr>
          <w:lang w:val="en-US"/>
        </w:rPr>
        <w:t xml:space="preserve"> amount of R19.2 billion or</w:t>
      </w:r>
      <w:r w:rsidR="00A70889" w:rsidRPr="009351CB">
        <w:rPr>
          <w:lang w:val="en-US"/>
        </w:rPr>
        <w:t xml:space="preserve"> 97.7% of the </w:t>
      </w:r>
      <w:r w:rsidR="00D3360D" w:rsidRPr="009351CB">
        <w:rPr>
          <w:lang w:val="en-US"/>
        </w:rPr>
        <w:t>final</w:t>
      </w:r>
      <w:r w:rsidR="00A70889" w:rsidRPr="009351CB">
        <w:rPr>
          <w:lang w:val="en-US"/>
        </w:rPr>
        <w:t xml:space="preserve"> allocation </w:t>
      </w:r>
      <w:r w:rsidR="00D3360D" w:rsidRPr="009351CB">
        <w:rPr>
          <w:lang w:val="en-US"/>
        </w:rPr>
        <w:t xml:space="preserve">of R19.7 billion </w:t>
      </w:r>
      <w:r w:rsidR="00A70889" w:rsidRPr="009351CB">
        <w:rPr>
          <w:lang w:val="en-US"/>
        </w:rPr>
        <w:t xml:space="preserve">was spent, with an amount of R444.9 million going unspent: A total of R276.7 million went unspent under programmes, while R168 million was unspent under the </w:t>
      </w:r>
      <w:r w:rsidR="007F3F73" w:rsidRPr="009351CB">
        <w:rPr>
          <w:lang w:val="en-US"/>
        </w:rPr>
        <w:t xml:space="preserve">statutory appropriation </w:t>
      </w:r>
      <w:r w:rsidR="00A70889" w:rsidRPr="009351CB">
        <w:rPr>
          <w:lang w:val="en-US"/>
        </w:rPr>
        <w:t>for magistrate’s salaries.</w:t>
      </w:r>
    </w:p>
    <w:p w14:paraId="2E8D85DD" w14:textId="77777777" w:rsidR="00187D5E" w:rsidRPr="009351CB" w:rsidRDefault="00187D5E" w:rsidP="009351CB">
      <w:pPr>
        <w:pStyle w:val="ListParagraph"/>
        <w:autoSpaceDE w:val="0"/>
        <w:autoSpaceDN w:val="0"/>
        <w:adjustRightInd w:val="0"/>
        <w:spacing w:line="360" w:lineRule="auto"/>
        <w:jc w:val="both"/>
        <w:rPr>
          <w:lang w:val="en-US"/>
        </w:rPr>
      </w:pPr>
    </w:p>
    <w:p w14:paraId="0655325A" w14:textId="77777777" w:rsidR="00F909B2" w:rsidRPr="009351CB" w:rsidRDefault="00DE4CC2" w:rsidP="002C3BE7">
      <w:pPr>
        <w:pStyle w:val="ListParagraph"/>
        <w:numPr>
          <w:ilvl w:val="1"/>
          <w:numId w:val="2"/>
        </w:numPr>
        <w:tabs>
          <w:tab w:val="clear" w:pos="862"/>
        </w:tabs>
        <w:spacing w:line="360" w:lineRule="auto"/>
        <w:ind w:left="709" w:hanging="709"/>
        <w:jc w:val="both"/>
        <w:rPr>
          <w:bCs/>
        </w:rPr>
      </w:pPr>
      <w:r w:rsidRPr="009351CB">
        <w:t>Spending</w:t>
      </w:r>
      <w:r w:rsidRPr="009351CB">
        <w:rPr>
          <w:bCs/>
        </w:rPr>
        <w:t xml:space="preserve"> at programme level was as follows:</w:t>
      </w:r>
    </w:p>
    <w:p w14:paraId="0D79499E" w14:textId="54824798" w:rsidR="007F3F73" w:rsidRPr="009351CB" w:rsidRDefault="00E8518A" w:rsidP="009351CB">
      <w:pPr>
        <w:numPr>
          <w:ilvl w:val="0"/>
          <w:numId w:val="1"/>
        </w:numPr>
        <w:tabs>
          <w:tab w:val="clear" w:pos="720"/>
          <w:tab w:val="num" w:pos="900"/>
        </w:tabs>
        <w:spacing w:line="360" w:lineRule="auto"/>
        <w:ind w:left="900"/>
        <w:jc w:val="both"/>
        <w:rPr>
          <w:lang w:val="en-US"/>
        </w:rPr>
      </w:pPr>
      <w:r w:rsidRPr="009351CB">
        <w:rPr>
          <w:lang w:val="en-US"/>
        </w:rPr>
        <w:t xml:space="preserve">Administration - </w:t>
      </w:r>
      <w:r w:rsidR="007F3F73" w:rsidRPr="009351CB">
        <w:rPr>
          <w:lang w:val="en-US"/>
        </w:rPr>
        <w:t xml:space="preserve">An amount of </w:t>
      </w:r>
      <w:r w:rsidRPr="009351CB">
        <w:rPr>
          <w:lang w:val="en-US"/>
        </w:rPr>
        <w:t>R</w:t>
      </w:r>
      <w:r w:rsidR="007F3F73" w:rsidRPr="009351CB">
        <w:rPr>
          <w:lang w:val="en-US"/>
        </w:rPr>
        <w:t xml:space="preserve">2.4 billion </w:t>
      </w:r>
      <w:r w:rsidRPr="009351CB">
        <w:rPr>
          <w:lang w:val="en-US"/>
        </w:rPr>
        <w:t xml:space="preserve">or 93.7% </w:t>
      </w:r>
      <w:r w:rsidR="007F3F73" w:rsidRPr="009351CB">
        <w:rPr>
          <w:lang w:val="en-US"/>
        </w:rPr>
        <w:t>of the f</w:t>
      </w:r>
      <w:r w:rsidRPr="009351CB">
        <w:rPr>
          <w:lang w:val="en-US"/>
        </w:rPr>
        <w:t>i</w:t>
      </w:r>
      <w:r w:rsidR="007F3F73" w:rsidRPr="009351CB">
        <w:rPr>
          <w:lang w:val="en-US"/>
        </w:rPr>
        <w:t>nal appropriation of R2.</w:t>
      </w:r>
      <w:r w:rsidRPr="009351CB">
        <w:rPr>
          <w:lang w:val="en-US"/>
        </w:rPr>
        <w:t>6 billion was spent.</w:t>
      </w:r>
      <w:r w:rsidR="006615CA" w:rsidRPr="009351CB">
        <w:rPr>
          <w:lang w:val="en-US"/>
        </w:rPr>
        <w:t xml:space="preserve"> The underspending is attributed mainly to delays in submission of </w:t>
      </w:r>
      <w:r w:rsidR="006615CA" w:rsidRPr="009351CB">
        <w:rPr>
          <w:color w:val="000000" w:themeColor="text1"/>
          <w:lang w:val="en-US"/>
        </w:rPr>
        <w:t>cla</w:t>
      </w:r>
      <w:r w:rsidR="00F37E1C" w:rsidRPr="009351CB">
        <w:rPr>
          <w:color w:val="000000" w:themeColor="text1"/>
          <w:lang w:val="en-US"/>
        </w:rPr>
        <w:t>i</w:t>
      </w:r>
      <w:r w:rsidR="006615CA" w:rsidRPr="009351CB">
        <w:rPr>
          <w:color w:val="000000" w:themeColor="text1"/>
          <w:lang w:val="en-US"/>
        </w:rPr>
        <w:t>m</w:t>
      </w:r>
      <w:r w:rsidR="00F37E1C" w:rsidRPr="009351CB">
        <w:rPr>
          <w:color w:val="000000" w:themeColor="text1"/>
          <w:lang w:val="en-US"/>
        </w:rPr>
        <w:t>s</w:t>
      </w:r>
      <w:r w:rsidR="006615CA" w:rsidRPr="009351CB">
        <w:rPr>
          <w:lang w:val="en-US"/>
        </w:rPr>
        <w:t xml:space="preserve"> and invoices relating to the Commissions of Inquiry into State Capture and the Commission of Inquiry into SARS, as well as late payment of the refund from the O</w:t>
      </w:r>
      <w:r w:rsidR="00A12069" w:rsidRPr="009351CB">
        <w:rPr>
          <w:lang w:val="en-US"/>
        </w:rPr>
        <w:t>ffice of the Chief Justice</w:t>
      </w:r>
      <w:r w:rsidR="006615CA" w:rsidRPr="009351CB">
        <w:rPr>
          <w:lang w:val="en-US"/>
        </w:rPr>
        <w:t>, which reduced expenditure for leases.</w:t>
      </w:r>
    </w:p>
    <w:p w14:paraId="0109D83E" w14:textId="77777777" w:rsidR="006615CA" w:rsidRPr="009351CB" w:rsidRDefault="00E8518A" w:rsidP="009351CB">
      <w:pPr>
        <w:numPr>
          <w:ilvl w:val="0"/>
          <w:numId w:val="1"/>
        </w:numPr>
        <w:tabs>
          <w:tab w:val="clear" w:pos="720"/>
          <w:tab w:val="num" w:pos="900"/>
        </w:tabs>
        <w:spacing w:line="360" w:lineRule="auto"/>
        <w:ind w:left="900"/>
        <w:jc w:val="both"/>
        <w:rPr>
          <w:lang w:val="en-US"/>
        </w:rPr>
      </w:pPr>
      <w:r w:rsidRPr="009351CB">
        <w:rPr>
          <w:lang w:val="en-US"/>
        </w:rPr>
        <w:t xml:space="preserve">Court Services – An amount of R6.3 billion or 99.2% of the final appropriation of R R6.4 billion was spent. </w:t>
      </w:r>
      <w:r w:rsidR="006615CA" w:rsidRPr="009351CB">
        <w:rPr>
          <w:lang w:val="en-US"/>
        </w:rPr>
        <w:t>The underspending is attributed to delays in filling vacancies.</w:t>
      </w:r>
    </w:p>
    <w:p w14:paraId="71B96B95" w14:textId="593CC24C" w:rsidR="00E8518A" w:rsidRPr="009351CB" w:rsidRDefault="00E8518A" w:rsidP="009351CB">
      <w:pPr>
        <w:numPr>
          <w:ilvl w:val="0"/>
          <w:numId w:val="1"/>
        </w:numPr>
        <w:tabs>
          <w:tab w:val="clear" w:pos="720"/>
          <w:tab w:val="num" w:pos="900"/>
        </w:tabs>
        <w:spacing w:line="360" w:lineRule="auto"/>
        <w:ind w:left="900"/>
        <w:jc w:val="both"/>
        <w:rPr>
          <w:lang w:val="en-US"/>
        </w:rPr>
      </w:pPr>
      <w:r w:rsidRPr="009351CB">
        <w:rPr>
          <w:lang w:val="en-US"/>
        </w:rPr>
        <w:t>State Legal Services -  an amount of R 1.2 billion or 95.4% of the final appropriation of R1.3 billion was spent.</w:t>
      </w:r>
      <w:r w:rsidR="006615CA" w:rsidRPr="009351CB">
        <w:rPr>
          <w:lang w:val="en-US"/>
        </w:rPr>
        <w:t xml:space="preserve"> The underspending is attributed to delays in filling vacancies.</w:t>
      </w:r>
    </w:p>
    <w:p w14:paraId="716121A6" w14:textId="77777777" w:rsidR="00E8518A" w:rsidRPr="009351CB" w:rsidRDefault="00E8518A" w:rsidP="009351CB">
      <w:pPr>
        <w:numPr>
          <w:ilvl w:val="0"/>
          <w:numId w:val="1"/>
        </w:numPr>
        <w:tabs>
          <w:tab w:val="clear" w:pos="720"/>
          <w:tab w:val="num" w:pos="900"/>
        </w:tabs>
        <w:spacing w:line="360" w:lineRule="auto"/>
        <w:ind w:left="900"/>
        <w:jc w:val="both"/>
        <w:rPr>
          <w:lang w:val="en-US"/>
        </w:rPr>
      </w:pPr>
      <w:r w:rsidRPr="009351CB">
        <w:rPr>
          <w:lang w:val="en-US"/>
        </w:rPr>
        <w:t>NPA – an amount of R3.8 million or 100% of the final appropriation was spent.</w:t>
      </w:r>
    </w:p>
    <w:p w14:paraId="3654BFB0" w14:textId="77777777" w:rsidR="00793772" w:rsidRPr="009351CB" w:rsidRDefault="00E8518A" w:rsidP="009351CB">
      <w:pPr>
        <w:numPr>
          <w:ilvl w:val="0"/>
          <w:numId w:val="1"/>
        </w:numPr>
        <w:tabs>
          <w:tab w:val="clear" w:pos="720"/>
          <w:tab w:val="num" w:pos="900"/>
        </w:tabs>
        <w:spacing w:line="360" w:lineRule="auto"/>
        <w:ind w:left="900"/>
        <w:jc w:val="both"/>
        <w:rPr>
          <w:bCs/>
        </w:rPr>
      </w:pPr>
      <w:r w:rsidRPr="009351CB">
        <w:rPr>
          <w:lang w:val="en-US"/>
        </w:rPr>
        <w:t>Auxiliary and Associated Services: J</w:t>
      </w:r>
      <w:r w:rsidR="00793772" w:rsidRPr="009351CB">
        <w:rPr>
          <w:lang w:val="en-US"/>
        </w:rPr>
        <w:t xml:space="preserve">ustice </w:t>
      </w:r>
      <w:r w:rsidRPr="009351CB">
        <w:rPr>
          <w:lang w:val="en-US"/>
        </w:rPr>
        <w:t xml:space="preserve">Modernisation subprogramme – an amount of </w:t>
      </w:r>
      <w:r w:rsidR="00793772" w:rsidRPr="009351CB">
        <w:rPr>
          <w:lang w:val="en-US"/>
        </w:rPr>
        <w:t xml:space="preserve">R759.6 million </w:t>
      </w:r>
      <w:r w:rsidRPr="009351CB">
        <w:rPr>
          <w:lang w:val="en-US"/>
        </w:rPr>
        <w:t xml:space="preserve">or 100% </w:t>
      </w:r>
      <w:r w:rsidR="00793772" w:rsidRPr="009351CB">
        <w:rPr>
          <w:lang w:val="en-US"/>
        </w:rPr>
        <w:t>of the final appropriatio</w:t>
      </w:r>
      <w:r w:rsidRPr="009351CB">
        <w:rPr>
          <w:lang w:val="en-US"/>
        </w:rPr>
        <w:t>n of the same amount</w:t>
      </w:r>
      <w:r w:rsidRPr="009351CB">
        <w:rPr>
          <w:bCs/>
        </w:rPr>
        <w:t xml:space="preserve"> was spent.</w:t>
      </w:r>
    </w:p>
    <w:p w14:paraId="6C4A8971" w14:textId="77777777" w:rsidR="00DE4CC2" w:rsidRPr="009351CB" w:rsidRDefault="00DE4CC2" w:rsidP="009351CB">
      <w:pPr>
        <w:spacing w:line="360" w:lineRule="auto"/>
        <w:ind w:left="900"/>
        <w:jc w:val="both"/>
        <w:rPr>
          <w:bCs/>
        </w:rPr>
      </w:pPr>
    </w:p>
    <w:p w14:paraId="0287B156" w14:textId="7BA83196" w:rsidR="00795655" w:rsidRPr="009351CB" w:rsidRDefault="00F909B2" w:rsidP="002C3BE7">
      <w:pPr>
        <w:numPr>
          <w:ilvl w:val="0"/>
          <w:numId w:val="2"/>
        </w:numPr>
        <w:tabs>
          <w:tab w:val="clear" w:pos="360"/>
          <w:tab w:val="num" w:pos="709"/>
        </w:tabs>
        <w:spacing w:line="360" w:lineRule="auto"/>
        <w:ind w:left="709" w:hanging="709"/>
        <w:jc w:val="both"/>
        <w:rPr>
          <w:b/>
          <w:lang w:val="en-US"/>
        </w:rPr>
      </w:pPr>
      <w:r w:rsidRPr="009351CB">
        <w:rPr>
          <w:b/>
        </w:rPr>
        <w:t>Expenditure</w:t>
      </w:r>
      <w:r w:rsidRPr="009351CB">
        <w:rPr>
          <w:b/>
          <w:lang w:val="en-US"/>
        </w:rPr>
        <w:t xml:space="preserve"> </w:t>
      </w:r>
      <w:r w:rsidR="00FF71A5" w:rsidRPr="009351CB">
        <w:rPr>
          <w:b/>
          <w:lang w:val="en-US"/>
        </w:rPr>
        <w:t>First</w:t>
      </w:r>
      <w:r w:rsidRPr="009351CB">
        <w:rPr>
          <w:b/>
          <w:lang w:val="en-US"/>
        </w:rPr>
        <w:t xml:space="preserve"> Quarter 2019/20</w:t>
      </w:r>
    </w:p>
    <w:p w14:paraId="2AAAD855" w14:textId="77777777" w:rsidR="00F909B2" w:rsidRPr="009351CB" w:rsidRDefault="00F909B2" w:rsidP="009351CB">
      <w:pPr>
        <w:pStyle w:val="ListParagraph"/>
        <w:autoSpaceDE w:val="0"/>
        <w:autoSpaceDN w:val="0"/>
        <w:adjustRightInd w:val="0"/>
        <w:spacing w:line="360" w:lineRule="auto"/>
        <w:jc w:val="both"/>
      </w:pPr>
    </w:p>
    <w:p w14:paraId="7739EF2C" w14:textId="77777777" w:rsidR="00576A4A" w:rsidRPr="009351CB" w:rsidRDefault="00696DD2" w:rsidP="002C3BE7">
      <w:pPr>
        <w:pStyle w:val="ListParagraph"/>
        <w:numPr>
          <w:ilvl w:val="1"/>
          <w:numId w:val="2"/>
        </w:numPr>
        <w:tabs>
          <w:tab w:val="clear" w:pos="862"/>
          <w:tab w:val="num" w:pos="709"/>
        </w:tabs>
        <w:spacing w:line="360" w:lineRule="auto"/>
        <w:ind w:left="709" w:hanging="709"/>
        <w:jc w:val="both"/>
      </w:pPr>
      <w:r w:rsidRPr="009351CB">
        <w:t>In 2019/20</w:t>
      </w:r>
      <w:r w:rsidR="00576A4A" w:rsidRPr="009351CB">
        <w:t xml:space="preserve">, the Vote is allocated </w:t>
      </w:r>
      <w:r w:rsidR="007F2B4E" w:rsidRPr="009351CB">
        <w:t xml:space="preserve">R21.1 billion, </w:t>
      </w:r>
      <w:r w:rsidR="00576A4A" w:rsidRPr="009351CB">
        <w:t>of which R</w:t>
      </w:r>
      <w:r w:rsidR="007F2B4E" w:rsidRPr="009351CB">
        <w:t>18.7</w:t>
      </w:r>
      <w:r w:rsidR="005D63BE" w:rsidRPr="009351CB">
        <w:t xml:space="preserve"> billion g</w:t>
      </w:r>
      <w:r w:rsidR="007F2B4E" w:rsidRPr="009351CB">
        <w:t>oes to programmes and R2.4</w:t>
      </w:r>
      <w:r w:rsidR="00576A4A" w:rsidRPr="009351CB">
        <w:t xml:space="preserve"> bi</w:t>
      </w:r>
      <w:r w:rsidR="00965A96" w:rsidRPr="009351CB">
        <w:t>llion is a direct transfer for M</w:t>
      </w:r>
      <w:r w:rsidR="00576A4A" w:rsidRPr="009351CB">
        <w:t xml:space="preserve">agistrate’s salaries. </w:t>
      </w:r>
    </w:p>
    <w:p w14:paraId="049967F8" w14:textId="77777777" w:rsidR="00147D80" w:rsidRPr="009351CB" w:rsidRDefault="00147D80" w:rsidP="009351CB">
      <w:pPr>
        <w:pStyle w:val="ListParagraph"/>
        <w:autoSpaceDE w:val="0"/>
        <w:autoSpaceDN w:val="0"/>
        <w:adjustRightInd w:val="0"/>
        <w:spacing w:line="360" w:lineRule="auto"/>
        <w:jc w:val="both"/>
      </w:pPr>
    </w:p>
    <w:p w14:paraId="0C3647AD" w14:textId="6F9647BA" w:rsidR="00243513" w:rsidRPr="009351CB" w:rsidRDefault="00854941" w:rsidP="002C3BE7">
      <w:pPr>
        <w:pStyle w:val="ListParagraph"/>
        <w:numPr>
          <w:ilvl w:val="1"/>
          <w:numId w:val="2"/>
        </w:numPr>
        <w:tabs>
          <w:tab w:val="clear" w:pos="862"/>
        </w:tabs>
        <w:spacing w:line="360" w:lineRule="auto"/>
        <w:ind w:left="709" w:hanging="709"/>
        <w:jc w:val="both"/>
      </w:pPr>
      <w:r w:rsidRPr="009351CB">
        <w:t xml:space="preserve">A total of </w:t>
      </w:r>
      <w:r w:rsidR="007F2B4E" w:rsidRPr="009351CB">
        <w:t xml:space="preserve">R4.5 billion </w:t>
      </w:r>
      <w:r w:rsidR="00D3360D" w:rsidRPr="009351CB">
        <w:t xml:space="preserve">or 87.9% </w:t>
      </w:r>
      <w:r w:rsidR="00147D80" w:rsidRPr="009351CB">
        <w:t>of the</w:t>
      </w:r>
      <w:r w:rsidR="007F2B4E" w:rsidRPr="009351CB">
        <w:t xml:space="preserve"> projected </w:t>
      </w:r>
      <w:r w:rsidR="00147D80" w:rsidRPr="009351CB">
        <w:t xml:space="preserve">budget of </w:t>
      </w:r>
      <w:r w:rsidR="007F2B4E" w:rsidRPr="009351CB">
        <w:t>R4.8 billion</w:t>
      </w:r>
      <w:r w:rsidR="00D3360D" w:rsidRPr="009351CB">
        <w:t xml:space="preserve"> for the </w:t>
      </w:r>
      <w:r w:rsidR="00FF71A5" w:rsidRPr="009351CB">
        <w:t>First</w:t>
      </w:r>
      <w:r w:rsidR="00D3360D" w:rsidRPr="009351CB">
        <w:t xml:space="preserve"> Quarter </w:t>
      </w:r>
      <w:r w:rsidRPr="009351CB">
        <w:t xml:space="preserve">was spent (including </w:t>
      </w:r>
      <w:r w:rsidR="005604AA" w:rsidRPr="009351CB">
        <w:t xml:space="preserve">the NPA </w:t>
      </w:r>
      <w:r w:rsidRPr="009351CB">
        <w:t>and Magistrates’ salaries)</w:t>
      </w:r>
      <w:r w:rsidR="007F2B4E" w:rsidRPr="009351CB">
        <w:t xml:space="preserve">. The under-expenditure of R304 million was </w:t>
      </w:r>
      <w:r w:rsidR="00A12069" w:rsidRPr="009351CB">
        <w:t xml:space="preserve">because of </w:t>
      </w:r>
      <w:r w:rsidR="007F2B4E" w:rsidRPr="009351CB">
        <w:t xml:space="preserve">outstanding invoices for municipal services and leases; and the Department of Public Works committing less expenditure on court infrastructure projects. </w:t>
      </w:r>
    </w:p>
    <w:p w14:paraId="18BA57C3" w14:textId="77777777" w:rsidR="002C3BE7" w:rsidRDefault="002C3BE7" w:rsidP="002C3BE7">
      <w:pPr>
        <w:spacing w:line="360" w:lineRule="auto"/>
        <w:jc w:val="center"/>
        <w:rPr>
          <w:b/>
        </w:rPr>
      </w:pPr>
      <w:r>
        <w:rPr>
          <w:b/>
        </w:rPr>
        <w:t xml:space="preserve">Part 2: </w:t>
      </w:r>
    </w:p>
    <w:p w14:paraId="19685C44" w14:textId="37ECF687" w:rsidR="00E77A38" w:rsidRPr="009351CB" w:rsidRDefault="002C3BE7" w:rsidP="002C3BE7">
      <w:pPr>
        <w:spacing w:line="360" w:lineRule="auto"/>
        <w:jc w:val="center"/>
        <w:rPr>
          <w:b/>
        </w:rPr>
      </w:pPr>
      <w:r w:rsidRPr="009351CB">
        <w:rPr>
          <w:b/>
        </w:rPr>
        <w:t>Department of Justice and Constitutional Developme</w:t>
      </w:r>
      <w:r>
        <w:rPr>
          <w:b/>
        </w:rPr>
        <w:t>nt</w:t>
      </w:r>
    </w:p>
    <w:p w14:paraId="2B8E3377" w14:textId="77777777" w:rsidR="00106280" w:rsidRPr="009351CB" w:rsidRDefault="00106280" w:rsidP="009351CB">
      <w:pPr>
        <w:spacing w:line="360" w:lineRule="auto"/>
        <w:jc w:val="both"/>
      </w:pPr>
    </w:p>
    <w:p w14:paraId="0959395F" w14:textId="77777777" w:rsidR="00106280" w:rsidRPr="009351CB" w:rsidRDefault="00106280" w:rsidP="002C3BE7">
      <w:pPr>
        <w:numPr>
          <w:ilvl w:val="0"/>
          <w:numId w:val="2"/>
        </w:numPr>
        <w:tabs>
          <w:tab w:val="clear" w:pos="360"/>
          <w:tab w:val="num" w:pos="709"/>
        </w:tabs>
        <w:spacing w:line="360" w:lineRule="auto"/>
        <w:ind w:left="709" w:hanging="709"/>
        <w:jc w:val="both"/>
        <w:rPr>
          <w:b/>
        </w:rPr>
      </w:pPr>
      <w:r w:rsidRPr="009351CB">
        <w:rPr>
          <w:b/>
        </w:rPr>
        <w:t xml:space="preserve">Overview of the Department of Justice and Constitutional Development’s strategic and operational environment </w:t>
      </w:r>
    </w:p>
    <w:p w14:paraId="3EFA9C85" w14:textId="77777777" w:rsidR="00106280" w:rsidRPr="009351CB" w:rsidRDefault="00106280" w:rsidP="009351CB">
      <w:pPr>
        <w:spacing w:line="360" w:lineRule="auto"/>
        <w:jc w:val="both"/>
      </w:pPr>
    </w:p>
    <w:p w14:paraId="2F537E32" w14:textId="77777777" w:rsidR="00106280" w:rsidRPr="009351CB" w:rsidRDefault="008061CA" w:rsidP="002C3BE7">
      <w:pPr>
        <w:pStyle w:val="ListParagraph"/>
        <w:numPr>
          <w:ilvl w:val="1"/>
          <w:numId w:val="2"/>
        </w:numPr>
        <w:spacing w:line="360" w:lineRule="auto"/>
        <w:ind w:left="709" w:hanging="709"/>
        <w:jc w:val="both"/>
      </w:pPr>
      <w:r w:rsidRPr="009351CB">
        <w:rPr>
          <w:color w:val="000000" w:themeColor="text1"/>
          <w:lang w:eastAsia="en-ZA"/>
        </w:rPr>
        <w:t>T</w:t>
      </w:r>
      <w:r w:rsidR="00106280" w:rsidRPr="009351CB">
        <w:rPr>
          <w:color w:val="000000" w:themeColor="text1"/>
          <w:lang w:eastAsia="en-ZA"/>
        </w:rPr>
        <w:t>he Department priorities</w:t>
      </w:r>
      <w:r w:rsidRPr="009351CB">
        <w:rPr>
          <w:color w:val="000000" w:themeColor="text1"/>
          <w:lang w:eastAsia="en-ZA"/>
        </w:rPr>
        <w:t xml:space="preserve"> are aligned </w:t>
      </w:r>
      <w:r w:rsidR="00106280" w:rsidRPr="009351CB">
        <w:rPr>
          <w:color w:val="000000" w:themeColor="text1"/>
          <w:lang w:eastAsia="en-ZA"/>
        </w:rPr>
        <w:t xml:space="preserve">with the NDP to address, in particular, chapters 12 (Building safer communities) and 14 (Promoting accountability and fighting corruption). The Department </w:t>
      </w:r>
      <w:r w:rsidR="00642845" w:rsidRPr="009351CB">
        <w:rPr>
          <w:color w:val="000000" w:themeColor="text1"/>
          <w:lang w:eastAsia="en-ZA"/>
        </w:rPr>
        <w:t>also has a</w:t>
      </w:r>
      <w:r w:rsidR="00106280" w:rsidRPr="009351CB">
        <w:rPr>
          <w:color w:val="000000" w:themeColor="text1"/>
          <w:lang w:eastAsia="en-ZA"/>
        </w:rPr>
        <w:t xml:space="preserve"> role to play in implementing chapters 11 (Social protection), 13 (Building a capable state) and 15 (Transforming society and uniting the country). </w:t>
      </w:r>
    </w:p>
    <w:p w14:paraId="311D22E0" w14:textId="77777777" w:rsidR="00106280" w:rsidRPr="009351CB" w:rsidRDefault="00106280" w:rsidP="009351CB">
      <w:pPr>
        <w:pStyle w:val="ListParagraph"/>
        <w:spacing w:line="360" w:lineRule="auto"/>
        <w:ind w:left="567"/>
        <w:jc w:val="both"/>
      </w:pPr>
    </w:p>
    <w:p w14:paraId="45CFB5A1" w14:textId="77777777" w:rsidR="00E74251" w:rsidRPr="009351CB" w:rsidRDefault="00E74251" w:rsidP="002C3BE7">
      <w:pPr>
        <w:pStyle w:val="ListParagraph"/>
        <w:numPr>
          <w:ilvl w:val="1"/>
          <w:numId w:val="2"/>
        </w:numPr>
        <w:spacing w:line="360" w:lineRule="auto"/>
        <w:ind w:left="709" w:hanging="709"/>
        <w:jc w:val="both"/>
        <w:rPr>
          <w:bCs/>
        </w:rPr>
      </w:pPr>
      <w:r w:rsidRPr="009351CB">
        <w:rPr>
          <w:bCs/>
        </w:rPr>
        <w:t xml:space="preserve">From a policy perspective, the </w:t>
      </w:r>
      <w:r w:rsidR="0026238F" w:rsidRPr="009351CB">
        <w:rPr>
          <w:bCs/>
        </w:rPr>
        <w:t>Department</w:t>
      </w:r>
      <w:r w:rsidRPr="009351CB">
        <w:rPr>
          <w:bCs/>
        </w:rPr>
        <w:t xml:space="preserve"> has identified the following transformational themes:</w:t>
      </w:r>
    </w:p>
    <w:p w14:paraId="4C77BB8D" w14:textId="77777777" w:rsidR="00E74251" w:rsidRPr="009351CB" w:rsidRDefault="00E74251" w:rsidP="004F6019">
      <w:pPr>
        <w:numPr>
          <w:ilvl w:val="0"/>
          <w:numId w:val="6"/>
        </w:numPr>
        <w:autoSpaceDE w:val="0"/>
        <w:autoSpaceDN w:val="0"/>
        <w:adjustRightInd w:val="0"/>
        <w:spacing w:line="360" w:lineRule="auto"/>
        <w:jc w:val="both"/>
        <w:rPr>
          <w:lang w:val="en-US"/>
        </w:rPr>
      </w:pPr>
      <w:r w:rsidRPr="009351CB">
        <w:rPr>
          <w:lang w:val="en-US"/>
        </w:rPr>
        <w:t xml:space="preserve">The transformation of State Legal Services. </w:t>
      </w:r>
    </w:p>
    <w:p w14:paraId="2862F6CD" w14:textId="77777777" w:rsidR="00E74251" w:rsidRPr="009351CB" w:rsidRDefault="00E74251" w:rsidP="004F6019">
      <w:pPr>
        <w:numPr>
          <w:ilvl w:val="0"/>
          <w:numId w:val="6"/>
        </w:numPr>
        <w:autoSpaceDE w:val="0"/>
        <w:autoSpaceDN w:val="0"/>
        <w:adjustRightInd w:val="0"/>
        <w:spacing w:line="360" w:lineRule="auto"/>
        <w:jc w:val="both"/>
        <w:rPr>
          <w:lang w:val="en-US"/>
        </w:rPr>
      </w:pPr>
      <w:r w:rsidRPr="009351CB">
        <w:rPr>
          <w:lang w:val="en-US"/>
        </w:rPr>
        <w:t>The transformation of the legal profession for access to justice for all.</w:t>
      </w:r>
    </w:p>
    <w:p w14:paraId="77A2E37F" w14:textId="77777777" w:rsidR="00E74251" w:rsidRPr="009351CB" w:rsidRDefault="00E74251" w:rsidP="004F6019">
      <w:pPr>
        <w:numPr>
          <w:ilvl w:val="0"/>
          <w:numId w:val="6"/>
        </w:numPr>
        <w:autoSpaceDE w:val="0"/>
        <w:autoSpaceDN w:val="0"/>
        <w:adjustRightInd w:val="0"/>
        <w:spacing w:line="360" w:lineRule="auto"/>
        <w:jc w:val="both"/>
        <w:rPr>
          <w:lang w:val="en-US"/>
        </w:rPr>
      </w:pPr>
      <w:r w:rsidRPr="009351CB">
        <w:rPr>
          <w:lang w:val="en-US"/>
        </w:rPr>
        <w:t xml:space="preserve">The transformation of the criminal justice system and restoring public confidence. </w:t>
      </w:r>
    </w:p>
    <w:p w14:paraId="3EFE74D9" w14:textId="77777777" w:rsidR="00E74251" w:rsidRPr="009351CB" w:rsidRDefault="00E74251" w:rsidP="004F6019">
      <w:pPr>
        <w:numPr>
          <w:ilvl w:val="0"/>
          <w:numId w:val="6"/>
        </w:numPr>
        <w:autoSpaceDE w:val="0"/>
        <w:autoSpaceDN w:val="0"/>
        <w:adjustRightInd w:val="0"/>
        <w:spacing w:line="360" w:lineRule="auto"/>
        <w:jc w:val="both"/>
        <w:rPr>
          <w:bCs/>
        </w:rPr>
      </w:pPr>
      <w:r w:rsidRPr="009351CB">
        <w:rPr>
          <w:lang w:val="en-US"/>
        </w:rPr>
        <w:t>Entity</w:t>
      </w:r>
      <w:r w:rsidRPr="009351CB">
        <w:rPr>
          <w:bCs/>
        </w:rPr>
        <w:t xml:space="preserve"> oversight and institutional arrangements.</w:t>
      </w:r>
    </w:p>
    <w:p w14:paraId="42D59075" w14:textId="77777777" w:rsidR="00E74251" w:rsidRPr="009351CB" w:rsidRDefault="00E74251" w:rsidP="009351CB">
      <w:pPr>
        <w:autoSpaceDE w:val="0"/>
        <w:autoSpaceDN w:val="0"/>
        <w:adjustRightInd w:val="0"/>
        <w:spacing w:line="360" w:lineRule="auto"/>
        <w:ind w:left="928"/>
        <w:jc w:val="both"/>
        <w:rPr>
          <w:bCs/>
        </w:rPr>
      </w:pPr>
    </w:p>
    <w:p w14:paraId="1613BA5D" w14:textId="77777777" w:rsidR="00CC501E" w:rsidRPr="009351CB" w:rsidRDefault="00CC501E" w:rsidP="002C3BE7">
      <w:pPr>
        <w:pStyle w:val="ListParagraph"/>
        <w:numPr>
          <w:ilvl w:val="1"/>
          <w:numId w:val="2"/>
        </w:numPr>
        <w:spacing w:line="360" w:lineRule="auto"/>
        <w:ind w:left="709" w:hanging="709"/>
        <w:jc w:val="both"/>
        <w:rPr>
          <w:bCs/>
        </w:rPr>
      </w:pPr>
      <w:r w:rsidRPr="009351CB">
        <w:rPr>
          <w:bCs/>
        </w:rPr>
        <w:t xml:space="preserve">The Department’s strategic goals </w:t>
      </w:r>
      <w:r w:rsidR="007A0FF0" w:rsidRPr="009351CB">
        <w:rPr>
          <w:bCs/>
        </w:rPr>
        <w:t>remain a</w:t>
      </w:r>
      <w:r w:rsidRPr="009351CB">
        <w:rPr>
          <w:bCs/>
        </w:rPr>
        <w:t>s follows:</w:t>
      </w:r>
    </w:p>
    <w:p w14:paraId="0DE13DCE" w14:textId="77777777" w:rsidR="00CC501E" w:rsidRPr="009351CB" w:rsidRDefault="00CC501E" w:rsidP="004F6019">
      <w:pPr>
        <w:numPr>
          <w:ilvl w:val="0"/>
          <w:numId w:val="6"/>
        </w:numPr>
        <w:autoSpaceDE w:val="0"/>
        <w:autoSpaceDN w:val="0"/>
        <w:adjustRightInd w:val="0"/>
        <w:spacing w:line="360" w:lineRule="auto"/>
        <w:jc w:val="both"/>
        <w:rPr>
          <w:lang w:val="en-US"/>
        </w:rPr>
      </w:pPr>
      <w:r w:rsidRPr="009351CB">
        <w:rPr>
          <w:lang w:val="en-US"/>
        </w:rPr>
        <w:t>Optimisation of the use of people, processes and technology to ensure service delivery and good governance requirements.</w:t>
      </w:r>
    </w:p>
    <w:p w14:paraId="150CCE45" w14:textId="77777777" w:rsidR="00CC501E" w:rsidRPr="009351CB" w:rsidRDefault="00CC501E" w:rsidP="004F6019">
      <w:pPr>
        <w:numPr>
          <w:ilvl w:val="0"/>
          <w:numId w:val="6"/>
        </w:numPr>
        <w:autoSpaceDE w:val="0"/>
        <w:autoSpaceDN w:val="0"/>
        <w:adjustRightInd w:val="0"/>
        <w:spacing w:line="360" w:lineRule="auto"/>
        <w:jc w:val="both"/>
        <w:rPr>
          <w:lang w:val="en-US"/>
        </w:rPr>
      </w:pPr>
      <w:r w:rsidRPr="009351CB">
        <w:rPr>
          <w:lang w:val="en-US"/>
        </w:rPr>
        <w:t>People</w:t>
      </w:r>
      <w:r w:rsidR="00FF0088" w:rsidRPr="009351CB">
        <w:rPr>
          <w:lang w:val="en-US"/>
        </w:rPr>
        <w:t>-</w:t>
      </w:r>
      <w:r w:rsidRPr="009351CB">
        <w:rPr>
          <w:lang w:val="en-US"/>
        </w:rPr>
        <w:t>centred justice services that are accessible, reliable and efficient.</w:t>
      </w:r>
      <w:r w:rsidRPr="009351CB" w:rsidDel="002B08AF">
        <w:rPr>
          <w:lang w:val="en-US"/>
        </w:rPr>
        <w:t xml:space="preserve"> </w:t>
      </w:r>
    </w:p>
    <w:p w14:paraId="2751FD04" w14:textId="77777777" w:rsidR="00CC501E" w:rsidRPr="009351CB" w:rsidRDefault="00CC501E" w:rsidP="004F6019">
      <w:pPr>
        <w:numPr>
          <w:ilvl w:val="0"/>
          <w:numId w:val="6"/>
        </w:numPr>
        <w:autoSpaceDE w:val="0"/>
        <w:autoSpaceDN w:val="0"/>
        <w:adjustRightInd w:val="0"/>
        <w:spacing w:line="360" w:lineRule="auto"/>
        <w:jc w:val="both"/>
        <w:rPr>
          <w:lang w:val="en-US"/>
        </w:rPr>
      </w:pPr>
      <w:r w:rsidRPr="009351CB">
        <w:rPr>
          <w:lang w:val="en-US"/>
        </w:rPr>
        <w:t xml:space="preserve">Corporatised, cost effective and integrated quality legal services to protect the interest of the </w:t>
      </w:r>
      <w:r w:rsidR="00FF0088" w:rsidRPr="009351CB">
        <w:rPr>
          <w:lang w:val="en-US"/>
        </w:rPr>
        <w:t>S</w:t>
      </w:r>
      <w:r w:rsidRPr="009351CB">
        <w:rPr>
          <w:lang w:val="en-US"/>
        </w:rPr>
        <w:t>tate</w:t>
      </w:r>
      <w:r w:rsidR="00387E69" w:rsidRPr="009351CB">
        <w:rPr>
          <w:lang w:val="en-US"/>
        </w:rPr>
        <w:t xml:space="preserve"> proactively</w:t>
      </w:r>
      <w:r w:rsidRPr="009351CB">
        <w:rPr>
          <w:lang w:val="en-US"/>
        </w:rPr>
        <w:t>.</w:t>
      </w:r>
    </w:p>
    <w:p w14:paraId="0F645507" w14:textId="77777777" w:rsidR="00CC501E" w:rsidRPr="009351CB" w:rsidRDefault="00CC501E" w:rsidP="004F6019">
      <w:pPr>
        <w:numPr>
          <w:ilvl w:val="0"/>
          <w:numId w:val="6"/>
        </w:numPr>
        <w:autoSpaceDE w:val="0"/>
        <w:autoSpaceDN w:val="0"/>
        <w:adjustRightInd w:val="0"/>
        <w:spacing w:line="360" w:lineRule="auto"/>
        <w:jc w:val="both"/>
        <w:rPr>
          <w:bCs/>
        </w:rPr>
      </w:pPr>
      <w:r w:rsidRPr="009351CB">
        <w:rPr>
          <w:lang w:val="en-US"/>
        </w:rPr>
        <w:t>Promotion of constitutionalism, human rights and commitment to international</w:t>
      </w:r>
      <w:r w:rsidRPr="009351CB">
        <w:t xml:space="preserve"> legal relations.</w:t>
      </w:r>
    </w:p>
    <w:p w14:paraId="171EA777" w14:textId="77777777" w:rsidR="00CC501E" w:rsidRPr="009351CB" w:rsidRDefault="00CC501E" w:rsidP="009351CB">
      <w:pPr>
        <w:autoSpaceDE w:val="0"/>
        <w:autoSpaceDN w:val="0"/>
        <w:adjustRightInd w:val="0"/>
        <w:spacing w:line="360" w:lineRule="auto"/>
        <w:ind w:left="1353"/>
        <w:rPr>
          <w:bCs/>
        </w:rPr>
      </w:pPr>
    </w:p>
    <w:p w14:paraId="0E0B435F" w14:textId="5691D59A" w:rsidR="008061CA" w:rsidRPr="009351CB" w:rsidRDefault="008061CA" w:rsidP="002C3BE7">
      <w:pPr>
        <w:pStyle w:val="ListParagraph"/>
        <w:numPr>
          <w:ilvl w:val="1"/>
          <w:numId w:val="2"/>
        </w:numPr>
        <w:spacing w:line="360" w:lineRule="auto"/>
        <w:ind w:left="709" w:hanging="709"/>
        <w:jc w:val="both"/>
        <w:rPr>
          <w:lang w:eastAsia="en-ZA"/>
        </w:rPr>
      </w:pPr>
      <w:r w:rsidRPr="009351CB">
        <w:t>Key</w:t>
      </w:r>
      <w:r w:rsidRPr="009351CB">
        <w:rPr>
          <w:lang w:eastAsia="en-ZA"/>
        </w:rPr>
        <w:t xml:space="preserve"> </w:t>
      </w:r>
      <w:r w:rsidR="00965A96" w:rsidRPr="009351CB">
        <w:rPr>
          <w:lang w:eastAsia="en-ZA"/>
        </w:rPr>
        <w:t xml:space="preserve">reported </w:t>
      </w:r>
      <w:r w:rsidRPr="009351CB">
        <w:rPr>
          <w:lang w:eastAsia="en-ZA"/>
        </w:rPr>
        <w:t xml:space="preserve">areas of </w:t>
      </w:r>
      <w:r w:rsidR="00BC3339" w:rsidRPr="009351CB">
        <w:rPr>
          <w:lang w:eastAsia="en-ZA"/>
        </w:rPr>
        <w:t>achievement for 2018/19</w:t>
      </w:r>
      <w:r w:rsidR="00965A96" w:rsidRPr="009351CB">
        <w:rPr>
          <w:lang w:eastAsia="en-ZA"/>
        </w:rPr>
        <w:t xml:space="preserve"> included:</w:t>
      </w:r>
    </w:p>
    <w:p w14:paraId="46543A23" w14:textId="5612EAEC" w:rsidR="003235DE" w:rsidRPr="009351CB" w:rsidRDefault="00965A96" w:rsidP="004F6019">
      <w:pPr>
        <w:numPr>
          <w:ilvl w:val="0"/>
          <w:numId w:val="6"/>
        </w:numPr>
        <w:autoSpaceDE w:val="0"/>
        <w:autoSpaceDN w:val="0"/>
        <w:adjustRightInd w:val="0"/>
        <w:spacing w:line="360" w:lineRule="auto"/>
        <w:jc w:val="both"/>
        <w:rPr>
          <w:lang w:eastAsia="en-ZA"/>
        </w:rPr>
      </w:pPr>
      <w:r w:rsidRPr="009351CB">
        <w:rPr>
          <w:lang w:val="en-US"/>
        </w:rPr>
        <w:t>The</w:t>
      </w:r>
      <w:r w:rsidRPr="009351CB">
        <w:rPr>
          <w:lang w:eastAsia="en-ZA"/>
        </w:rPr>
        <w:t xml:space="preserve"> </w:t>
      </w:r>
      <w:r w:rsidR="00BC3339" w:rsidRPr="009351CB">
        <w:rPr>
          <w:lang w:eastAsia="en-ZA"/>
        </w:rPr>
        <w:t>alignment of the Western Cape’s provincial and magisterial districts was completed to enable easier access to justice services.</w:t>
      </w:r>
      <w:r w:rsidR="003235DE" w:rsidRPr="009351CB">
        <w:rPr>
          <w:lang w:eastAsia="en-ZA"/>
        </w:rPr>
        <w:t xml:space="preserve"> </w:t>
      </w:r>
    </w:p>
    <w:p w14:paraId="58B3F96F" w14:textId="1E0B621D" w:rsidR="00DD09D2" w:rsidRPr="009351CB" w:rsidRDefault="00BC3339" w:rsidP="004F6019">
      <w:pPr>
        <w:numPr>
          <w:ilvl w:val="0"/>
          <w:numId w:val="6"/>
        </w:numPr>
        <w:autoSpaceDE w:val="0"/>
        <w:autoSpaceDN w:val="0"/>
        <w:adjustRightInd w:val="0"/>
        <w:spacing w:line="360" w:lineRule="auto"/>
        <w:jc w:val="both"/>
        <w:rPr>
          <w:lang w:eastAsia="en-ZA"/>
        </w:rPr>
      </w:pPr>
      <w:r w:rsidRPr="009351CB">
        <w:rPr>
          <w:lang w:eastAsia="en-ZA"/>
        </w:rPr>
        <w:t>A total of 15 dedicated</w:t>
      </w:r>
      <w:r w:rsidR="00DD09D2" w:rsidRPr="009351CB">
        <w:rPr>
          <w:lang w:eastAsia="en-ZA"/>
        </w:rPr>
        <w:t xml:space="preserve"> sexual offence courts were re-established in line with the Sexual Offences Court Model. This brings the total number of sexual offence courts to </w:t>
      </w:r>
      <w:r w:rsidRPr="009351CB">
        <w:rPr>
          <w:lang w:eastAsia="en-ZA"/>
        </w:rPr>
        <w:t xml:space="preserve">90 </w:t>
      </w:r>
      <w:r w:rsidR="00A12069" w:rsidRPr="009351CB">
        <w:rPr>
          <w:lang w:eastAsia="en-ZA"/>
        </w:rPr>
        <w:t xml:space="preserve">at the end </w:t>
      </w:r>
      <w:r w:rsidRPr="009351CB">
        <w:rPr>
          <w:lang w:eastAsia="en-ZA"/>
        </w:rPr>
        <w:t>of March 2019</w:t>
      </w:r>
      <w:r w:rsidR="00DD09D2" w:rsidRPr="009351CB">
        <w:rPr>
          <w:lang w:eastAsia="en-ZA"/>
        </w:rPr>
        <w:t>.</w:t>
      </w:r>
    </w:p>
    <w:p w14:paraId="5B73DC3B" w14:textId="77777777" w:rsidR="00A12069" w:rsidRPr="009351CB" w:rsidRDefault="00BC3339" w:rsidP="004F6019">
      <w:pPr>
        <w:numPr>
          <w:ilvl w:val="0"/>
          <w:numId w:val="6"/>
        </w:numPr>
        <w:autoSpaceDE w:val="0"/>
        <w:autoSpaceDN w:val="0"/>
        <w:adjustRightInd w:val="0"/>
        <w:spacing w:line="360" w:lineRule="auto"/>
        <w:jc w:val="both"/>
        <w:rPr>
          <w:lang w:val="en-US"/>
        </w:rPr>
      </w:pPr>
      <w:r w:rsidRPr="009351CB">
        <w:rPr>
          <w:lang w:val="en-US"/>
        </w:rPr>
        <w:t xml:space="preserve">A further three </w:t>
      </w:r>
      <w:r w:rsidR="00DD09D2" w:rsidRPr="009351CB">
        <w:rPr>
          <w:lang w:val="en-US"/>
        </w:rPr>
        <w:t>Small</w:t>
      </w:r>
      <w:r w:rsidR="00915932" w:rsidRPr="009351CB">
        <w:rPr>
          <w:lang w:val="en-US"/>
        </w:rPr>
        <w:t xml:space="preserve"> Claims Courts were established to bring the total number of Small Claims Courts to 415. Also, the monetary jurisdiction of these Courts was increased from R15 000 to R20 000 from 1 April 2019.</w:t>
      </w:r>
    </w:p>
    <w:p w14:paraId="3CA66ABB" w14:textId="2BDD14CE" w:rsidR="00DD09D2" w:rsidRPr="009351CB" w:rsidRDefault="00DD09D2" w:rsidP="004F6019">
      <w:pPr>
        <w:numPr>
          <w:ilvl w:val="0"/>
          <w:numId w:val="6"/>
        </w:numPr>
        <w:autoSpaceDE w:val="0"/>
        <w:autoSpaceDN w:val="0"/>
        <w:adjustRightInd w:val="0"/>
        <w:spacing w:line="360" w:lineRule="auto"/>
        <w:jc w:val="both"/>
        <w:rPr>
          <w:lang w:eastAsia="en-ZA"/>
        </w:rPr>
      </w:pPr>
      <w:r w:rsidRPr="009351CB">
        <w:rPr>
          <w:lang w:val="en-US"/>
        </w:rPr>
        <w:t xml:space="preserve">In the Master’s Office, the </w:t>
      </w:r>
      <w:r w:rsidR="00A73B36" w:rsidRPr="009351CB">
        <w:rPr>
          <w:lang w:val="en-US"/>
        </w:rPr>
        <w:t>number of Magistrate’s Courts implementing the ’</w:t>
      </w:r>
      <w:r w:rsidRPr="009351CB">
        <w:rPr>
          <w:lang w:val="en-US"/>
        </w:rPr>
        <w:t>Paperless</w:t>
      </w:r>
      <w:r w:rsidRPr="009351CB">
        <w:rPr>
          <w:lang w:eastAsia="en-ZA"/>
        </w:rPr>
        <w:t xml:space="preserve"> Estates Administration System</w:t>
      </w:r>
      <w:r w:rsidR="00A73B36" w:rsidRPr="009351CB">
        <w:rPr>
          <w:lang w:eastAsia="en-ZA"/>
        </w:rPr>
        <w:t>’ (PEAS) incre</w:t>
      </w:r>
      <w:r w:rsidR="00965A96" w:rsidRPr="009351CB">
        <w:rPr>
          <w:lang w:eastAsia="en-ZA"/>
        </w:rPr>
        <w:t>ased from 237</w:t>
      </w:r>
      <w:r w:rsidR="00E77DB5" w:rsidRPr="009351CB">
        <w:rPr>
          <w:lang w:eastAsia="en-ZA"/>
        </w:rPr>
        <w:t xml:space="preserve"> in 2017/18 to 278 in 2018/19. The system makes it possible for small(er) estates to be processed at the nearest magistrate’s court as opposed to at one of only 15 offices of the Master of the High Court.</w:t>
      </w:r>
    </w:p>
    <w:p w14:paraId="191770FA" w14:textId="77777777" w:rsidR="00A73B36" w:rsidRPr="009351CB" w:rsidRDefault="00A73B36" w:rsidP="004F6019">
      <w:pPr>
        <w:numPr>
          <w:ilvl w:val="0"/>
          <w:numId w:val="6"/>
        </w:numPr>
        <w:autoSpaceDE w:val="0"/>
        <w:autoSpaceDN w:val="0"/>
        <w:adjustRightInd w:val="0"/>
        <w:spacing w:line="360" w:lineRule="auto"/>
        <w:jc w:val="both"/>
        <w:rPr>
          <w:lang w:val="en-US"/>
        </w:rPr>
      </w:pPr>
      <w:r w:rsidRPr="009351CB">
        <w:rPr>
          <w:lang w:val="en-US"/>
        </w:rPr>
        <w:t>A total of 48 Magistrates’ Courts were linked to 23 correctional centres and 17 272 criminal cases were remanded using the Audio-Visual Remand Technology (AVRT), increasing the use of AVRT by 44%.</w:t>
      </w:r>
    </w:p>
    <w:p w14:paraId="02EEA165" w14:textId="77777777" w:rsidR="00A73B36" w:rsidRPr="009351CB" w:rsidRDefault="00A73B36" w:rsidP="004F6019">
      <w:pPr>
        <w:numPr>
          <w:ilvl w:val="0"/>
          <w:numId w:val="6"/>
        </w:numPr>
        <w:autoSpaceDE w:val="0"/>
        <w:autoSpaceDN w:val="0"/>
        <w:adjustRightInd w:val="0"/>
        <w:spacing w:line="360" w:lineRule="auto"/>
        <w:jc w:val="both"/>
        <w:rPr>
          <w:lang w:val="en-US"/>
        </w:rPr>
      </w:pPr>
      <w:r w:rsidRPr="009351CB">
        <w:rPr>
          <w:lang w:val="en-US"/>
        </w:rPr>
        <w:t>Court Recording Technology (CRT) was implemented at 2 145 fixed courtrooms and 47 mobile recorders for periodical courts were implemented.</w:t>
      </w:r>
    </w:p>
    <w:p w14:paraId="2C61AA80" w14:textId="6C75B4FE" w:rsidR="00A73B36" w:rsidRPr="009351CB" w:rsidRDefault="00A73B36" w:rsidP="004F6019">
      <w:pPr>
        <w:numPr>
          <w:ilvl w:val="0"/>
          <w:numId w:val="6"/>
        </w:numPr>
        <w:autoSpaceDE w:val="0"/>
        <w:autoSpaceDN w:val="0"/>
        <w:adjustRightInd w:val="0"/>
        <w:spacing w:line="360" w:lineRule="auto"/>
        <w:jc w:val="both"/>
        <w:rPr>
          <w:lang w:eastAsia="en-ZA"/>
        </w:rPr>
      </w:pPr>
      <w:r w:rsidRPr="009351CB">
        <w:rPr>
          <w:lang w:val="en-US"/>
        </w:rPr>
        <w:t xml:space="preserve">The Third Party management system solution – MojaPay </w:t>
      </w:r>
      <w:r w:rsidR="00E74251" w:rsidRPr="009351CB">
        <w:rPr>
          <w:lang w:val="en-US"/>
        </w:rPr>
        <w:t xml:space="preserve">- </w:t>
      </w:r>
      <w:r w:rsidRPr="009351CB">
        <w:rPr>
          <w:lang w:val="en-US"/>
        </w:rPr>
        <w:t xml:space="preserve">was implemented in eight provinces and 15 offices of the State Attorney. In these provinces, the turnaround time to pay maintenance beneficiaries improved to two working days </w:t>
      </w:r>
      <w:r w:rsidR="00A12069" w:rsidRPr="009351CB">
        <w:rPr>
          <w:lang w:val="en-US"/>
        </w:rPr>
        <w:t>for</w:t>
      </w:r>
      <w:r w:rsidR="006D4098" w:rsidRPr="009351CB">
        <w:rPr>
          <w:lang w:eastAsia="en-ZA"/>
        </w:rPr>
        <w:t xml:space="preserve"> 93% of the beneficiaries paid.</w:t>
      </w:r>
    </w:p>
    <w:p w14:paraId="39D6B0DD" w14:textId="77777777" w:rsidR="006D4098" w:rsidRPr="009351CB" w:rsidRDefault="006D4098" w:rsidP="009351CB">
      <w:pPr>
        <w:pStyle w:val="ListParagraph"/>
        <w:spacing w:line="360" w:lineRule="auto"/>
        <w:rPr>
          <w:lang w:eastAsia="en-ZA"/>
        </w:rPr>
      </w:pPr>
    </w:p>
    <w:p w14:paraId="7C4BE93F" w14:textId="77777777" w:rsidR="00CC501E" w:rsidRPr="009351CB" w:rsidRDefault="003235DE" w:rsidP="002C3BE7">
      <w:pPr>
        <w:pStyle w:val="ListParagraph"/>
        <w:numPr>
          <w:ilvl w:val="1"/>
          <w:numId w:val="2"/>
        </w:numPr>
        <w:spacing w:line="360" w:lineRule="auto"/>
        <w:ind w:left="709" w:hanging="709"/>
        <w:jc w:val="both"/>
      </w:pPr>
      <w:r w:rsidRPr="009351CB">
        <w:t xml:space="preserve">Key </w:t>
      </w:r>
      <w:r w:rsidR="00965A96" w:rsidRPr="009351CB">
        <w:t xml:space="preserve">reported </w:t>
      </w:r>
      <w:r w:rsidRPr="009351CB">
        <w:t>challenges</w:t>
      </w:r>
      <w:r w:rsidR="00965A96" w:rsidRPr="009351CB">
        <w:t xml:space="preserve"> for 201</w:t>
      </w:r>
      <w:r w:rsidR="00E77DB5" w:rsidRPr="009351CB">
        <w:t>8/19</w:t>
      </w:r>
      <w:r w:rsidR="00965A96" w:rsidRPr="009351CB">
        <w:t xml:space="preserve"> included:</w:t>
      </w:r>
    </w:p>
    <w:p w14:paraId="3DCDA26F" w14:textId="77777777" w:rsidR="00E77DB5" w:rsidRPr="009351CB" w:rsidRDefault="00E77DB5" w:rsidP="004F6019">
      <w:pPr>
        <w:numPr>
          <w:ilvl w:val="0"/>
          <w:numId w:val="6"/>
        </w:numPr>
        <w:autoSpaceDE w:val="0"/>
        <w:autoSpaceDN w:val="0"/>
        <w:adjustRightInd w:val="0"/>
        <w:spacing w:line="360" w:lineRule="auto"/>
        <w:jc w:val="both"/>
        <w:rPr>
          <w:lang w:val="en-US"/>
        </w:rPr>
      </w:pPr>
      <w:r w:rsidRPr="009351CB">
        <w:rPr>
          <w:lang w:val="en-US"/>
        </w:rPr>
        <w:t>Ongoing budget cuts has meant that the Department has need</w:t>
      </w:r>
      <w:r w:rsidR="00915932" w:rsidRPr="009351CB">
        <w:rPr>
          <w:lang w:val="en-US"/>
        </w:rPr>
        <w:t>ed</w:t>
      </w:r>
      <w:r w:rsidRPr="009351CB">
        <w:rPr>
          <w:lang w:val="en-US"/>
        </w:rPr>
        <w:t xml:space="preserve"> to relook at priorities and channel funds to the most pressing of areas.</w:t>
      </w:r>
    </w:p>
    <w:p w14:paraId="0A64B941" w14:textId="77777777" w:rsidR="00E77DB5" w:rsidRPr="009351CB" w:rsidRDefault="00E77DB5" w:rsidP="004F6019">
      <w:pPr>
        <w:numPr>
          <w:ilvl w:val="0"/>
          <w:numId w:val="6"/>
        </w:numPr>
        <w:autoSpaceDE w:val="0"/>
        <w:autoSpaceDN w:val="0"/>
        <w:adjustRightInd w:val="0"/>
        <w:spacing w:line="360" w:lineRule="auto"/>
        <w:jc w:val="both"/>
        <w:rPr>
          <w:lang w:val="en-US"/>
        </w:rPr>
      </w:pPr>
      <w:r w:rsidRPr="009351CB">
        <w:rPr>
          <w:lang w:val="en-US"/>
        </w:rPr>
        <w:t>Not all vacant posts could be filled and the filling of posts has been largely directed to service points, with an emphasis on the Judiciary, Prosecution and other court-based officials.</w:t>
      </w:r>
    </w:p>
    <w:p w14:paraId="514ECD0E" w14:textId="602E20FA" w:rsidR="00E77DB5" w:rsidRPr="009351CB" w:rsidRDefault="00915932" w:rsidP="004F6019">
      <w:pPr>
        <w:numPr>
          <w:ilvl w:val="0"/>
          <w:numId w:val="6"/>
        </w:numPr>
        <w:autoSpaceDE w:val="0"/>
        <w:autoSpaceDN w:val="0"/>
        <w:adjustRightInd w:val="0"/>
        <w:spacing w:line="360" w:lineRule="auto"/>
        <w:jc w:val="both"/>
        <w:rPr>
          <w:lang w:val="en-US"/>
        </w:rPr>
      </w:pPr>
      <w:r w:rsidRPr="009351CB">
        <w:rPr>
          <w:lang w:val="en-US"/>
        </w:rPr>
        <w:t>Branches,</w:t>
      </w:r>
      <w:r w:rsidR="00E77DB5" w:rsidRPr="009351CB">
        <w:rPr>
          <w:lang w:val="en-US"/>
        </w:rPr>
        <w:t xml:space="preserve"> such as the Office</w:t>
      </w:r>
      <w:r w:rsidR="00A12069" w:rsidRPr="009351CB">
        <w:rPr>
          <w:lang w:val="en-US"/>
        </w:rPr>
        <w:t xml:space="preserve"> of the Chief State Law Advisor,</w:t>
      </w:r>
      <w:r w:rsidR="00E77DB5" w:rsidRPr="009351CB">
        <w:rPr>
          <w:lang w:val="en-US"/>
        </w:rPr>
        <w:t xml:space="preserve"> had difficulties filling </w:t>
      </w:r>
      <w:r w:rsidRPr="009351CB">
        <w:rPr>
          <w:lang w:val="en-US"/>
        </w:rPr>
        <w:t>LP10</w:t>
      </w:r>
      <w:r w:rsidR="00E77DB5" w:rsidRPr="009351CB">
        <w:rPr>
          <w:lang w:val="en-US"/>
        </w:rPr>
        <w:t xml:space="preserve"> posts because of the ongoing moratorium on the filling of these posts.</w:t>
      </w:r>
    </w:p>
    <w:p w14:paraId="2148F7AC" w14:textId="77777777" w:rsidR="00E77DB5" w:rsidRPr="009351CB" w:rsidRDefault="00E77DB5" w:rsidP="004F6019">
      <w:pPr>
        <w:numPr>
          <w:ilvl w:val="0"/>
          <w:numId w:val="6"/>
        </w:numPr>
        <w:autoSpaceDE w:val="0"/>
        <w:autoSpaceDN w:val="0"/>
        <w:adjustRightInd w:val="0"/>
        <w:spacing w:line="360" w:lineRule="auto"/>
        <w:jc w:val="both"/>
        <w:rPr>
          <w:lang w:val="en-US"/>
        </w:rPr>
      </w:pPr>
      <w:r w:rsidRPr="009351CB">
        <w:rPr>
          <w:lang w:val="en-US"/>
        </w:rPr>
        <w:t xml:space="preserve">A number of internal investigations were undertaken within the Department in response to </w:t>
      </w:r>
      <w:r w:rsidR="00915932" w:rsidRPr="009351CB">
        <w:rPr>
          <w:lang w:val="en-US"/>
        </w:rPr>
        <w:t>affidavits</w:t>
      </w:r>
      <w:r w:rsidRPr="009351CB">
        <w:rPr>
          <w:lang w:val="en-US"/>
        </w:rPr>
        <w:t xml:space="preserve"> file</w:t>
      </w:r>
      <w:r w:rsidR="00915932" w:rsidRPr="009351CB">
        <w:rPr>
          <w:lang w:val="en-US"/>
        </w:rPr>
        <w:t>d</w:t>
      </w:r>
      <w:r w:rsidRPr="009351CB">
        <w:rPr>
          <w:lang w:val="en-US"/>
        </w:rPr>
        <w:t xml:space="preserve"> at the State Capture </w:t>
      </w:r>
      <w:r w:rsidR="00915932" w:rsidRPr="009351CB">
        <w:rPr>
          <w:lang w:val="en-US"/>
        </w:rPr>
        <w:t>Commission</w:t>
      </w:r>
      <w:r w:rsidRPr="009351CB">
        <w:rPr>
          <w:lang w:val="en-US"/>
        </w:rPr>
        <w:t>, resulting in a more challenging working environment in a number of units.</w:t>
      </w:r>
    </w:p>
    <w:p w14:paraId="7C7AFCD9" w14:textId="77777777" w:rsidR="003235DE" w:rsidRPr="009351CB" w:rsidRDefault="00E77DB5" w:rsidP="004F6019">
      <w:pPr>
        <w:numPr>
          <w:ilvl w:val="0"/>
          <w:numId w:val="6"/>
        </w:numPr>
        <w:autoSpaceDE w:val="0"/>
        <w:autoSpaceDN w:val="0"/>
        <w:adjustRightInd w:val="0"/>
        <w:spacing w:line="360" w:lineRule="auto"/>
        <w:jc w:val="both"/>
        <w:rPr>
          <w:lang w:val="en-US"/>
        </w:rPr>
      </w:pPr>
      <w:r w:rsidRPr="009351CB">
        <w:rPr>
          <w:lang w:val="en-US"/>
        </w:rPr>
        <w:t xml:space="preserve">The Department </w:t>
      </w:r>
      <w:r w:rsidR="00915932" w:rsidRPr="009351CB">
        <w:rPr>
          <w:lang w:val="en-US"/>
        </w:rPr>
        <w:t>has a high vacancy rate at top management level: five of ten top management posts were either vacant or filled in an acting capacity.</w:t>
      </w:r>
    </w:p>
    <w:p w14:paraId="48D1B95D" w14:textId="676A4CF6" w:rsidR="0059569B" w:rsidRPr="009351CB" w:rsidRDefault="0059569B" w:rsidP="004F6019">
      <w:pPr>
        <w:numPr>
          <w:ilvl w:val="0"/>
          <w:numId w:val="6"/>
        </w:numPr>
        <w:autoSpaceDE w:val="0"/>
        <w:autoSpaceDN w:val="0"/>
        <w:adjustRightInd w:val="0"/>
        <w:spacing w:line="360" w:lineRule="auto"/>
        <w:jc w:val="both"/>
      </w:pPr>
      <w:r w:rsidRPr="009351CB">
        <w:rPr>
          <w:lang w:val="en-US"/>
        </w:rPr>
        <w:t xml:space="preserve">The Department </w:t>
      </w:r>
      <w:r w:rsidR="00965A96" w:rsidRPr="009351CB">
        <w:rPr>
          <w:lang w:val="en-US"/>
        </w:rPr>
        <w:t xml:space="preserve">continues to provide </w:t>
      </w:r>
      <w:r w:rsidRPr="009351CB">
        <w:rPr>
          <w:lang w:val="en-US"/>
        </w:rPr>
        <w:t xml:space="preserve">administrative support to the Judicial Commission of Inquiry into Allegations of State Capture </w:t>
      </w:r>
      <w:r w:rsidR="00A12069" w:rsidRPr="009351CB">
        <w:rPr>
          <w:lang w:val="en-US"/>
        </w:rPr>
        <w:t>and the Commission of Inquiry into A</w:t>
      </w:r>
      <w:r w:rsidR="00915932" w:rsidRPr="009351CB">
        <w:rPr>
          <w:lang w:val="en-US"/>
        </w:rPr>
        <w:t xml:space="preserve">llegations of </w:t>
      </w:r>
      <w:r w:rsidR="00A12069" w:rsidRPr="009351CB">
        <w:rPr>
          <w:lang w:val="en-US"/>
        </w:rPr>
        <w:t>I</w:t>
      </w:r>
      <w:r w:rsidR="00915932" w:rsidRPr="009351CB">
        <w:rPr>
          <w:lang w:val="en-US"/>
        </w:rPr>
        <w:t>mpropriety regarding the Public Investment Corporation</w:t>
      </w:r>
      <w:r w:rsidR="00915932" w:rsidRPr="009351CB">
        <w:t xml:space="preserve">, </w:t>
      </w:r>
      <w:r w:rsidRPr="009351CB">
        <w:t>despite its limited resources.</w:t>
      </w:r>
    </w:p>
    <w:p w14:paraId="30C10525" w14:textId="77777777" w:rsidR="0059569B" w:rsidRPr="009351CB" w:rsidRDefault="0059569B" w:rsidP="009351CB">
      <w:pPr>
        <w:pStyle w:val="ListParagraph"/>
        <w:spacing w:line="360" w:lineRule="auto"/>
        <w:jc w:val="both"/>
      </w:pPr>
    </w:p>
    <w:p w14:paraId="77EF268B" w14:textId="77777777" w:rsidR="00965A96" w:rsidRPr="009351CB" w:rsidRDefault="00965A96" w:rsidP="009351CB">
      <w:pPr>
        <w:pStyle w:val="ListParagraph"/>
        <w:spacing w:line="360" w:lineRule="auto"/>
      </w:pPr>
    </w:p>
    <w:p w14:paraId="2CA694FD" w14:textId="77777777" w:rsidR="00106280" w:rsidRPr="009351CB" w:rsidRDefault="00CC501E" w:rsidP="002C3BE7">
      <w:pPr>
        <w:numPr>
          <w:ilvl w:val="0"/>
          <w:numId w:val="2"/>
        </w:numPr>
        <w:tabs>
          <w:tab w:val="clear" w:pos="360"/>
          <w:tab w:val="num" w:pos="709"/>
        </w:tabs>
        <w:spacing w:line="360" w:lineRule="auto"/>
        <w:ind w:left="709" w:hanging="709"/>
        <w:jc w:val="both"/>
        <w:rPr>
          <w:b/>
        </w:rPr>
      </w:pPr>
      <w:r w:rsidRPr="009351CB">
        <w:rPr>
          <w:b/>
        </w:rPr>
        <w:t>Programme performance</w:t>
      </w:r>
      <w:r w:rsidR="00FD0282" w:rsidRPr="009351CB">
        <w:rPr>
          <w:b/>
        </w:rPr>
        <w:t xml:space="preserve"> and spending 2018/19</w:t>
      </w:r>
    </w:p>
    <w:p w14:paraId="0DAE765F" w14:textId="77777777" w:rsidR="00106280" w:rsidRPr="009351CB" w:rsidRDefault="00106280" w:rsidP="009351CB">
      <w:pPr>
        <w:spacing w:line="360" w:lineRule="auto"/>
        <w:jc w:val="both"/>
        <w:rPr>
          <w:b/>
        </w:rPr>
      </w:pPr>
    </w:p>
    <w:p w14:paraId="78FFC06C" w14:textId="77777777" w:rsidR="00106280" w:rsidRPr="009351CB" w:rsidRDefault="00106280" w:rsidP="002C3BE7">
      <w:pPr>
        <w:pStyle w:val="ListParagraph"/>
        <w:numPr>
          <w:ilvl w:val="1"/>
          <w:numId w:val="2"/>
        </w:numPr>
        <w:spacing w:line="360" w:lineRule="auto"/>
        <w:ind w:left="709" w:hanging="709"/>
        <w:jc w:val="both"/>
      </w:pPr>
      <w:r w:rsidRPr="009351CB">
        <w:rPr>
          <w:lang w:val="en-US"/>
        </w:rPr>
        <w:t>The</w:t>
      </w:r>
      <w:r w:rsidRPr="009351CB">
        <w:t xml:space="preserve"> Department </w:t>
      </w:r>
      <w:r w:rsidR="004A4CC6" w:rsidRPr="009351CB">
        <w:t xml:space="preserve">directly </w:t>
      </w:r>
      <w:r w:rsidRPr="009351CB">
        <w:t xml:space="preserve">administers </w:t>
      </w:r>
      <w:r w:rsidR="004A4CC6" w:rsidRPr="009351CB">
        <w:t xml:space="preserve">three </w:t>
      </w:r>
      <w:r w:rsidRPr="009351CB">
        <w:t xml:space="preserve">of the Vote’s programmes: Administration; Court Services, which is the Department’s core programme and consumes the majority of the Department’s budget; and State Legal Services. Under Auxiliary and Associated Services, the Justice Modernisation sub-programme funds the JCPS Cluster projects relating to </w:t>
      </w:r>
      <w:r w:rsidR="00CC501E" w:rsidRPr="009351CB">
        <w:t xml:space="preserve">the </w:t>
      </w:r>
      <w:r w:rsidRPr="009351CB">
        <w:t>Integrated Justice System</w:t>
      </w:r>
      <w:r w:rsidR="00CC501E" w:rsidRPr="009351CB">
        <w:t xml:space="preserve"> (IJS)</w:t>
      </w:r>
      <w:r w:rsidRPr="009351CB">
        <w:t>.</w:t>
      </w:r>
    </w:p>
    <w:p w14:paraId="0685EBFE" w14:textId="77777777" w:rsidR="00106280" w:rsidRPr="009351CB" w:rsidRDefault="00106280" w:rsidP="009351CB">
      <w:pPr>
        <w:pStyle w:val="ListParagraph"/>
        <w:spacing w:line="360" w:lineRule="auto"/>
        <w:jc w:val="both"/>
      </w:pPr>
    </w:p>
    <w:p w14:paraId="5ABB3362" w14:textId="77777777" w:rsidR="00DB1272" w:rsidRPr="009351CB" w:rsidRDefault="004A4CC6" w:rsidP="002C3BE7">
      <w:pPr>
        <w:pStyle w:val="ListParagraph"/>
        <w:numPr>
          <w:ilvl w:val="1"/>
          <w:numId w:val="2"/>
        </w:numPr>
        <w:spacing w:line="360" w:lineRule="auto"/>
        <w:ind w:left="709" w:hanging="709"/>
        <w:jc w:val="both"/>
      </w:pPr>
      <w:r w:rsidRPr="009351CB">
        <w:t xml:space="preserve">Overall, </w:t>
      </w:r>
      <w:r w:rsidR="0093717E" w:rsidRPr="009351CB">
        <w:t xml:space="preserve">in 2018/19, </w:t>
      </w:r>
      <w:r w:rsidR="00106280" w:rsidRPr="009351CB">
        <w:t>the Department achieved</w:t>
      </w:r>
      <w:r w:rsidR="00DB1272" w:rsidRPr="009351CB">
        <w:t xml:space="preserve"> </w:t>
      </w:r>
      <w:r w:rsidR="00795655" w:rsidRPr="009351CB">
        <w:t xml:space="preserve">73% of planned targets, compared with </w:t>
      </w:r>
      <w:r w:rsidR="00DB1272" w:rsidRPr="009351CB">
        <w:t xml:space="preserve">74% </w:t>
      </w:r>
      <w:r w:rsidR="00CA6C22" w:rsidRPr="009351CB">
        <w:t xml:space="preserve">and </w:t>
      </w:r>
      <w:r w:rsidRPr="009351CB">
        <w:t>85% of planned targets</w:t>
      </w:r>
      <w:r w:rsidR="00E74251" w:rsidRPr="009351CB">
        <w:t xml:space="preserve"> in</w:t>
      </w:r>
      <w:r w:rsidR="0007248A" w:rsidRPr="009351CB">
        <w:t xml:space="preserve"> </w:t>
      </w:r>
      <w:r w:rsidR="00CA6C22" w:rsidRPr="009351CB">
        <w:t xml:space="preserve">2017/18 and </w:t>
      </w:r>
      <w:r w:rsidR="0007248A" w:rsidRPr="009351CB">
        <w:t>2016/17</w:t>
      </w:r>
      <w:r w:rsidR="00CA6C22" w:rsidRPr="009351CB">
        <w:t>, respectively</w:t>
      </w:r>
      <w:r w:rsidR="00106280" w:rsidRPr="009351CB">
        <w:t xml:space="preserve">. </w:t>
      </w:r>
    </w:p>
    <w:p w14:paraId="5AAF14B6" w14:textId="77777777" w:rsidR="00DE4CC2" w:rsidRPr="009351CB" w:rsidRDefault="00DE4CC2" w:rsidP="009351CB">
      <w:pPr>
        <w:pStyle w:val="ListParagraph"/>
        <w:spacing w:line="360" w:lineRule="auto"/>
      </w:pPr>
    </w:p>
    <w:p w14:paraId="09BA695B" w14:textId="77777777" w:rsidR="00106280" w:rsidRPr="009351CB" w:rsidRDefault="00106280" w:rsidP="002C3BE7">
      <w:pPr>
        <w:pStyle w:val="ListParagraph"/>
        <w:numPr>
          <w:ilvl w:val="1"/>
          <w:numId w:val="2"/>
        </w:numPr>
        <w:spacing w:line="360" w:lineRule="auto"/>
        <w:ind w:left="709" w:hanging="709"/>
        <w:jc w:val="both"/>
        <w:rPr>
          <w:b/>
          <w:lang w:val="en-US"/>
        </w:rPr>
      </w:pPr>
      <w:r w:rsidRPr="009351CB">
        <w:rPr>
          <w:b/>
          <w:lang w:val="en-US"/>
        </w:rPr>
        <w:t>Programme 1 - Administration</w:t>
      </w:r>
    </w:p>
    <w:p w14:paraId="4F68765D" w14:textId="77777777" w:rsidR="00106280" w:rsidRPr="009351CB" w:rsidRDefault="00106280" w:rsidP="009351CB">
      <w:pPr>
        <w:spacing w:line="360" w:lineRule="auto"/>
        <w:jc w:val="both"/>
        <w:rPr>
          <w:lang w:val="en-US"/>
        </w:rPr>
      </w:pPr>
    </w:p>
    <w:p w14:paraId="7591B15D" w14:textId="22D6DC09" w:rsidR="00106280" w:rsidRPr="00F151D4" w:rsidRDefault="00106280" w:rsidP="004F6019">
      <w:pPr>
        <w:pStyle w:val="ListParagraph"/>
        <w:numPr>
          <w:ilvl w:val="2"/>
          <w:numId w:val="12"/>
        </w:numPr>
        <w:spacing w:line="360" w:lineRule="auto"/>
        <w:jc w:val="both"/>
        <w:rPr>
          <w:i/>
        </w:rPr>
      </w:pPr>
      <w:r w:rsidRPr="00F151D4">
        <w:rPr>
          <w:lang w:val="en-US"/>
        </w:rPr>
        <w:t>The</w:t>
      </w:r>
      <w:r w:rsidRPr="00F151D4">
        <w:rPr>
          <w:bCs/>
        </w:rPr>
        <w:t xml:space="preserve"> </w:t>
      </w:r>
      <w:r w:rsidRPr="009351CB">
        <w:t xml:space="preserve">Administration programme is responsible for the Department’s management and </w:t>
      </w:r>
      <w:r w:rsidR="00D17B44" w:rsidRPr="009351CB">
        <w:t xml:space="preserve">for the </w:t>
      </w:r>
      <w:r w:rsidRPr="009351CB">
        <w:t xml:space="preserve">development of policies and strategies for the efficient </w:t>
      </w:r>
      <w:r w:rsidR="00A12069" w:rsidRPr="009351CB">
        <w:t>administration</w:t>
      </w:r>
      <w:r w:rsidRPr="009351CB">
        <w:t xml:space="preserve"> of justice</w:t>
      </w:r>
      <w:r w:rsidRPr="00F151D4">
        <w:rPr>
          <w:i/>
        </w:rPr>
        <w:t>.</w:t>
      </w:r>
    </w:p>
    <w:p w14:paraId="714E25FB" w14:textId="77777777" w:rsidR="00106280" w:rsidRPr="009351CB" w:rsidRDefault="00106280" w:rsidP="009351CB">
      <w:pPr>
        <w:pStyle w:val="BodySingle"/>
        <w:spacing w:line="360" w:lineRule="auto"/>
        <w:ind w:left="0"/>
        <w:rPr>
          <w:rFonts w:ascii="Times New Roman" w:hAnsi="Times New Roman"/>
          <w:i w:val="0"/>
          <w:sz w:val="24"/>
          <w:szCs w:val="24"/>
        </w:rPr>
      </w:pPr>
    </w:p>
    <w:p w14:paraId="5E140F49" w14:textId="2EEB3CCC" w:rsidR="009332E2" w:rsidRPr="009351CB" w:rsidRDefault="009332E2" w:rsidP="004F6019">
      <w:pPr>
        <w:pStyle w:val="ListParagraph"/>
        <w:numPr>
          <w:ilvl w:val="2"/>
          <w:numId w:val="12"/>
        </w:numPr>
        <w:spacing w:line="360" w:lineRule="auto"/>
        <w:jc w:val="both"/>
        <w:rPr>
          <w:bCs/>
        </w:rPr>
      </w:pPr>
      <w:r w:rsidRPr="009351CB">
        <w:rPr>
          <w:rFonts w:eastAsia="MS PGothic"/>
          <w:kern w:val="24"/>
        </w:rPr>
        <w:t>The Administrat</w:t>
      </w:r>
      <w:r w:rsidR="00CA6C22" w:rsidRPr="009351CB">
        <w:rPr>
          <w:rFonts w:eastAsia="MS PGothic"/>
          <w:kern w:val="24"/>
        </w:rPr>
        <w:t xml:space="preserve">ion programme was allocated R2.1 </w:t>
      </w:r>
      <w:r w:rsidRPr="009351CB">
        <w:rPr>
          <w:rFonts w:eastAsia="MS PGothic"/>
          <w:kern w:val="24"/>
        </w:rPr>
        <w:t>billion in 201</w:t>
      </w:r>
      <w:r w:rsidR="00CA6C22" w:rsidRPr="009351CB">
        <w:rPr>
          <w:rFonts w:eastAsia="MS PGothic"/>
          <w:kern w:val="24"/>
        </w:rPr>
        <w:t>8/19</w:t>
      </w:r>
      <w:r w:rsidR="001D680D" w:rsidRPr="009351CB">
        <w:rPr>
          <w:rFonts w:eastAsia="MS PGothic"/>
          <w:kern w:val="24"/>
        </w:rPr>
        <w:t>. After the Adjustmen</w:t>
      </w:r>
      <w:r w:rsidR="00DA7DCE" w:rsidRPr="009351CB">
        <w:rPr>
          <w:rFonts w:eastAsia="MS PGothic"/>
          <w:kern w:val="24"/>
        </w:rPr>
        <w:t>t</w:t>
      </w:r>
      <w:r w:rsidR="00E74251" w:rsidRPr="009351CB">
        <w:rPr>
          <w:rFonts w:eastAsia="MS PGothic"/>
          <w:kern w:val="24"/>
        </w:rPr>
        <w:t xml:space="preserve"> process, the allocation </w:t>
      </w:r>
      <w:r w:rsidR="00CA6C22" w:rsidRPr="009351CB">
        <w:rPr>
          <w:rFonts w:eastAsia="MS PGothic"/>
          <w:kern w:val="24"/>
        </w:rPr>
        <w:t>in</w:t>
      </w:r>
      <w:r w:rsidR="00E74251" w:rsidRPr="009351CB">
        <w:rPr>
          <w:rFonts w:eastAsia="MS PGothic"/>
          <w:kern w:val="24"/>
        </w:rPr>
        <w:t xml:space="preserve">creased to </w:t>
      </w:r>
      <w:r w:rsidR="00CA6C22" w:rsidRPr="009351CB">
        <w:rPr>
          <w:rFonts w:eastAsia="MS PGothic"/>
          <w:kern w:val="24"/>
        </w:rPr>
        <w:t>R2.5</w:t>
      </w:r>
      <w:r w:rsidR="001D680D" w:rsidRPr="009351CB">
        <w:rPr>
          <w:rFonts w:eastAsia="MS PGothic"/>
          <w:kern w:val="24"/>
        </w:rPr>
        <w:t xml:space="preserve"> b</w:t>
      </w:r>
      <w:r w:rsidR="00990B67" w:rsidRPr="009351CB">
        <w:rPr>
          <w:rFonts w:eastAsia="MS PGothic"/>
          <w:kern w:val="24"/>
        </w:rPr>
        <w:t>illion. A</w:t>
      </w:r>
      <w:r w:rsidR="001D680D" w:rsidRPr="009351CB">
        <w:rPr>
          <w:rFonts w:eastAsia="MS PGothic"/>
          <w:kern w:val="24"/>
        </w:rPr>
        <w:t xml:space="preserve"> virement of R</w:t>
      </w:r>
      <w:r w:rsidR="00CA6C22" w:rsidRPr="009351CB">
        <w:rPr>
          <w:rFonts w:eastAsia="MS PGothic"/>
          <w:kern w:val="24"/>
        </w:rPr>
        <w:t xml:space="preserve">90.2 </w:t>
      </w:r>
      <w:r w:rsidR="001D680D" w:rsidRPr="009351CB">
        <w:rPr>
          <w:rFonts w:eastAsia="MS PGothic"/>
          <w:kern w:val="24"/>
        </w:rPr>
        <w:t>million brought</w:t>
      </w:r>
      <w:r w:rsidR="00CA6C22" w:rsidRPr="009351CB">
        <w:rPr>
          <w:rFonts w:eastAsia="MS PGothic"/>
          <w:kern w:val="24"/>
        </w:rPr>
        <w:t xml:space="preserve"> the final appropriation to R12.6 billion</w:t>
      </w:r>
      <w:r w:rsidR="0059569B" w:rsidRPr="009351CB">
        <w:rPr>
          <w:rFonts w:eastAsia="MS PGothic"/>
          <w:kern w:val="24"/>
        </w:rPr>
        <w:t>,</w:t>
      </w:r>
      <w:r w:rsidR="001D680D" w:rsidRPr="009351CB">
        <w:rPr>
          <w:rFonts w:eastAsia="MS PGothic"/>
          <w:kern w:val="24"/>
        </w:rPr>
        <w:t xml:space="preserve"> with R16</w:t>
      </w:r>
      <w:r w:rsidR="00CA6C22" w:rsidRPr="009351CB">
        <w:rPr>
          <w:rFonts w:eastAsia="MS PGothic"/>
          <w:kern w:val="24"/>
        </w:rPr>
        <w:t>3.9</w:t>
      </w:r>
      <w:r w:rsidR="001D680D" w:rsidRPr="009351CB">
        <w:rPr>
          <w:rFonts w:eastAsia="MS PGothic"/>
          <w:kern w:val="24"/>
        </w:rPr>
        <w:t xml:space="preserve"> million unspent.</w:t>
      </w:r>
    </w:p>
    <w:p w14:paraId="429B3C29" w14:textId="77777777" w:rsidR="009332E2" w:rsidRPr="009351CB" w:rsidRDefault="009332E2" w:rsidP="009351CB">
      <w:pPr>
        <w:pStyle w:val="ListParagraph"/>
        <w:spacing w:line="360" w:lineRule="auto"/>
        <w:rPr>
          <w:i/>
        </w:rPr>
      </w:pPr>
    </w:p>
    <w:p w14:paraId="585FC629" w14:textId="301ACCD3" w:rsidR="00F41FC7" w:rsidRPr="009351CB" w:rsidRDefault="00DA349E" w:rsidP="004F6019">
      <w:pPr>
        <w:pStyle w:val="ListParagraph"/>
        <w:numPr>
          <w:ilvl w:val="2"/>
          <w:numId w:val="12"/>
        </w:numPr>
        <w:spacing w:line="360" w:lineRule="auto"/>
        <w:jc w:val="both"/>
      </w:pPr>
      <w:r w:rsidRPr="009351CB">
        <w:t>In 201</w:t>
      </w:r>
      <w:r w:rsidR="00CA6C22" w:rsidRPr="009351CB">
        <w:t>8/19</w:t>
      </w:r>
      <w:r w:rsidRPr="009351CB">
        <w:t>, t</w:t>
      </w:r>
      <w:r w:rsidR="009B6563" w:rsidRPr="009351CB">
        <w:t>he Programme m</w:t>
      </w:r>
      <w:r w:rsidR="00106280" w:rsidRPr="009351CB">
        <w:t xml:space="preserve">et or exceeded targets </w:t>
      </w:r>
      <w:r w:rsidR="0022051A" w:rsidRPr="009351CB">
        <w:t>for</w:t>
      </w:r>
      <w:r w:rsidR="007D6E9B" w:rsidRPr="009351CB">
        <w:t xml:space="preserve"> </w:t>
      </w:r>
      <w:r w:rsidR="00CA6C22" w:rsidRPr="009351CB">
        <w:t>43% of the planned targets (comp</w:t>
      </w:r>
      <w:r w:rsidR="0093717E" w:rsidRPr="009351CB">
        <w:t>a</w:t>
      </w:r>
      <w:r w:rsidR="00CA6C22" w:rsidRPr="009351CB">
        <w:t xml:space="preserve">red with </w:t>
      </w:r>
      <w:r w:rsidR="007D6E9B" w:rsidRPr="009351CB">
        <w:t>66%</w:t>
      </w:r>
      <w:r w:rsidR="00CA6C22" w:rsidRPr="009351CB">
        <w:t xml:space="preserve"> </w:t>
      </w:r>
      <w:r w:rsidR="007D6E9B" w:rsidRPr="009351CB">
        <w:t xml:space="preserve">of </w:t>
      </w:r>
      <w:r w:rsidR="009B6563" w:rsidRPr="009351CB">
        <w:t xml:space="preserve">the </w:t>
      </w:r>
      <w:r w:rsidR="007D6E9B" w:rsidRPr="009351CB">
        <w:t xml:space="preserve">planned targets </w:t>
      </w:r>
      <w:r w:rsidR="00CA6C22" w:rsidRPr="009351CB">
        <w:t>for 2017/18</w:t>
      </w:r>
      <w:r w:rsidR="007D6E9B" w:rsidRPr="009351CB">
        <w:t xml:space="preserve">) </w:t>
      </w:r>
      <w:r w:rsidR="001B4A4E" w:rsidRPr="009351CB">
        <w:t xml:space="preserve">and spent </w:t>
      </w:r>
      <w:r w:rsidR="00CA6C22" w:rsidRPr="009351CB">
        <w:t>93.7%</w:t>
      </w:r>
      <w:r w:rsidR="001B4A4E" w:rsidRPr="009351CB">
        <w:t xml:space="preserve"> of its budget.</w:t>
      </w:r>
      <w:r w:rsidR="001D680D" w:rsidRPr="009351CB">
        <w:t xml:space="preserve"> </w:t>
      </w:r>
    </w:p>
    <w:p w14:paraId="6D4207DB" w14:textId="77777777" w:rsidR="00C8340E" w:rsidRPr="009351CB" w:rsidRDefault="00C8340E" w:rsidP="009351CB">
      <w:pPr>
        <w:pStyle w:val="ListParagraph"/>
        <w:spacing w:line="360" w:lineRule="auto"/>
      </w:pPr>
    </w:p>
    <w:p w14:paraId="19344B28" w14:textId="77777777" w:rsidR="00783AE7" w:rsidRPr="009351CB" w:rsidRDefault="00FD0282" w:rsidP="009351CB">
      <w:pPr>
        <w:spacing w:line="360" w:lineRule="auto"/>
        <w:rPr>
          <w:b/>
        </w:rPr>
      </w:pPr>
      <w:r w:rsidRPr="009351CB">
        <w:rPr>
          <w:b/>
        </w:rPr>
        <w:t>Table 3</w:t>
      </w:r>
      <w:r w:rsidR="009B3194" w:rsidRPr="009351CB">
        <w:rPr>
          <w:b/>
        </w:rPr>
        <w:t>: Administration – Selected performance 2018/19</w:t>
      </w:r>
    </w:p>
    <w:tbl>
      <w:tblPr>
        <w:tblStyle w:val="TableGrid"/>
        <w:tblW w:w="5000" w:type="pct"/>
        <w:tblLook w:val="04A0" w:firstRow="1" w:lastRow="0" w:firstColumn="1" w:lastColumn="0" w:noHBand="0" w:noVBand="1"/>
      </w:tblPr>
      <w:tblGrid>
        <w:gridCol w:w="2811"/>
        <w:gridCol w:w="2810"/>
        <w:gridCol w:w="2811"/>
      </w:tblGrid>
      <w:tr w:rsidR="0093717E" w:rsidRPr="009351CB" w14:paraId="409F9E85" w14:textId="77777777" w:rsidTr="00DA7DCE">
        <w:trPr>
          <w:tblHeader/>
        </w:trPr>
        <w:tc>
          <w:tcPr>
            <w:tcW w:w="1666" w:type="pct"/>
            <w:shd w:val="clear" w:color="auto" w:fill="D9D9D9" w:themeFill="background1" w:themeFillShade="D9"/>
          </w:tcPr>
          <w:p w14:paraId="124724AD" w14:textId="77777777" w:rsidR="0093717E" w:rsidRPr="009351CB" w:rsidRDefault="0093717E" w:rsidP="009351CB">
            <w:pPr>
              <w:spacing w:line="360" w:lineRule="auto"/>
              <w:jc w:val="center"/>
              <w:rPr>
                <w:b/>
              </w:rPr>
            </w:pPr>
            <w:r w:rsidRPr="009351CB">
              <w:rPr>
                <w:b/>
              </w:rPr>
              <w:t>Indicators</w:t>
            </w:r>
          </w:p>
        </w:tc>
        <w:tc>
          <w:tcPr>
            <w:tcW w:w="1666" w:type="pct"/>
            <w:shd w:val="clear" w:color="auto" w:fill="D9D9D9" w:themeFill="background1" w:themeFillShade="D9"/>
          </w:tcPr>
          <w:p w14:paraId="4E56C3C2" w14:textId="77777777" w:rsidR="0093717E" w:rsidRPr="009351CB" w:rsidRDefault="0093717E" w:rsidP="009351CB">
            <w:pPr>
              <w:spacing w:line="360" w:lineRule="auto"/>
              <w:jc w:val="center"/>
              <w:rPr>
                <w:b/>
              </w:rPr>
            </w:pPr>
            <w:r w:rsidRPr="009351CB">
              <w:rPr>
                <w:b/>
              </w:rPr>
              <w:t>2017/18</w:t>
            </w:r>
          </w:p>
        </w:tc>
        <w:tc>
          <w:tcPr>
            <w:tcW w:w="1667" w:type="pct"/>
            <w:shd w:val="clear" w:color="auto" w:fill="D9D9D9" w:themeFill="background1" w:themeFillShade="D9"/>
          </w:tcPr>
          <w:p w14:paraId="71A0CB2E" w14:textId="77777777" w:rsidR="0093717E" w:rsidRPr="009351CB" w:rsidRDefault="0093717E" w:rsidP="009351CB">
            <w:pPr>
              <w:spacing w:line="360" w:lineRule="auto"/>
              <w:jc w:val="center"/>
              <w:rPr>
                <w:b/>
              </w:rPr>
            </w:pPr>
            <w:r w:rsidRPr="009351CB">
              <w:rPr>
                <w:b/>
              </w:rPr>
              <w:t>2018/19</w:t>
            </w:r>
          </w:p>
        </w:tc>
      </w:tr>
      <w:tr w:rsidR="0093717E" w:rsidRPr="009351CB" w14:paraId="25EC0460" w14:textId="77777777" w:rsidTr="00783AE7">
        <w:tc>
          <w:tcPr>
            <w:tcW w:w="1666" w:type="pct"/>
          </w:tcPr>
          <w:p w14:paraId="46912311"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rPr>
              <w:t xml:space="preserve">Unqualified audit opinion achieved </w:t>
            </w:r>
          </w:p>
        </w:tc>
        <w:tc>
          <w:tcPr>
            <w:tcW w:w="1666" w:type="pct"/>
          </w:tcPr>
          <w:p w14:paraId="48FB1958"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NOT ACHIEVED</w:t>
            </w:r>
          </w:p>
        </w:tc>
        <w:tc>
          <w:tcPr>
            <w:tcW w:w="1667" w:type="pct"/>
          </w:tcPr>
          <w:p w14:paraId="64081A76"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NOT ACHIEVED</w:t>
            </w:r>
          </w:p>
        </w:tc>
      </w:tr>
      <w:tr w:rsidR="0093717E" w:rsidRPr="009351CB" w14:paraId="0B55D1BE" w14:textId="77777777" w:rsidTr="00783AE7">
        <w:tc>
          <w:tcPr>
            <w:tcW w:w="1666" w:type="pct"/>
          </w:tcPr>
          <w:p w14:paraId="6A7092BE"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rPr>
              <w:t xml:space="preserve">Number of audit projects completed by internal Audit </w:t>
            </w:r>
          </w:p>
        </w:tc>
        <w:tc>
          <w:tcPr>
            <w:tcW w:w="1666" w:type="pct"/>
          </w:tcPr>
          <w:p w14:paraId="7BBA61E1"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3849F34B"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(282 against a target of 282) </w:t>
            </w:r>
          </w:p>
        </w:tc>
        <w:tc>
          <w:tcPr>
            <w:tcW w:w="1667" w:type="pct"/>
          </w:tcPr>
          <w:p w14:paraId="08075625"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1C809160"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(284 against a target of 284) </w:t>
            </w:r>
          </w:p>
        </w:tc>
      </w:tr>
      <w:tr w:rsidR="0093717E" w:rsidRPr="009351CB" w14:paraId="28A48265" w14:textId="77777777" w:rsidTr="00783AE7">
        <w:tc>
          <w:tcPr>
            <w:tcW w:w="1666" w:type="pct"/>
          </w:tcPr>
          <w:p w14:paraId="765C0C89"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rPr>
              <w:t>Percentage of significant findings resolved on key specific issues</w:t>
            </w:r>
          </w:p>
          <w:p w14:paraId="4459CB8C"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rPr>
              <w:t xml:space="preserve">(NEW INDICATOR) </w:t>
            </w:r>
          </w:p>
        </w:tc>
        <w:tc>
          <w:tcPr>
            <w:tcW w:w="1666" w:type="pct"/>
          </w:tcPr>
          <w:p w14:paraId="43E2835D"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EXCEEDED </w:t>
            </w:r>
          </w:p>
          <w:p w14:paraId="63D667E4"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(78% against a target of 60%) </w:t>
            </w:r>
          </w:p>
        </w:tc>
        <w:tc>
          <w:tcPr>
            <w:tcW w:w="1667" w:type="pct"/>
          </w:tcPr>
          <w:p w14:paraId="335C7F41"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7E8AA9E4" w14:textId="77777777" w:rsidR="0093717E" w:rsidRPr="009351CB" w:rsidRDefault="0093717E"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(50% against a target of 100% or 18 of 36 audit findings were addressed.) </w:t>
            </w:r>
          </w:p>
        </w:tc>
      </w:tr>
    </w:tbl>
    <w:p w14:paraId="4A2B2C31" w14:textId="77777777" w:rsidR="00D83775" w:rsidRPr="009351CB" w:rsidRDefault="00D83775" w:rsidP="009351CB">
      <w:pPr>
        <w:spacing w:line="360" w:lineRule="auto"/>
        <w:jc w:val="both"/>
      </w:pPr>
    </w:p>
    <w:p w14:paraId="754B22EC" w14:textId="77777777" w:rsidR="00106280" w:rsidRPr="009351CB" w:rsidRDefault="00106280" w:rsidP="002C3BE7">
      <w:pPr>
        <w:pStyle w:val="ListParagraph"/>
        <w:numPr>
          <w:ilvl w:val="1"/>
          <w:numId w:val="2"/>
        </w:numPr>
        <w:spacing w:line="360" w:lineRule="auto"/>
        <w:ind w:left="709" w:hanging="709"/>
        <w:jc w:val="both"/>
        <w:rPr>
          <w:b/>
        </w:rPr>
      </w:pPr>
      <w:r w:rsidRPr="009351CB">
        <w:rPr>
          <w:b/>
        </w:rPr>
        <w:t>Programme 2 - Court Services</w:t>
      </w:r>
    </w:p>
    <w:p w14:paraId="5E87B0BE" w14:textId="77777777" w:rsidR="00106280" w:rsidRPr="009351CB" w:rsidRDefault="00106280" w:rsidP="009351CB">
      <w:pPr>
        <w:spacing w:line="360" w:lineRule="auto"/>
        <w:ind w:left="720"/>
        <w:jc w:val="both"/>
        <w:rPr>
          <w:b/>
        </w:rPr>
      </w:pPr>
    </w:p>
    <w:p w14:paraId="1694505A" w14:textId="52597461" w:rsidR="00106280" w:rsidRPr="009351CB" w:rsidRDefault="00106280" w:rsidP="004F6019">
      <w:pPr>
        <w:pStyle w:val="ListParagraph"/>
        <w:numPr>
          <w:ilvl w:val="2"/>
          <w:numId w:val="13"/>
        </w:numPr>
        <w:spacing w:line="360" w:lineRule="auto"/>
        <w:jc w:val="both"/>
      </w:pPr>
      <w:r w:rsidRPr="00F151D4">
        <w:rPr>
          <w:rFonts w:eastAsia="MS PGothic"/>
          <w:kern w:val="24"/>
        </w:rPr>
        <w:t>The</w:t>
      </w:r>
      <w:r w:rsidRPr="009351CB">
        <w:t xml:space="preserve"> Court Services programme facilitates the resolution of criminal, civil and family law disputes by providing accessible, efficient and quality administrative support to the courts</w:t>
      </w:r>
      <w:r w:rsidR="0007248A" w:rsidRPr="009351CB">
        <w:t>;</w:t>
      </w:r>
      <w:r w:rsidRPr="009351CB">
        <w:t xml:space="preserve"> and manages court facilities.</w:t>
      </w:r>
    </w:p>
    <w:p w14:paraId="52DB52AD" w14:textId="77777777" w:rsidR="00106280" w:rsidRPr="009351CB" w:rsidRDefault="00106280" w:rsidP="009351CB">
      <w:pPr>
        <w:pStyle w:val="BodySingle"/>
        <w:spacing w:line="360" w:lineRule="auto"/>
        <w:rPr>
          <w:rFonts w:ascii="Times New Roman" w:hAnsi="Times New Roman"/>
          <w:i w:val="0"/>
          <w:sz w:val="24"/>
          <w:szCs w:val="24"/>
          <w:lang w:val="en-ZA" w:eastAsia="en-GB"/>
        </w:rPr>
      </w:pPr>
    </w:p>
    <w:p w14:paraId="42FFA9B6" w14:textId="77777777" w:rsidR="00B95327" w:rsidRPr="009351CB" w:rsidRDefault="00AB08C0" w:rsidP="004F6019">
      <w:pPr>
        <w:pStyle w:val="ListParagraph"/>
        <w:numPr>
          <w:ilvl w:val="2"/>
          <w:numId w:val="13"/>
        </w:numPr>
        <w:spacing w:line="360" w:lineRule="auto"/>
        <w:jc w:val="both"/>
      </w:pPr>
      <w:r w:rsidRPr="009351CB">
        <w:rPr>
          <w:bCs/>
        </w:rPr>
        <w:t>The Court Services programme was allocated R6.</w:t>
      </w:r>
      <w:r w:rsidR="00C8340E" w:rsidRPr="009351CB">
        <w:rPr>
          <w:bCs/>
        </w:rPr>
        <w:t>44</w:t>
      </w:r>
      <w:r w:rsidR="00855802" w:rsidRPr="009351CB">
        <w:rPr>
          <w:bCs/>
        </w:rPr>
        <w:t xml:space="preserve"> </w:t>
      </w:r>
      <w:r w:rsidR="001B4A4E" w:rsidRPr="009351CB">
        <w:rPr>
          <w:bCs/>
        </w:rPr>
        <w:t xml:space="preserve">billion for </w:t>
      </w:r>
      <w:r w:rsidR="00C8340E" w:rsidRPr="009351CB">
        <w:rPr>
          <w:bCs/>
        </w:rPr>
        <w:t>2018/19</w:t>
      </w:r>
      <w:r w:rsidR="001B4A4E" w:rsidRPr="009351CB">
        <w:rPr>
          <w:bCs/>
        </w:rPr>
        <w:t xml:space="preserve"> (for the Lower Courts, Family Advocate, Magistrates Commission, Government Motor Transport, Facilities Management and Administration of Lower Courts sub-programmes)</w:t>
      </w:r>
      <w:r w:rsidR="00B95327" w:rsidRPr="009351CB">
        <w:rPr>
          <w:bCs/>
        </w:rPr>
        <w:t xml:space="preserve"> with a final appropriation of R6.</w:t>
      </w:r>
      <w:r w:rsidR="00C8340E" w:rsidRPr="009351CB">
        <w:rPr>
          <w:bCs/>
        </w:rPr>
        <w:t>37</w:t>
      </w:r>
      <w:r w:rsidR="00B95327" w:rsidRPr="009351CB">
        <w:rPr>
          <w:bCs/>
        </w:rPr>
        <w:t xml:space="preserve"> billion. Actu</w:t>
      </w:r>
      <w:r w:rsidR="00C8340E" w:rsidRPr="009351CB">
        <w:rPr>
          <w:bCs/>
        </w:rPr>
        <w:t>al expenditure for 2018/19</w:t>
      </w:r>
      <w:r w:rsidR="00B95327" w:rsidRPr="009351CB">
        <w:rPr>
          <w:bCs/>
        </w:rPr>
        <w:t xml:space="preserve"> </w:t>
      </w:r>
      <w:r w:rsidR="00C8340E" w:rsidRPr="009351CB">
        <w:rPr>
          <w:bCs/>
        </w:rPr>
        <w:t>was R6.43</w:t>
      </w:r>
      <w:r w:rsidR="00B95327" w:rsidRPr="009351CB">
        <w:rPr>
          <w:bCs/>
        </w:rPr>
        <w:t xml:space="preserve"> billion </w:t>
      </w:r>
      <w:r w:rsidR="00DA349E" w:rsidRPr="009351CB">
        <w:rPr>
          <w:bCs/>
        </w:rPr>
        <w:t>(</w:t>
      </w:r>
      <w:r w:rsidR="00B95327" w:rsidRPr="009351CB">
        <w:rPr>
          <w:bCs/>
        </w:rPr>
        <w:t xml:space="preserve">or </w:t>
      </w:r>
      <w:r w:rsidR="00C8340E" w:rsidRPr="009351CB">
        <w:rPr>
          <w:bCs/>
        </w:rPr>
        <w:t>99.2%)</w:t>
      </w:r>
      <w:r w:rsidR="001F1731" w:rsidRPr="009351CB">
        <w:rPr>
          <w:bCs/>
        </w:rPr>
        <w:t xml:space="preserve"> of the appropriation</w:t>
      </w:r>
      <w:r w:rsidR="00B95327" w:rsidRPr="009351CB">
        <w:rPr>
          <w:bCs/>
        </w:rPr>
        <w:t>, with an amount of R</w:t>
      </w:r>
      <w:r w:rsidR="00C8340E" w:rsidRPr="009351CB">
        <w:rPr>
          <w:bCs/>
        </w:rPr>
        <w:t xml:space="preserve">54 million </w:t>
      </w:r>
      <w:r w:rsidR="00B95327" w:rsidRPr="009351CB">
        <w:rPr>
          <w:bCs/>
        </w:rPr>
        <w:t>unspent.</w:t>
      </w:r>
    </w:p>
    <w:p w14:paraId="651E966A" w14:textId="77777777" w:rsidR="00B95327" w:rsidRPr="009351CB" w:rsidRDefault="00B95327" w:rsidP="009351CB">
      <w:pPr>
        <w:pStyle w:val="ListParagraph"/>
        <w:spacing w:line="360" w:lineRule="auto"/>
      </w:pPr>
    </w:p>
    <w:p w14:paraId="617D3E8B" w14:textId="77777777" w:rsidR="00870C28" w:rsidRPr="009351CB" w:rsidRDefault="00DA349E" w:rsidP="004F6019">
      <w:pPr>
        <w:pStyle w:val="ListParagraph"/>
        <w:numPr>
          <w:ilvl w:val="2"/>
          <w:numId w:val="13"/>
        </w:numPr>
        <w:spacing w:line="360" w:lineRule="auto"/>
        <w:jc w:val="both"/>
      </w:pPr>
      <w:r w:rsidRPr="009351CB">
        <w:t>In 2018/19, t</w:t>
      </w:r>
      <w:r w:rsidR="009B6563" w:rsidRPr="009351CB">
        <w:t>he Programme m</w:t>
      </w:r>
      <w:r w:rsidR="00106280" w:rsidRPr="009351CB">
        <w:t xml:space="preserve">et or exceeded </w:t>
      </w:r>
      <w:r w:rsidR="00C8340E" w:rsidRPr="009351CB">
        <w:t>75%</w:t>
      </w:r>
      <w:r w:rsidR="00AB08C0" w:rsidRPr="009351CB">
        <w:t xml:space="preserve"> of planned ta</w:t>
      </w:r>
      <w:r w:rsidR="008B7BF0" w:rsidRPr="009351CB">
        <w:t>r</w:t>
      </w:r>
      <w:r w:rsidR="00AB08C0" w:rsidRPr="009351CB">
        <w:t xml:space="preserve">gets (compared with </w:t>
      </w:r>
      <w:r w:rsidR="00C8340E" w:rsidRPr="009351CB">
        <w:t>54% in 2017/18</w:t>
      </w:r>
      <w:r w:rsidR="008B7BF0" w:rsidRPr="009351CB">
        <w:t>)</w:t>
      </w:r>
      <w:r w:rsidR="0007248A" w:rsidRPr="009351CB">
        <w:t>,</w:t>
      </w:r>
      <w:r w:rsidR="005806AA" w:rsidRPr="009351CB">
        <w:t xml:space="preserve"> and spent </w:t>
      </w:r>
      <w:r w:rsidR="00C8340E" w:rsidRPr="009351CB">
        <w:t>99.2</w:t>
      </w:r>
      <w:r w:rsidR="00AB08C0" w:rsidRPr="009351CB">
        <w:t>% of its budget</w:t>
      </w:r>
      <w:r w:rsidR="00106280" w:rsidRPr="009351CB">
        <w:t>.</w:t>
      </w:r>
      <w:r w:rsidR="00AB08C0" w:rsidRPr="009351CB">
        <w:t xml:space="preserve"> </w:t>
      </w:r>
    </w:p>
    <w:p w14:paraId="1CD532C4" w14:textId="77777777" w:rsidR="00C8340E" w:rsidRPr="009351CB" w:rsidRDefault="00C8340E" w:rsidP="009351CB">
      <w:pPr>
        <w:pStyle w:val="ListParagraph"/>
        <w:spacing w:line="360" w:lineRule="auto"/>
      </w:pPr>
    </w:p>
    <w:p w14:paraId="3A093BA1" w14:textId="77777777" w:rsidR="00870C28" w:rsidRPr="009351CB" w:rsidRDefault="00FD0282" w:rsidP="009351CB">
      <w:pPr>
        <w:pStyle w:val="BodySingle"/>
        <w:spacing w:line="360" w:lineRule="auto"/>
        <w:ind w:left="0"/>
        <w:rPr>
          <w:rFonts w:ascii="Times New Roman" w:hAnsi="Times New Roman"/>
          <w:b/>
          <w:i w:val="0"/>
          <w:sz w:val="24"/>
          <w:szCs w:val="24"/>
          <w:lang w:val="en-ZA" w:eastAsia="en-GB"/>
        </w:rPr>
      </w:pPr>
      <w:r w:rsidRPr="009351CB">
        <w:rPr>
          <w:rFonts w:ascii="Times New Roman" w:hAnsi="Times New Roman"/>
          <w:b/>
          <w:i w:val="0"/>
          <w:sz w:val="24"/>
          <w:szCs w:val="24"/>
          <w:lang w:val="en-ZA" w:eastAsia="en-GB"/>
        </w:rPr>
        <w:t>Table 4</w:t>
      </w:r>
      <w:r w:rsidR="00870C28" w:rsidRPr="009351CB">
        <w:rPr>
          <w:rFonts w:ascii="Times New Roman" w:hAnsi="Times New Roman"/>
          <w:b/>
          <w:i w:val="0"/>
          <w:sz w:val="24"/>
          <w:szCs w:val="24"/>
          <w:lang w:val="en-ZA" w:eastAsia="en-GB"/>
        </w:rPr>
        <w:t xml:space="preserve">: </w:t>
      </w:r>
      <w:r w:rsidR="00F909B2" w:rsidRPr="009351CB">
        <w:rPr>
          <w:rFonts w:ascii="Times New Roman" w:hAnsi="Times New Roman"/>
          <w:b/>
          <w:i w:val="0"/>
          <w:sz w:val="24"/>
          <w:szCs w:val="24"/>
          <w:lang w:val="en-ZA" w:eastAsia="en-GB"/>
        </w:rPr>
        <w:t xml:space="preserve">Court Services </w:t>
      </w:r>
      <w:r w:rsidR="006615CA" w:rsidRPr="009351CB">
        <w:rPr>
          <w:rFonts w:ascii="Times New Roman" w:hAnsi="Times New Roman"/>
          <w:b/>
          <w:i w:val="0"/>
          <w:sz w:val="24"/>
          <w:szCs w:val="24"/>
          <w:lang w:val="en-ZA" w:eastAsia="en-GB"/>
        </w:rPr>
        <w:t>- S</w:t>
      </w:r>
      <w:r w:rsidR="009B3194" w:rsidRPr="009351CB">
        <w:rPr>
          <w:rFonts w:ascii="Times New Roman" w:hAnsi="Times New Roman"/>
          <w:b/>
          <w:i w:val="0"/>
          <w:sz w:val="24"/>
          <w:szCs w:val="24"/>
          <w:lang w:val="en-ZA" w:eastAsia="en-GB"/>
        </w:rPr>
        <w:t>elected performance 2018/19</w:t>
      </w:r>
    </w:p>
    <w:tbl>
      <w:tblPr>
        <w:tblStyle w:val="TableGrid"/>
        <w:tblW w:w="5000" w:type="pct"/>
        <w:tblLook w:val="04A0" w:firstRow="1" w:lastRow="0" w:firstColumn="1" w:lastColumn="0" w:noHBand="0" w:noVBand="1"/>
      </w:tblPr>
      <w:tblGrid>
        <w:gridCol w:w="3005"/>
        <w:gridCol w:w="2638"/>
        <w:gridCol w:w="2789"/>
      </w:tblGrid>
      <w:tr w:rsidR="00A52E29" w:rsidRPr="009351CB" w14:paraId="57254166" w14:textId="77777777" w:rsidTr="00783AE7">
        <w:trPr>
          <w:tblHeader/>
        </w:trPr>
        <w:tc>
          <w:tcPr>
            <w:tcW w:w="1782" w:type="pct"/>
            <w:shd w:val="clear" w:color="auto" w:fill="D9D9D9" w:themeFill="background1" w:themeFillShade="D9"/>
          </w:tcPr>
          <w:p w14:paraId="5CD9DD05" w14:textId="77777777" w:rsidR="00A52E29" w:rsidRPr="009351CB" w:rsidRDefault="00A52E29" w:rsidP="009351CB">
            <w:pPr>
              <w:pStyle w:val="ListParagraph"/>
              <w:spacing w:after="100" w:afterAutospacing="1" w:line="360" w:lineRule="auto"/>
              <w:ind w:left="0"/>
              <w:jc w:val="center"/>
              <w:rPr>
                <w:b/>
              </w:rPr>
            </w:pPr>
            <w:r w:rsidRPr="009351CB">
              <w:rPr>
                <w:b/>
              </w:rPr>
              <w:t>Indicators</w:t>
            </w:r>
          </w:p>
        </w:tc>
        <w:tc>
          <w:tcPr>
            <w:tcW w:w="1564" w:type="pct"/>
            <w:shd w:val="clear" w:color="auto" w:fill="D9D9D9" w:themeFill="background1" w:themeFillShade="D9"/>
          </w:tcPr>
          <w:p w14:paraId="2D00F829" w14:textId="77777777" w:rsidR="00A52E29" w:rsidRPr="009351CB" w:rsidRDefault="00A52E29" w:rsidP="009351CB">
            <w:pPr>
              <w:pStyle w:val="ListParagraph"/>
              <w:spacing w:after="100" w:afterAutospacing="1" w:line="360" w:lineRule="auto"/>
              <w:ind w:left="0"/>
              <w:jc w:val="center"/>
              <w:rPr>
                <w:b/>
              </w:rPr>
            </w:pPr>
            <w:r w:rsidRPr="009351CB">
              <w:rPr>
                <w:b/>
              </w:rPr>
              <w:t>2017/18</w:t>
            </w:r>
          </w:p>
        </w:tc>
        <w:tc>
          <w:tcPr>
            <w:tcW w:w="1654" w:type="pct"/>
            <w:shd w:val="clear" w:color="auto" w:fill="D9D9D9" w:themeFill="background1" w:themeFillShade="D9"/>
          </w:tcPr>
          <w:p w14:paraId="193D1397" w14:textId="77777777" w:rsidR="00A52E29" w:rsidRPr="009351CB" w:rsidRDefault="00A52E29" w:rsidP="009351CB">
            <w:pPr>
              <w:pStyle w:val="ListParagraph"/>
              <w:spacing w:after="100" w:afterAutospacing="1" w:line="360" w:lineRule="auto"/>
              <w:ind w:left="0"/>
              <w:jc w:val="center"/>
              <w:rPr>
                <w:b/>
              </w:rPr>
            </w:pPr>
            <w:r w:rsidRPr="009351CB">
              <w:rPr>
                <w:b/>
              </w:rPr>
              <w:t>2018/19</w:t>
            </w:r>
          </w:p>
        </w:tc>
      </w:tr>
      <w:tr w:rsidR="00A52E29" w:rsidRPr="009351CB" w14:paraId="6F64B00E" w14:textId="77777777" w:rsidTr="00783AE7">
        <w:tc>
          <w:tcPr>
            <w:tcW w:w="1782" w:type="pct"/>
          </w:tcPr>
          <w:p w14:paraId="4B4AD313"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Number of criminal cases on the backlog roll in Lower Courts. </w:t>
            </w:r>
          </w:p>
        </w:tc>
        <w:tc>
          <w:tcPr>
            <w:tcW w:w="1564" w:type="pct"/>
          </w:tcPr>
          <w:p w14:paraId="109064C2"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0E762CB0"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(33 732 against a target of 30 344)</w:t>
            </w:r>
          </w:p>
        </w:tc>
        <w:tc>
          <w:tcPr>
            <w:tcW w:w="1654" w:type="pct"/>
          </w:tcPr>
          <w:p w14:paraId="669D16FB"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33877A1E"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(43 862 against a target of 43 500) </w:t>
            </w:r>
          </w:p>
        </w:tc>
      </w:tr>
      <w:tr w:rsidR="00A52E29" w:rsidRPr="009351CB" w14:paraId="50F4670A" w14:textId="77777777" w:rsidTr="00783AE7">
        <w:tc>
          <w:tcPr>
            <w:tcW w:w="1782" w:type="pct"/>
          </w:tcPr>
          <w:p w14:paraId="04C2FD27"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Percentage of child justice preliminary inquiries finalised within 90 Days after first appearance </w:t>
            </w:r>
          </w:p>
        </w:tc>
        <w:tc>
          <w:tcPr>
            <w:tcW w:w="1564" w:type="pct"/>
          </w:tcPr>
          <w:p w14:paraId="47768295"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EXCEEDED </w:t>
            </w:r>
          </w:p>
          <w:p w14:paraId="287C578F"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rPr>
              <w:t>(</w:t>
            </w:r>
            <w:r w:rsidRPr="009351CB">
              <w:rPr>
                <w:rFonts w:ascii="Times New Roman" w:hAnsi="Times New Roman" w:cs="Times New Roman"/>
                <w:bCs/>
              </w:rPr>
              <w:t xml:space="preserve">96% against a target of 60%) </w:t>
            </w:r>
          </w:p>
        </w:tc>
        <w:tc>
          <w:tcPr>
            <w:tcW w:w="1654" w:type="pct"/>
          </w:tcPr>
          <w:p w14:paraId="4537E317"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EXCEEDED </w:t>
            </w:r>
          </w:p>
          <w:p w14:paraId="0C0FB08A"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(96% against a target of 60%)</w:t>
            </w:r>
          </w:p>
        </w:tc>
      </w:tr>
      <w:tr w:rsidR="00A52E29" w:rsidRPr="009351CB" w14:paraId="4D386CA7" w14:textId="77777777" w:rsidTr="00783AE7">
        <w:tc>
          <w:tcPr>
            <w:tcW w:w="1782" w:type="pct"/>
          </w:tcPr>
          <w:p w14:paraId="4B21BA5B"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Percentage of maintenance matters finalised within 90 days after proper service of process </w:t>
            </w:r>
          </w:p>
        </w:tc>
        <w:tc>
          <w:tcPr>
            <w:tcW w:w="1564" w:type="pct"/>
          </w:tcPr>
          <w:p w14:paraId="67F71916"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EXCEEDED </w:t>
            </w:r>
          </w:p>
          <w:p w14:paraId="0D8A4DA4"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(96% against a target of 55%) </w:t>
            </w:r>
          </w:p>
        </w:tc>
        <w:tc>
          <w:tcPr>
            <w:tcW w:w="1654" w:type="pct"/>
          </w:tcPr>
          <w:p w14:paraId="0DD14E98"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EXCEEDED </w:t>
            </w:r>
          </w:p>
          <w:p w14:paraId="31C0D1AB"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(82% against a target of 70%)</w:t>
            </w:r>
          </w:p>
        </w:tc>
      </w:tr>
      <w:tr w:rsidR="00A52E29" w:rsidRPr="009351CB" w14:paraId="19F40203" w14:textId="77777777" w:rsidTr="00783AE7">
        <w:tc>
          <w:tcPr>
            <w:tcW w:w="1782" w:type="pct"/>
          </w:tcPr>
          <w:p w14:paraId="08AD3337" w14:textId="77777777" w:rsidR="00A52E29" w:rsidRPr="009351CB" w:rsidRDefault="00870C28"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Number of courtrooms adapted i</w:t>
            </w:r>
            <w:r w:rsidR="00A52E29" w:rsidRPr="009351CB">
              <w:rPr>
                <w:rFonts w:ascii="Times New Roman" w:hAnsi="Times New Roman" w:cs="Times New Roman"/>
                <w:bCs/>
              </w:rPr>
              <w:t xml:space="preserve">n </w:t>
            </w:r>
            <w:r w:rsidRPr="009351CB">
              <w:rPr>
                <w:rFonts w:ascii="Times New Roman" w:hAnsi="Times New Roman" w:cs="Times New Roman"/>
                <w:bCs/>
              </w:rPr>
              <w:t>line with sexual offences m</w:t>
            </w:r>
            <w:r w:rsidR="00A52E29" w:rsidRPr="009351CB">
              <w:rPr>
                <w:rFonts w:ascii="Times New Roman" w:hAnsi="Times New Roman" w:cs="Times New Roman"/>
                <w:bCs/>
              </w:rPr>
              <w:t xml:space="preserve">odel </w:t>
            </w:r>
          </w:p>
        </w:tc>
        <w:tc>
          <w:tcPr>
            <w:tcW w:w="1564" w:type="pct"/>
          </w:tcPr>
          <w:p w14:paraId="779271B6"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ACHIEVED </w:t>
            </w:r>
          </w:p>
          <w:p w14:paraId="48213DD1"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(17 against a target of 17) </w:t>
            </w:r>
          </w:p>
        </w:tc>
        <w:tc>
          <w:tcPr>
            <w:tcW w:w="1654" w:type="pct"/>
          </w:tcPr>
          <w:p w14:paraId="3E4D4794"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EXCEEDED </w:t>
            </w:r>
          </w:p>
          <w:p w14:paraId="35BFCBA3"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(15 against a target of 14) </w:t>
            </w:r>
          </w:p>
        </w:tc>
      </w:tr>
      <w:tr w:rsidR="00A52E29" w:rsidRPr="009351CB" w14:paraId="7EA9BB17" w14:textId="77777777" w:rsidTr="00783AE7">
        <w:tc>
          <w:tcPr>
            <w:tcW w:w="1782" w:type="pct"/>
          </w:tcPr>
          <w:p w14:paraId="40FDDFBE" w14:textId="77777777" w:rsidR="00A52E29" w:rsidRPr="009351CB" w:rsidRDefault="00870C28"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Number of Closed Circuit </w:t>
            </w:r>
            <w:r w:rsidR="00A52E29" w:rsidRPr="009351CB">
              <w:rPr>
                <w:rFonts w:ascii="Times New Roman" w:hAnsi="Times New Roman" w:cs="Times New Roman"/>
                <w:bCs/>
              </w:rPr>
              <w:t xml:space="preserve">Television (CCTV) </w:t>
            </w:r>
            <w:r w:rsidRPr="009351CB">
              <w:rPr>
                <w:rFonts w:ascii="Times New Roman" w:hAnsi="Times New Roman" w:cs="Times New Roman"/>
                <w:bCs/>
              </w:rPr>
              <w:t>Systems i</w:t>
            </w:r>
            <w:r w:rsidR="00A52E29" w:rsidRPr="009351CB">
              <w:rPr>
                <w:rFonts w:ascii="Times New Roman" w:hAnsi="Times New Roman" w:cs="Times New Roman"/>
                <w:bCs/>
              </w:rPr>
              <w:t xml:space="preserve">n </w:t>
            </w:r>
            <w:r w:rsidRPr="009351CB">
              <w:rPr>
                <w:rFonts w:ascii="Times New Roman" w:hAnsi="Times New Roman" w:cs="Times New Roman"/>
                <w:bCs/>
              </w:rPr>
              <w:t>Regional Courts u</w:t>
            </w:r>
            <w:r w:rsidR="00A52E29" w:rsidRPr="009351CB">
              <w:rPr>
                <w:rFonts w:ascii="Times New Roman" w:hAnsi="Times New Roman" w:cs="Times New Roman"/>
                <w:bCs/>
              </w:rPr>
              <w:t xml:space="preserve">pgraded </w:t>
            </w:r>
            <w:r w:rsidRPr="009351CB">
              <w:rPr>
                <w:rFonts w:ascii="Times New Roman" w:hAnsi="Times New Roman" w:cs="Times New Roman"/>
                <w:bCs/>
              </w:rPr>
              <w:t>in line with minimum standards to Sexual Offences Court Model</w:t>
            </w:r>
          </w:p>
        </w:tc>
        <w:tc>
          <w:tcPr>
            <w:tcW w:w="1564" w:type="pct"/>
          </w:tcPr>
          <w:p w14:paraId="667D4DC5"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 </w:t>
            </w:r>
          </w:p>
        </w:tc>
        <w:tc>
          <w:tcPr>
            <w:tcW w:w="1654" w:type="pct"/>
          </w:tcPr>
          <w:p w14:paraId="701D5EEC"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31CF7434"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(12 against a target of 45) </w:t>
            </w:r>
          </w:p>
        </w:tc>
      </w:tr>
      <w:tr w:rsidR="00A52E29" w:rsidRPr="009351CB" w14:paraId="74276AD2" w14:textId="77777777" w:rsidTr="00783AE7">
        <w:tc>
          <w:tcPr>
            <w:tcW w:w="1782" w:type="pct"/>
          </w:tcPr>
          <w:p w14:paraId="507B5724"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N</w:t>
            </w:r>
            <w:r w:rsidR="00870C28" w:rsidRPr="009351CB">
              <w:rPr>
                <w:rFonts w:ascii="Times New Roman" w:hAnsi="Times New Roman" w:cs="Times New Roman"/>
                <w:bCs/>
              </w:rPr>
              <w:t xml:space="preserve">umber of new court buildings completed </w:t>
            </w:r>
          </w:p>
        </w:tc>
        <w:tc>
          <w:tcPr>
            <w:tcW w:w="1564" w:type="pct"/>
          </w:tcPr>
          <w:p w14:paraId="26CAEE99"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52303A59"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(0 against a target of 2) </w:t>
            </w:r>
          </w:p>
          <w:p w14:paraId="1F3B4F36"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(Neither the Mpumalanga High Court nor the Port Shepstone Magistrates court were completed as planned.) </w:t>
            </w:r>
          </w:p>
        </w:tc>
        <w:tc>
          <w:tcPr>
            <w:tcW w:w="1654" w:type="pct"/>
          </w:tcPr>
          <w:p w14:paraId="415A8D27"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49E5F665"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(2 against a target of 3) </w:t>
            </w:r>
          </w:p>
          <w:p w14:paraId="162A69BE"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(Mpumalanga High Court was not completed as anticipated due to pending completion of the primary access road.) </w:t>
            </w:r>
          </w:p>
        </w:tc>
      </w:tr>
      <w:tr w:rsidR="00A52E29" w:rsidRPr="009351CB" w14:paraId="2B5485E3" w14:textId="77777777" w:rsidTr="00783AE7">
        <w:tc>
          <w:tcPr>
            <w:tcW w:w="1782" w:type="pct"/>
          </w:tcPr>
          <w:p w14:paraId="273A0176" w14:textId="77777777" w:rsidR="00A52E29" w:rsidRPr="009351CB" w:rsidRDefault="00870C28"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Percentage of annexed civil cases m</w:t>
            </w:r>
            <w:r w:rsidR="00A52E29" w:rsidRPr="009351CB">
              <w:rPr>
                <w:rFonts w:ascii="Times New Roman" w:hAnsi="Times New Roman" w:cs="Times New Roman"/>
                <w:bCs/>
              </w:rPr>
              <w:t xml:space="preserve">ediated </w:t>
            </w:r>
          </w:p>
        </w:tc>
        <w:tc>
          <w:tcPr>
            <w:tcW w:w="1564" w:type="pct"/>
          </w:tcPr>
          <w:p w14:paraId="7756D96A"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59DFB7A2"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(0 against 50%) </w:t>
            </w:r>
          </w:p>
        </w:tc>
        <w:tc>
          <w:tcPr>
            <w:tcW w:w="1654" w:type="pct"/>
          </w:tcPr>
          <w:p w14:paraId="7694B311"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NOT ACHIEVED </w:t>
            </w:r>
          </w:p>
          <w:p w14:paraId="41A67EA0" w14:textId="77777777" w:rsidR="00A52E29" w:rsidRPr="009351CB" w:rsidRDefault="00A52E29" w:rsidP="009351CB">
            <w:pPr>
              <w:pStyle w:val="Default"/>
              <w:spacing w:after="100" w:afterAutospacing="1" w:line="360" w:lineRule="auto"/>
              <w:rPr>
                <w:rFonts w:ascii="Times New Roman" w:hAnsi="Times New Roman" w:cs="Times New Roman"/>
              </w:rPr>
            </w:pPr>
            <w:r w:rsidRPr="009351CB">
              <w:rPr>
                <w:rFonts w:ascii="Times New Roman" w:hAnsi="Times New Roman" w:cs="Times New Roman"/>
                <w:bCs/>
              </w:rPr>
              <w:t xml:space="preserve">(0 against 60%) </w:t>
            </w:r>
          </w:p>
        </w:tc>
      </w:tr>
      <w:tr w:rsidR="00A52E29" w:rsidRPr="009351CB" w14:paraId="1BC89820" w14:textId="77777777" w:rsidTr="00783AE7">
        <w:tc>
          <w:tcPr>
            <w:tcW w:w="1782" w:type="pct"/>
          </w:tcPr>
          <w:p w14:paraId="64A10D0F" w14:textId="77777777" w:rsidR="00A52E29" w:rsidRPr="009351CB" w:rsidRDefault="00A52E29" w:rsidP="009351CB">
            <w:pPr>
              <w:pStyle w:val="Default"/>
              <w:spacing w:after="100" w:afterAutospacing="1" w:line="360" w:lineRule="auto"/>
              <w:rPr>
                <w:rFonts w:ascii="Times New Roman" w:hAnsi="Times New Roman" w:cs="Times New Roman"/>
                <w:bCs/>
              </w:rPr>
            </w:pPr>
            <w:r w:rsidRPr="009351CB">
              <w:rPr>
                <w:rFonts w:ascii="Times New Roman" w:hAnsi="Times New Roman" w:cs="Times New Roman"/>
                <w:bCs/>
              </w:rPr>
              <w:t xml:space="preserve">No. of courts providing </w:t>
            </w:r>
            <w:r w:rsidR="00870C28" w:rsidRPr="009351CB">
              <w:rPr>
                <w:rFonts w:ascii="Times New Roman" w:hAnsi="Times New Roman" w:cs="Times New Roman"/>
                <w:bCs/>
              </w:rPr>
              <w:t>c</w:t>
            </w:r>
            <w:r w:rsidRPr="009351CB">
              <w:rPr>
                <w:rFonts w:ascii="Times New Roman" w:hAnsi="Times New Roman" w:cs="Times New Roman"/>
                <w:bCs/>
              </w:rPr>
              <w:t>ourt</w:t>
            </w:r>
            <w:r w:rsidR="00870C28" w:rsidRPr="009351CB">
              <w:rPr>
                <w:rFonts w:ascii="Times New Roman" w:hAnsi="Times New Roman" w:cs="Times New Roman"/>
                <w:bCs/>
              </w:rPr>
              <w:t>- annexed me</w:t>
            </w:r>
            <w:r w:rsidRPr="009351CB">
              <w:rPr>
                <w:rFonts w:ascii="Times New Roman" w:hAnsi="Times New Roman" w:cs="Times New Roman"/>
                <w:bCs/>
              </w:rPr>
              <w:t xml:space="preserve">diation </w:t>
            </w:r>
          </w:p>
        </w:tc>
        <w:tc>
          <w:tcPr>
            <w:tcW w:w="1564" w:type="pct"/>
          </w:tcPr>
          <w:p w14:paraId="117EF01D" w14:textId="77777777" w:rsidR="00A52E29" w:rsidRPr="009351CB" w:rsidRDefault="00A52E29" w:rsidP="009351CB">
            <w:pPr>
              <w:pStyle w:val="Default"/>
              <w:spacing w:after="100" w:afterAutospacing="1" w:line="360" w:lineRule="auto"/>
              <w:rPr>
                <w:rFonts w:ascii="Times New Roman" w:hAnsi="Times New Roman" w:cs="Times New Roman"/>
                <w:bCs/>
              </w:rPr>
            </w:pPr>
            <w:r w:rsidRPr="009351CB">
              <w:rPr>
                <w:rFonts w:ascii="Times New Roman" w:hAnsi="Times New Roman" w:cs="Times New Roman"/>
                <w:bCs/>
              </w:rPr>
              <w:t xml:space="preserve">EXCEEDED </w:t>
            </w:r>
          </w:p>
          <w:p w14:paraId="4DCE3F15" w14:textId="77777777" w:rsidR="00A52E29" w:rsidRPr="009351CB" w:rsidRDefault="00A52E29" w:rsidP="009351CB">
            <w:pPr>
              <w:pStyle w:val="Default"/>
              <w:spacing w:after="100" w:afterAutospacing="1" w:line="360" w:lineRule="auto"/>
              <w:rPr>
                <w:rFonts w:ascii="Times New Roman" w:hAnsi="Times New Roman" w:cs="Times New Roman"/>
                <w:bCs/>
              </w:rPr>
            </w:pPr>
            <w:r w:rsidRPr="009351CB">
              <w:rPr>
                <w:rFonts w:ascii="Times New Roman" w:hAnsi="Times New Roman" w:cs="Times New Roman"/>
                <w:bCs/>
              </w:rPr>
              <w:t xml:space="preserve">(42 against a target of 30) </w:t>
            </w:r>
          </w:p>
        </w:tc>
        <w:tc>
          <w:tcPr>
            <w:tcW w:w="1654" w:type="pct"/>
          </w:tcPr>
          <w:p w14:paraId="7C56EB75" w14:textId="77777777" w:rsidR="00A52E29" w:rsidRPr="009351CB" w:rsidRDefault="00A52E29" w:rsidP="009351CB">
            <w:pPr>
              <w:pStyle w:val="Default"/>
              <w:spacing w:after="100" w:afterAutospacing="1" w:line="360" w:lineRule="auto"/>
              <w:rPr>
                <w:rFonts w:ascii="Times New Roman" w:hAnsi="Times New Roman" w:cs="Times New Roman"/>
                <w:bCs/>
              </w:rPr>
            </w:pPr>
            <w:r w:rsidRPr="009351CB">
              <w:rPr>
                <w:rFonts w:ascii="Times New Roman" w:hAnsi="Times New Roman" w:cs="Times New Roman"/>
                <w:bCs/>
              </w:rPr>
              <w:t xml:space="preserve">EXCEEDED </w:t>
            </w:r>
          </w:p>
          <w:p w14:paraId="2D93D7BF" w14:textId="77777777" w:rsidR="00A52E29" w:rsidRPr="009351CB" w:rsidRDefault="00A52E29" w:rsidP="009351CB">
            <w:pPr>
              <w:pStyle w:val="Default"/>
              <w:spacing w:after="100" w:afterAutospacing="1" w:line="360" w:lineRule="auto"/>
              <w:rPr>
                <w:rFonts w:ascii="Times New Roman" w:hAnsi="Times New Roman" w:cs="Times New Roman"/>
                <w:bCs/>
              </w:rPr>
            </w:pPr>
            <w:r w:rsidRPr="009351CB">
              <w:rPr>
                <w:rFonts w:ascii="Times New Roman" w:hAnsi="Times New Roman" w:cs="Times New Roman"/>
                <w:bCs/>
              </w:rPr>
              <w:t xml:space="preserve">(80 against a target of 32) </w:t>
            </w:r>
          </w:p>
        </w:tc>
      </w:tr>
    </w:tbl>
    <w:p w14:paraId="7980C004" w14:textId="77777777" w:rsidR="009B6563" w:rsidRPr="009351CB" w:rsidRDefault="009B6563" w:rsidP="009351CB">
      <w:pPr>
        <w:spacing w:line="360" w:lineRule="auto"/>
      </w:pPr>
    </w:p>
    <w:p w14:paraId="5B5342BA" w14:textId="77777777" w:rsidR="00106280" w:rsidRPr="009351CB" w:rsidRDefault="00106280" w:rsidP="002C3BE7">
      <w:pPr>
        <w:pStyle w:val="ListParagraph"/>
        <w:numPr>
          <w:ilvl w:val="1"/>
          <w:numId w:val="2"/>
        </w:numPr>
        <w:spacing w:line="360" w:lineRule="auto"/>
        <w:ind w:left="709" w:hanging="709"/>
        <w:jc w:val="both"/>
        <w:rPr>
          <w:b/>
        </w:rPr>
      </w:pPr>
      <w:r w:rsidRPr="009351CB">
        <w:rPr>
          <w:b/>
        </w:rPr>
        <w:t>Programme 3 - State Legal Services</w:t>
      </w:r>
    </w:p>
    <w:p w14:paraId="2433BB5B" w14:textId="77777777" w:rsidR="00106280" w:rsidRPr="009351CB" w:rsidRDefault="00106280" w:rsidP="009351CB">
      <w:pPr>
        <w:spacing w:line="360" w:lineRule="auto"/>
        <w:jc w:val="both"/>
      </w:pPr>
    </w:p>
    <w:p w14:paraId="6FA7471B" w14:textId="412ABB61" w:rsidR="00106280" w:rsidRPr="009351CB" w:rsidRDefault="00106280" w:rsidP="004F6019">
      <w:pPr>
        <w:pStyle w:val="BodySingle"/>
        <w:numPr>
          <w:ilvl w:val="2"/>
          <w:numId w:val="14"/>
        </w:numPr>
        <w:spacing w:line="360" w:lineRule="auto"/>
        <w:rPr>
          <w:rFonts w:ascii="Times New Roman" w:hAnsi="Times New Roman"/>
          <w:i w:val="0"/>
          <w:sz w:val="24"/>
          <w:szCs w:val="24"/>
        </w:rPr>
      </w:pPr>
      <w:r w:rsidRPr="009351CB">
        <w:rPr>
          <w:rFonts w:ascii="Times New Roman" w:hAnsi="Times New Roman"/>
          <w:i w:val="0"/>
          <w:sz w:val="24"/>
          <w:szCs w:val="24"/>
        </w:rPr>
        <w:t>This Programme provides legal and legislative services to government</w:t>
      </w:r>
      <w:r w:rsidR="00D17B44" w:rsidRPr="009351CB">
        <w:rPr>
          <w:rFonts w:ascii="Times New Roman" w:hAnsi="Times New Roman"/>
          <w:i w:val="0"/>
          <w:sz w:val="24"/>
          <w:szCs w:val="24"/>
        </w:rPr>
        <w:t>;</w:t>
      </w:r>
      <w:r w:rsidRPr="009351CB">
        <w:rPr>
          <w:rFonts w:ascii="Times New Roman" w:hAnsi="Times New Roman"/>
          <w:i w:val="0"/>
          <w:sz w:val="24"/>
          <w:szCs w:val="24"/>
        </w:rPr>
        <w:t xml:space="preserve"> supervises the administration of deceased and insolvent estates</w:t>
      </w:r>
      <w:r w:rsidR="00D17B44" w:rsidRPr="009351CB">
        <w:rPr>
          <w:rFonts w:ascii="Times New Roman" w:hAnsi="Times New Roman"/>
          <w:i w:val="0"/>
          <w:sz w:val="24"/>
          <w:szCs w:val="24"/>
        </w:rPr>
        <w:t>;</w:t>
      </w:r>
      <w:r w:rsidRPr="009351CB">
        <w:rPr>
          <w:rFonts w:ascii="Times New Roman" w:hAnsi="Times New Roman"/>
          <w:i w:val="0"/>
          <w:sz w:val="24"/>
          <w:szCs w:val="24"/>
        </w:rPr>
        <w:t xml:space="preserve"> registers trusts and manages the Guardian’s Fund</w:t>
      </w:r>
      <w:r w:rsidR="00D17B44" w:rsidRPr="009351CB">
        <w:rPr>
          <w:rFonts w:ascii="Times New Roman" w:hAnsi="Times New Roman"/>
          <w:i w:val="0"/>
          <w:sz w:val="24"/>
          <w:szCs w:val="24"/>
        </w:rPr>
        <w:t>;</w:t>
      </w:r>
      <w:r w:rsidRPr="009351CB">
        <w:rPr>
          <w:rFonts w:ascii="Times New Roman" w:hAnsi="Times New Roman"/>
          <w:i w:val="0"/>
          <w:sz w:val="24"/>
          <w:szCs w:val="24"/>
        </w:rPr>
        <w:t xml:space="preserve"> and prepares and promotes legislation. </w:t>
      </w:r>
      <w:r w:rsidR="002713DE" w:rsidRPr="009351CB">
        <w:rPr>
          <w:rFonts w:ascii="Times New Roman" w:hAnsi="Times New Roman"/>
          <w:i w:val="0"/>
          <w:sz w:val="24"/>
          <w:szCs w:val="24"/>
        </w:rPr>
        <w:t>In addition, the Programme faciliates constitutional development and undertakes research in support of this.</w:t>
      </w:r>
    </w:p>
    <w:p w14:paraId="7F5FC7B9" w14:textId="77777777" w:rsidR="00106280" w:rsidRPr="009351CB" w:rsidRDefault="00106280" w:rsidP="009351CB">
      <w:pPr>
        <w:pStyle w:val="BodySingle"/>
        <w:spacing w:line="360" w:lineRule="auto"/>
        <w:ind w:left="0"/>
        <w:rPr>
          <w:rFonts w:ascii="Times New Roman" w:hAnsi="Times New Roman"/>
          <w:i w:val="0"/>
          <w:sz w:val="24"/>
          <w:szCs w:val="24"/>
        </w:rPr>
      </w:pPr>
    </w:p>
    <w:p w14:paraId="187DFA39" w14:textId="77777777" w:rsidR="00FC73FB" w:rsidRPr="009351CB" w:rsidRDefault="00BD4068" w:rsidP="004F6019">
      <w:pPr>
        <w:pStyle w:val="BodySingle"/>
        <w:numPr>
          <w:ilvl w:val="2"/>
          <w:numId w:val="14"/>
        </w:numPr>
        <w:spacing w:line="360" w:lineRule="auto"/>
        <w:rPr>
          <w:rFonts w:ascii="Times New Roman" w:hAnsi="Times New Roman"/>
          <w:i w:val="0"/>
          <w:sz w:val="24"/>
          <w:szCs w:val="24"/>
        </w:rPr>
      </w:pPr>
      <w:r w:rsidRPr="009351CB">
        <w:rPr>
          <w:rFonts w:ascii="Times New Roman" w:hAnsi="Times New Roman"/>
          <w:i w:val="0"/>
          <w:sz w:val="24"/>
          <w:szCs w:val="24"/>
        </w:rPr>
        <w:t>The</w:t>
      </w:r>
      <w:r w:rsidRPr="009351CB">
        <w:rPr>
          <w:rFonts w:ascii="Times New Roman" w:hAnsi="Times New Roman"/>
          <w:bCs/>
          <w:i w:val="0"/>
          <w:sz w:val="24"/>
          <w:szCs w:val="24"/>
          <w:lang w:val="en-ZA"/>
        </w:rPr>
        <w:t xml:space="preserve"> State Legal Services programme was </w:t>
      </w:r>
      <w:r w:rsidR="00E83A13" w:rsidRPr="009351CB">
        <w:rPr>
          <w:rFonts w:ascii="Times New Roman" w:hAnsi="Times New Roman"/>
          <w:bCs/>
          <w:i w:val="0"/>
          <w:sz w:val="24"/>
          <w:szCs w:val="24"/>
          <w:lang w:val="en-ZA"/>
        </w:rPr>
        <w:t xml:space="preserve">allocated </w:t>
      </w:r>
      <w:r w:rsidR="00FC73FB" w:rsidRPr="009351CB">
        <w:rPr>
          <w:rFonts w:ascii="Times New Roman" w:hAnsi="Times New Roman"/>
          <w:bCs/>
          <w:i w:val="0"/>
          <w:sz w:val="24"/>
          <w:szCs w:val="24"/>
          <w:lang w:val="en-ZA"/>
        </w:rPr>
        <w:t>R1.2</w:t>
      </w:r>
      <w:r w:rsidR="00783AE7" w:rsidRPr="009351CB">
        <w:rPr>
          <w:rFonts w:ascii="Times New Roman" w:hAnsi="Times New Roman"/>
          <w:bCs/>
          <w:i w:val="0"/>
          <w:sz w:val="24"/>
          <w:szCs w:val="24"/>
          <w:lang w:val="en-ZA"/>
        </w:rPr>
        <w:t>6</w:t>
      </w:r>
      <w:r w:rsidR="00FC73FB" w:rsidRPr="009351CB">
        <w:rPr>
          <w:rFonts w:ascii="Times New Roman" w:hAnsi="Times New Roman"/>
          <w:bCs/>
          <w:i w:val="0"/>
          <w:sz w:val="24"/>
          <w:szCs w:val="24"/>
          <w:lang w:val="en-ZA"/>
        </w:rPr>
        <w:t xml:space="preserve"> billion in </w:t>
      </w:r>
      <w:r w:rsidR="006615CA" w:rsidRPr="009351CB">
        <w:rPr>
          <w:rFonts w:ascii="Times New Roman" w:hAnsi="Times New Roman"/>
          <w:bCs/>
          <w:i w:val="0"/>
          <w:sz w:val="24"/>
          <w:szCs w:val="24"/>
          <w:lang w:val="en-ZA"/>
        </w:rPr>
        <w:t xml:space="preserve">2018/19, (compared with R1.23 billion in 2017/18) </w:t>
      </w:r>
      <w:r w:rsidR="00FC73FB" w:rsidRPr="009351CB">
        <w:rPr>
          <w:rFonts w:ascii="Times New Roman" w:hAnsi="Times New Roman"/>
          <w:bCs/>
          <w:i w:val="0"/>
          <w:sz w:val="24"/>
          <w:szCs w:val="24"/>
          <w:lang w:val="en-ZA"/>
        </w:rPr>
        <w:t>and spent R1.</w:t>
      </w:r>
      <w:r w:rsidR="006615CA" w:rsidRPr="009351CB">
        <w:rPr>
          <w:rFonts w:ascii="Times New Roman" w:hAnsi="Times New Roman"/>
          <w:bCs/>
          <w:i w:val="0"/>
          <w:sz w:val="24"/>
          <w:szCs w:val="24"/>
          <w:lang w:val="en-ZA"/>
        </w:rPr>
        <w:t xml:space="preserve">21 billion or </w:t>
      </w:r>
      <w:r w:rsidR="00783AE7" w:rsidRPr="009351CB">
        <w:rPr>
          <w:rFonts w:ascii="Times New Roman" w:hAnsi="Times New Roman"/>
          <w:bCs/>
          <w:i w:val="0"/>
          <w:sz w:val="24"/>
          <w:szCs w:val="24"/>
          <w:lang w:val="en-ZA"/>
        </w:rPr>
        <w:t>95.4</w:t>
      </w:r>
      <w:r w:rsidR="00C8340E" w:rsidRPr="009351CB">
        <w:rPr>
          <w:rFonts w:ascii="Times New Roman" w:hAnsi="Times New Roman"/>
          <w:bCs/>
          <w:i w:val="0"/>
          <w:sz w:val="24"/>
          <w:szCs w:val="24"/>
          <w:lang w:val="en-ZA"/>
        </w:rPr>
        <w:t xml:space="preserve">% of that amount </w:t>
      </w:r>
      <w:r w:rsidR="00FC73FB" w:rsidRPr="009351CB">
        <w:rPr>
          <w:rFonts w:ascii="Times New Roman" w:hAnsi="Times New Roman"/>
          <w:bCs/>
          <w:i w:val="0"/>
          <w:sz w:val="24"/>
          <w:szCs w:val="24"/>
          <w:lang w:val="en-ZA"/>
        </w:rPr>
        <w:t xml:space="preserve">(compared with </w:t>
      </w:r>
      <w:r w:rsidR="00C8340E" w:rsidRPr="009351CB">
        <w:rPr>
          <w:rFonts w:ascii="Times New Roman" w:hAnsi="Times New Roman"/>
          <w:bCs/>
          <w:i w:val="0"/>
          <w:sz w:val="24"/>
          <w:szCs w:val="24"/>
          <w:lang w:val="en-ZA"/>
        </w:rPr>
        <w:t xml:space="preserve">94.5% </w:t>
      </w:r>
      <w:r w:rsidR="00FC73FB" w:rsidRPr="009351CB">
        <w:rPr>
          <w:rFonts w:ascii="Times New Roman" w:hAnsi="Times New Roman"/>
          <w:bCs/>
          <w:i w:val="0"/>
          <w:sz w:val="24"/>
          <w:szCs w:val="24"/>
          <w:lang w:val="en-ZA"/>
        </w:rPr>
        <w:t>in 20</w:t>
      </w:r>
      <w:r w:rsidR="00C8340E" w:rsidRPr="009351CB">
        <w:rPr>
          <w:rFonts w:ascii="Times New Roman" w:hAnsi="Times New Roman"/>
          <w:bCs/>
          <w:i w:val="0"/>
          <w:sz w:val="24"/>
          <w:szCs w:val="24"/>
          <w:lang w:val="en-ZA"/>
        </w:rPr>
        <w:t>17/18)</w:t>
      </w:r>
      <w:r w:rsidR="00FC73FB" w:rsidRPr="009351CB">
        <w:rPr>
          <w:rFonts w:ascii="Times New Roman" w:hAnsi="Times New Roman"/>
          <w:bCs/>
          <w:i w:val="0"/>
          <w:sz w:val="24"/>
          <w:szCs w:val="24"/>
          <w:lang w:val="en-ZA"/>
        </w:rPr>
        <w:t xml:space="preserve">. </w:t>
      </w:r>
    </w:p>
    <w:p w14:paraId="33F5137B" w14:textId="77777777" w:rsidR="00C8340E" w:rsidRPr="009351CB" w:rsidRDefault="00C8340E" w:rsidP="009351CB">
      <w:pPr>
        <w:pStyle w:val="BodySingle"/>
        <w:spacing w:line="360" w:lineRule="auto"/>
        <w:rPr>
          <w:rFonts w:ascii="Times New Roman" w:hAnsi="Times New Roman"/>
          <w:sz w:val="24"/>
          <w:szCs w:val="24"/>
        </w:rPr>
      </w:pPr>
    </w:p>
    <w:p w14:paraId="5BF9270E" w14:textId="77777777" w:rsidR="00106280" w:rsidRPr="009351CB" w:rsidRDefault="00DD74BA" w:rsidP="004F6019">
      <w:pPr>
        <w:pStyle w:val="BodySingle"/>
        <w:numPr>
          <w:ilvl w:val="2"/>
          <w:numId w:val="10"/>
        </w:numPr>
        <w:spacing w:line="360" w:lineRule="auto"/>
        <w:rPr>
          <w:rFonts w:ascii="Times New Roman" w:hAnsi="Times New Roman"/>
          <w:i w:val="0"/>
          <w:sz w:val="24"/>
          <w:szCs w:val="24"/>
          <w:lang w:val="en-ZA" w:eastAsia="en-GB"/>
        </w:rPr>
      </w:pPr>
      <w:r w:rsidRPr="009351CB">
        <w:rPr>
          <w:rFonts w:ascii="Times New Roman" w:hAnsi="Times New Roman"/>
          <w:i w:val="0"/>
          <w:sz w:val="24"/>
          <w:szCs w:val="24"/>
        </w:rPr>
        <w:t>In 201</w:t>
      </w:r>
      <w:r w:rsidR="00783AE7" w:rsidRPr="009351CB">
        <w:rPr>
          <w:rFonts w:ascii="Times New Roman" w:hAnsi="Times New Roman"/>
          <w:i w:val="0"/>
          <w:sz w:val="24"/>
          <w:szCs w:val="24"/>
        </w:rPr>
        <w:t>8/19</w:t>
      </w:r>
      <w:r w:rsidRPr="009351CB">
        <w:rPr>
          <w:rFonts w:ascii="Times New Roman" w:hAnsi="Times New Roman"/>
          <w:i w:val="0"/>
          <w:sz w:val="24"/>
          <w:szCs w:val="24"/>
        </w:rPr>
        <w:t>, t</w:t>
      </w:r>
      <w:r w:rsidR="009B6563" w:rsidRPr="009351CB">
        <w:rPr>
          <w:rFonts w:ascii="Times New Roman" w:hAnsi="Times New Roman"/>
          <w:i w:val="0"/>
          <w:sz w:val="24"/>
          <w:szCs w:val="24"/>
        </w:rPr>
        <w:t>he programme m</w:t>
      </w:r>
      <w:r w:rsidR="00106280" w:rsidRPr="009351CB">
        <w:rPr>
          <w:rFonts w:ascii="Times New Roman" w:hAnsi="Times New Roman"/>
          <w:i w:val="0"/>
          <w:sz w:val="24"/>
          <w:szCs w:val="24"/>
        </w:rPr>
        <w:t>et or exceeded target</w:t>
      </w:r>
      <w:r w:rsidR="009B6563" w:rsidRPr="009351CB">
        <w:rPr>
          <w:rFonts w:ascii="Times New Roman" w:hAnsi="Times New Roman"/>
          <w:i w:val="0"/>
          <w:sz w:val="24"/>
          <w:szCs w:val="24"/>
        </w:rPr>
        <w:t>s</w:t>
      </w:r>
      <w:r w:rsidR="00106280" w:rsidRPr="009351CB">
        <w:rPr>
          <w:rFonts w:ascii="Times New Roman" w:hAnsi="Times New Roman"/>
          <w:i w:val="0"/>
          <w:sz w:val="24"/>
          <w:szCs w:val="24"/>
        </w:rPr>
        <w:t xml:space="preserve"> in </w:t>
      </w:r>
      <w:r w:rsidR="00783AE7" w:rsidRPr="009351CB">
        <w:rPr>
          <w:rFonts w:ascii="Times New Roman" w:hAnsi="Times New Roman"/>
          <w:i w:val="0"/>
          <w:sz w:val="24"/>
          <w:szCs w:val="24"/>
        </w:rPr>
        <w:t xml:space="preserve">86% </w:t>
      </w:r>
      <w:r w:rsidR="002713DE" w:rsidRPr="009351CB">
        <w:rPr>
          <w:rFonts w:ascii="Times New Roman" w:hAnsi="Times New Roman"/>
          <w:i w:val="0"/>
          <w:sz w:val="24"/>
          <w:szCs w:val="24"/>
        </w:rPr>
        <w:t xml:space="preserve">of </w:t>
      </w:r>
      <w:r w:rsidR="009B6563" w:rsidRPr="009351CB">
        <w:rPr>
          <w:rFonts w:ascii="Times New Roman" w:hAnsi="Times New Roman"/>
          <w:i w:val="0"/>
          <w:sz w:val="24"/>
          <w:szCs w:val="24"/>
        </w:rPr>
        <w:t xml:space="preserve">the </w:t>
      </w:r>
      <w:r w:rsidR="002713DE" w:rsidRPr="009351CB">
        <w:rPr>
          <w:rFonts w:ascii="Times New Roman" w:hAnsi="Times New Roman"/>
          <w:i w:val="0"/>
          <w:sz w:val="24"/>
          <w:szCs w:val="24"/>
        </w:rPr>
        <w:t xml:space="preserve">planned targets (compared with </w:t>
      </w:r>
      <w:r w:rsidR="00106280" w:rsidRPr="009351CB">
        <w:rPr>
          <w:rFonts w:ascii="Times New Roman" w:hAnsi="Times New Roman"/>
          <w:i w:val="0"/>
          <w:sz w:val="24"/>
          <w:szCs w:val="24"/>
        </w:rPr>
        <w:t>7</w:t>
      </w:r>
      <w:r w:rsidR="00783AE7" w:rsidRPr="009351CB">
        <w:rPr>
          <w:rFonts w:ascii="Times New Roman" w:hAnsi="Times New Roman"/>
          <w:i w:val="0"/>
          <w:sz w:val="24"/>
          <w:szCs w:val="24"/>
        </w:rPr>
        <w:t>5</w:t>
      </w:r>
      <w:r w:rsidR="00106280" w:rsidRPr="009351CB">
        <w:rPr>
          <w:rFonts w:ascii="Times New Roman" w:hAnsi="Times New Roman"/>
          <w:i w:val="0"/>
          <w:sz w:val="24"/>
          <w:szCs w:val="24"/>
        </w:rPr>
        <w:t xml:space="preserve">% </w:t>
      </w:r>
      <w:r w:rsidR="00783AE7" w:rsidRPr="009351CB">
        <w:rPr>
          <w:rFonts w:ascii="Times New Roman" w:hAnsi="Times New Roman"/>
          <w:i w:val="0"/>
          <w:sz w:val="24"/>
          <w:szCs w:val="24"/>
        </w:rPr>
        <w:t>in 2017/18</w:t>
      </w:r>
      <w:r w:rsidR="002713DE" w:rsidRPr="009351CB">
        <w:rPr>
          <w:rFonts w:ascii="Times New Roman" w:hAnsi="Times New Roman"/>
          <w:i w:val="0"/>
          <w:sz w:val="24"/>
          <w:szCs w:val="24"/>
        </w:rPr>
        <w:t>)</w:t>
      </w:r>
      <w:r w:rsidR="00BD4068" w:rsidRPr="009351CB">
        <w:rPr>
          <w:rFonts w:ascii="Times New Roman" w:hAnsi="Times New Roman"/>
          <w:i w:val="0"/>
          <w:sz w:val="24"/>
          <w:szCs w:val="24"/>
        </w:rPr>
        <w:t xml:space="preserve"> and spent </w:t>
      </w:r>
      <w:r w:rsidR="004D2105" w:rsidRPr="009351CB">
        <w:rPr>
          <w:rFonts w:ascii="Times New Roman" w:hAnsi="Times New Roman"/>
          <w:i w:val="0"/>
          <w:sz w:val="24"/>
          <w:szCs w:val="24"/>
        </w:rPr>
        <w:t>9</w:t>
      </w:r>
      <w:r w:rsidR="00783AE7" w:rsidRPr="009351CB">
        <w:rPr>
          <w:rFonts w:ascii="Times New Roman" w:hAnsi="Times New Roman"/>
          <w:i w:val="0"/>
          <w:sz w:val="24"/>
          <w:szCs w:val="24"/>
        </w:rPr>
        <w:t>5.4% of the budget.</w:t>
      </w:r>
    </w:p>
    <w:p w14:paraId="005C27F8" w14:textId="77777777" w:rsidR="00C147B7" w:rsidRPr="009351CB" w:rsidRDefault="00C147B7" w:rsidP="009351CB">
      <w:pPr>
        <w:pStyle w:val="ListParagraph"/>
        <w:spacing w:line="360" w:lineRule="auto"/>
        <w:rPr>
          <w:i/>
        </w:rPr>
      </w:pPr>
    </w:p>
    <w:p w14:paraId="6A760D70" w14:textId="77777777" w:rsidR="00783AE7" w:rsidRPr="009351CB" w:rsidRDefault="00FD0282" w:rsidP="009351CB">
      <w:pPr>
        <w:spacing w:line="360" w:lineRule="auto"/>
        <w:rPr>
          <w:b/>
        </w:rPr>
      </w:pPr>
      <w:r w:rsidRPr="009351CB">
        <w:rPr>
          <w:b/>
        </w:rPr>
        <w:t>Table 5</w:t>
      </w:r>
      <w:r w:rsidR="00C147B7" w:rsidRPr="009351CB">
        <w:rPr>
          <w:b/>
        </w:rPr>
        <w:t>: State legal Services</w:t>
      </w:r>
      <w:r w:rsidR="00783AE7" w:rsidRPr="009351CB">
        <w:rPr>
          <w:b/>
        </w:rPr>
        <w:t xml:space="preserve"> -</w:t>
      </w:r>
      <w:r w:rsidR="00C147B7" w:rsidRPr="009351CB">
        <w:rPr>
          <w:b/>
        </w:rPr>
        <w:t xml:space="preserve"> Selected performance 2018/19</w:t>
      </w:r>
    </w:p>
    <w:tbl>
      <w:tblPr>
        <w:tblStyle w:val="TableGrid"/>
        <w:tblW w:w="5000" w:type="pct"/>
        <w:tblLook w:val="04A0" w:firstRow="1" w:lastRow="0" w:firstColumn="1" w:lastColumn="0" w:noHBand="0" w:noVBand="1"/>
      </w:tblPr>
      <w:tblGrid>
        <w:gridCol w:w="2811"/>
        <w:gridCol w:w="2810"/>
        <w:gridCol w:w="2811"/>
      </w:tblGrid>
      <w:tr w:rsidR="009B3194" w:rsidRPr="009351CB" w14:paraId="5B5C4004" w14:textId="77777777" w:rsidTr="00783AE7">
        <w:trPr>
          <w:tblHeader/>
        </w:trPr>
        <w:tc>
          <w:tcPr>
            <w:tcW w:w="1666" w:type="pct"/>
            <w:shd w:val="clear" w:color="auto" w:fill="D9D9D9" w:themeFill="background1" w:themeFillShade="D9"/>
          </w:tcPr>
          <w:p w14:paraId="4FA402C9" w14:textId="77777777" w:rsidR="00870C28" w:rsidRPr="009351CB" w:rsidRDefault="00870C28" w:rsidP="009351CB">
            <w:pPr>
              <w:spacing w:line="360" w:lineRule="auto"/>
              <w:jc w:val="center"/>
              <w:rPr>
                <w:b/>
              </w:rPr>
            </w:pPr>
            <w:r w:rsidRPr="009351CB">
              <w:rPr>
                <w:b/>
              </w:rPr>
              <w:t>Indicators</w:t>
            </w:r>
          </w:p>
        </w:tc>
        <w:tc>
          <w:tcPr>
            <w:tcW w:w="1666" w:type="pct"/>
            <w:shd w:val="clear" w:color="auto" w:fill="D9D9D9" w:themeFill="background1" w:themeFillShade="D9"/>
          </w:tcPr>
          <w:p w14:paraId="620BBACD" w14:textId="77777777" w:rsidR="00870C28" w:rsidRPr="009351CB" w:rsidRDefault="00870C28" w:rsidP="009351CB">
            <w:pPr>
              <w:spacing w:line="360" w:lineRule="auto"/>
              <w:jc w:val="center"/>
              <w:rPr>
                <w:b/>
              </w:rPr>
            </w:pPr>
            <w:r w:rsidRPr="009351CB">
              <w:rPr>
                <w:b/>
              </w:rPr>
              <w:t>2017/18</w:t>
            </w:r>
          </w:p>
        </w:tc>
        <w:tc>
          <w:tcPr>
            <w:tcW w:w="1667" w:type="pct"/>
            <w:shd w:val="clear" w:color="auto" w:fill="D9D9D9" w:themeFill="background1" w:themeFillShade="D9"/>
          </w:tcPr>
          <w:p w14:paraId="770A25E2" w14:textId="77777777" w:rsidR="00870C28" w:rsidRPr="009351CB" w:rsidRDefault="00870C28" w:rsidP="009351CB">
            <w:pPr>
              <w:spacing w:line="360" w:lineRule="auto"/>
              <w:jc w:val="center"/>
              <w:rPr>
                <w:b/>
              </w:rPr>
            </w:pPr>
            <w:r w:rsidRPr="009351CB">
              <w:rPr>
                <w:b/>
              </w:rPr>
              <w:t>2018/19</w:t>
            </w:r>
          </w:p>
        </w:tc>
      </w:tr>
      <w:tr w:rsidR="00870C28" w:rsidRPr="009351CB" w14:paraId="22C30274" w14:textId="77777777" w:rsidTr="00783AE7">
        <w:tc>
          <w:tcPr>
            <w:tcW w:w="1666" w:type="pct"/>
          </w:tcPr>
          <w:p w14:paraId="7D10CF76" w14:textId="77777777" w:rsidR="00870C28" w:rsidRPr="009351CB" w:rsidRDefault="00870C28"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Jurisdiction of Masters’ service points increased </w:t>
            </w:r>
          </w:p>
        </w:tc>
        <w:tc>
          <w:tcPr>
            <w:tcW w:w="1666" w:type="pct"/>
          </w:tcPr>
          <w:p w14:paraId="08F3E54C" w14:textId="77777777" w:rsidR="00870C28" w:rsidRPr="009351CB" w:rsidRDefault="00870C28"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 </w:t>
            </w:r>
          </w:p>
        </w:tc>
        <w:tc>
          <w:tcPr>
            <w:tcW w:w="1667" w:type="pct"/>
          </w:tcPr>
          <w:p w14:paraId="0FB038CE" w14:textId="77777777" w:rsidR="00870C28" w:rsidRPr="009351CB" w:rsidRDefault="00870C28"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767FE00B" w14:textId="77777777" w:rsidR="00870C28" w:rsidRPr="009351CB" w:rsidRDefault="00870C28"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(Paperless Estates Administration System PEAS rolled out to 27 service points against a target of 30) </w:t>
            </w:r>
          </w:p>
        </w:tc>
      </w:tr>
      <w:tr w:rsidR="00C147B7" w:rsidRPr="009351CB" w14:paraId="50C7EC44" w14:textId="77777777" w:rsidTr="00783AE7">
        <w:tc>
          <w:tcPr>
            <w:tcW w:w="1666" w:type="pct"/>
          </w:tcPr>
          <w:p w14:paraId="2E41EABE"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Number of Previously Disadvantaged Individuals (PDI) advocates briefed </w:t>
            </w:r>
          </w:p>
        </w:tc>
        <w:tc>
          <w:tcPr>
            <w:tcW w:w="1666" w:type="pct"/>
          </w:tcPr>
          <w:p w14:paraId="31D74341"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 </w:t>
            </w:r>
          </w:p>
        </w:tc>
        <w:tc>
          <w:tcPr>
            <w:tcW w:w="1667" w:type="pct"/>
          </w:tcPr>
          <w:p w14:paraId="2A3BF25A"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58CD2316"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(1467 against a target of 1200) </w:t>
            </w:r>
          </w:p>
        </w:tc>
      </w:tr>
      <w:tr w:rsidR="00C147B7" w:rsidRPr="009351CB" w14:paraId="171FF77A" w14:textId="77777777" w:rsidTr="00783AE7">
        <w:tc>
          <w:tcPr>
            <w:tcW w:w="1666" w:type="pct"/>
          </w:tcPr>
          <w:p w14:paraId="20BFCE69"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Percentage value of briefs distributed to PDIs </w:t>
            </w:r>
          </w:p>
        </w:tc>
        <w:tc>
          <w:tcPr>
            <w:tcW w:w="1666" w:type="pct"/>
          </w:tcPr>
          <w:p w14:paraId="795E6696"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EXCEEDED </w:t>
            </w:r>
          </w:p>
          <w:p w14:paraId="35927D88"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82% against a target of 80%) </w:t>
            </w:r>
          </w:p>
          <w:p w14:paraId="4FE699C1"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(R719 million was paid to PDI counsel of a total amount of R877 million) </w:t>
            </w:r>
          </w:p>
        </w:tc>
        <w:tc>
          <w:tcPr>
            <w:tcW w:w="1667" w:type="pct"/>
          </w:tcPr>
          <w:p w14:paraId="5CA568AA"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EXCEEDED </w:t>
            </w:r>
          </w:p>
          <w:p w14:paraId="50AD1CA5"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(83% against a target of 80%) </w:t>
            </w:r>
          </w:p>
          <w:p w14:paraId="1C30CC72"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(R775 million was paid to PDI counsel of a total amount of R930.6 million)</w:t>
            </w:r>
          </w:p>
        </w:tc>
      </w:tr>
      <w:tr w:rsidR="00C147B7" w:rsidRPr="009351CB" w14:paraId="2E77C8D1" w14:textId="77777777" w:rsidTr="00783AE7">
        <w:tc>
          <w:tcPr>
            <w:tcW w:w="1666" w:type="pct"/>
          </w:tcPr>
          <w:p w14:paraId="4065B06D"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Percentage of briefs allocated of female counsel </w:t>
            </w:r>
          </w:p>
        </w:tc>
        <w:tc>
          <w:tcPr>
            <w:tcW w:w="1666" w:type="pct"/>
          </w:tcPr>
          <w:p w14:paraId="182E2CC7"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3E788657"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(38% against a target of 40%) </w:t>
            </w:r>
          </w:p>
        </w:tc>
        <w:tc>
          <w:tcPr>
            <w:tcW w:w="1667" w:type="pct"/>
          </w:tcPr>
          <w:p w14:paraId="30C68C5A"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4C031CE1"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(41% against a target of 40%) </w:t>
            </w:r>
          </w:p>
        </w:tc>
      </w:tr>
      <w:tr w:rsidR="00C147B7" w:rsidRPr="009351CB" w14:paraId="0B9962DF" w14:textId="77777777" w:rsidTr="00783AE7">
        <w:tc>
          <w:tcPr>
            <w:tcW w:w="1666" w:type="pct"/>
          </w:tcPr>
          <w:p w14:paraId="445FD50A"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Number of </w:t>
            </w:r>
            <w:r w:rsidR="00E77A38" w:rsidRPr="009351CB">
              <w:rPr>
                <w:rFonts w:ascii="Times New Roman" w:hAnsi="Times New Roman" w:cs="Times New Roman"/>
                <w:bCs/>
              </w:rPr>
              <w:t xml:space="preserve">enrolled </w:t>
            </w:r>
            <w:r w:rsidRPr="009351CB">
              <w:rPr>
                <w:rFonts w:ascii="Times New Roman" w:hAnsi="Times New Roman" w:cs="Times New Roman"/>
                <w:bCs/>
              </w:rPr>
              <w:t xml:space="preserve">High Court matters </w:t>
            </w:r>
            <w:r w:rsidR="00E77A38" w:rsidRPr="009351CB">
              <w:rPr>
                <w:rFonts w:ascii="Times New Roman" w:hAnsi="Times New Roman" w:cs="Times New Roman"/>
                <w:bCs/>
              </w:rPr>
              <w:t xml:space="preserve">represented </w:t>
            </w:r>
            <w:r w:rsidRPr="009351CB">
              <w:rPr>
                <w:rFonts w:ascii="Times New Roman" w:hAnsi="Times New Roman" w:cs="Times New Roman"/>
                <w:bCs/>
              </w:rPr>
              <w:t xml:space="preserve">in court by the State Attorney </w:t>
            </w:r>
          </w:p>
        </w:tc>
        <w:tc>
          <w:tcPr>
            <w:tcW w:w="1666" w:type="pct"/>
          </w:tcPr>
          <w:p w14:paraId="2B7CB5AE"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EXCEEDED </w:t>
            </w:r>
          </w:p>
          <w:p w14:paraId="6A528DE7"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(467 against a target of 60) </w:t>
            </w:r>
          </w:p>
        </w:tc>
        <w:tc>
          <w:tcPr>
            <w:tcW w:w="1667" w:type="pct"/>
          </w:tcPr>
          <w:p w14:paraId="7C1AD1DF"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EXCEEDED </w:t>
            </w:r>
          </w:p>
          <w:p w14:paraId="2BF25AFD"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(821 against a target of 80) </w:t>
            </w:r>
          </w:p>
        </w:tc>
      </w:tr>
      <w:tr w:rsidR="00C147B7" w:rsidRPr="009351CB" w14:paraId="01CE6114" w14:textId="77777777" w:rsidTr="00783AE7">
        <w:tc>
          <w:tcPr>
            <w:tcW w:w="1666" w:type="pct"/>
          </w:tcPr>
          <w:p w14:paraId="1672B904"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Percentage reduction of litigation costs against the State </w:t>
            </w:r>
          </w:p>
        </w:tc>
        <w:tc>
          <w:tcPr>
            <w:tcW w:w="1666" w:type="pct"/>
          </w:tcPr>
          <w:p w14:paraId="4A30842D"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424B9541"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(12% increase against a target of 5% reduction) </w:t>
            </w:r>
          </w:p>
        </w:tc>
        <w:tc>
          <w:tcPr>
            <w:tcW w:w="1667" w:type="pct"/>
          </w:tcPr>
          <w:p w14:paraId="68A9AF75"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50BD1B55"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(1% increase against a target of 5% reduction) </w:t>
            </w:r>
          </w:p>
        </w:tc>
      </w:tr>
      <w:tr w:rsidR="00C147B7" w:rsidRPr="009351CB" w14:paraId="2CE00896" w14:textId="77777777" w:rsidTr="00783AE7">
        <w:trPr>
          <w:trHeight w:val="712"/>
        </w:trPr>
        <w:tc>
          <w:tcPr>
            <w:tcW w:w="1666" w:type="pct"/>
          </w:tcPr>
          <w:p w14:paraId="656EDD88"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Percentage reduction in capital amount claimed in medical negligence, unlawful arrest and detention claims </w:t>
            </w:r>
          </w:p>
        </w:tc>
        <w:tc>
          <w:tcPr>
            <w:tcW w:w="1666" w:type="pct"/>
          </w:tcPr>
          <w:p w14:paraId="69359D1F"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 </w:t>
            </w:r>
          </w:p>
        </w:tc>
        <w:tc>
          <w:tcPr>
            <w:tcW w:w="1667" w:type="pct"/>
          </w:tcPr>
          <w:p w14:paraId="48D9A2A0"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6040B156"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(98% against a target of 60%) </w:t>
            </w:r>
          </w:p>
        </w:tc>
      </w:tr>
      <w:tr w:rsidR="00C147B7" w:rsidRPr="009351CB" w14:paraId="77757C50" w14:textId="77777777" w:rsidTr="00783AE7">
        <w:trPr>
          <w:trHeight w:val="413"/>
        </w:trPr>
        <w:tc>
          <w:tcPr>
            <w:tcW w:w="1666" w:type="pct"/>
          </w:tcPr>
          <w:p w14:paraId="29B61BE4"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Number of policies submitted to Cabinet for endorsement </w:t>
            </w:r>
          </w:p>
        </w:tc>
        <w:tc>
          <w:tcPr>
            <w:tcW w:w="1666" w:type="pct"/>
          </w:tcPr>
          <w:p w14:paraId="4A58B28C"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 </w:t>
            </w:r>
          </w:p>
        </w:tc>
        <w:tc>
          <w:tcPr>
            <w:tcW w:w="1667" w:type="pct"/>
          </w:tcPr>
          <w:p w14:paraId="47C691F4"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27DA2977"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(0 against a target of 4) </w:t>
            </w:r>
          </w:p>
        </w:tc>
      </w:tr>
      <w:tr w:rsidR="00C147B7" w:rsidRPr="009351CB" w14:paraId="4532549D" w14:textId="77777777" w:rsidTr="00783AE7">
        <w:trPr>
          <w:trHeight w:val="412"/>
        </w:trPr>
        <w:tc>
          <w:tcPr>
            <w:tcW w:w="1666" w:type="pct"/>
          </w:tcPr>
          <w:p w14:paraId="712F1134"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Number of sustained and visible anti-Xenophobia campaigns </w:t>
            </w:r>
          </w:p>
        </w:tc>
        <w:tc>
          <w:tcPr>
            <w:tcW w:w="1666" w:type="pct"/>
          </w:tcPr>
          <w:p w14:paraId="35B3F9BE"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5480BF9F"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(6 against a target of 6) </w:t>
            </w:r>
          </w:p>
        </w:tc>
        <w:tc>
          <w:tcPr>
            <w:tcW w:w="1667" w:type="pct"/>
          </w:tcPr>
          <w:p w14:paraId="6A44092E"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4F21226B"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(6 against a target of 6) </w:t>
            </w:r>
          </w:p>
        </w:tc>
      </w:tr>
      <w:tr w:rsidR="00C147B7" w:rsidRPr="009351CB" w14:paraId="029530A8" w14:textId="77777777" w:rsidTr="00783AE7">
        <w:trPr>
          <w:trHeight w:val="553"/>
        </w:trPr>
        <w:tc>
          <w:tcPr>
            <w:tcW w:w="1666" w:type="pct"/>
          </w:tcPr>
          <w:p w14:paraId="36E4DA89"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Number of community projects launched in line with the TRC recommendations </w:t>
            </w:r>
          </w:p>
        </w:tc>
        <w:tc>
          <w:tcPr>
            <w:tcW w:w="1666" w:type="pct"/>
          </w:tcPr>
          <w:p w14:paraId="04A088E6"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 </w:t>
            </w:r>
          </w:p>
        </w:tc>
        <w:tc>
          <w:tcPr>
            <w:tcW w:w="1667" w:type="pct"/>
          </w:tcPr>
          <w:p w14:paraId="1DB08BD7"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NOT ACHIEVED </w:t>
            </w:r>
          </w:p>
          <w:p w14:paraId="18F177FF" w14:textId="77777777" w:rsidR="00C147B7" w:rsidRPr="009351CB" w:rsidRDefault="00C147B7"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(0 against a target of 5) </w:t>
            </w:r>
          </w:p>
        </w:tc>
      </w:tr>
    </w:tbl>
    <w:p w14:paraId="3078474B" w14:textId="77777777" w:rsidR="00106280" w:rsidRPr="009351CB" w:rsidRDefault="00106280" w:rsidP="009351CB">
      <w:pPr>
        <w:shd w:val="clear" w:color="auto" w:fill="FFFFFF" w:themeFill="background1"/>
        <w:spacing w:line="360" w:lineRule="auto"/>
        <w:jc w:val="both"/>
      </w:pPr>
    </w:p>
    <w:p w14:paraId="1153CCD0" w14:textId="77777777" w:rsidR="00106280" w:rsidRPr="009351CB" w:rsidRDefault="00106280" w:rsidP="009351CB">
      <w:pPr>
        <w:pStyle w:val="ListParagraph"/>
        <w:numPr>
          <w:ilvl w:val="1"/>
          <w:numId w:val="2"/>
        </w:numPr>
        <w:tabs>
          <w:tab w:val="num" w:pos="709"/>
        </w:tabs>
        <w:spacing w:line="360" w:lineRule="auto"/>
        <w:ind w:left="709" w:hanging="709"/>
        <w:jc w:val="both"/>
        <w:rPr>
          <w:color w:val="000000" w:themeColor="text1"/>
        </w:rPr>
      </w:pPr>
      <w:r w:rsidRPr="002C3BE7">
        <w:rPr>
          <w:b/>
        </w:rPr>
        <w:t>Programme</w:t>
      </w:r>
      <w:r w:rsidRPr="009351CB">
        <w:rPr>
          <w:b/>
          <w:color w:val="000000" w:themeColor="text1"/>
        </w:rPr>
        <w:t xml:space="preserve"> 5: Auxiliary and Associated Services Programme - Justice Modernisation subprogramme</w:t>
      </w:r>
      <w:r w:rsidRPr="009351CB">
        <w:rPr>
          <w:color w:val="000000" w:themeColor="text1"/>
        </w:rPr>
        <w:t xml:space="preserve"> </w:t>
      </w:r>
    </w:p>
    <w:p w14:paraId="56E4F365" w14:textId="77777777" w:rsidR="00106280" w:rsidRPr="009351CB" w:rsidRDefault="00106280" w:rsidP="009351CB">
      <w:pPr>
        <w:shd w:val="clear" w:color="auto" w:fill="FFFFFF" w:themeFill="background1"/>
        <w:spacing w:line="360" w:lineRule="auto"/>
        <w:jc w:val="both"/>
        <w:rPr>
          <w:color w:val="000000" w:themeColor="text1"/>
        </w:rPr>
      </w:pPr>
    </w:p>
    <w:p w14:paraId="285A4D7F" w14:textId="5E86AAD2" w:rsidR="00106280" w:rsidRPr="009351CB" w:rsidRDefault="00106280" w:rsidP="004F6019">
      <w:pPr>
        <w:pStyle w:val="BodySingle"/>
        <w:numPr>
          <w:ilvl w:val="2"/>
          <w:numId w:val="15"/>
        </w:numPr>
        <w:spacing w:line="360" w:lineRule="auto"/>
        <w:rPr>
          <w:rFonts w:ascii="Times New Roman" w:hAnsi="Times New Roman"/>
          <w:i w:val="0"/>
          <w:color w:val="000000" w:themeColor="text1"/>
          <w:sz w:val="24"/>
          <w:szCs w:val="24"/>
        </w:rPr>
      </w:pPr>
      <w:r w:rsidRPr="009351CB">
        <w:rPr>
          <w:rFonts w:ascii="Times New Roman" w:hAnsi="Times New Roman"/>
          <w:i w:val="0"/>
          <w:sz w:val="24"/>
          <w:szCs w:val="24"/>
        </w:rPr>
        <w:t>Programme</w:t>
      </w:r>
      <w:r w:rsidRPr="009351CB">
        <w:rPr>
          <w:rFonts w:ascii="Times New Roman" w:hAnsi="Times New Roman"/>
          <w:i w:val="0"/>
          <w:color w:val="000000" w:themeColor="text1"/>
          <w:sz w:val="24"/>
          <w:szCs w:val="24"/>
        </w:rPr>
        <w:t xml:space="preserve"> 5 contains the Justice Modernisation subprogramme which has funds for the implementation of IT infrastructure for the Department and also includes the earmarked funds for IJS integration across the Cluster.</w:t>
      </w:r>
    </w:p>
    <w:p w14:paraId="2B5BD8E1" w14:textId="77777777" w:rsidR="00106280" w:rsidRPr="009351CB" w:rsidRDefault="00106280" w:rsidP="009351CB">
      <w:pPr>
        <w:pStyle w:val="BodySingle"/>
        <w:spacing w:line="360" w:lineRule="auto"/>
        <w:rPr>
          <w:rFonts w:ascii="Times New Roman" w:hAnsi="Times New Roman"/>
          <w:i w:val="0"/>
          <w:color w:val="000000" w:themeColor="text1"/>
          <w:sz w:val="24"/>
          <w:szCs w:val="24"/>
        </w:rPr>
      </w:pPr>
    </w:p>
    <w:p w14:paraId="7D9BFE1C" w14:textId="484D925F" w:rsidR="00AF3706" w:rsidRPr="009351CB" w:rsidRDefault="000C52E0" w:rsidP="004F6019">
      <w:pPr>
        <w:pStyle w:val="BodySingle"/>
        <w:numPr>
          <w:ilvl w:val="2"/>
          <w:numId w:val="15"/>
        </w:numPr>
        <w:spacing w:line="360" w:lineRule="auto"/>
        <w:rPr>
          <w:rFonts w:ascii="Times New Roman" w:hAnsi="Times New Roman"/>
          <w:i w:val="0"/>
          <w:sz w:val="24"/>
          <w:szCs w:val="24"/>
        </w:rPr>
      </w:pPr>
      <w:r w:rsidRPr="009351CB">
        <w:rPr>
          <w:rFonts w:ascii="Times New Roman" w:hAnsi="Times New Roman"/>
          <w:i w:val="0"/>
          <w:sz w:val="24"/>
          <w:szCs w:val="24"/>
        </w:rPr>
        <w:t>The final a</w:t>
      </w:r>
      <w:r w:rsidR="00AF3706" w:rsidRPr="009351CB">
        <w:rPr>
          <w:rFonts w:ascii="Times New Roman" w:hAnsi="Times New Roman"/>
          <w:i w:val="0"/>
          <w:sz w:val="24"/>
          <w:szCs w:val="24"/>
        </w:rPr>
        <w:t xml:space="preserve">llocation to Justice Modernisation for </w:t>
      </w:r>
      <w:r w:rsidR="00E77A38" w:rsidRPr="009351CB">
        <w:rPr>
          <w:rFonts w:ascii="Times New Roman" w:hAnsi="Times New Roman"/>
          <w:i w:val="0"/>
          <w:sz w:val="24"/>
          <w:szCs w:val="24"/>
        </w:rPr>
        <w:t>2018/19 was R</w:t>
      </w:r>
      <w:r w:rsidR="00553738" w:rsidRPr="009351CB">
        <w:rPr>
          <w:rFonts w:ascii="Times New Roman" w:hAnsi="Times New Roman"/>
          <w:i w:val="0"/>
          <w:sz w:val="24"/>
          <w:szCs w:val="24"/>
        </w:rPr>
        <w:t>759.6 m</w:t>
      </w:r>
      <w:r w:rsidR="00E77A38" w:rsidRPr="009351CB">
        <w:rPr>
          <w:rFonts w:ascii="Times New Roman" w:hAnsi="Times New Roman"/>
          <w:i w:val="0"/>
          <w:sz w:val="24"/>
          <w:szCs w:val="24"/>
        </w:rPr>
        <w:t xml:space="preserve">illion (compared with </w:t>
      </w:r>
      <w:r w:rsidR="008B7BF0" w:rsidRPr="009351CB">
        <w:rPr>
          <w:rFonts w:ascii="Times New Roman" w:hAnsi="Times New Roman"/>
          <w:i w:val="0"/>
          <w:sz w:val="24"/>
          <w:szCs w:val="24"/>
        </w:rPr>
        <w:t>R810.6 million</w:t>
      </w:r>
      <w:r w:rsidR="00E77A38" w:rsidRPr="009351CB">
        <w:rPr>
          <w:rFonts w:ascii="Times New Roman" w:hAnsi="Times New Roman"/>
          <w:i w:val="0"/>
          <w:sz w:val="24"/>
          <w:szCs w:val="24"/>
        </w:rPr>
        <w:t xml:space="preserve"> in 2017/18)</w:t>
      </w:r>
      <w:r w:rsidR="008B7BF0" w:rsidRPr="009351CB">
        <w:rPr>
          <w:rFonts w:ascii="Times New Roman" w:hAnsi="Times New Roman"/>
          <w:i w:val="0"/>
          <w:sz w:val="24"/>
          <w:szCs w:val="24"/>
        </w:rPr>
        <w:t xml:space="preserve">, of which 100% was spent. However, </w:t>
      </w:r>
      <w:r w:rsidR="00553738" w:rsidRPr="009351CB">
        <w:rPr>
          <w:rFonts w:ascii="Times New Roman" w:hAnsi="Times New Roman"/>
          <w:i w:val="0"/>
          <w:sz w:val="24"/>
          <w:szCs w:val="24"/>
        </w:rPr>
        <w:t>the subprogramme was allocated R976 million for 2018/19</w:t>
      </w:r>
      <w:r w:rsidR="00F726C3" w:rsidRPr="009351CB">
        <w:rPr>
          <w:rFonts w:ascii="Times New Roman" w:hAnsi="Times New Roman"/>
          <w:i w:val="0"/>
          <w:sz w:val="24"/>
          <w:szCs w:val="24"/>
        </w:rPr>
        <w:t xml:space="preserve"> and was then </w:t>
      </w:r>
      <w:r w:rsidR="00553738" w:rsidRPr="009351CB">
        <w:rPr>
          <w:rFonts w:ascii="Times New Roman" w:hAnsi="Times New Roman"/>
          <w:i w:val="0"/>
          <w:sz w:val="24"/>
          <w:szCs w:val="24"/>
        </w:rPr>
        <w:t>adjusted to R983 million. A</w:t>
      </w:r>
      <w:r w:rsidR="00E77A38" w:rsidRPr="009351CB">
        <w:rPr>
          <w:rFonts w:ascii="Times New Roman" w:hAnsi="Times New Roman"/>
          <w:i w:val="0"/>
          <w:sz w:val="24"/>
          <w:szCs w:val="24"/>
        </w:rPr>
        <w:t xml:space="preserve"> virement </w:t>
      </w:r>
      <w:r w:rsidR="00553738" w:rsidRPr="009351CB">
        <w:rPr>
          <w:rFonts w:ascii="Times New Roman" w:hAnsi="Times New Roman"/>
          <w:i w:val="0"/>
          <w:sz w:val="24"/>
          <w:szCs w:val="24"/>
        </w:rPr>
        <w:t xml:space="preserve">was affected </w:t>
      </w:r>
      <w:r w:rsidR="00E77A38" w:rsidRPr="009351CB">
        <w:rPr>
          <w:rFonts w:ascii="Times New Roman" w:hAnsi="Times New Roman"/>
          <w:i w:val="0"/>
          <w:sz w:val="24"/>
          <w:szCs w:val="24"/>
        </w:rPr>
        <w:t xml:space="preserve">from the subprogramme of </w:t>
      </w:r>
      <w:r w:rsidR="00553738" w:rsidRPr="009351CB">
        <w:rPr>
          <w:rFonts w:ascii="Times New Roman" w:hAnsi="Times New Roman"/>
          <w:i w:val="0"/>
          <w:sz w:val="24"/>
          <w:szCs w:val="24"/>
        </w:rPr>
        <w:t xml:space="preserve">R223.6 million, bringing the final appropriation to </w:t>
      </w:r>
      <w:r w:rsidR="00E77A38" w:rsidRPr="009351CB">
        <w:rPr>
          <w:rFonts w:ascii="Times New Roman" w:hAnsi="Times New Roman"/>
          <w:i w:val="0"/>
          <w:sz w:val="24"/>
          <w:szCs w:val="24"/>
        </w:rPr>
        <w:t>R759.6 million.</w:t>
      </w:r>
      <w:r w:rsidR="00AF3706" w:rsidRPr="009351CB">
        <w:rPr>
          <w:rFonts w:ascii="Times New Roman" w:hAnsi="Times New Roman"/>
          <w:i w:val="0"/>
          <w:sz w:val="24"/>
          <w:szCs w:val="24"/>
        </w:rPr>
        <w:t xml:space="preserve"> </w:t>
      </w:r>
    </w:p>
    <w:p w14:paraId="64707839" w14:textId="77777777" w:rsidR="00AF3706" w:rsidRPr="009351CB" w:rsidRDefault="00AF3706" w:rsidP="009351CB">
      <w:pPr>
        <w:pStyle w:val="ListParagraph"/>
        <w:spacing w:line="360" w:lineRule="auto"/>
        <w:rPr>
          <w:i/>
        </w:rPr>
      </w:pPr>
    </w:p>
    <w:p w14:paraId="49C10CE1" w14:textId="77777777" w:rsidR="00A44544" w:rsidRPr="009351CB" w:rsidRDefault="00DE16A4" w:rsidP="004F6019">
      <w:pPr>
        <w:pStyle w:val="BodySingle"/>
        <w:numPr>
          <w:ilvl w:val="2"/>
          <w:numId w:val="15"/>
        </w:numPr>
        <w:spacing w:line="360" w:lineRule="auto"/>
        <w:rPr>
          <w:rFonts w:ascii="Times New Roman" w:hAnsi="Times New Roman"/>
          <w:sz w:val="24"/>
          <w:szCs w:val="24"/>
        </w:rPr>
      </w:pPr>
      <w:r w:rsidRPr="009351CB">
        <w:rPr>
          <w:rFonts w:ascii="Times New Roman" w:hAnsi="Times New Roman"/>
          <w:i w:val="0"/>
          <w:sz w:val="24"/>
          <w:szCs w:val="24"/>
        </w:rPr>
        <w:t>T</w:t>
      </w:r>
      <w:r w:rsidR="007D18C1" w:rsidRPr="009351CB">
        <w:rPr>
          <w:rFonts w:ascii="Times New Roman" w:hAnsi="Times New Roman"/>
          <w:i w:val="0"/>
          <w:sz w:val="24"/>
          <w:szCs w:val="24"/>
        </w:rPr>
        <w:t>he Justi</w:t>
      </w:r>
      <w:r w:rsidR="00E83A13" w:rsidRPr="009351CB">
        <w:rPr>
          <w:rFonts w:ascii="Times New Roman" w:hAnsi="Times New Roman"/>
          <w:i w:val="0"/>
          <w:sz w:val="24"/>
          <w:szCs w:val="24"/>
        </w:rPr>
        <w:t>c</w:t>
      </w:r>
      <w:r w:rsidR="007D18C1" w:rsidRPr="009351CB">
        <w:rPr>
          <w:rFonts w:ascii="Times New Roman" w:hAnsi="Times New Roman"/>
          <w:i w:val="0"/>
          <w:sz w:val="24"/>
          <w:szCs w:val="24"/>
        </w:rPr>
        <w:t xml:space="preserve">e Modernisation sub-programme has the strategic objective: </w:t>
      </w:r>
      <w:r w:rsidR="0021500C" w:rsidRPr="009351CB">
        <w:rPr>
          <w:rFonts w:ascii="Times New Roman" w:hAnsi="Times New Roman"/>
          <w:i w:val="0"/>
          <w:sz w:val="24"/>
          <w:szCs w:val="24"/>
        </w:rPr>
        <w:t>‘</w:t>
      </w:r>
      <w:r w:rsidR="007D18C1" w:rsidRPr="009351CB">
        <w:rPr>
          <w:rFonts w:ascii="Times New Roman" w:hAnsi="Times New Roman"/>
          <w:i w:val="0"/>
          <w:sz w:val="24"/>
          <w:szCs w:val="24"/>
        </w:rPr>
        <w:t>Functional integrated criminal justice system (CJS) to monitor the p</w:t>
      </w:r>
      <w:r w:rsidR="00CD0883" w:rsidRPr="009351CB">
        <w:rPr>
          <w:rFonts w:ascii="Times New Roman" w:hAnsi="Times New Roman"/>
          <w:i w:val="0"/>
          <w:sz w:val="24"/>
          <w:szCs w:val="24"/>
        </w:rPr>
        <w:t>erf</w:t>
      </w:r>
      <w:r w:rsidR="007D18C1" w:rsidRPr="009351CB">
        <w:rPr>
          <w:rFonts w:ascii="Times New Roman" w:hAnsi="Times New Roman"/>
          <w:i w:val="0"/>
          <w:sz w:val="24"/>
          <w:szCs w:val="24"/>
        </w:rPr>
        <w:t>o</w:t>
      </w:r>
      <w:r w:rsidR="00CD0883" w:rsidRPr="009351CB">
        <w:rPr>
          <w:rFonts w:ascii="Times New Roman" w:hAnsi="Times New Roman"/>
          <w:i w:val="0"/>
          <w:sz w:val="24"/>
          <w:szCs w:val="24"/>
        </w:rPr>
        <w:t>r</w:t>
      </w:r>
      <w:r w:rsidR="007D18C1" w:rsidRPr="009351CB">
        <w:rPr>
          <w:rFonts w:ascii="Times New Roman" w:hAnsi="Times New Roman"/>
          <w:i w:val="0"/>
          <w:sz w:val="24"/>
          <w:szCs w:val="24"/>
        </w:rPr>
        <w:t>mance of the criminal justice system established</w:t>
      </w:r>
      <w:r w:rsidR="00DD74BA" w:rsidRPr="009351CB">
        <w:rPr>
          <w:rFonts w:ascii="Times New Roman" w:hAnsi="Times New Roman"/>
          <w:i w:val="0"/>
          <w:sz w:val="24"/>
          <w:szCs w:val="24"/>
        </w:rPr>
        <w:t>’</w:t>
      </w:r>
      <w:r w:rsidR="00A44544" w:rsidRPr="009351CB">
        <w:rPr>
          <w:rFonts w:ascii="Times New Roman" w:hAnsi="Times New Roman"/>
          <w:i w:val="0"/>
          <w:sz w:val="24"/>
          <w:szCs w:val="24"/>
        </w:rPr>
        <w:t>. There were no changes to the planned targets in 2017/18.</w:t>
      </w:r>
    </w:p>
    <w:p w14:paraId="0E17FC57" w14:textId="77777777" w:rsidR="00A44544" w:rsidRPr="009351CB" w:rsidRDefault="00A44544" w:rsidP="009351CB">
      <w:pPr>
        <w:pStyle w:val="ListParagraph"/>
        <w:spacing w:line="360" w:lineRule="auto"/>
        <w:rPr>
          <w:i/>
        </w:rPr>
      </w:pPr>
    </w:p>
    <w:p w14:paraId="49385EF6" w14:textId="77777777" w:rsidR="000C52E0" w:rsidRPr="009351CB" w:rsidRDefault="00A44544" w:rsidP="004F6019">
      <w:pPr>
        <w:pStyle w:val="BodySingle"/>
        <w:numPr>
          <w:ilvl w:val="2"/>
          <w:numId w:val="15"/>
        </w:numPr>
        <w:spacing w:line="360" w:lineRule="auto"/>
        <w:rPr>
          <w:rFonts w:ascii="Times New Roman" w:hAnsi="Times New Roman"/>
          <w:sz w:val="24"/>
          <w:szCs w:val="24"/>
        </w:rPr>
      </w:pPr>
      <w:r w:rsidRPr="009351CB">
        <w:rPr>
          <w:rFonts w:ascii="Times New Roman" w:hAnsi="Times New Roman"/>
          <w:i w:val="0"/>
          <w:sz w:val="24"/>
          <w:szCs w:val="24"/>
        </w:rPr>
        <w:t xml:space="preserve">The subprogramme met </w:t>
      </w:r>
      <w:r w:rsidR="00DE16A4" w:rsidRPr="009351CB">
        <w:rPr>
          <w:rFonts w:ascii="Times New Roman" w:hAnsi="Times New Roman"/>
          <w:i w:val="0"/>
          <w:sz w:val="24"/>
          <w:szCs w:val="24"/>
        </w:rPr>
        <w:t>all its targets</w:t>
      </w:r>
      <w:r w:rsidR="000C52E0" w:rsidRPr="009351CB">
        <w:rPr>
          <w:rFonts w:ascii="Times New Roman" w:hAnsi="Times New Roman"/>
          <w:i w:val="0"/>
          <w:sz w:val="24"/>
          <w:szCs w:val="24"/>
        </w:rPr>
        <w:t>:</w:t>
      </w:r>
    </w:p>
    <w:p w14:paraId="129FD68A" w14:textId="77777777" w:rsidR="00FD0282" w:rsidRPr="009351CB" w:rsidRDefault="00FD0282" w:rsidP="009351CB">
      <w:pPr>
        <w:pStyle w:val="ListParagraph"/>
        <w:spacing w:line="360" w:lineRule="auto"/>
      </w:pPr>
    </w:p>
    <w:p w14:paraId="18F63770" w14:textId="77777777" w:rsidR="009B3194" w:rsidRPr="009351CB" w:rsidRDefault="00FD0282" w:rsidP="009351CB">
      <w:pPr>
        <w:spacing w:line="360" w:lineRule="auto"/>
        <w:rPr>
          <w:b/>
        </w:rPr>
      </w:pPr>
      <w:r w:rsidRPr="009351CB">
        <w:rPr>
          <w:b/>
        </w:rPr>
        <w:t>Table 6: Justice Modernisation –Performance 2018/19</w:t>
      </w:r>
    </w:p>
    <w:tbl>
      <w:tblPr>
        <w:tblStyle w:val="TableGrid"/>
        <w:tblW w:w="5000" w:type="pct"/>
        <w:tblLook w:val="04A0" w:firstRow="1" w:lastRow="0" w:firstColumn="1" w:lastColumn="0" w:noHBand="0" w:noVBand="1"/>
      </w:tblPr>
      <w:tblGrid>
        <w:gridCol w:w="4218"/>
        <w:gridCol w:w="2108"/>
        <w:gridCol w:w="2106"/>
      </w:tblGrid>
      <w:tr w:rsidR="009B3194" w:rsidRPr="009351CB" w14:paraId="25476866" w14:textId="77777777" w:rsidTr="00783AE7">
        <w:tc>
          <w:tcPr>
            <w:tcW w:w="2501" w:type="pct"/>
            <w:shd w:val="clear" w:color="auto" w:fill="D9D9D9" w:themeFill="background1" w:themeFillShade="D9"/>
          </w:tcPr>
          <w:p w14:paraId="38B98C38" w14:textId="77777777" w:rsidR="009B3194" w:rsidRPr="009351CB" w:rsidRDefault="009B3194" w:rsidP="009351CB">
            <w:pPr>
              <w:pStyle w:val="BodySingle"/>
              <w:spacing w:line="360" w:lineRule="auto"/>
              <w:ind w:left="0"/>
              <w:rPr>
                <w:rFonts w:ascii="Times New Roman" w:hAnsi="Times New Roman"/>
                <w:b/>
                <w:i w:val="0"/>
                <w:sz w:val="24"/>
                <w:szCs w:val="24"/>
              </w:rPr>
            </w:pPr>
            <w:r w:rsidRPr="009351CB">
              <w:rPr>
                <w:rFonts w:ascii="Times New Roman" w:hAnsi="Times New Roman"/>
                <w:b/>
                <w:i w:val="0"/>
                <w:sz w:val="24"/>
                <w:szCs w:val="24"/>
              </w:rPr>
              <w:t xml:space="preserve">Indicators </w:t>
            </w:r>
          </w:p>
        </w:tc>
        <w:tc>
          <w:tcPr>
            <w:tcW w:w="1250" w:type="pct"/>
            <w:shd w:val="clear" w:color="auto" w:fill="D9D9D9" w:themeFill="background1" w:themeFillShade="D9"/>
          </w:tcPr>
          <w:p w14:paraId="41451397" w14:textId="77777777" w:rsidR="009B3194" w:rsidRPr="009351CB" w:rsidRDefault="009B3194" w:rsidP="009351CB">
            <w:pPr>
              <w:pStyle w:val="BodySingle"/>
              <w:spacing w:line="360" w:lineRule="auto"/>
              <w:ind w:left="0"/>
              <w:rPr>
                <w:rFonts w:ascii="Times New Roman" w:hAnsi="Times New Roman"/>
                <w:b/>
                <w:i w:val="0"/>
                <w:sz w:val="24"/>
                <w:szCs w:val="24"/>
              </w:rPr>
            </w:pPr>
            <w:r w:rsidRPr="009351CB">
              <w:rPr>
                <w:rFonts w:ascii="Times New Roman" w:hAnsi="Times New Roman"/>
                <w:b/>
                <w:i w:val="0"/>
                <w:sz w:val="24"/>
                <w:szCs w:val="24"/>
              </w:rPr>
              <w:t>2017/18</w:t>
            </w:r>
          </w:p>
        </w:tc>
        <w:tc>
          <w:tcPr>
            <w:tcW w:w="1249" w:type="pct"/>
            <w:shd w:val="clear" w:color="auto" w:fill="D9D9D9" w:themeFill="background1" w:themeFillShade="D9"/>
          </w:tcPr>
          <w:p w14:paraId="120D5A21" w14:textId="77777777" w:rsidR="009B3194" w:rsidRPr="009351CB" w:rsidRDefault="009B3194" w:rsidP="009351CB">
            <w:pPr>
              <w:pStyle w:val="BodySingle"/>
              <w:spacing w:line="360" w:lineRule="auto"/>
              <w:ind w:left="0"/>
              <w:rPr>
                <w:rFonts w:ascii="Times New Roman" w:hAnsi="Times New Roman"/>
                <w:b/>
                <w:i w:val="0"/>
                <w:sz w:val="24"/>
                <w:szCs w:val="24"/>
              </w:rPr>
            </w:pPr>
            <w:r w:rsidRPr="009351CB">
              <w:rPr>
                <w:rFonts w:ascii="Times New Roman" w:hAnsi="Times New Roman"/>
                <w:b/>
                <w:i w:val="0"/>
                <w:sz w:val="24"/>
                <w:szCs w:val="24"/>
              </w:rPr>
              <w:t>2018/19</w:t>
            </w:r>
          </w:p>
        </w:tc>
      </w:tr>
      <w:tr w:rsidR="009B3194" w:rsidRPr="009351CB" w14:paraId="33FFE5C6" w14:textId="77777777" w:rsidTr="00783AE7">
        <w:tc>
          <w:tcPr>
            <w:tcW w:w="2501" w:type="pct"/>
          </w:tcPr>
          <w:p w14:paraId="3F7CE4AD"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rPr>
              <w:t xml:space="preserve">Number of KPIs on the integrated Criminal Justice systems </w:t>
            </w:r>
          </w:p>
        </w:tc>
        <w:tc>
          <w:tcPr>
            <w:tcW w:w="1250" w:type="pct"/>
          </w:tcPr>
          <w:p w14:paraId="355D8F99"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615AB6BF"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(22 against a target of 22) </w:t>
            </w:r>
          </w:p>
        </w:tc>
        <w:tc>
          <w:tcPr>
            <w:tcW w:w="1249" w:type="pct"/>
          </w:tcPr>
          <w:p w14:paraId="7021B93E"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ACHIEVED </w:t>
            </w:r>
          </w:p>
          <w:p w14:paraId="58CC6307"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bCs/>
              </w:rPr>
              <w:t xml:space="preserve">(26 against a target of 26) </w:t>
            </w:r>
          </w:p>
        </w:tc>
      </w:tr>
      <w:tr w:rsidR="009B3194" w:rsidRPr="009351CB" w14:paraId="1BF9A865" w14:textId="77777777" w:rsidTr="00783AE7">
        <w:tc>
          <w:tcPr>
            <w:tcW w:w="2501" w:type="pct"/>
          </w:tcPr>
          <w:p w14:paraId="7B1EBBC9"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rPr>
              <w:t xml:space="preserve">Number of government departments and entities exchanging information electronically </w:t>
            </w:r>
          </w:p>
        </w:tc>
        <w:tc>
          <w:tcPr>
            <w:tcW w:w="1250" w:type="pct"/>
          </w:tcPr>
          <w:p w14:paraId="65170C92"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ACHIEVED </w:t>
            </w:r>
          </w:p>
          <w:p w14:paraId="404A354D"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(7 against a target of 7) </w:t>
            </w:r>
          </w:p>
        </w:tc>
        <w:tc>
          <w:tcPr>
            <w:tcW w:w="1249" w:type="pct"/>
          </w:tcPr>
          <w:p w14:paraId="79EB92E7"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ACHIEVED </w:t>
            </w:r>
          </w:p>
          <w:p w14:paraId="5D6F9024"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(8 against a target of 8) </w:t>
            </w:r>
          </w:p>
        </w:tc>
      </w:tr>
      <w:tr w:rsidR="009B3194" w:rsidRPr="009351CB" w14:paraId="26F721B6" w14:textId="77777777" w:rsidTr="00783AE7">
        <w:tc>
          <w:tcPr>
            <w:tcW w:w="2501" w:type="pct"/>
          </w:tcPr>
          <w:p w14:paraId="53BDF312" w14:textId="77777777" w:rsidR="009B3194" w:rsidRPr="009351CB" w:rsidRDefault="009B3194" w:rsidP="009351CB">
            <w:pPr>
              <w:pStyle w:val="Default"/>
              <w:spacing w:line="360" w:lineRule="auto"/>
              <w:rPr>
                <w:rFonts w:ascii="Times New Roman" w:hAnsi="Times New Roman" w:cs="Times New Roman"/>
              </w:rPr>
            </w:pPr>
            <w:r w:rsidRPr="009351CB">
              <w:rPr>
                <w:rFonts w:ascii="Times New Roman" w:hAnsi="Times New Roman" w:cs="Times New Roman"/>
              </w:rPr>
              <w:t xml:space="preserve">Total number of IJS departments applications that form part of integrated test lab process </w:t>
            </w:r>
          </w:p>
        </w:tc>
        <w:tc>
          <w:tcPr>
            <w:tcW w:w="1250" w:type="pct"/>
          </w:tcPr>
          <w:p w14:paraId="3922E536"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ACHIEVED </w:t>
            </w:r>
          </w:p>
          <w:p w14:paraId="0AC02322"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(3 against a target of 3) </w:t>
            </w:r>
          </w:p>
        </w:tc>
        <w:tc>
          <w:tcPr>
            <w:tcW w:w="1249" w:type="pct"/>
          </w:tcPr>
          <w:p w14:paraId="08109304" w14:textId="77777777" w:rsidR="009B3194" w:rsidRPr="009351CB" w:rsidRDefault="009B3194"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ACHIEVED </w:t>
            </w:r>
          </w:p>
          <w:p w14:paraId="7EE4B4C0" w14:textId="77777777" w:rsidR="009B3194" w:rsidRPr="009351CB" w:rsidRDefault="0035750E" w:rsidP="009351CB">
            <w:pPr>
              <w:pStyle w:val="Default"/>
              <w:spacing w:line="360" w:lineRule="auto"/>
              <w:rPr>
                <w:rFonts w:ascii="Times New Roman" w:hAnsi="Times New Roman" w:cs="Times New Roman"/>
                <w:bCs/>
              </w:rPr>
            </w:pPr>
            <w:r w:rsidRPr="009351CB">
              <w:rPr>
                <w:rFonts w:ascii="Times New Roman" w:hAnsi="Times New Roman" w:cs="Times New Roman"/>
                <w:bCs/>
              </w:rPr>
              <w:t xml:space="preserve">(6 against a target of 6) </w:t>
            </w:r>
          </w:p>
        </w:tc>
      </w:tr>
    </w:tbl>
    <w:p w14:paraId="71D5159C" w14:textId="77777777" w:rsidR="000C52E0" w:rsidRPr="009351CB" w:rsidRDefault="000C52E0" w:rsidP="009351CB">
      <w:pPr>
        <w:pStyle w:val="ListParagraph"/>
        <w:spacing w:line="360" w:lineRule="auto"/>
      </w:pPr>
    </w:p>
    <w:p w14:paraId="16AB015A" w14:textId="77777777" w:rsidR="00553738" w:rsidRPr="009351CB" w:rsidRDefault="00553738" w:rsidP="009351CB">
      <w:pPr>
        <w:pStyle w:val="ListParagraph"/>
        <w:spacing w:line="360" w:lineRule="auto"/>
      </w:pPr>
    </w:p>
    <w:p w14:paraId="395FA0F4" w14:textId="77777777" w:rsidR="005A007D" w:rsidRPr="009351CB" w:rsidRDefault="005C6AF7" w:rsidP="009351CB">
      <w:pPr>
        <w:numPr>
          <w:ilvl w:val="0"/>
          <w:numId w:val="2"/>
        </w:numPr>
        <w:tabs>
          <w:tab w:val="clear" w:pos="360"/>
          <w:tab w:val="num" w:pos="567"/>
        </w:tabs>
        <w:spacing w:line="360" w:lineRule="auto"/>
        <w:ind w:left="567" w:hanging="567"/>
        <w:jc w:val="both"/>
        <w:rPr>
          <w:b/>
        </w:rPr>
      </w:pPr>
      <w:r w:rsidRPr="009351CB">
        <w:rPr>
          <w:b/>
        </w:rPr>
        <w:t>Overview of First Quarter 2019/20 performance and spending</w:t>
      </w:r>
    </w:p>
    <w:p w14:paraId="24AE8084" w14:textId="77777777" w:rsidR="00DE4CC2" w:rsidRPr="009351CB" w:rsidRDefault="00DE4CC2" w:rsidP="009351CB">
      <w:pPr>
        <w:spacing w:line="360" w:lineRule="auto"/>
        <w:ind w:left="540"/>
        <w:jc w:val="both"/>
        <w:rPr>
          <w:b/>
        </w:rPr>
      </w:pPr>
    </w:p>
    <w:p w14:paraId="5585138E" w14:textId="7C6098EC" w:rsidR="0035750E" w:rsidRPr="009351CB" w:rsidRDefault="0035750E" w:rsidP="009351CB">
      <w:pPr>
        <w:pStyle w:val="ListParagraph"/>
        <w:numPr>
          <w:ilvl w:val="1"/>
          <w:numId w:val="2"/>
        </w:numPr>
        <w:tabs>
          <w:tab w:val="num" w:pos="709"/>
        </w:tabs>
        <w:spacing w:line="360" w:lineRule="auto"/>
        <w:ind w:left="709" w:hanging="709"/>
        <w:jc w:val="both"/>
      </w:pPr>
      <w:r w:rsidRPr="009351CB">
        <w:t xml:space="preserve">Overall, in the </w:t>
      </w:r>
      <w:r w:rsidR="00FF71A5" w:rsidRPr="009351CB">
        <w:t>First</w:t>
      </w:r>
      <w:r w:rsidRPr="009351CB">
        <w:t xml:space="preserve"> Quarter of 2019/20, the Department achieved 33 of 54 or 61% of planned targets (excluding the NPA) and 50 of 82 or 61% of planned targets if the NPA is included.</w:t>
      </w:r>
    </w:p>
    <w:p w14:paraId="6D4C12FD" w14:textId="77777777" w:rsidR="0035750E" w:rsidRPr="009351CB" w:rsidRDefault="0035750E" w:rsidP="009351CB">
      <w:pPr>
        <w:pStyle w:val="ListParagraph"/>
        <w:spacing w:line="360" w:lineRule="auto"/>
      </w:pPr>
    </w:p>
    <w:p w14:paraId="1A815D0A" w14:textId="08A2F552" w:rsidR="0035750E" w:rsidRPr="009351CB" w:rsidRDefault="0035750E" w:rsidP="009351CB">
      <w:pPr>
        <w:pStyle w:val="ListParagraph"/>
        <w:numPr>
          <w:ilvl w:val="1"/>
          <w:numId w:val="2"/>
        </w:numPr>
        <w:tabs>
          <w:tab w:val="num" w:pos="709"/>
        </w:tabs>
        <w:spacing w:line="360" w:lineRule="auto"/>
        <w:ind w:left="709" w:hanging="709"/>
        <w:jc w:val="both"/>
      </w:pPr>
      <w:r w:rsidRPr="009351CB">
        <w:t xml:space="preserve">At programme level, in the </w:t>
      </w:r>
      <w:r w:rsidR="00FF71A5" w:rsidRPr="009351CB">
        <w:t>First</w:t>
      </w:r>
      <w:r w:rsidRPr="009351CB">
        <w:t xml:space="preserve"> Quarter of 2019/20, spending and performance was as follows:</w:t>
      </w:r>
    </w:p>
    <w:p w14:paraId="6FDAF61D" w14:textId="77777777" w:rsidR="0035750E" w:rsidRPr="009351CB" w:rsidRDefault="0035750E" w:rsidP="009351CB">
      <w:pPr>
        <w:pStyle w:val="ListParagraph"/>
        <w:spacing w:line="360" w:lineRule="auto"/>
        <w:rPr>
          <w:i/>
        </w:rPr>
      </w:pPr>
    </w:p>
    <w:p w14:paraId="3E209A31" w14:textId="4804C41D" w:rsidR="0035750E" w:rsidRPr="009351CB" w:rsidRDefault="0035750E" w:rsidP="004F6019">
      <w:pPr>
        <w:pStyle w:val="BodySingle"/>
        <w:numPr>
          <w:ilvl w:val="2"/>
          <w:numId w:val="16"/>
        </w:numPr>
        <w:spacing w:line="360" w:lineRule="auto"/>
        <w:rPr>
          <w:rFonts w:ascii="Times New Roman" w:hAnsi="Times New Roman"/>
          <w:i w:val="0"/>
          <w:sz w:val="24"/>
          <w:szCs w:val="24"/>
        </w:rPr>
      </w:pPr>
      <w:r w:rsidRPr="009351CB">
        <w:rPr>
          <w:rFonts w:ascii="Times New Roman" w:hAnsi="Times New Roman"/>
          <w:i w:val="0"/>
          <w:sz w:val="24"/>
          <w:szCs w:val="24"/>
        </w:rPr>
        <w:t xml:space="preserve">Administration spent a total of R462.3 million of the projected budget of R479.4 million. The underspending of R35.1 million was due to lower than anticipated expenditure on goods and services as a result of delays in processing of invoices for municipal services and leases. In respect of performance, the Administration programme achieved one of four or 25% of the planned targets. </w:t>
      </w:r>
    </w:p>
    <w:p w14:paraId="03C813C2" w14:textId="77777777" w:rsidR="0035750E" w:rsidRPr="009351CB" w:rsidRDefault="0035750E" w:rsidP="009351CB">
      <w:pPr>
        <w:pStyle w:val="ListParagraph"/>
        <w:spacing w:line="360" w:lineRule="auto"/>
      </w:pPr>
    </w:p>
    <w:p w14:paraId="2DAAB7AB" w14:textId="77777777" w:rsidR="0035750E" w:rsidRPr="009351CB" w:rsidRDefault="0035750E" w:rsidP="004F6019">
      <w:pPr>
        <w:pStyle w:val="BodySingle"/>
        <w:numPr>
          <w:ilvl w:val="2"/>
          <w:numId w:val="16"/>
        </w:numPr>
        <w:spacing w:line="360" w:lineRule="auto"/>
        <w:rPr>
          <w:rFonts w:ascii="Times New Roman" w:hAnsi="Times New Roman"/>
          <w:i w:val="0"/>
          <w:sz w:val="24"/>
          <w:szCs w:val="24"/>
        </w:rPr>
      </w:pPr>
      <w:r w:rsidRPr="009351CB">
        <w:rPr>
          <w:rFonts w:ascii="Times New Roman" w:hAnsi="Times New Roman"/>
          <w:i w:val="0"/>
          <w:sz w:val="24"/>
          <w:szCs w:val="24"/>
        </w:rPr>
        <w:t>The Court Services programme spent R1.46 billion. When compared with the projected budget of R1.58 billion for the quarter, an amount of R122.7 million went unspent. The reason for the underspending was that the Department of Public Works committed less expenditure than anticipated on court infrastructure projects. The Department reports that it has appointed contractors on short term maintenance ventures to address health and safety concerns at courts that do not meet the standard so that the funds are spent appropriately. In terms of performance, the Court Services programme achieved 8 of 15 or 53% of the planned targets.</w:t>
      </w:r>
    </w:p>
    <w:p w14:paraId="0954EBD3" w14:textId="77777777" w:rsidR="0035750E" w:rsidRPr="009351CB" w:rsidRDefault="0035750E" w:rsidP="009351CB">
      <w:pPr>
        <w:pStyle w:val="ListParagraph"/>
        <w:autoSpaceDE w:val="0"/>
        <w:autoSpaceDN w:val="0"/>
        <w:adjustRightInd w:val="0"/>
        <w:spacing w:line="360" w:lineRule="auto"/>
        <w:jc w:val="both"/>
      </w:pPr>
    </w:p>
    <w:p w14:paraId="19E7A2D2" w14:textId="77777777" w:rsidR="0035750E" w:rsidRPr="009351CB" w:rsidRDefault="0035750E" w:rsidP="004F6019">
      <w:pPr>
        <w:pStyle w:val="BodySingle"/>
        <w:numPr>
          <w:ilvl w:val="2"/>
          <w:numId w:val="16"/>
        </w:numPr>
        <w:spacing w:line="360" w:lineRule="auto"/>
        <w:rPr>
          <w:rFonts w:ascii="Times New Roman" w:hAnsi="Times New Roman"/>
          <w:i w:val="0"/>
          <w:sz w:val="24"/>
          <w:szCs w:val="24"/>
        </w:rPr>
      </w:pPr>
      <w:r w:rsidRPr="009351CB">
        <w:rPr>
          <w:rFonts w:ascii="Times New Roman" w:hAnsi="Times New Roman"/>
          <w:i w:val="0"/>
          <w:sz w:val="24"/>
          <w:szCs w:val="24"/>
        </w:rPr>
        <w:t>State Legal Services spent R289 million. When compared with the projected budget of R327.9 million for the quarter, an amount of R38.4 million remained unspent. The reason for the underspending was lower than anticipated spending on compensation of employees and goods and services as a result of vacancies at the State Attorneys’ offices and less than anticipated spending on legal costs.</w:t>
      </w:r>
    </w:p>
    <w:p w14:paraId="665E095C" w14:textId="77777777" w:rsidR="0035750E" w:rsidRPr="009351CB" w:rsidRDefault="0035750E" w:rsidP="009351CB">
      <w:pPr>
        <w:pStyle w:val="ListParagraph"/>
        <w:spacing w:line="360" w:lineRule="auto"/>
      </w:pPr>
    </w:p>
    <w:p w14:paraId="4099FBAB" w14:textId="77777777" w:rsidR="0035750E" w:rsidRPr="009351CB" w:rsidRDefault="0035750E" w:rsidP="004F6019">
      <w:pPr>
        <w:pStyle w:val="BodySingle"/>
        <w:numPr>
          <w:ilvl w:val="2"/>
          <w:numId w:val="16"/>
        </w:numPr>
        <w:spacing w:line="360" w:lineRule="auto"/>
        <w:rPr>
          <w:rFonts w:ascii="Times New Roman" w:hAnsi="Times New Roman"/>
          <w:i w:val="0"/>
          <w:sz w:val="24"/>
          <w:szCs w:val="24"/>
        </w:rPr>
      </w:pPr>
      <w:r w:rsidRPr="009351CB">
        <w:rPr>
          <w:rFonts w:ascii="Times New Roman" w:hAnsi="Times New Roman"/>
          <w:i w:val="0"/>
          <w:sz w:val="24"/>
          <w:szCs w:val="24"/>
        </w:rPr>
        <w:t>Under the Auxiliary and Associated Services: Justice Modernisation subprogramme an amount of R805.9 million was spent. All planned targets for the Quarter were met.</w:t>
      </w:r>
    </w:p>
    <w:p w14:paraId="6E58A284" w14:textId="77777777" w:rsidR="00DE4CC2" w:rsidRPr="009351CB" w:rsidRDefault="00DE4CC2" w:rsidP="009351CB">
      <w:pPr>
        <w:pStyle w:val="ListParagraph"/>
        <w:spacing w:line="360" w:lineRule="auto"/>
        <w:rPr>
          <w:i/>
        </w:rPr>
      </w:pPr>
    </w:p>
    <w:p w14:paraId="595F8229" w14:textId="77777777" w:rsidR="00783AE7" w:rsidRPr="009351CB" w:rsidRDefault="00783AE7" w:rsidP="009351CB">
      <w:pPr>
        <w:pStyle w:val="ListParagraph"/>
        <w:spacing w:line="360" w:lineRule="auto"/>
      </w:pPr>
    </w:p>
    <w:p w14:paraId="4011416D" w14:textId="77777777" w:rsidR="00106280" w:rsidRPr="009351CB" w:rsidRDefault="00106280" w:rsidP="009351CB">
      <w:pPr>
        <w:numPr>
          <w:ilvl w:val="0"/>
          <w:numId w:val="2"/>
        </w:numPr>
        <w:tabs>
          <w:tab w:val="clear" w:pos="360"/>
          <w:tab w:val="num" w:pos="709"/>
        </w:tabs>
        <w:spacing w:line="360" w:lineRule="auto"/>
        <w:ind w:left="709" w:hanging="709"/>
        <w:jc w:val="both"/>
        <w:rPr>
          <w:b/>
        </w:rPr>
      </w:pPr>
      <w:r w:rsidRPr="009351CB">
        <w:rPr>
          <w:b/>
          <w:lang w:val="en-US"/>
        </w:rPr>
        <w:t>National Prosecuting Authority</w:t>
      </w:r>
      <w:r w:rsidR="00A32294" w:rsidRPr="009351CB">
        <w:rPr>
          <w:b/>
          <w:lang w:val="en-US"/>
        </w:rPr>
        <w:t xml:space="preserve"> (NPA)</w:t>
      </w:r>
    </w:p>
    <w:p w14:paraId="7107C6F7" w14:textId="77777777" w:rsidR="00106280" w:rsidRPr="009351CB" w:rsidRDefault="00106280" w:rsidP="009351CB">
      <w:pPr>
        <w:spacing w:line="360" w:lineRule="auto"/>
        <w:jc w:val="both"/>
      </w:pPr>
    </w:p>
    <w:p w14:paraId="5268DFCD" w14:textId="77777777" w:rsidR="00106280" w:rsidRPr="009351CB" w:rsidRDefault="00106280" w:rsidP="009351CB">
      <w:pPr>
        <w:pStyle w:val="ListParagraph"/>
        <w:numPr>
          <w:ilvl w:val="1"/>
          <w:numId w:val="2"/>
        </w:numPr>
        <w:tabs>
          <w:tab w:val="num" w:pos="709"/>
        </w:tabs>
        <w:spacing w:line="360" w:lineRule="auto"/>
        <w:ind w:left="709" w:hanging="709"/>
        <w:jc w:val="both"/>
      </w:pPr>
      <w:r w:rsidRPr="009351CB">
        <w:t>In line with its constitu</w:t>
      </w:r>
      <w:r w:rsidR="00637C15" w:rsidRPr="009351CB">
        <w:t>t</w:t>
      </w:r>
      <w:r w:rsidRPr="009351CB">
        <w:t>ional mandate, the N</w:t>
      </w:r>
      <w:r w:rsidR="00A32294" w:rsidRPr="009351CB">
        <w:t>PA</w:t>
      </w:r>
      <w:r w:rsidRPr="009351CB">
        <w:t xml:space="preserve"> provides a co-ordinated prosecuting service to ensure that justice is delivered to the victims of crime through general and specialised prosecutions, protects certain witnesses and removes the profit from crime. </w:t>
      </w:r>
    </w:p>
    <w:p w14:paraId="1C5E8EDF" w14:textId="77777777" w:rsidR="00106280" w:rsidRPr="009351CB" w:rsidRDefault="00106280" w:rsidP="009351CB">
      <w:pPr>
        <w:pStyle w:val="BodySingle"/>
        <w:spacing w:line="360" w:lineRule="auto"/>
        <w:rPr>
          <w:rFonts w:ascii="Times New Roman" w:hAnsi="Times New Roman"/>
          <w:i w:val="0"/>
          <w:sz w:val="24"/>
          <w:szCs w:val="24"/>
        </w:rPr>
      </w:pPr>
    </w:p>
    <w:p w14:paraId="729BBADB" w14:textId="77777777" w:rsidR="00106280" w:rsidRPr="009351CB" w:rsidRDefault="00106280" w:rsidP="009351CB">
      <w:pPr>
        <w:pStyle w:val="ListParagraph"/>
        <w:numPr>
          <w:ilvl w:val="1"/>
          <w:numId w:val="2"/>
        </w:numPr>
        <w:tabs>
          <w:tab w:val="num" w:pos="709"/>
        </w:tabs>
        <w:spacing w:line="360" w:lineRule="auto"/>
        <w:ind w:left="709" w:hanging="709"/>
        <w:jc w:val="both"/>
      </w:pPr>
      <w:r w:rsidRPr="009351CB">
        <w:t>The NPA is a programme within the Justice and Constitutional Development Vote and the Director-General: Justice and Constitutional Development is its accounting officer. In the past, National Treasury provided an exemp</w:t>
      </w:r>
      <w:r w:rsidR="00A32294" w:rsidRPr="009351CB">
        <w:t>t</w:t>
      </w:r>
      <w:r w:rsidRPr="009351CB">
        <w:t>ion that allowed the NPA to prepare its own annual financial statements separate from those of the Department until legislation regula</w:t>
      </w:r>
      <w:r w:rsidR="00D46C21" w:rsidRPr="009351CB">
        <w:t>r</w:t>
      </w:r>
      <w:r w:rsidR="00DD74BA" w:rsidRPr="009351CB">
        <w:t xml:space="preserve">ising the practice was enacted but </w:t>
      </w:r>
      <w:r w:rsidR="00D46C21" w:rsidRPr="009351CB">
        <w:t xml:space="preserve">the </w:t>
      </w:r>
      <w:r w:rsidRPr="009351CB">
        <w:t xml:space="preserve">exemption expired on 31 March 2014. Consequently, from 2014/15, the Department also reports on the NPA. </w:t>
      </w:r>
      <w:r w:rsidR="00A20B34" w:rsidRPr="009351CB">
        <w:t xml:space="preserve">However, in terms of the National </w:t>
      </w:r>
      <w:r w:rsidR="004F7074" w:rsidRPr="009351CB">
        <w:t>Prosecuting Authority Act, 1998, t</w:t>
      </w:r>
      <w:r w:rsidRPr="009351CB">
        <w:t>he National Director of Public Prosecutions</w:t>
      </w:r>
      <w:r w:rsidR="00A20B34" w:rsidRPr="009351CB">
        <w:t xml:space="preserve"> </w:t>
      </w:r>
      <w:r w:rsidR="00D46C21" w:rsidRPr="009351CB">
        <w:t xml:space="preserve">(NDPP) </w:t>
      </w:r>
      <w:r w:rsidR="00A20B34" w:rsidRPr="009351CB">
        <w:t xml:space="preserve">has </w:t>
      </w:r>
      <w:r w:rsidRPr="009351CB">
        <w:t>submitted a</w:t>
      </w:r>
      <w:r w:rsidR="00313BF5" w:rsidRPr="009351CB">
        <w:t xml:space="preserve">n annual </w:t>
      </w:r>
      <w:r w:rsidRPr="009351CB">
        <w:t>report on operations for 201</w:t>
      </w:r>
      <w:r w:rsidR="00F41FC7" w:rsidRPr="009351CB">
        <w:t>8/19</w:t>
      </w:r>
      <w:r w:rsidRPr="009351CB">
        <w:t>.</w:t>
      </w:r>
      <w:r w:rsidR="00313BF5" w:rsidRPr="009351CB">
        <w:t xml:space="preserve"> </w:t>
      </w:r>
    </w:p>
    <w:p w14:paraId="5B5C4617" w14:textId="77777777" w:rsidR="001C1321" w:rsidRPr="009351CB" w:rsidRDefault="001C1321" w:rsidP="009351CB">
      <w:pPr>
        <w:pStyle w:val="ListParagraph"/>
        <w:spacing w:line="360" w:lineRule="auto"/>
      </w:pPr>
    </w:p>
    <w:p w14:paraId="7DF9B4CC" w14:textId="77777777" w:rsidR="002077E8" w:rsidRPr="009351CB" w:rsidRDefault="00F41FC7" w:rsidP="009351CB">
      <w:pPr>
        <w:pStyle w:val="ListParagraph"/>
        <w:numPr>
          <w:ilvl w:val="1"/>
          <w:numId w:val="2"/>
        </w:numPr>
        <w:tabs>
          <w:tab w:val="num" w:pos="709"/>
        </w:tabs>
        <w:spacing w:line="360" w:lineRule="auto"/>
        <w:ind w:left="709" w:hanging="709"/>
        <w:jc w:val="both"/>
      </w:pPr>
      <w:r w:rsidRPr="009351CB">
        <w:t>The NPA wa</w:t>
      </w:r>
      <w:r w:rsidR="00F6586C" w:rsidRPr="009351CB">
        <w:t>s allocated R3.8</w:t>
      </w:r>
      <w:r w:rsidR="001C1321" w:rsidRPr="009351CB">
        <w:t xml:space="preserve"> billion for 2018/19</w:t>
      </w:r>
      <w:r w:rsidRPr="009351CB">
        <w:t>,</w:t>
      </w:r>
      <w:r w:rsidR="001C1321" w:rsidRPr="009351CB">
        <w:t xml:space="preserve"> compar</w:t>
      </w:r>
      <w:r w:rsidR="00F6586C" w:rsidRPr="009351CB">
        <w:t xml:space="preserve">ed with R3.7 billion in 2017/18 and </w:t>
      </w:r>
      <w:r w:rsidRPr="009351CB">
        <w:t xml:space="preserve">spent </w:t>
      </w:r>
      <w:r w:rsidR="00F6586C" w:rsidRPr="009351CB">
        <w:t>100% of the final budget. An amount of R150 million was shifted from the Departme</w:t>
      </w:r>
      <w:r w:rsidR="000D7845" w:rsidRPr="009351CB">
        <w:t>n</w:t>
      </w:r>
      <w:r w:rsidR="00F6586C" w:rsidRPr="009351CB">
        <w:t>t of Just</w:t>
      </w:r>
      <w:r w:rsidR="000D7845" w:rsidRPr="009351CB">
        <w:t>i</w:t>
      </w:r>
      <w:r w:rsidR="00F6586C" w:rsidRPr="009351CB">
        <w:t xml:space="preserve">ce to prevent overspending on compensation of employees of R77 million and goods and services of R73 million. </w:t>
      </w:r>
    </w:p>
    <w:p w14:paraId="6F99EB25" w14:textId="77777777" w:rsidR="001C1321" w:rsidRPr="009351CB" w:rsidRDefault="001C1321" w:rsidP="009351CB">
      <w:pPr>
        <w:autoSpaceDE w:val="0"/>
        <w:autoSpaceDN w:val="0"/>
        <w:adjustRightInd w:val="0"/>
        <w:spacing w:line="360" w:lineRule="auto"/>
        <w:ind w:left="720"/>
        <w:jc w:val="both"/>
        <w:rPr>
          <w:noProof/>
          <w:lang w:val="en-US" w:eastAsia="en-US"/>
        </w:rPr>
      </w:pPr>
    </w:p>
    <w:p w14:paraId="7EDEE026" w14:textId="77777777" w:rsidR="00106280" w:rsidRPr="009351CB" w:rsidRDefault="00052EE3" w:rsidP="009351CB">
      <w:pPr>
        <w:pStyle w:val="ListParagraph"/>
        <w:numPr>
          <w:ilvl w:val="1"/>
          <w:numId w:val="2"/>
        </w:numPr>
        <w:tabs>
          <w:tab w:val="num" w:pos="709"/>
        </w:tabs>
        <w:spacing w:line="360" w:lineRule="auto"/>
        <w:ind w:left="709" w:hanging="709"/>
        <w:jc w:val="both"/>
      </w:pPr>
      <w:r w:rsidRPr="009351CB">
        <w:t xml:space="preserve">The NPA has aligned its strategic objectives with the NDP, which speaks to ‘building safer communities’, as well as to Outcome 3 of the MTSF. </w:t>
      </w:r>
      <w:r w:rsidRPr="009351CB">
        <w:rPr>
          <w:color w:val="000000" w:themeColor="text1"/>
        </w:rPr>
        <w:t>T</w:t>
      </w:r>
      <w:r w:rsidR="00106280" w:rsidRPr="009351CB">
        <w:rPr>
          <w:color w:val="000000" w:themeColor="text1"/>
        </w:rPr>
        <w:t>he</w:t>
      </w:r>
      <w:r w:rsidR="00106280" w:rsidRPr="009351CB">
        <w:t xml:space="preserve"> following MTSF priority areas </w:t>
      </w:r>
      <w:r w:rsidRPr="009351CB">
        <w:t xml:space="preserve">are </w:t>
      </w:r>
      <w:r w:rsidR="00106280" w:rsidRPr="009351CB">
        <w:t xml:space="preserve">relevant: </w:t>
      </w:r>
      <w:r w:rsidR="008D039F" w:rsidRPr="009351CB">
        <w:t xml:space="preserve">reduced levels of contact crime; </w:t>
      </w:r>
      <w:r w:rsidR="00443332" w:rsidRPr="009351CB">
        <w:t>s</w:t>
      </w:r>
      <w:r w:rsidR="00106280" w:rsidRPr="009351CB">
        <w:t>trengthening the Criminal Justice System;</w:t>
      </w:r>
      <w:r w:rsidR="00A14965" w:rsidRPr="009351CB">
        <w:t xml:space="preserve"> </w:t>
      </w:r>
      <w:r w:rsidR="008D039F" w:rsidRPr="009351CB">
        <w:t xml:space="preserve">securing cyberspace; </w:t>
      </w:r>
      <w:r w:rsidR="001D3D61" w:rsidRPr="009351CB">
        <w:t xml:space="preserve">ensuring domestic stability; </w:t>
      </w:r>
      <w:r w:rsidR="008D039F" w:rsidRPr="009351CB">
        <w:t>and reducing corruption</w:t>
      </w:r>
      <w:r w:rsidR="006962AB" w:rsidRPr="009351CB">
        <w:t>.</w:t>
      </w:r>
    </w:p>
    <w:p w14:paraId="474A1FCB" w14:textId="77777777" w:rsidR="00106280" w:rsidRPr="009351CB" w:rsidRDefault="00106280" w:rsidP="009351CB">
      <w:pPr>
        <w:pStyle w:val="BodySingle"/>
        <w:spacing w:line="360" w:lineRule="auto"/>
        <w:ind w:left="862"/>
        <w:rPr>
          <w:rFonts w:ascii="Times New Roman" w:hAnsi="Times New Roman"/>
          <w:i w:val="0"/>
          <w:sz w:val="24"/>
          <w:szCs w:val="24"/>
        </w:rPr>
      </w:pPr>
    </w:p>
    <w:p w14:paraId="01B290AE" w14:textId="77777777" w:rsidR="00106280" w:rsidRPr="009351CB" w:rsidRDefault="00106280" w:rsidP="009351CB">
      <w:pPr>
        <w:pStyle w:val="ListParagraph"/>
        <w:numPr>
          <w:ilvl w:val="1"/>
          <w:numId w:val="2"/>
        </w:numPr>
        <w:tabs>
          <w:tab w:val="num" w:pos="709"/>
        </w:tabs>
        <w:spacing w:line="360" w:lineRule="auto"/>
        <w:ind w:left="709" w:hanging="709"/>
        <w:jc w:val="both"/>
      </w:pPr>
      <w:r w:rsidRPr="009351CB">
        <w:t xml:space="preserve">The NPA’s strategic outcome-orientated goal is an improved prosecution service by rendering a prosecution service that is effective. </w:t>
      </w:r>
    </w:p>
    <w:p w14:paraId="3A652633" w14:textId="77777777" w:rsidR="00106280" w:rsidRPr="009351CB" w:rsidRDefault="00106280" w:rsidP="009351CB">
      <w:pPr>
        <w:autoSpaceDE w:val="0"/>
        <w:autoSpaceDN w:val="0"/>
        <w:adjustRightInd w:val="0"/>
        <w:spacing w:line="360" w:lineRule="auto"/>
        <w:ind w:left="720"/>
        <w:rPr>
          <w:noProof/>
          <w:lang w:val="en-US" w:eastAsia="en-US"/>
        </w:rPr>
      </w:pPr>
    </w:p>
    <w:p w14:paraId="557734D7" w14:textId="77777777" w:rsidR="00106280" w:rsidRPr="009351CB" w:rsidRDefault="00106280" w:rsidP="009351CB">
      <w:pPr>
        <w:pStyle w:val="ListParagraph"/>
        <w:numPr>
          <w:ilvl w:val="1"/>
          <w:numId w:val="2"/>
        </w:numPr>
        <w:tabs>
          <w:tab w:val="num" w:pos="709"/>
        </w:tabs>
        <w:spacing w:line="360" w:lineRule="auto"/>
        <w:ind w:left="709" w:hanging="709"/>
        <w:jc w:val="both"/>
      </w:pPr>
      <w:r w:rsidRPr="009351CB">
        <w:t xml:space="preserve">The NPA has </w:t>
      </w:r>
      <w:r w:rsidR="006962AB" w:rsidRPr="009351CB">
        <w:t>three</w:t>
      </w:r>
      <w:r w:rsidRPr="009351CB">
        <w:t xml:space="preserve"> strategic objectives, each specifically linked to a sub-programme: </w:t>
      </w:r>
    </w:p>
    <w:p w14:paraId="5933036E" w14:textId="77777777" w:rsidR="00117645" w:rsidRPr="009351CB" w:rsidRDefault="000528A9" w:rsidP="004F6019">
      <w:pPr>
        <w:numPr>
          <w:ilvl w:val="0"/>
          <w:numId w:val="6"/>
        </w:numPr>
        <w:autoSpaceDE w:val="0"/>
        <w:autoSpaceDN w:val="0"/>
        <w:adjustRightInd w:val="0"/>
        <w:spacing w:line="360" w:lineRule="auto"/>
        <w:jc w:val="both"/>
        <w:rPr>
          <w:lang w:val="x-none"/>
        </w:rPr>
      </w:pPr>
      <w:r w:rsidRPr="009351CB">
        <w:t xml:space="preserve">Increased successful </w:t>
      </w:r>
      <w:r w:rsidRPr="009351CB">
        <w:rPr>
          <w:lang w:val="x-none"/>
        </w:rPr>
        <w:t>prosecution</w:t>
      </w:r>
      <w:r w:rsidR="00117645" w:rsidRPr="009351CB">
        <w:t xml:space="preserve"> (NPS</w:t>
      </w:r>
      <w:r w:rsidRPr="009351CB">
        <w:t>)</w:t>
      </w:r>
      <w:r w:rsidR="00117645" w:rsidRPr="009351CB">
        <w:rPr>
          <w:bCs/>
        </w:rPr>
        <w:t>.</w:t>
      </w:r>
    </w:p>
    <w:p w14:paraId="15177F4F" w14:textId="77777777" w:rsidR="00117645" w:rsidRPr="009351CB" w:rsidRDefault="00117645" w:rsidP="004F6019">
      <w:pPr>
        <w:numPr>
          <w:ilvl w:val="0"/>
          <w:numId w:val="6"/>
        </w:numPr>
        <w:autoSpaceDE w:val="0"/>
        <w:autoSpaceDN w:val="0"/>
        <w:adjustRightInd w:val="0"/>
        <w:spacing w:line="360" w:lineRule="auto"/>
        <w:jc w:val="both"/>
        <w:rPr>
          <w:lang w:val="x-none"/>
        </w:rPr>
      </w:pPr>
      <w:r w:rsidRPr="009351CB">
        <w:rPr>
          <w:lang w:val="x-none"/>
        </w:rPr>
        <w:t>Ensure that profit is removed from crime</w:t>
      </w:r>
      <w:r w:rsidRPr="009351CB">
        <w:t xml:space="preserve"> (AFU</w:t>
      </w:r>
      <w:r w:rsidR="000528A9" w:rsidRPr="009351CB">
        <w:t>)</w:t>
      </w:r>
      <w:r w:rsidRPr="009351CB">
        <w:rPr>
          <w:bCs/>
        </w:rPr>
        <w:t>.</w:t>
      </w:r>
    </w:p>
    <w:p w14:paraId="417BC634" w14:textId="77777777" w:rsidR="00117645" w:rsidRPr="009351CB" w:rsidRDefault="00117645" w:rsidP="004F6019">
      <w:pPr>
        <w:numPr>
          <w:ilvl w:val="0"/>
          <w:numId w:val="6"/>
        </w:numPr>
        <w:autoSpaceDE w:val="0"/>
        <w:autoSpaceDN w:val="0"/>
        <w:adjustRightInd w:val="0"/>
        <w:spacing w:line="360" w:lineRule="auto"/>
        <w:jc w:val="both"/>
        <w:rPr>
          <w:bCs/>
        </w:rPr>
      </w:pPr>
      <w:r w:rsidRPr="009351CB">
        <w:rPr>
          <w:lang w:val="x-none"/>
        </w:rPr>
        <w:t>Ensure</w:t>
      </w:r>
      <w:r w:rsidRPr="009351CB">
        <w:t xml:space="preserve"> that </w:t>
      </w:r>
      <w:r w:rsidR="000528A9" w:rsidRPr="009351CB">
        <w:t xml:space="preserve">vulnerable and intimidated </w:t>
      </w:r>
      <w:r w:rsidRPr="009351CB">
        <w:t xml:space="preserve">witnesses </w:t>
      </w:r>
      <w:r w:rsidR="000528A9" w:rsidRPr="009351CB">
        <w:t xml:space="preserve">and related persons </w:t>
      </w:r>
      <w:r w:rsidRPr="009351CB">
        <w:t>ar</w:t>
      </w:r>
      <w:r w:rsidR="000528A9" w:rsidRPr="009351CB">
        <w:t>e successfully protected (OWP).</w:t>
      </w:r>
    </w:p>
    <w:p w14:paraId="446F7DD3" w14:textId="77777777" w:rsidR="00106280" w:rsidRPr="009351CB" w:rsidRDefault="00106280" w:rsidP="009351CB">
      <w:pPr>
        <w:autoSpaceDE w:val="0"/>
        <w:autoSpaceDN w:val="0"/>
        <w:adjustRightInd w:val="0"/>
        <w:spacing w:line="360" w:lineRule="auto"/>
        <w:ind w:left="1080"/>
        <w:rPr>
          <w:bCs/>
        </w:rPr>
      </w:pPr>
    </w:p>
    <w:p w14:paraId="043AE5B1" w14:textId="77777777" w:rsidR="000D7845" w:rsidRPr="009351CB" w:rsidRDefault="000D7845" w:rsidP="009351CB">
      <w:pPr>
        <w:pStyle w:val="ListParagraph"/>
        <w:numPr>
          <w:ilvl w:val="1"/>
          <w:numId w:val="2"/>
        </w:numPr>
        <w:tabs>
          <w:tab w:val="num" w:pos="709"/>
        </w:tabs>
        <w:spacing w:line="360" w:lineRule="auto"/>
        <w:ind w:left="709" w:hanging="709"/>
        <w:jc w:val="both"/>
      </w:pPr>
      <w:r w:rsidRPr="009351CB">
        <w:t>St</w:t>
      </w:r>
      <w:r w:rsidR="00A7503D" w:rsidRPr="009351CB">
        <w:t>ra</w:t>
      </w:r>
      <w:r w:rsidRPr="009351CB">
        <w:t>teg</w:t>
      </w:r>
      <w:r w:rsidR="00B23A3A" w:rsidRPr="009351CB">
        <w:t xml:space="preserve">ic and operational developments. </w:t>
      </w:r>
      <w:r w:rsidRPr="009351CB">
        <w:t>There have been a number of deve</w:t>
      </w:r>
      <w:r w:rsidR="008C3BBF" w:rsidRPr="009351CB">
        <w:t>l</w:t>
      </w:r>
      <w:r w:rsidRPr="009351CB">
        <w:t>opments that have impacted on the NPA’s strategic and operational environment</w:t>
      </w:r>
      <w:r w:rsidR="00A7503D" w:rsidRPr="009351CB">
        <w:t>:</w:t>
      </w:r>
    </w:p>
    <w:p w14:paraId="628A6934" w14:textId="7C04A49E" w:rsidR="00052EE3" w:rsidRPr="009351CB" w:rsidRDefault="000D7845" w:rsidP="004F6019">
      <w:pPr>
        <w:numPr>
          <w:ilvl w:val="0"/>
          <w:numId w:val="6"/>
        </w:numPr>
        <w:autoSpaceDE w:val="0"/>
        <w:autoSpaceDN w:val="0"/>
        <w:adjustRightInd w:val="0"/>
        <w:spacing w:line="360" w:lineRule="auto"/>
        <w:jc w:val="both"/>
      </w:pPr>
      <w:r w:rsidRPr="009351CB">
        <w:t>In August 2018, the Consitutional Court confirmed two declaration</w:t>
      </w:r>
      <w:r w:rsidR="00F726C3" w:rsidRPr="009351CB">
        <w:t>s</w:t>
      </w:r>
      <w:r w:rsidRPr="009351CB">
        <w:t xml:space="preserve"> of constitutional invalidity by the North Gauteng High Court, which found former President Zuma’s actions in terminating Mr M Nxasana’s appointment as NDPP and the subseq</w:t>
      </w:r>
      <w:r w:rsidR="00052EE3" w:rsidRPr="009351CB">
        <w:t>u</w:t>
      </w:r>
      <w:r w:rsidRPr="009351CB">
        <w:t xml:space="preserve">ent appointment of Mr S Abrahams to the position </w:t>
      </w:r>
      <w:r w:rsidR="008C3BBF" w:rsidRPr="009351CB">
        <w:t>to be constitutionally invalid. Section 12 (4) and (6) of the National Prosecuting Authority Act, 1998, were declared</w:t>
      </w:r>
      <w:r w:rsidR="008C3BBF" w:rsidRPr="009351CB">
        <w:rPr>
          <w:i/>
          <w:color w:val="000000" w:themeColor="text1"/>
        </w:rPr>
        <w:t xml:space="preserve"> </w:t>
      </w:r>
      <w:r w:rsidR="008C3BBF" w:rsidRPr="009351CB">
        <w:rPr>
          <w:color w:val="000000" w:themeColor="text1"/>
        </w:rPr>
        <w:t>constitutionally</w:t>
      </w:r>
      <w:r w:rsidR="006212C1" w:rsidRPr="009351CB">
        <w:rPr>
          <w:color w:val="000000" w:themeColor="text1"/>
        </w:rPr>
        <w:t xml:space="preserve"> </w:t>
      </w:r>
      <w:r w:rsidR="008C3BBF" w:rsidRPr="009351CB">
        <w:rPr>
          <w:color w:val="000000" w:themeColor="text1"/>
        </w:rPr>
        <w:t>invalid</w:t>
      </w:r>
      <w:r w:rsidR="008C3BBF" w:rsidRPr="009351CB">
        <w:t xml:space="preserve"> and Parliament was given 18 months to amend the Act. In February 2019, Adv Shamila Batohi was appointed NDPP</w:t>
      </w:r>
      <w:r w:rsidR="00052EE3" w:rsidRPr="009351CB">
        <w:t>, filling the vacancy that had arisen flowing from the Court judgement</w:t>
      </w:r>
      <w:r w:rsidR="008C3BBF" w:rsidRPr="009351CB">
        <w:t>.</w:t>
      </w:r>
      <w:r w:rsidR="008C3BBF" w:rsidRPr="009351CB">
        <w:rPr>
          <w:i/>
        </w:rPr>
        <w:t xml:space="preserve"> </w:t>
      </w:r>
    </w:p>
    <w:p w14:paraId="72F2C8AE" w14:textId="77777777" w:rsidR="00052EE3" w:rsidRPr="009351CB" w:rsidRDefault="008C3BBF" w:rsidP="004F6019">
      <w:pPr>
        <w:numPr>
          <w:ilvl w:val="0"/>
          <w:numId w:val="6"/>
        </w:numPr>
        <w:autoSpaceDE w:val="0"/>
        <w:autoSpaceDN w:val="0"/>
        <w:adjustRightInd w:val="0"/>
        <w:spacing w:line="360" w:lineRule="auto"/>
        <w:jc w:val="both"/>
      </w:pPr>
      <w:r w:rsidRPr="009351CB">
        <w:t xml:space="preserve">A key </w:t>
      </w:r>
      <w:r w:rsidR="00052EE3" w:rsidRPr="009351CB">
        <w:t xml:space="preserve">Government </w:t>
      </w:r>
      <w:r w:rsidRPr="009351CB">
        <w:t>commitment in the period under review has been to intensif</w:t>
      </w:r>
      <w:r w:rsidR="00052EE3" w:rsidRPr="009351CB">
        <w:t>y the fight against corruption with a focus on the swift investigation, prosecution and recovery of stolen public money, especially where evidence of criminal activity has emerged from the various commissions of inquiry. An investigating directorate has been established in the Office of the NDPP to deal with serious corruption and associated offences.</w:t>
      </w:r>
    </w:p>
    <w:p w14:paraId="67099E6A" w14:textId="77777777" w:rsidR="008C52D5" w:rsidRPr="009351CB" w:rsidRDefault="00052EE3" w:rsidP="004F6019">
      <w:pPr>
        <w:numPr>
          <w:ilvl w:val="0"/>
          <w:numId w:val="6"/>
        </w:numPr>
        <w:autoSpaceDE w:val="0"/>
        <w:autoSpaceDN w:val="0"/>
        <w:adjustRightInd w:val="0"/>
        <w:spacing w:line="360" w:lineRule="auto"/>
        <w:jc w:val="both"/>
      </w:pPr>
      <w:r w:rsidRPr="009351CB">
        <w:t>A further key Government commitment has been to work to end gender-based violence.</w:t>
      </w:r>
    </w:p>
    <w:p w14:paraId="770F353A" w14:textId="77777777" w:rsidR="008C52D5" w:rsidRPr="009351CB" w:rsidRDefault="008C52D5" w:rsidP="009351CB">
      <w:pPr>
        <w:autoSpaceDE w:val="0"/>
        <w:autoSpaceDN w:val="0"/>
        <w:adjustRightInd w:val="0"/>
        <w:spacing w:line="360" w:lineRule="auto"/>
        <w:ind w:left="720"/>
        <w:jc w:val="both"/>
      </w:pPr>
    </w:p>
    <w:p w14:paraId="1D79E16B" w14:textId="77777777" w:rsidR="00106280" w:rsidRPr="009351CB" w:rsidRDefault="00F763FB" w:rsidP="009351CB">
      <w:pPr>
        <w:pStyle w:val="ListParagraph"/>
        <w:numPr>
          <w:ilvl w:val="1"/>
          <w:numId w:val="2"/>
        </w:numPr>
        <w:tabs>
          <w:tab w:val="num" w:pos="709"/>
        </w:tabs>
        <w:spacing w:line="360" w:lineRule="auto"/>
        <w:ind w:left="709" w:hanging="709"/>
        <w:jc w:val="both"/>
      </w:pPr>
      <w:r w:rsidRPr="009351CB">
        <w:t xml:space="preserve">Overall, </w:t>
      </w:r>
      <w:r w:rsidR="000D7845" w:rsidRPr="009351CB">
        <w:t xml:space="preserve">in 2018/19, </w:t>
      </w:r>
      <w:r w:rsidRPr="009351CB">
        <w:t>t</w:t>
      </w:r>
      <w:r w:rsidR="00B061A7" w:rsidRPr="009351CB">
        <w:t xml:space="preserve">he </w:t>
      </w:r>
      <w:r w:rsidR="00106280" w:rsidRPr="009351CB">
        <w:t xml:space="preserve">NPA </w:t>
      </w:r>
      <w:r w:rsidR="00B061A7" w:rsidRPr="009351CB">
        <w:t xml:space="preserve">achieved </w:t>
      </w:r>
      <w:r w:rsidR="000528A9" w:rsidRPr="009351CB">
        <w:t>18 or 67% planned targets and collected baseline data for one new indicator.</w:t>
      </w:r>
      <w:r w:rsidR="00B061A7" w:rsidRPr="009351CB">
        <w:t xml:space="preserve"> P</w:t>
      </w:r>
      <w:r w:rsidR="00106280" w:rsidRPr="009351CB">
        <w:t xml:space="preserve">erformance relating to </w:t>
      </w:r>
      <w:r w:rsidR="00DD74BA" w:rsidRPr="009351CB">
        <w:t>the following key MTSF targets wa</w:t>
      </w:r>
      <w:r w:rsidR="00106280" w:rsidRPr="009351CB">
        <w:t>s as follows:</w:t>
      </w:r>
    </w:p>
    <w:p w14:paraId="67C97659" w14:textId="77777777" w:rsidR="00106280" w:rsidRPr="009351CB" w:rsidRDefault="00106280" w:rsidP="009351CB">
      <w:pPr>
        <w:spacing w:line="360" w:lineRule="auto"/>
        <w:jc w:val="both"/>
      </w:pPr>
    </w:p>
    <w:p w14:paraId="36CE222E" w14:textId="77777777" w:rsidR="00106280" w:rsidRPr="009351CB" w:rsidRDefault="001C1321" w:rsidP="009351CB">
      <w:pPr>
        <w:spacing w:line="360" w:lineRule="auto"/>
        <w:jc w:val="both"/>
        <w:rPr>
          <w:b/>
        </w:rPr>
      </w:pPr>
      <w:r w:rsidRPr="009351CB">
        <w:rPr>
          <w:b/>
        </w:rPr>
        <w:t>T</w:t>
      </w:r>
      <w:r w:rsidR="00B23A3A" w:rsidRPr="009351CB">
        <w:rPr>
          <w:b/>
        </w:rPr>
        <w:t>able 7</w:t>
      </w:r>
      <w:r w:rsidR="00106280" w:rsidRPr="009351CB">
        <w:rPr>
          <w:b/>
        </w:rPr>
        <w:t xml:space="preserve">: NPA - Summary of performance for MTSF </w:t>
      </w:r>
      <w:r w:rsidR="00443332" w:rsidRPr="009351CB">
        <w:rPr>
          <w:b/>
        </w:rPr>
        <w:t xml:space="preserve">indicators </w:t>
      </w:r>
    </w:p>
    <w:tbl>
      <w:tblPr>
        <w:tblStyle w:val="TableGrid"/>
        <w:tblW w:w="5000" w:type="pct"/>
        <w:tblLook w:val="04A0" w:firstRow="1" w:lastRow="0" w:firstColumn="1" w:lastColumn="0" w:noHBand="0" w:noVBand="1"/>
      </w:tblPr>
      <w:tblGrid>
        <w:gridCol w:w="2892"/>
        <w:gridCol w:w="2771"/>
        <w:gridCol w:w="2769"/>
      </w:tblGrid>
      <w:tr w:rsidR="008C52D5" w:rsidRPr="009351CB" w14:paraId="2B823438" w14:textId="77777777" w:rsidTr="0080032F">
        <w:trPr>
          <w:tblHeader/>
        </w:trPr>
        <w:tc>
          <w:tcPr>
            <w:tcW w:w="1715" w:type="pct"/>
            <w:shd w:val="clear" w:color="auto" w:fill="D9D9D9" w:themeFill="background1" w:themeFillShade="D9"/>
          </w:tcPr>
          <w:p w14:paraId="1D01FD21" w14:textId="77777777" w:rsidR="008C52D5" w:rsidRPr="009351CB" w:rsidRDefault="008C52D5" w:rsidP="009351CB">
            <w:pPr>
              <w:spacing w:line="360" w:lineRule="auto"/>
              <w:jc w:val="center"/>
              <w:rPr>
                <w:b/>
              </w:rPr>
            </w:pPr>
            <w:r w:rsidRPr="009351CB">
              <w:rPr>
                <w:b/>
              </w:rPr>
              <w:t>Indicator</w:t>
            </w:r>
          </w:p>
        </w:tc>
        <w:tc>
          <w:tcPr>
            <w:tcW w:w="1643" w:type="pct"/>
            <w:shd w:val="clear" w:color="auto" w:fill="D9D9D9" w:themeFill="background1" w:themeFillShade="D9"/>
          </w:tcPr>
          <w:p w14:paraId="70589A3A" w14:textId="77777777" w:rsidR="008C52D5" w:rsidRPr="009351CB" w:rsidRDefault="008C52D5" w:rsidP="009351CB">
            <w:pPr>
              <w:spacing w:line="360" w:lineRule="auto"/>
              <w:jc w:val="center"/>
              <w:rPr>
                <w:b/>
              </w:rPr>
            </w:pPr>
            <w:r w:rsidRPr="009351CB">
              <w:rPr>
                <w:b/>
              </w:rPr>
              <w:t>2017/18</w:t>
            </w:r>
          </w:p>
        </w:tc>
        <w:tc>
          <w:tcPr>
            <w:tcW w:w="1642" w:type="pct"/>
            <w:shd w:val="clear" w:color="auto" w:fill="D9D9D9" w:themeFill="background1" w:themeFillShade="D9"/>
          </w:tcPr>
          <w:p w14:paraId="1221889A" w14:textId="77777777" w:rsidR="008C52D5" w:rsidRPr="009351CB" w:rsidRDefault="008C52D5" w:rsidP="009351CB">
            <w:pPr>
              <w:spacing w:line="360" w:lineRule="auto"/>
              <w:jc w:val="center"/>
              <w:rPr>
                <w:b/>
              </w:rPr>
            </w:pPr>
            <w:r w:rsidRPr="009351CB">
              <w:rPr>
                <w:b/>
              </w:rPr>
              <w:t>2018/19</w:t>
            </w:r>
          </w:p>
        </w:tc>
      </w:tr>
      <w:tr w:rsidR="008C52D5" w:rsidRPr="009351CB" w14:paraId="274009B1" w14:textId="77777777" w:rsidTr="0080032F">
        <w:tc>
          <w:tcPr>
            <w:tcW w:w="1715" w:type="pct"/>
          </w:tcPr>
          <w:p w14:paraId="3D1A0BA1" w14:textId="77777777" w:rsidR="008C52D5" w:rsidRPr="009351CB" w:rsidRDefault="008C52D5" w:rsidP="009351CB">
            <w:pPr>
              <w:spacing w:line="360" w:lineRule="auto"/>
              <w:jc w:val="both"/>
            </w:pPr>
            <w:r w:rsidRPr="009351CB">
              <w:t>Conviction rate for sexual offences</w:t>
            </w:r>
          </w:p>
        </w:tc>
        <w:tc>
          <w:tcPr>
            <w:tcW w:w="1643" w:type="pct"/>
          </w:tcPr>
          <w:p w14:paraId="2B3CFDAD" w14:textId="77777777" w:rsidR="008C52D5" w:rsidRPr="009351CB" w:rsidRDefault="008C52D5" w:rsidP="009351CB">
            <w:pPr>
              <w:spacing w:line="360" w:lineRule="auto"/>
              <w:jc w:val="both"/>
            </w:pPr>
            <w:r w:rsidRPr="009351CB">
              <w:t>EXCEEDED</w:t>
            </w:r>
          </w:p>
          <w:p w14:paraId="5DDC95AF" w14:textId="77777777" w:rsidR="008C52D5" w:rsidRPr="009351CB" w:rsidRDefault="008C52D5" w:rsidP="009351CB">
            <w:pPr>
              <w:spacing w:line="360" w:lineRule="auto"/>
              <w:jc w:val="both"/>
            </w:pPr>
            <w:r w:rsidRPr="009351CB">
              <w:t>72.7% against a target of 69% (Actual achievement: 5 004)</w:t>
            </w:r>
          </w:p>
        </w:tc>
        <w:tc>
          <w:tcPr>
            <w:tcW w:w="1642" w:type="pct"/>
          </w:tcPr>
          <w:p w14:paraId="7267517C" w14:textId="77777777" w:rsidR="008C52D5" w:rsidRPr="009351CB" w:rsidRDefault="008C52D5" w:rsidP="009351CB">
            <w:pPr>
              <w:spacing w:line="360" w:lineRule="auto"/>
              <w:jc w:val="both"/>
            </w:pPr>
            <w:r w:rsidRPr="009351CB">
              <w:t>EXCEEDED</w:t>
            </w:r>
          </w:p>
          <w:p w14:paraId="00ADE601" w14:textId="77777777" w:rsidR="008C52D5" w:rsidRPr="009351CB" w:rsidRDefault="008C52D5" w:rsidP="009351CB">
            <w:pPr>
              <w:spacing w:line="360" w:lineRule="auto"/>
              <w:jc w:val="both"/>
            </w:pPr>
            <w:r w:rsidRPr="009351CB">
              <w:t>74.4% against a target of 70%</w:t>
            </w:r>
          </w:p>
          <w:p w14:paraId="2A5D73D4" w14:textId="77777777" w:rsidR="008C52D5" w:rsidRPr="009351CB" w:rsidRDefault="008C52D5" w:rsidP="009351CB">
            <w:pPr>
              <w:spacing w:line="360" w:lineRule="auto"/>
              <w:jc w:val="both"/>
            </w:pPr>
            <w:r w:rsidRPr="009351CB">
              <w:t xml:space="preserve">(Actual achievement: </w:t>
            </w:r>
          </w:p>
          <w:p w14:paraId="5E316016" w14:textId="77777777" w:rsidR="008C52D5" w:rsidRPr="009351CB" w:rsidRDefault="008C52D5" w:rsidP="009351CB">
            <w:pPr>
              <w:spacing w:line="360" w:lineRule="auto"/>
              <w:jc w:val="both"/>
            </w:pPr>
            <w:r w:rsidRPr="009351CB">
              <w:t>4 716)</w:t>
            </w:r>
          </w:p>
        </w:tc>
      </w:tr>
      <w:tr w:rsidR="008C52D5" w:rsidRPr="009351CB" w14:paraId="30597375" w14:textId="77777777" w:rsidTr="0080032F">
        <w:tc>
          <w:tcPr>
            <w:tcW w:w="1715" w:type="pct"/>
          </w:tcPr>
          <w:p w14:paraId="5EC0976D" w14:textId="77777777" w:rsidR="008C52D5" w:rsidRPr="009351CB" w:rsidRDefault="008C52D5" w:rsidP="009351CB">
            <w:pPr>
              <w:spacing w:line="360" w:lineRule="auto"/>
              <w:jc w:val="both"/>
            </w:pPr>
            <w:r w:rsidRPr="009351CB">
              <w:t>Conviction rate for trio crimes</w:t>
            </w:r>
          </w:p>
        </w:tc>
        <w:tc>
          <w:tcPr>
            <w:tcW w:w="1643" w:type="pct"/>
          </w:tcPr>
          <w:p w14:paraId="1D7E1F6B" w14:textId="77777777" w:rsidR="008C52D5" w:rsidRPr="009351CB" w:rsidRDefault="008C52D5" w:rsidP="009351CB">
            <w:pPr>
              <w:spacing w:line="360" w:lineRule="auto"/>
              <w:jc w:val="both"/>
            </w:pPr>
            <w:r w:rsidRPr="009351CB">
              <w:t>NOT ACHIEVED</w:t>
            </w:r>
          </w:p>
          <w:p w14:paraId="0A881827" w14:textId="77777777" w:rsidR="008C52D5" w:rsidRPr="009351CB" w:rsidRDefault="008C52D5" w:rsidP="009351CB">
            <w:pPr>
              <w:spacing w:line="360" w:lineRule="auto"/>
              <w:jc w:val="both"/>
            </w:pPr>
            <w:r w:rsidRPr="009351CB">
              <w:t>82.9% against a target of 85%</w:t>
            </w:r>
          </w:p>
        </w:tc>
        <w:tc>
          <w:tcPr>
            <w:tcW w:w="1642" w:type="pct"/>
          </w:tcPr>
          <w:p w14:paraId="22134033" w14:textId="77777777" w:rsidR="008C52D5" w:rsidRPr="009351CB" w:rsidRDefault="008C52D5" w:rsidP="009351CB">
            <w:pPr>
              <w:spacing w:line="360" w:lineRule="auto"/>
              <w:jc w:val="both"/>
            </w:pPr>
            <w:r w:rsidRPr="009351CB">
              <w:t>NOT ACHIEVED</w:t>
            </w:r>
          </w:p>
          <w:p w14:paraId="5792A890" w14:textId="77777777" w:rsidR="008C52D5" w:rsidRPr="009351CB" w:rsidRDefault="008C52D5" w:rsidP="009351CB">
            <w:pPr>
              <w:spacing w:line="360" w:lineRule="auto"/>
              <w:jc w:val="both"/>
            </w:pPr>
            <w:r w:rsidRPr="009351CB">
              <w:t>82.2% against a target of 82.9%</w:t>
            </w:r>
          </w:p>
        </w:tc>
      </w:tr>
      <w:tr w:rsidR="008C52D5" w:rsidRPr="009351CB" w14:paraId="3F338CB2" w14:textId="77777777" w:rsidTr="0080032F">
        <w:tc>
          <w:tcPr>
            <w:tcW w:w="1715" w:type="pct"/>
          </w:tcPr>
          <w:p w14:paraId="72AF0C7E" w14:textId="77777777" w:rsidR="008C52D5" w:rsidRPr="009351CB" w:rsidRDefault="008C52D5" w:rsidP="009351CB">
            <w:pPr>
              <w:spacing w:line="360" w:lineRule="auto"/>
              <w:jc w:val="both"/>
            </w:pPr>
            <w:r w:rsidRPr="009351CB">
              <w:t xml:space="preserve">Conviction rates for violent protects and industrial action </w:t>
            </w:r>
          </w:p>
        </w:tc>
        <w:tc>
          <w:tcPr>
            <w:tcW w:w="1643" w:type="pct"/>
          </w:tcPr>
          <w:p w14:paraId="407F386E" w14:textId="77777777" w:rsidR="008C52D5" w:rsidRPr="009351CB" w:rsidRDefault="008C52D5" w:rsidP="009351CB">
            <w:pPr>
              <w:spacing w:line="360" w:lineRule="auto"/>
              <w:jc w:val="both"/>
            </w:pPr>
            <w:r w:rsidRPr="009351CB">
              <w:t>68.8%</w:t>
            </w:r>
          </w:p>
        </w:tc>
        <w:tc>
          <w:tcPr>
            <w:tcW w:w="1642" w:type="pct"/>
          </w:tcPr>
          <w:p w14:paraId="6BA4BB23" w14:textId="77777777" w:rsidR="008C52D5" w:rsidRPr="009351CB" w:rsidRDefault="008C52D5" w:rsidP="009351CB">
            <w:pPr>
              <w:spacing w:line="360" w:lineRule="auto"/>
              <w:jc w:val="both"/>
            </w:pPr>
            <w:r w:rsidRPr="009351CB">
              <w:t>NOT ACHIEVED</w:t>
            </w:r>
          </w:p>
          <w:p w14:paraId="29AC0C20" w14:textId="77777777" w:rsidR="008C52D5" w:rsidRPr="009351CB" w:rsidRDefault="008C52D5" w:rsidP="009351CB">
            <w:pPr>
              <w:spacing w:line="360" w:lineRule="auto"/>
              <w:jc w:val="both"/>
            </w:pPr>
            <w:r w:rsidRPr="009351CB">
              <w:t>68.8% against a target of 74%</w:t>
            </w:r>
          </w:p>
          <w:p w14:paraId="4859FC5E" w14:textId="77777777" w:rsidR="008C52D5" w:rsidRPr="009351CB" w:rsidRDefault="008C52D5" w:rsidP="009351CB">
            <w:pPr>
              <w:spacing w:line="360" w:lineRule="auto"/>
              <w:jc w:val="both"/>
            </w:pPr>
            <w:r w:rsidRPr="009351CB">
              <w:t>(Actual achievement 95 convictions)</w:t>
            </w:r>
          </w:p>
        </w:tc>
      </w:tr>
      <w:tr w:rsidR="008C52D5" w:rsidRPr="009351CB" w14:paraId="58628070" w14:textId="77777777" w:rsidTr="0080032F">
        <w:tc>
          <w:tcPr>
            <w:tcW w:w="1715" w:type="pct"/>
          </w:tcPr>
          <w:p w14:paraId="37A96DBE" w14:textId="77777777" w:rsidR="008C52D5" w:rsidRPr="009351CB" w:rsidRDefault="008C52D5" w:rsidP="009351CB">
            <w:pPr>
              <w:spacing w:line="360" w:lineRule="auto"/>
              <w:jc w:val="both"/>
            </w:pPr>
            <w:r w:rsidRPr="009351CB">
              <w:t>Conviction rate for cybercrime</w:t>
            </w:r>
          </w:p>
        </w:tc>
        <w:tc>
          <w:tcPr>
            <w:tcW w:w="1643" w:type="pct"/>
          </w:tcPr>
          <w:p w14:paraId="79E3ED22" w14:textId="77777777" w:rsidR="008C52D5" w:rsidRPr="009351CB" w:rsidRDefault="008C52D5" w:rsidP="009351CB">
            <w:pPr>
              <w:spacing w:line="360" w:lineRule="auto"/>
              <w:jc w:val="both"/>
            </w:pPr>
            <w:r w:rsidRPr="009351CB">
              <w:t>EXCEEDED</w:t>
            </w:r>
          </w:p>
          <w:p w14:paraId="380D2CC2" w14:textId="77777777" w:rsidR="008C52D5" w:rsidRPr="009351CB" w:rsidRDefault="008C52D5" w:rsidP="009351CB">
            <w:pPr>
              <w:spacing w:line="360" w:lineRule="auto"/>
              <w:jc w:val="both"/>
            </w:pPr>
            <w:r w:rsidRPr="009351CB">
              <w:t>98.5% against a target of 74%</w:t>
            </w:r>
          </w:p>
        </w:tc>
        <w:tc>
          <w:tcPr>
            <w:tcW w:w="1642" w:type="pct"/>
          </w:tcPr>
          <w:p w14:paraId="6C7AEE9B" w14:textId="77777777" w:rsidR="008C52D5" w:rsidRPr="009351CB" w:rsidRDefault="008C52D5" w:rsidP="009351CB">
            <w:pPr>
              <w:spacing w:line="360" w:lineRule="auto"/>
              <w:jc w:val="both"/>
            </w:pPr>
            <w:r w:rsidRPr="009351CB">
              <w:t>EXCEEDED</w:t>
            </w:r>
          </w:p>
          <w:p w14:paraId="4320B23C" w14:textId="77777777" w:rsidR="008C52D5" w:rsidRPr="009351CB" w:rsidRDefault="008C52D5" w:rsidP="009351CB">
            <w:pPr>
              <w:spacing w:line="360" w:lineRule="auto"/>
              <w:jc w:val="both"/>
            </w:pPr>
            <w:r w:rsidRPr="009351CB">
              <w:t>99.1% against a target of 95% (Actual achievement 440 convictions)</w:t>
            </w:r>
          </w:p>
        </w:tc>
      </w:tr>
      <w:tr w:rsidR="008C52D5" w:rsidRPr="009351CB" w14:paraId="63291EB1" w14:textId="77777777" w:rsidTr="0080032F">
        <w:tc>
          <w:tcPr>
            <w:tcW w:w="1715" w:type="pct"/>
          </w:tcPr>
          <w:p w14:paraId="55E61DF4" w14:textId="77777777" w:rsidR="008C52D5" w:rsidRPr="009351CB" w:rsidRDefault="008C52D5" w:rsidP="009351CB">
            <w:pPr>
              <w:spacing w:line="360" w:lineRule="auto"/>
              <w:jc w:val="both"/>
            </w:pPr>
            <w:r w:rsidRPr="009351CB">
              <w:t>Number of persons convicted of corruption where the amount involved is more than R5 million</w:t>
            </w:r>
          </w:p>
        </w:tc>
        <w:tc>
          <w:tcPr>
            <w:tcW w:w="1643" w:type="pct"/>
          </w:tcPr>
          <w:p w14:paraId="78180E9A" w14:textId="77777777" w:rsidR="008C52D5" w:rsidRPr="009351CB" w:rsidRDefault="008C52D5" w:rsidP="009351CB">
            <w:pPr>
              <w:spacing w:line="360" w:lineRule="auto"/>
              <w:jc w:val="both"/>
            </w:pPr>
            <w:r w:rsidRPr="009351CB">
              <w:t>EXCEEDED</w:t>
            </w:r>
          </w:p>
          <w:p w14:paraId="4DF5188A" w14:textId="77777777" w:rsidR="008C52D5" w:rsidRPr="009351CB" w:rsidRDefault="008C52D5" w:rsidP="009351CB">
            <w:pPr>
              <w:spacing w:line="360" w:lineRule="auto"/>
              <w:jc w:val="both"/>
            </w:pPr>
            <w:r w:rsidRPr="009351CB">
              <w:t>37 against a target of 33</w:t>
            </w:r>
          </w:p>
        </w:tc>
        <w:tc>
          <w:tcPr>
            <w:tcW w:w="1642" w:type="pct"/>
          </w:tcPr>
          <w:p w14:paraId="4EBB43DE" w14:textId="77777777" w:rsidR="008C52D5" w:rsidRPr="009351CB" w:rsidRDefault="008C52D5" w:rsidP="009351CB">
            <w:pPr>
              <w:spacing w:line="360" w:lineRule="auto"/>
              <w:jc w:val="both"/>
            </w:pPr>
            <w:r w:rsidRPr="009351CB">
              <w:t>NOT ACHIEVED</w:t>
            </w:r>
          </w:p>
          <w:p w14:paraId="01277E68" w14:textId="77777777" w:rsidR="008C52D5" w:rsidRPr="009351CB" w:rsidRDefault="008C52D5" w:rsidP="009351CB">
            <w:pPr>
              <w:spacing w:line="360" w:lineRule="auto"/>
              <w:jc w:val="both"/>
            </w:pPr>
            <w:r w:rsidRPr="009351CB">
              <w:t>17 against a target of 30</w:t>
            </w:r>
          </w:p>
        </w:tc>
      </w:tr>
      <w:tr w:rsidR="008C52D5" w:rsidRPr="009351CB" w14:paraId="3D587CF7" w14:textId="77777777" w:rsidTr="0080032F">
        <w:tc>
          <w:tcPr>
            <w:tcW w:w="1715" w:type="pct"/>
          </w:tcPr>
          <w:p w14:paraId="3B8B4E02" w14:textId="77777777" w:rsidR="008C52D5" w:rsidRPr="009351CB" w:rsidRDefault="008C52D5" w:rsidP="009351CB">
            <w:pPr>
              <w:spacing w:line="360" w:lineRule="auto"/>
              <w:jc w:val="both"/>
            </w:pPr>
            <w:r w:rsidRPr="009351CB">
              <w:t>No. of officials convicted of corruption or related offences</w:t>
            </w:r>
          </w:p>
        </w:tc>
        <w:tc>
          <w:tcPr>
            <w:tcW w:w="1643" w:type="pct"/>
          </w:tcPr>
          <w:p w14:paraId="6A3C82A2" w14:textId="77777777" w:rsidR="008C52D5" w:rsidRPr="009351CB" w:rsidRDefault="008C52D5" w:rsidP="009351CB">
            <w:pPr>
              <w:spacing w:line="360" w:lineRule="auto"/>
              <w:jc w:val="both"/>
            </w:pPr>
            <w:r w:rsidRPr="009351CB">
              <w:t>EXCEEDED</w:t>
            </w:r>
          </w:p>
          <w:p w14:paraId="2E6C6DE0" w14:textId="77777777" w:rsidR="008C52D5" w:rsidRPr="009351CB" w:rsidRDefault="008C52D5" w:rsidP="009351CB">
            <w:pPr>
              <w:spacing w:line="360" w:lineRule="auto"/>
              <w:jc w:val="both"/>
            </w:pPr>
            <w:r w:rsidRPr="009351CB">
              <w:t>213 against a target of 210</w:t>
            </w:r>
          </w:p>
        </w:tc>
        <w:tc>
          <w:tcPr>
            <w:tcW w:w="1642" w:type="pct"/>
          </w:tcPr>
          <w:p w14:paraId="10BFE8DE" w14:textId="77777777" w:rsidR="008C52D5" w:rsidRPr="009351CB" w:rsidRDefault="008C52D5" w:rsidP="009351CB">
            <w:pPr>
              <w:spacing w:line="360" w:lineRule="auto"/>
              <w:jc w:val="both"/>
            </w:pPr>
            <w:r w:rsidRPr="009351CB">
              <w:t>NOT ACHIEVED</w:t>
            </w:r>
          </w:p>
          <w:p w14:paraId="2D5552DC" w14:textId="77777777" w:rsidR="008C52D5" w:rsidRPr="009351CB" w:rsidRDefault="008C52D5" w:rsidP="009351CB">
            <w:pPr>
              <w:spacing w:line="360" w:lineRule="auto"/>
              <w:jc w:val="both"/>
            </w:pPr>
            <w:r w:rsidRPr="009351CB">
              <w:t>210 against a target of 230</w:t>
            </w:r>
          </w:p>
        </w:tc>
      </w:tr>
    </w:tbl>
    <w:p w14:paraId="06BEEEAB" w14:textId="77777777" w:rsidR="00106280" w:rsidRPr="009351CB" w:rsidRDefault="00106280" w:rsidP="009351CB">
      <w:pPr>
        <w:spacing w:line="360" w:lineRule="auto"/>
        <w:jc w:val="both"/>
      </w:pPr>
    </w:p>
    <w:p w14:paraId="65D6CEEA" w14:textId="2455C356" w:rsidR="00106280" w:rsidRPr="009351CB" w:rsidRDefault="00106280" w:rsidP="009351CB">
      <w:pPr>
        <w:pStyle w:val="ListParagraph"/>
        <w:numPr>
          <w:ilvl w:val="1"/>
          <w:numId w:val="2"/>
        </w:numPr>
        <w:spacing w:line="360" w:lineRule="auto"/>
        <w:ind w:left="709" w:hanging="709"/>
        <w:jc w:val="both"/>
      </w:pPr>
      <w:r w:rsidRPr="009351CB">
        <w:t>At subprogramme level</w:t>
      </w:r>
      <w:r w:rsidR="00A32294" w:rsidRPr="009351CB">
        <w:t xml:space="preserve">, </w:t>
      </w:r>
      <w:r w:rsidR="007C501A" w:rsidRPr="009351CB">
        <w:t xml:space="preserve">the </w:t>
      </w:r>
      <w:r w:rsidRPr="009351CB">
        <w:t xml:space="preserve">AFU </w:t>
      </w:r>
      <w:r w:rsidR="007C501A" w:rsidRPr="009351CB">
        <w:t xml:space="preserve">met 5 of 7 </w:t>
      </w:r>
      <w:r w:rsidR="00DD74BA" w:rsidRPr="009351CB">
        <w:t>(</w:t>
      </w:r>
      <w:r w:rsidR="00646941" w:rsidRPr="009351CB">
        <w:t>or 71%</w:t>
      </w:r>
      <w:r w:rsidR="00DD74BA" w:rsidRPr="009351CB">
        <w:t>)</w:t>
      </w:r>
      <w:r w:rsidR="00646941" w:rsidRPr="009351CB">
        <w:t xml:space="preserve"> of its targets. The </w:t>
      </w:r>
      <w:r w:rsidR="00A32294" w:rsidRPr="009351CB">
        <w:t xml:space="preserve">OWP met </w:t>
      </w:r>
      <w:r w:rsidR="00646941" w:rsidRPr="009351CB">
        <w:t xml:space="preserve">its </w:t>
      </w:r>
      <w:r w:rsidR="00DD74BA" w:rsidRPr="009351CB">
        <w:t xml:space="preserve">single </w:t>
      </w:r>
      <w:r w:rsidR="00646941" w:rsidRPr="009351CB">
        <w:t>target</w:t>
      </w:r>
      <w:r w:rsidRPr="009351CB">
        <w:t>.</w:t>
      </w:r>
      <w:r w:rsidR="00B23A3A" w:rsidRPr="009351CB">
        <w:t xml:space="preserve"> The NPA spent all of its allocation.</w:t>
      </w:r>
    </w:p>
    <w:p w14:paraId="7CCCDB11" w14:textId="77777777" w:rsidR="00106280" w:rsidRPr="009351CB" w:rsidRDefault="00106280" w:rsidP="009351CB">
      <w:pPr>
        <w:pStyle w:val="BodySingle"/>
        <w:spacing w:line="360" w:lineRule="auto"/>
        <w:rPr>
          <w:rFonts w:ascii="Times New Roman" w:hAnsi="Times New Roman"/>
          <w:i w:val="0"/>
          <w:sz w:val="24"/>
          <w:szCs w:val="24"/>
        </w:rPr>
      </w:pPr>
    </w:p>
    <w:p w14:paraId="5E072ECE" w14:textId="505C50DD" w:rsidR="000D7845" w:rsidRPr="00F151D4" w:rsidRDefault="000D7845" w:rsidP="00F151D4">
      <w:pPr>
        <w:pStyle w:val="ListParagraph"/>
        <w:numPr>
          <w:ilvl w:val="1"/>
          <w:numId w:val="2"/>
        </w:numPr>
        <w:spacing w:line="360" w:lineRule="auto"/>
        <w:ind w:left="709" w:hanging="709"/>
        <w:jc w:val="both"/>
      </w:pPr>
      <w:r w:rsidRPr="00F151D4">
        <w:rPr>
          <w:b/>
        </w:rPr>
        <w:t>Personnel</w:t>
      </w:r>
      <w:r w:rsidR="00F151D4" w:rsidRPr="00F151D4">
        <w:rPr>
          <w:b/>
        </w:rPr>
        <w:t xml:space="preserve">. </w:t>
      </w:r>
      <w:r w:rsidR="0080032F" w:rsidRPr="00F151D4">
        <w:t xml:space="preserve">The NPA has an establishment of 5 550 posts, of which 4 408 were filled at the end of 2018/19 with a vacancy rate of 21%. </w:t>
      </w:r>
      <w:r w:rsidR="00F85889" w:rsidRPr="00F151D4">
        <w:t xml:space="preserve">The vacancy rate for prosecutors was 18% and for legal administration support, incuding AFU investigators, was 32%. </w:t>
      </w:r>
      <w:r w:rsidR="0080032F" w:rsidRPr="00F151D4">
        <w:t xml:space="preserve">Since the beginning of the 2019/20 financial year, a further </w:t>
      </w:r>
      <w:r w:rsidR="00F85889" w:rsidRPr="00F151D4">
        <w:t>73 officials have left the NPA.</w:t>
      </w:r>
    </w:p>
    <w:p w14:paraId="549B8201" w14:textId="77777777" w:rsidR="00F85889" w:rsidRPr="009351CB" w:rsidRDefault="00F85889" w:rsidP="009351CB">
      <w:pPr>
        <w:pStyle w:val="BodySingle"/>
        <w:spacing w:line="360" w:lineRule="auto"/>
        <w:ind w:left="0"/>
        <w:rPr>
          <w:rFonts w:ascii="Times New Roman" w:hAnsi="Times New Roman"/>
          <w:i w:val="0"/>
          <w:sz w:val="24"/>
          <w:szCs w:val="24"/>
        </w:rPr>
      </w:pPr>
    </w:p>
    <w:p w14:paraId="6CD75327" w14:textId="77777777" w:rsidR="00106280" w:rsidRPr="009351CB" w:rsidRDefault="00106280" w:rsidP="00F151D4">
      <w:pPr>
        <w:pStyle w:val="BodySingle"/>
        <w:numPr>
          <w:ilvl w:val="1"/>
          <w:numId w:val="2"/>
        </w:numPr>
        <w:tabs>
          <w:tab w:val="clear" w:pos="862"/>
          <w:tab w:val="num" w:pos="851"/>
        </w:tabs>
        <w:spacing w:line="360" w:lineRule="auto"/>
        <w:ind w:hanging="862"/>
        <w:rPr>
          <w:rFonts w:ascii="Times New Roman" w:hAnsi="Times New Roman"/>
          <w:i w:val="0"/>
          <w:sz w:val="24"/>
          <w:szCs w:val="24"/>
        </w:rPr>
      </w:pPr>
      <w:r w:rsidRPr="009351CB">
        <w:rPr>
          <w:rFonts w:ascii="Times New Roman" w:hAnsi="Times New Roman"/>
          <w:i w:val="0"/>
          <w:sz w:val="24"/>
          <w:szCs w:val="24"/>
        </w:rPr>
        <w:t>Key c</w:t>
      </w:r>
      <w:r w:rsidR="00AF7757" w:rsidRPr="009351CB">
        <w:rPr>
          <w:rFonts w:ascii="Times New Roman" w:hAnsi="Times New Roman"/>
          <w:i w:val="0"/>
          <w:sz w:val="24"/>
          <w:szCs w:val="24"/>
        </w:rPr>
        <w:t xml:space="preserve">hallenges </w:t>
      </w:r>
      <w:r w:rsidR="00E20F17" w:rsidRPr="009351CB">
        <w:rPr>
          <w:rFonts w:ascii="Times New Roman" w:hAnsi="Times New Roman"/>
          <w:i w:val="0"/>
          <w:sz w:val="24"/>
          <w:szCs w:val="24"/>
        </w:rPr>
        <w:t xml:space="preserve">going forward </w:t>
      </w:r>
      <w:r w:rsidRPr="009351CB">
        <w:rPr>
          <w:rFonts w:ascii="Times New Roman" w:hAnsi="Times New Roman"/>
          <w:i w:val="0"/>
          <w:sz w:val="24"/>
          <w:szCs w:val="24"/>
        </w:rPr>
        <w:t>include:</w:t>
      </w:r>
    </w:p>
    <w:p w14:paraId="1B9DE380" w14:textId="77777777" w:rsidR="00183FFC" w:rsidRPr="009351CB" w:rsidRDefault="00183FFC" w:rsidP="004F6019">
      <w:pPr>
        <w:numPr>
          <w:ilvl w:val="0"/>
          <w:numId w:val="6"/>
        </w:numPr>
        <w:autoSpaceDE w:val="0"/>
        <w:autoSpaceDN w:val="0"/>
        <w:adjustRightInd w:val="0"/>
        <w:spacing w:line="360" w:lineRule="auto"/>
        <w:jc w:val="both"/>
      </w:pPr>
      <w:r w:rsidRPr="009351CB">
        <w:rPr>
          <w:noProof/>
          <w:lang w:val="en-US" w:eastAsia="en-US"/>
        </w:rPr>
        <w:t>Budgetary constraints place severe strain on the NPA’s ability to function optimally and d</w:t>
      </w:r>
      <w:r w:rsidR="00DD74BA" w:rsidRPr="009351CB">
        <w:rPr>
          <w:noProof/>
          <w:lang w:val="en-US" w:eastAsia="en-US"/>
        </w:rPr>
        <w:t>eliver services.</w:t>
      </w:r>
    </w:p>
    <w:p w14:paraId="132D615F" w14:textId="77777777" w:rsidR="00DD74BA" w:rsidRPr="009351CB" w:rsidRDefault="00E019B6" w:rsidP="004F6019">
      <w:pPr>
        <w:numPr>
          <w:ilvl w:val="0"/>
          <w:numId w:val="6"/>
        </w:numPr>
        <w:autoSpaceDE w:val="0"/>
        <w:autoSpaceDN w:val="0"/>
        <w:adjustRightInd w:val="0"/>
        <w:spacing w:line="360" w:lineRule="auto"/>
        <w:jc w:val="both"/>
      </w:pPr>
      <w:r w:rsidRPr="009351CB">
        <w:rPr>
          <w:noProof/>
          <w:lang w:val="en-US" w:eastAsia="en-US"/>
        </w:rPr>
        <w:t>The NPA’</w:t>
      </w:r>
      <w:r w:rsidR="00422FC1" w:rsidRPr="009351CB">
        <w:rPr>
          <w:noProof/>
          <w:lang w:val="en-US" w:eastAsia="en-US"/>
        </w:rPr>
        <w:t>s comp</w:t>
      </w:r>
      <w:r w:rsidRPr="009351CB">
        <w:rPr>
          <w:noProof/>
          <w:lang w:val="en-US" w:eastAsia="en-US"/>
        </w:rPr>
        <w:t>en</w:t>
      </w:r>
      <w:r w:rsidR="008D039F" w:rsidRPr="009351CB">
        <w:rPr>
          <w:noProof/>
          <w:lang w:val="en-US" w:eastAsia="en-US"/>
        </w:rPr>
        <w:t>s</w:t>
      </w:r>
      <w:r w:rsidRPr="009351CB">
        <w:rPr>
          <w:noProof/>
          <w:lang w:val="en-US" w:eastAsia="en-US"/>
        </w:rPr>
        <w:t>ation of employees</w:t>
      </w:r>
      <w:r w:rsidR="004A3F31" w:rsidRPr="009351CB">
        <w:rPr>
          <w:noProof/>
          <w:lang w:val="en-US" w:eastAsia="en-US"/>
        </w:rPr>
        <w:t>’</w:t>
      </w:r>
      <w:r w:rsidRPr="009351CB">
        <w:rPr>
          <w:noProof/>
          <w:lang w:val="en-US" w:eastAsia="en-US"/>
        </w:rPr>
        <w:t xml:space="preserve"> budget s</w:t>
      </w:r>
      <w:r w:rsidR="00422FC1" w:rsidRPr="009351CB">
        <w:rPr>
          <w:noProof/>
          <w:lang w:val="en-US" w:eastAsia="en-US"/>
        </w:rPr>
        <w:t>ta</w:t>
      </w:r>
      <w:r w:rsidR="00183FFC" w:rsidRPr="009351CB">
        <w:rPr>
          <w:noProof/>
          <w:lang w:val="en-US" w:eastAsia="en-US"/>
        </w:rPr>
        <w:t>nds at 89</w:t>
      </w:r>
      <w:r w:rsidRPr="009351CB">
        <w:rPr>
          <w:noProof/>
          <w:lang w:val="en-US" w:eastAsia="en-US"/>
        </w:rPr>
        <w:t xml:space="preserve">% of its overall budget, with </w:t>
      </w:r>
      <w:r w:rsidR="00422FC1" w:rsidRPr="009351CB">
        <w:rPr>
          <w:noProof/>
          <w:lang w:val="en-US" w:eastAsia="en-US"/>
        </w:rPr>
        <w:t xml:space="preserve">only </w:t>
      </w:r>
      <w:r w:rsidR="00183FFC" w:rsidRPr="009351CB">
        <w:rPr>
          <w:noProof/>
          <w:lang w:val="en-US" w:eastAsia="en-US"/>
        </w:rPr>
        <w:t>11</w:t>
      </w:r>
      <w:r w:rsidRPr="009351CB">
        <w:rPr>
          <w:noProof/>
          <w:lang w:val="en-US" w:eastAsia="en-US"/>
        </w:rPr>
        <w:t xml:space="preserve">% going towards operational costs. </w:t>
      </w:r>
    </w:p>
    <w:p w14:paraId="4EFD3202" w14:textId="77777777" w:rsidR="00E20F17" w:rsidRPr="009351CB" w:rsidRDefault="00183FFC" w:rsidP="004F6019">
      <w:pPr>
        <w:numPr>
          <w:ilvl w:val="0"/>
          <w:numId w:val="6"/>
        </w:numPr>
        <w:autoSpaceDE w:val="0"/>
        <w:autoSpaceDN w:val="0"/>
        <w:adjustRightInd w:val="0"/>
        <w:spacing w:line="360" w:lineRule="auto"/>
        <w:jc w:val="both"/>
      </w:pPr>
      <w:r w:rsidRPr="009351CB">
        <w:rPr>
          <w:noProof/>
          <w:lang w:val="en-US" w:eastAsia="en-US"/>
        </w:rPr>
        <w:t>The moratorium on the filling of posts since 2015/16 has affected staff morale negatively</w:t>
      </w:r>
      <w:r w:rsidR="00533C54" w:rsidRPr="009351CB">
        <w:rPr>
          <w:noProof/>
          <w:lang w:val="en-US" w:eastAsia="en-US"/>
        </w:rPr>
        <w:t xml:space="preserve">. </w:t>
      </w:r>
    </w:p>
    <w:p w14:paraId="62744EEA" w14:textId="77777777" w:rsidR="00F85889" w:rsidRPr="009351CB" w:rsidRDefault="00F85889" w:rsidP="004F6019">
      <w:pPr>
        <w:numPr>
          <w:ilvl w:val="0"/>
          <w:numId w:val="6"/>
        </w:numPr>
        <w:autoSpaceDE w:val="0"/>
        <w:autoSpaceDN w:val="0"/>
        <w:adjustRightInd w:val="0"/>
        <w:spacing w:line="360" w:lineRule="auto"/>
        <w:jc w:val="both"/>
      </w:pPr>
      <w:r w:rsidRPr="009351CB">
        <w:rPr>
          <w:noProof/>
          <w:lang w:val="en-US" w:eastAsia="en-US"/>
        </w:rPr>
        <w:t>There are limited opportunities for professional development and training.</w:t>
      </w:r>
    </w:p>
    <w:p w14:paraId="23045F32" w14:textId="77777777" w:rsidR="00F85889" w:rsidRPr="009351CB" w:rsidRDefault="00F85889" w:rsidP="009351CB">
      <w:pPr>
        <w:autoSpaceDE w:val="0"/>
        <w:autoSpaceDN w:val="0"/>
        <w:adjustRightInd w:val="0"/>
        <w:spacing w:line="360" w:lineRule="auto"/>
        <w:jc w:val="both"/>
      </w:pPr>
    </w:p>
    <w:p w14:paraId="79C4C220" w14:textId="77777777" w:rsidR="00547212" w:rsidRPr="009351CB" w:rsidRDefault="00547212" w:rsidP="009351CB">
      <w:pPr>
        <w:pStyle w:val="BodySingle"/>
        <w:numPr>
          <w:ilvl w:val="1"/>
          <w:numId w:val="2"/>
        </w:numPr>
        <w:spacing w:line="360" w:lineRule="auto"/>
        <w:rPr>
          <w:rFonts w:ascii="Times New Roman" w:hAnsi="Times New Roman"/>
          <w:i w:val="0"/>
          <w:sz w:val="24"/>
          <w:szCs w:val="24"/>
        </w:rPr>
      </w:pPr>
      <w:r w:rsidRPr="009351CB">
        <w:rPr>
          <w:rFonts w:ascii="Times New Roman" w:hAnsi="Times New Roman"/>
          <w:i w:val="0"/>
          <w:sz w:val="24"/>
          <w:szCs w:val="24"/>
        </w:rPr>
        <w:t xml:space="preserve">The NPA has submitted the following MTEF budget request: </w:t>
      </w:r>
    </w:p>
    <w:p w14:paraId="0C5831FA" w14:textId="77777777" w:rsidR="00787EE9" w:rsidRPr="009351CB" w:rsidRDefault="00787EE9" w:rsidP="009351CB">
      <w:pPr>
        <w:pStyle w:val="BodySingle"/>
        <w:spacing w:line="360" w:lineRule="auto"/>
        <w:rPr>
          <w:rFonts w:ascii="Times New Roman" w:hAnsi="Times New Roman"/>
          <w:i w:val="0"/>
          <w:sz w:val="24"/>
          <w:szCs w:val="24"/>
        </w:rPr>
      </w:pPr>
    </w:p>
    <w:p w14:paraId="2E81EA1C" w14:textId="77777777" w:rsidR="003C1A52" w:rsidRPr="009351CB" w:rsidRDefault="001A0E73" w:rsidP="009351CB">
      <w:pPr>
        <w:pStyle w:val="BodySingle"/>
        <w:spacing w:line="360" w:lineRule="auto"/>
        <w:ind w:left="0"/>
        <w:rPr>
          <w:rFonts w:ascii="Times New Roman" w:hAnsi="Times New Roman"/>
          <w:b/>
          <w:i w:val="0"/>
          <w:sz w:val="24"/>
          <w:szCs w:val="24"/>
        </w:rPr>
      </w:pPr>
      <w:r w:rsidRPr="009351CB">
        <w:rPr>
          <w:rFonts w:ascii="Times New Roman" w:hAnsi="Times New Roman"/>
          <w:b/>
          <w:i w:val="0"/>
          <w:sz w:val="24"/>
          <w:szCs w:val="24"/>
        </w:rPr>
        <w:t xml:space="preserve">Table </w:t>
      </w:r>
      <w:r w:rsidR="00B23A3A" w:rsidRPr="009351CB">
        <w:rPr>
          <w:rFonts w:ascii="Times New Roman" w:hAnsi="Times New Roman"/>
          <w:b/>
          <w:i w:val="0"/>
          <w:sz w:val="24"/>
          <w:szCs w:val="24"/>
        </w:rPr>
        <w:t>8</w:t>
      </w:r>
      <w:r w:rsidRPr="009351CB">
        <w:rPr>
          <w:rFonts w:ascii="Times New Roman" w:hAnsi="Times New Roman"/>
          <w:b/>
          <w:i w:val="0"/>
          <w:sz w:val="24"/>
          <w:szCs w:val="24"/>
        </w:rPr>
        <w:t xml:space="preserve">: NPA Additional funding needs </w:t>
      </w:r>
      <w:r w:rsidR="005C6AF7" w:rsidRPr="009351CB">
        <w:rPr>
          <w:rFonts w:ascii="Times New Roman" w:hAnsi="Times New Roman"/>
          <w:b/>
          <w:i w:val="0"/>
          <w:sz w:val="24"/>
          <w:szCs w:val="24"/>
        </w:rPr>
        <w:t>2020</w:t>
      </w:r>
      <w:r w:rsidRPr="009351CB">
        <w:rPr>
          <w:rFonts w:ascii="Times New Roman" w:hAnsi="Times New Roman"/>
          <w:b/>
          <w:i w:val="0"/>
          <w:sz w:val="24"/>
          <w:szCs w:val="24"/>
        </w:rPr>
        <w:t xml:space="preserve"> MTEF</w:t>
      </w:r>
    </w:p>
    <w:tbl>
      <w:tblPr>
        <w:tblStyle w:val="TableGrid"/>
        <w:tblW w:w="0" w:type="auto"/>
        <w:tblLook w:val="04A0" w:firstRow="1" w:lastRow="0" w:firstColumn="1" w:lastColumn="0" w:noHBand="0" w:noVBand="1"/>
      </w:tblPr>
      <w:tblGrid>
        <w:gridCol w:w="3292"/>
        <w:gridCol w:w="1118"/>
        <w:gridCol w:w="1118"/>
        <w:gridCol w:w="1502"/>
        <w:gridCol w:w="1176"/>
      </w:tblGrid>
      <w:tr w:rsidR="00BF7A9A" w:rsidRPr="009351CB" w14:paraId="3BA9D37C" w14:textId="77777777" w:rsidTr="00533C54">
        <w:trPr>
          <w:tblHeader/>
        </w:trPr>
        <w:tc>
          <w:tcPr>
            <w:tcW w:w="3292" w:type="dxa"/>
            <w:vMerge w:val="restart"/>
            <w:shd w:val="clear" w:color="auto" w:fill="BFBFBF" w:themeFill="background1" w:themeFillShade="BF"/>
          </w:tcPr>
          <w:p w14:paraId="48FF070B" w14:textId="77777777" w:rsidR="00BF7A9A" w:rsidRPr="009351CB" w:rsidRDefault="00BF7A9A"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b/>
                <w:i w:val="0"/>
                <w:sz w:val="24"/>
                <w:szCs w:val="24"/>
                <w:lang w:val="en-ZA"/>
              </w:rPr>
              <w:t>Item</w:t>
            </w:r>
          </w:p>
        </w:tc>
        <w:tc>
          <w:tcPr>
            <w:tcW w:w="1118" w:type="dxa"/>
            <w:shd w:val="clear" w:color="auto" w:fill="BFBFBF" w:themeFill="background1" w:themeFillShade="BF"/>
          </w:tcPr>
          <w:p w14:paraId="7ABE06C9" w14:textId="77777777" w:rsidR="00BF7A9A" w:rsidRPr="009351CB" w:rsidRDefault="00F763FB"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b/>
                <w:i w:val="0"/>
                <w:sz w:val="24"/>
                <w:szCs w:val="24"/>
                <w:lang w:val="en-ZA"/>
              </w:rPr>
              <w:t>2020/21</w:t>
            </w:r>
          </w:p>
        </w:tc>
        <w:tc>
          <w:tcPr>
            <w:tcW w:w="1118" w:type="dxa"/>
            <w:shd w:val="clear" w:color="auto" w:fill="BFBFBF" w:themeFill="background1" w:themeFillShade="BF"/>
          </w:tcPr>
          <w:p w14:paraId="67174C65" w14:textId="77777777" w:rsidR="00BF7A9A" w:rsidRPr="009351CB" w:rsidRDefault="00F763FB"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b/>
                <w:i w:val="0"/>
                <w:sz w:val="24"/>
                <w:szCs w:val="24"/>
                <w:lang w:val="en-ZA"/>
              </w:rPr>
              <w:t>2021/22</w:t>
            </w:r>
          </w:p>
        </w:tc>
        <w:tc>
          <w:tcPr>
            <w:tcW w:w="1502" w:type="dxa"/>
            <w:shd w:val="clear" w:color="auto" w:fill="BFBFBF" w:themeFill="background1" w:themeFillShade="BF"/>
          </w:tcPr>
          <w:p w14:paraId="03DAB6CE" w14:textId="77777777" w:rsidR="00BF7A9A" w:rsidRPr="009351CB" w:rsidRDefault="00F763FB"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b/>
                <w:i w:val="0"/>
                <w:sz w:val="24"/>
                <w:szCs w:val="24"/>
                <w:lang w:val="en-ZA"/>
              </w:rPr>
              <w:t>2022/23</w:t>
            </w:r>
          </w:p>
        </w:tc>
        <w:tc>
          <w:tcPr>
            <w:tcW w:w="0" w:type="auto"/>
            <w:shd w:val="clear" w:color="auto" w:fill="BFBFBF" w:themeFill="background1" w:themeFillShade="BF"/>
          </w:tcPr>
          <w:p w14:paraId="78A3B6D4" w14:textId="77777777" w:rsidR="00BF7A9A" w:rsidRPr="009351CB" w:rsidRDefault="00BF7A9A"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b/>
                <w:i w:val="0"/>
                <w:sz w:val="24"/>
                <w:szCs w:val="24"/>
                <w:lang w:val="en-ZA"/>
              </w:rPr>
              <w:t>Total</w:t>
            </w:r>
          </w:p>
        </w:tc>
      </w:tr>
      <w:tr w:rsidR="00BF7A9A" w:rsidRPr="009351CB" w14:paraId="5AD70B01" w14:textId="77777777" w:rsidTr="00533C54">
        <w:trPr>
          <w:tblHeader/>
        </w:trPr>
        <w:tc>
          <w:tcPr>
            <w:tcW w:w="3292" w:type="dxa"/>
            <w:vMerge/>
            <w:shd w:val="clear" w:color="auto" w:fill="BFBFBF" w:themeFill="background1" w:themeFillShade="BF"/>
          </w:tcPr>
          <w:p w14:paraId="7D23083F" w14:textId="77777777" w:rsidR="00BF7A9A" w:rsidRPr="009351CB" w:rsidRDefault="00BF7A9A" w:rsidP="009351CB">
            <w:pPr>
              <w:pStyle w:val="BodySingle"/>
              <w:spacing w:line="360" w:lineRule="auto"/>
              <w:ind w:left="0"/>
              <w:rPr>
                <w:rFonts w:ascii="Times New Roman" w:hAnsi="Times New Roman"/>
                <w:i w:val="0"/>
                <w:sz w:val="24"/>
                <w:szCs w:val="24"/>
                <w:lang w:val="en-ZA"/>
              </w:rPr>
            </w:pPr>
          </w:p>
        </w:tc>
        <w:tc>
          <w:tcPr>
            <w:tcW w:w="4914" w:type="dxa"/>
            <w:gridSpan w:val="4"/>
            <w:shd w:val="clear" w:color="auto" w:fill="BFBFBF" w:themeFill="background1" w:themeFillShade="BF"/>
          </w:tcPr>
          <w:p w14:paraId="44004EAD" w14:textId="77777777" w:rsidR="00BF7A9A" w:rsidRPr="009351CB" w:rsidRDefault="00BF7A9A" w:rsidP="009351CB">
            <w:pPr>
              <w:spacing w:line="360" w:lineRule="auto"/>
              <w:jc w:val="center"/>
              <w:textAlignment w:val="bottom"/>
              <w:rPr>
                <w:b/>
                <w:color w:val="000000"/>
                <w:kern w:val="24"/>
                <w:lang w:eastAsia="en-ZA"/>
              </w:rPr>
            </w:pPr>
            <w:r w:rsidRPr="009351CB">
              <w:rPr>
                <w:b/>
                <w:color w:val="000000"/>
                <w:kern w:val="24"/>
                <w:lang w:eastAsia="en-ZA"/>
              </w:rPr>
              <w:t>(R’000)</w:t>
            </w:r>
          </w:p>
        </w:tc>
      </w:tr>
      <w:tr w:rsidR="00B2557A" w:rsidRPr="009351CB" w14:paraId="0272B0FC" w14:textId="77777777" w:rsidTr="00533C54">
        <w:tc>
          <w:tcPr>
            <w:tcW w:w="3292" w:type="dxa"/>
          </w:tcPr>
          <w:p w14:paraId="06CDFC22" w14:textId="77777777" w:rsidR="00B2557A" w:rsidRPr="009351CB" w:rsidRDefault="00B2557A"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Shortfall on compensation of salaries budget</w:t>
            </w:r>
            <w:r w:rsidR="00F85889" w:rsidRPr="009351CB">
              <w:rPr>
                <w:rFonts w:ascii="Times New Roman" w:hAnsi="Times New Roman"/>
                <w:i w:val="0"/>
                <w:sz w:val="24"/>
                <w:szCs w:val="24"/>
                <w:lang w:val="en-ZA"/>
              </w:rPr>
              <w:t xml:space="preserve"> (less 73 officials)</w:t>
            </w:r>
          </w:p>
        </w:tc>
        <w:tc>
          <w:tcPr>
            <w:tcW w:w="1118" w:type="dxa"/>
          </w:tcPr>
          <w:p w14:paraId="274E64DE" w14:textId="77777777" w:rsidR="00B2557A" w:rsidRPr="009351CB" w:rsidRDefault="00266705" w:rsidP="009351CB">
            <w:pPr>
              <w:spacing w:line="360" w:lineRule="auto"/>
              <w:textAlignment w:val="bottom"/>
            </w:pPr>
            <w:r w:rsidRPr="009351CB">
              <w:t>(3 554)</w:t>
            </w:r>
          </w:p>
        </w:tc>
        <w:tc>
          <w:tcPr>
            <w:tcW w:w="1118" w:type="dxa"/>
          </w:tcPr>
          <w:p w14:paraId="05805B30" w14:textId="77777777" w:rsidR="00B2557A" w:rsidRPr="009351CB" w:rsidRDefault="00266705" w:rsidP="009351CB">
            <w:pPr>
              <w:spacing w:line="360" w:lineRule="auto"/>
              <w:textAlignment w:val="bottom"/>
            </w:pPr>
            <w:r w:rsidRPr="009351CB">
              <w:t>11 844</w:t>
            </w:r>
          </w:p>
        </w:tc>
        <w:tc>
          <w:tcPr>
            <w:tcW w:w="1502" w:type="dxa"/>
          </w:tcPr>
          <w:p w14:paraId="2836FF4E" w14:textId="77777777" w:rsidR="00B2557A" w:rsidRPr="009351CB" w:rsidRDefault="00266705" w:rsidP="009351CB">
            <w:pPr>
              <w:spacing w:line="360" w:lineRule="auto"/>
              <w:textAlignment w:val="bottom"/>
            </w:pPr>
            <w:r w:rsidRPr="009351CB">
              <w:t>(76 715)</w:t>
            </w:r>
          </w:p>
        </w:tc>
        <w:tc>
          <w:tcPr>
            <w:tcW w:w="1176" w:type="dxa"/>
          </w:tcPr>
          <w:p w14:paraId="60ED1605" w14:textId="77777777" w:rsidR="00B2557A" w:rsidRPr="009351CB" w:rsidRDefault="00266705" w:rsidP="009351CB">
            <w:pPr>
              <w:spacing w:line="360" w:lineRule="auto"/>
              <w:textAlignment w:val="bottom"/>
              <w:rPr>
                <w:b/>
              </w:rPr>
            </w:pPr>
            <w:r w:rsidRPr="009351CB">
              <w:rPr>
                <w:b/>
              </w:rPr>
              <w:t>(68 425)</w:t>
            </w:r>
          </w:p>
        </w:tc>
      </w:tr>
      <w:tr w:rsidR="00B2557A" w:rsidRPr="009351CB" w14:paraId="2AAA4860" w14:textId="77777777" w:rsidTr="00533C54">
        <w:tc>
          <w:tcPr>
            <w:tcW w:w="3292" w:type="dxa"/>
          </w:tcPr>
          <w:p w14:paraId="04FC6DFF" w14:textId="77777777" w:rsidR="00B2557A" w:rsidRPr="009351CB" w:rsidRDefault="00B2557A"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 xml:space="preserve">Aspirant Prosecutors </w:t>
            </w:r>
          </w:p>
        </w:tc>
        <w:tc>
          <w:tcPr>
            <w:tcW w:w="1118" w:type="dxa"/>
          </w:tcPr>
          <w:p w14:paraId="631476D3" w14:textId="77777777" w:rsidR="00B2557A" w:rsidRPr="009351CB" w:rsidRDefault="00266705" w:rsidP="009351CB">
            <w:pPr>
              <w:spacing w:line="360" w:lineRule="auto"/>
              <w:textAlignment w:val="bottom"/>
            </w:pPr>
            <w:r w:rsidRPr="009351CB">
              <w:t>25 793</w:t>
            </w:r>
          </w:p>
        </w:tc>
        <w:tc>
          <w:tcPr>
            <w:tcW w:w="1118" w:type="dxa"/>
          </w:tcPr>
          <w:p w14:paraId="231F6D6A" w14:textId="77777777" w:rsidR="00B2557A" w:rsidRPr="009351CB" w:rsidRDefault="00266705" w:rsidP="009351CB">
            <w:pPr>
              <w:spacing w:line="360" w:lineRule="auto"/>
              <w:textAlignment w:val="bottom"/>
            </w:pPr>
            <w:r w:rsidRPr="009351CB">
              <w:t>66 530</w:t>
            </w:r>
          </w:p>
        </w:tc>
        <w:tc>
          <w:tcPr>
            <w:tcW w:w="1502" w:type="dxa"/>
          </w:tcPr>
          <w:p w14:paraId="07B52DDD" w14:textId="77777777" w:rsidR="00B2557A" w:rsidRPr="009351CB" w:rsidRDefault="00266705" w:rsidP="009351CB">
            <w:pPr>
              <w:spacing w:line="360" w:lineRule="auto"/>
              <w:textAlignment w:val="bottom"/>
            </w:pPr>
            <w:r w:rsidRPr="009351CB">
              <w:t>112 062</w:t>
            </w:r>
          </w:p>
        </w:tc>
        <w:tc>
          <w:tcPr>
            <w:tcW w:w="0" w:type="auto"/>
          </w:tcPr>
          <w:p w14:paraId="4CAD2D28" w14:textId="77777777" w:rsidR="00B2557A" w:rsidRPr="009351CB" w:rsidRDefault="00F85889" w:rsidP="009351CB">
            <w:pPr>
              <w:spacing w:line="360" w:lineRule="auto"/>
              <w:textAlignment w:val="bottom"/>
              <w:rPr>
                <w:b/>
              </w:rPr>
            </w:pPr>
            <w:r w:rsidRPr="009351CB">
              <w:rPr>
                <w:b/>
              </w:rPr>
              <w:t>204 385</w:t>
            </w:r>
          </w:p>
        </w:tc>
      </w:tr>
      <w:tr w:rsidR="00D103A3" w:rsidRPr="009351CB" w14:paraId="0112E3D6" w14:textId="77777777" w:rsidTr="00533C54">
        <w:tc>
          <w:tcPr>
            <w:tcW w:w="3292" w:type="dxa"/>
          </w:tcPr>
          <w:p w14:paraId="61A7537B" w14:textId="77777777" w:rsidR="00D103A3" w:rsidRPr="009351CB" w:rsidRDefault="00F85889"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158 critical NPA posts</w:t>
            </w:r>
          </w:p>
        </w:tc>
        <w:tc>
          <w:tcPr>
            <w:tcW w:w="1118" w:type="dxa"/>
          </w:tcPr>
          <w:p w14:paraId="6B3A6FE5" w14:textId="77777777" w:rsidR="00D103A3" w:rsidRPr="009351CB" w:rsidRDefault="00547212" w:rsidP="009351CB">
            <w:pPr>
              <w:spacing w:line="360" w:lineRule="auto"/>
              <w:rPr>
                <w:bCs/>
              </w:rPr>
            </w:pPr>
            <w:r w:rsidRPr="009351CB">
              <w:rPr>
                <w:bCs/>
              </w:rPr>
              <w:t>91 478</w:t>
            </w:r>
          </w:p>
        </w:tc>
        <w:tc>
          <w:tcPr>
            <w:tcW w:w="1118" w:type="dxa"/>
          </w:tcPr>
          <w:p w14:paraId="3BE398B5" w14:textId="77777777" w:rsidR="00D103A3" w:rsidRPr="009351CB" w:rsidRDefault="00547212" w:rsidP="009351CB">
            <w:pPr>
              <w:spacing w:line="360" w:lineRule="auto"/>
              <w:rPr>
                <w:bCs/>
              </w:rPr>
            </w:pPr>
            <w:r w:rsidRPr="009351CB">
              <w:rPr>
                <w:bCs/>
              </w:rPr>
              <w:t>96 967</w:t>
            </w:r>
          </w:p>
        </w:tc>
        <w:tc>
          <w:tcPr>
            <w:tcW w:w="1502" w:type="dxa"/>
          </w:tcPr>
          <w:p w14:paraId="25661C9D" w14:textId="77777777" w:rsidR="00D103A3" w:rsidRPr="009351CB" w:rsidRDefault="00547212" w:rsidP="009351CB">
            <w:pPr>
              <w:spacing w:line="360" w:lineRule="auto"/>
              <w:rPr>
                <w:bCs/>
              </w:rPr>
            </w:pPr>
            <w:r w:rsidRPr="009351CB">
              <w:rPr>
                <w:bCs/>
              </w:rPr>
              <w:t>96 967</w:t>
            </w:r>
          </w:p>
        </w:tc>
        <w:tc>
          <w:tcPr>
            <w:tcW w:w="0" w:type="auto"/>
          </w:tcPr>
          <w:p w14:paraId="59648A1A" w14:textId="77777777" w:rsidR="00D103A3" w:rsidRPr="009351CB" w:rsidRDefault="00547212" w:rsidP="009351CB">
            <w:pPr>
              <w:spacing w:line="360" w:lineRule="auto"/>
              <w:rPr>
                <w:b/>
                <w:bCs/>
              </w:rPr>
            </w:pPr>
            <w:r w:rsidRPr="009351CB">
              <w:rPr>
                <w:b/>
                <w:bCs/>
              </w:rPr>
              <w:t>285 412</w:t>
            </w:r>
          </w:p>
        </w:tc>
      </w:tr>
      <w:tr w:rsidR="00BF7A9A" w:rsidRPr="009351CB" w14:paraId="2600CCA7" w14:textId="77777777" w:rsidTr="00533C54">
        <w:tc>
          <w:tcPr>
            <w:tcW w:w="3292" w:type="dxa"/>
          </w:tcPr>
          <w:p w14:paraId="4CBB3ACB" w14:textId="77777777" w:rsidR="00BF7A9A" w:rsidRPr="009351CB" w:rsidRDefault="00547212"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Investigating Directorate</w:t>
            </w:r>
          </w:p>
        </w:tc>
        <w:tc>
          <w:tcPr>
            <w:tcW w:w="1118" w:type="dxa"/>
          </w:tcPr>
          <w:p w14:paraId="45CB6479" w14:textId="77777777" w:rsidR="00BF7A9A" w:rsidRPr="009351CB" w:rsidRDefault="00547212" w:rsidP="009351CB">
            <w:pPr>
              <w:spacing w:line="360" w:lineRule="auto"/>
              <w:rPr>
                <w:bCs/>
              </w:rPr>
            </w:pPr>
            <w:r w:rsidRPr="009351CB">
              <w:rPr>
                <w:bCs/>
              </w:rPr>
              <w:t>115 276</w:t>
            </w:r>
          </w:p>
        </w:tc>
        <w:tc>
          <w:tcPr>
            <w:tcW w:w="1118" w:type="dxa"/>
          </w:tcPr>
          <w:p w14:paraId="26DA5C63" w14:textId="77777777" w:rsidR="00BF7A9A" w:rsidRPr="009351CB" w:rsidRDefault="00547212" w:rsidP="009351CB">
            <w:pPr>
              <w:spacing w:line="360" w:lineRule="auto"/>
              <w:rPr>
                <w:bCs/>
              </w:rPr>
            </w:pPr>
            <w:r w:rsidRPr="009351CB">
              <w:rPr>
                <w:bCs/>
              </w:rPr>
              <w:t>126 601</w:t>
            </w:r>
          </w:p>
        </w:tc>
        <w:tc>
          <w:tcPr>
            <w:tcW w:w="1502" w:type="dxa"/>
          </w:tcPr>
          <w:p w14:paraId="2217010E" w14:textId="77777777" w:rsidR="00BF7A9A" w:rsidRPr="009351CB" w:rsidRDefault="00547212" w:rsidP="009351CB">
            <w:pPr>
              <w:spacing w:line="360" w:lineRule="auto"/>
              <w:rPr>
                <w:bCs/>
              </w:rPr>
            </w:pPr>
            <w:r w:rsidRPr="009351CB">
              <w:rPr>
                <w:bCs/>
              </w:rPr>
              <w:t>135 463</w:t>
            </w:r>
          </w:p>
        </w:tc>
        <w:tc>
          <w:tcPr>
            <w:tcW w:w="0" w:type="auto"/>
          </w:tcPr>
          <w:p w14:paraId="67904DAD" w14:textId="77777777" w:rsidR="00BF7A9A" w:rsidRPr="009351CB" w:rsidRDefault="00547212" w:rsidP="009351CB">
            <w:pPr>
              <w:spacing w:line="360" w:lineRule="auto"/>
              <w:rPr>
                <w:b/>
                <w:bCs/>
              </w:rPr>
            </w:pPr>
            <w:r w:rsidRPr="009351CB">
              <w:rPr>
                <w:b/>
                <w:bCs/>
              </w:rPr>
              <w:t>377 341</w:t>
            </w:r>
          </w:p>
        </w:tc>
      </w:tr>
      <w:tr w:rsidR="00BF7A9A" w:rsidRPr="009351CB" w14:paraId="011A9B29" w14:textId="77777777" w:rsidTr="00533C54">
        <w:tc>
          <w:tcPr>
            <w:tcW w:w="3292" w:type="dxa"/>
          </w:tcPr>
          <w:p w14:paraId="07B7DE3D" w14:textId="77777777" w:rsidR="00BF7A9A" w:rsidRPr="009351CB" w:rsidRDefault="00547212"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AFU and SCCU capacity</w:t>
            </w:r>
          </w:p>
        </w:tc>
        <w:tc>
          <w:tcPr>
            <w:tcW w:w="1118" w:type="dxa"/>
          </w:tcPr>
          <w:p w14:paraId="33D58D26" w14:textId="77777777" w:rsidR="00BF7A9A" w:rsidRPr="009351CB" w:rsidRDefault="00547212" w:rsidP="009351CB">
            <w:pPr>
              <w:spacing w:line="360" w:lineRule="auto"/>
              <w:rPr>
                <w:bCs/>
              </w:rPr>
            </w:pPr>
            <w:r w:rsidRPr="009351CB">
              <w:rPr>
                <w:bCs/>
              </w:rPr>
              <w:t>94 793</w:t>
            </w:r>
          </w:p>
        </w:tc>
        <w:tc>
          <w:tcPr>
            <w:tcW w:w="1118" w:type="dxa"/>
          </w:tcPr>
          <w:p w14:paraId="2294AD1E" w14:textId="77777777" w:rsidR="00BF7A9A" w:rsidRPr="009351CB" w:rsidRDefault="00547212" w:rsidP="009351CB">
            <w:pPr>
              <w:spacing w:line="360" w:lineRule="auto"/>
              <w:rPr>
                <w:bCs/>
              </w:rPr>
            </w:pPr>
            <w:r w:rsidRPr="009351CB">
              <w:rPr>
                <w:bCs/>
              </w:rPr>
              <w:t>101 429</w:t>
            </w:r>
          </w:p>
        </w:tc>
        <w:tc>
          <w:tcPr>
            <w:tcW w:w="1502" w:type="dxa"/>
          </w:tcPr>
          <w:p w14:paraId="3CC22839" w14:textId="77777777" w:rsidR="00BF7A9A" w:rsidRPr="009351CB" w:rsidRDefault="00547212" w:rsidP="009351CB">
            <w:pPr>
              <w:spacing w:line="360" w:lineRule="auto"/>
              <w:rPr>
                <w:bCs/>
              </w:rPr>
            </w:pPr>
            <w:r w:rsidRPr="009351CB">
              <w:rPr>
                <w:bCs/>
              </w:rPr>
              <w:t>108 529</w:t>
            </w:r>
          </w:p>
        </w:tc>
        <w:tc>
          <w:tcPr>
            <w:tcW w:w="0" w:type="auto"/>
          </w:tcPr>
          <w:p w14:paraId="7F8DE1C1" w14:textId="77777777" w:rsidR="00BF7A9A" w:rsidRPr="009351CB" w:rsidRDefault="00547212" w:rsidP="009351CB">
            <w:pPr>
              <w:spacing w:line="360" w:lineRule="auto"/>
              <w:rPr>
                <w:b/>
                <w:bCs/>
              </w:rPr>
            </w:pPr>
            <w:r w:rsidRPr="009351CB">
              <w:rPr>
                <w:b/>
                <w:bCs/>
              </w:rPr>
              <w:t>304 751</w:t>
            </w:r>
          </w:p>
        </w:tc>
      </w:tr>
      <w:tr w:rsidR="00547212" w:rsidRPr="009351CB" w14:paraId="227D08BF" w14:textId="77777777" w:rsidTr="0014372C">
        <w:tc>
          <w:tcPr>
            <w:tcW w:w="3292" w:type="dxa"/>
          </w:tcPr>
          <w:p w14:paraId="74BF12B0" w14:textId="77777777" w:rsidR="00547212" w:rsidRPr="009351CB" w:rsidRDefault="00547212"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Safety, security and witness protection</w:t>
            </w:r>
          </w:p>
        </w:tc>
        <w:tc>
          <w:tcPr>
            <w:tcW w:w="1118" w:type="dxa"/>
          </w:tcPr>
          <w:p w14:paraId="613CDCE1" w14:textId="77777777" w:rsidR="00547212" w:rsidRPr="009351CB" w:rsidRDefault="00547212" w:rsidP="009351CB">
            <w:pPr>
              <w:spacing w:line="360" w:lineRule="auto"/>
              <w:rPr>
                <w:bCs/>
              </w:rPr>
            </w:pPr>
            <w:r w:rsidRPr="009351CB">
              <w:rPr>
                <w:bCs/>
              </w:rPr>
              <w:t>37 450</w:t>
            </w:r>
          </w:p>
        </w:tc>
        <w:tc>
          <w:tcPr>
            <w:tcW w:w="1118" w:type="dxa"/>
          </w:tcPr>
          <w:p w14:paraId="76F27B2D" w14:textId="77777777" w:rsidR="00547212" w:rsidRPr="009351CB" w:rsidRDefault="00547212" w:rsidP="009351CB">
            <w:pPr>
              <w:spacing w:line="360" w:lineRule="auto"/>
              <w:rPr>
                <w:bCs/>
              </w:rPr>
            </w:pPr>
            <w:r w:rsidRPr="009351CB">
              <w:rPr>
                <w:bCs/>
              </w:rPr>
              <w:t>40 072</w:t>
            </w:r>
          </w:p>
        </w:tc>
        <w:tc>
          <w:tcPr>
            <w:tcW w:w="1502" w:type="dxa"/>
          </w:tcPr>
          <w:p w14:paraId="4F6C6C93" w14:textId="77777777" w:rsidR="00547212" w:rsidRPr="009351CB" w:rsidRDefault="00547212" w:rsidP="009351CB">
            <w:pPr>
              <w:spacing w:line="360" w:lineRule="auto"/>
              <w:rPr>
                <w:bCs/>
              </w:rPr>
            </w:pPr>
            <w:r w:rsidRPr="009351CB">
              <w:rPr>
                <w:bCs/>
              </w:rPr>
              <w:t>42 877</w:t>
            </w:r>
          </w:p>
        </w:tc>
        <w:tc>
          <w:tcPr>
            <w:tcW w:w="0" w:type="auto"/>
          </w:tcPr>
          <w:p w14:paraId="0D8E2DBB" w14:textId="77777777" w:rsidR="00547212" w:rsidRPr="009351CB" w:rsidRDefault="00547212" w:rsidP="009351CB">
            <w:pPr>
              <w:spacing w:line="360" w:lineRule="auto"/>
              <w:rPr>
                <w:b/>
                <w:bCs/>
              </w:rPr>
            </w:pPr>
            <w:r w:rsidRPr="009351CB">
              <w:rPr>
                <w:b/>
                <w:bCs/>
              </w:rPr>
              <w:t>120 399</w:t>
            </w:r>
          </w:p>
        </w:tc>
      </w:tr>
      <w:tr w:rsidR="00547212" w:rsidRPr="009351CB" w14:paraId="4E5DBA77" w14:textId="77777777" w:rsidTr="0014372C">
        <w:tc>
          <w:tcPr>
            <w:tcW w:w="3292" w:type="dxa"/>
          </w:tcPr>
          <w:p w14:paraId="31C54880" w14:textId="77777777" w:rsidR="00547212" w:rsidRPr="009351CB" w:rsidRDefault="00547212"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Operational budget shortfall</w:t>
            </w:r>
          </w:p>
        </w:tc>
        <w:tc>
          <w:tcPr>
            <w:tcW w:w="1118" w:type="dxa"/>
          </w:tcPr>
          <w:p w14:paraId="787B2A6B" w14:textId="77777777" w:rsidR="00547212" w:rsidRPr="009351CB" w:rsidRDefault="00547212" w:rsidP="009351CB">
            <w:pPr>
              <w:spacing w:line="360" w:lineRule="auto"/>
              <w:rPr>
                <w:bCs/>
              </w:rPr>
            </w:pPr>
            <w:r w:rsidRPr="009351CB">
              <w:rPr>
                <w:bCs/>
              </w:rPr>
              <w:t>78 693</w:t>
            </w:r>
          </w:p>
        </w:tc>
        <w:tc>
          <w:tcPr>
            <w:tcW w:w="1118" w:type="dxa"/>
          </w:tcPr>
          <w:p w14:paraId="2817357F" w14:textId="77777777" w:rsidR="00547212" w:rsidRPr="009351CB" w:rsidRDefault="00547212" w:rsidP="009351CB">
            <w:pPr>
              <w:spacing w:line="360" w:lineRule="auto"/>
              <w:rPr>
                <w:bCs/>
              </w:rPr>
            </w:pPr>
            <w:r w:rsidRPr="009351CB">
              <w:rPr>
                <w:bCs/>
              </w:rPr>
              <w:t>90 180</w:t>
            </w:r>
          </w:p>
        </w:tc>
        <w:tc>
          <w:tcPr>
            <w:tcW w:w="1502" w:type="dxa"/>
          </w:tcPr>
          <w:p w14:paraId="1D6C0EE6" w14:textId="77777777" w:rsidR="00547212" w:rsidRPr="009351CB" w:rsidRDefault="00547212" w:rsidP="009351CB">
            <w:pPr>
              <w:spacing w:line="360" w:lineRule="auto"/>
              <w:rPr>
                <w:bCs/>
              </w:rPr>
            </w:pPr>
            <w:r w:rsidRPr="009351CB">
              <w:rPr>
                <w:bCs/>
              </w:rPr>
              <w:t>111 176</w:t>
            </w:r>
          </w:p>
        </w:tc>
        <w:tc>
          <w:tcPr>
            <w:tcW w:w="0" w:type="auto"/>
          </w:tcPr>
          <w:p w14:paraId="55844527" w14:textId="77777777" w:rsidR="00547212" w:rsidRPr="009351CB" w:rsidRDefault="00547212" w:rsidP="009351CB">
            <w:pPr>
              <w:spacing w:line="360" w:lineRule="auto"/>
              <w:rPr>
                <w:b/>
                <w:bCs/>
              </w:rPr>
            </w:pPr>
            <w:r w:rsidRPr="009351CB">
              <w:rPr>
                <w:b/>
                <w:bCs/>
              </w:rPr>
              <w:t>280 049</w:t>
            </w:r>
          </w:p>
        </w:tc>
      </w:tr>
      <w:tr w:rsidR="00547212" w:rsidRPr="009351CB" w14:paraId="1D8B31DB" w14:textId="77777777" w:rsidTr="00533C54">
        <w:tc>
          <w:tcPr>
            <w:tcW w:w="3292" w:type="dxa"/>
          </w:tcPr>
          <w:p w14:paraId="7CC74423" w14:textId="77777777" w:rsidR="00547212" w:rsidRPr="009351CB" w:rsidRDefault="00547212" w:rsidP="009351CB">
            <w:pPr>
              <w:pStyle w:val="BodySingle"/>
              <w:spacing w:line="360" w:lineRule="auto"/>
              <w:ind w:left="0"/>
              <w:rPr>
                <w:rFonts w:ascii="Times New Roman" w:hAnsi="Times New Roman"/>
                <w:i w:val="0"/>
                <w:sz w:val="24"/>
                <w:szCs w:val="24"/>
                <w:lang w:val="en-ZA"/>
              </w:rPr>
            </w:pPr>
            <w:r w:rsidRPr="009351CB">
              <w:rPr>
                <w:rFonts w:ascii="Times New Roman" w:hAnsi="Times New Roman"/>
                <w:i w:val="0"/>
                <w:sz w:val="24"/>
                <w:szCs w:val="24"/>
                <w:lang w:val="en-ZA"/>
              </w:rPr>
              <w:t>Replacement of 4000 laptops</w:t>
            </w:r>
          </w:p>
        </w:tc>
        <w:tc>
          <w:tcPr>
            <w:tcW w:w="1118" w:type="dxa"/>
          </w:tcPr>
          <w:p w14:paraId="038DFBEA" w14:textId="77777777" w:rsidR="00547212" w:rsidRPr="009351CB" w:rsidRDefault="00547212" w:rsidP="009351CB">
            <w:pPr>
              <w:spacing w:line="360" w:lineRule="auto"/>
              <w:rPr>
                <w:bCs/>
              </w:rPr>
            </w:pPr>
            <w:r w:rsidRPr="009351CB">
              <w:rPr>
                <w:bCs/>
              </w:rPr>
              <w:t>30 000</w:t>
            </w:r>
          </w:p>
        </w:tc>
        <w:tc>
          <w:tcPr>
            <w:tcW w:w="1118" w:type="dxa"/>
          </w:tcPr>
          <w:p w14:paraId="7905E398" w14:textId="77777777" w:rsidR="00547212" w:rsidRPr="009351CB" w:rsidRDefault="00547212" w:rsidP="009351CB">
            <w:pPr>
              <w:spacing w:line="360" w:lineRule="auto"/>
              <w:rPr>
                <w:bCs/>
              </w:rPr>
            </w:pPr>
            <w:r w:rsidRPr="009351CB">
              <w:rPr>
                <w:bCs/>
              </w:rPr>
              <w:t>0</w:t>
            </w:r>
          </w:p>
        </w:tc>
        <w:tc>
          <w:tcPr>
            <w:tcW w:w="1502" w:type="dxa"/>
          </w:tcPr>
          <w:p w14:paraId="71F94922" w14:textId="77777777" w:rsidR="00547212" w:rsidRPr="009351CB" w:rsidRDefault="00547212" w:rsidP="009351CB">
            <w:pPr>
              <w:spacing w:line="360" w:lineRule="auto"/>
              <w:rPr>
                <w:bCs/>
              </w:rPr>
            </w:pPr>
            <w:r w:rsidRPr="009351CB">
              <w:rPr>
                <w:bCs/>
              </w:rPr>
              <w:t>35 000</w:t>
            </w:r>
          </w:p>
        </w:tc>
        <w:tc>
          <w:tcPr>
            <w:tcW w:w="0" w:type="auto"/>
          </w:tcPr>
          <w:p w14:paraId="03779491" w14:textId="77777777" w:rsidR="00547212" w:rsidRPr="009351CB" w:rsidRDefault="00547212" w:rsidP="009351CB">
            <w:pPr>
              <w:spacing w:line="360" w:lineRule="auto"/>
              <w:rPr>
                <w:b/>
                <w:bCs/>
              </w:rPr>
            </w:pPr>
            <w:r w:rsidRPr="009351CB">
              <w:rPr>
                <w:b/>
                <w:bCs/>
              </w:rPr>
              <w:t>65 000</w:t>
            </w:r>
          </w:p>
        </w:tc>
      </w:tr>
      <w:tr w:rsidR="00547212" w:rsidRPr="009351CB" w14:paraId="0DFD2336" w14:textId="77777777" w:rsidTr="00533C54">
        <w:tc>
          <w:tcPr>
            <w:tcW w:w="3292" w:type="dxa"/>
          </w:tcPr>
          <w:p w14:paraId="0004545D" w14:textId="77777777" w:rsidR="00547212" w:rsidRPr="009351CB" w:rsidRDefault="00547212"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b/>
                <w:i w:val="0"/>
                <w:sz w:val="24"/>
                <w:szCs w:val="24"/>
                <w:lang w:val="en-ZA"/>
              </w:rPr>
              <w:t>Total</w:t>
            </w:r>
          </w:p>
        </w:tc>
        <w:tc>
          <w:tcPr>
            <w:tcW w:w="1118" w:type="dxa"/>
          </w:tcPr>
          <w:p w14:paraId="412510EF" w14:textId="77777777" w:rsidR="00547212" w:rsidRPr="009351CB" w:rsidRDefault="00547212" w:rsidP="009351CB">
            <w:pPr>
              <w:spacing w:line="360" w:lineRule="auto"/>
              <w:rPr>
                <w:b/>
                <w:bCs/>
              </w:rPr>
            </w:pPr>
            <w:r w:rsidRPr="009351CB">
              <w:rPr>
                <w:b/>
                <w:bCs/>
              </w:rPr>
              <w:t>356 212</w:t>
            </w:r>
          </w:p>
        </w:tc>
        <w:tc>
          <w:tcPr>
            <w:tcW w:w="1118" w:type="dxa"/>
          </w:tcPr>
          <w:p w14:paraId="46076D8D" w14:textId="77777777" w:rsidR="00547212" w:rsidRPr="009351CB" w:rsidRDefault="00547212" w:rsidP="009351CB">
            <w:pPr>
              <w:spacing w:line="360" w:lineRule="auto"/>
              <w:rPr>
                <w:b/>
                <w:bCs/>
              </w:rPr>
            </w:pPr>
            <w:r w:rsidRPr="009351CB">
              <w:rPr>
                <w:b/>
                <w:bCs/>
              </w:rPr>
              <w:t>358 282</w:t>
            </w:r>
          </w:p>
        </w:tc>
        <w:tc>
          <w:tcPr>
            <w:tcW w:w="1502" w:type="dxa"/>
          </w:tcPr>
          <w:p w14:paraId="2602A1ED" w14:textId="77777777" w:rsidR="00547212" w:rsidRPr="009351CB" w:rsidRDefault="00547212" w:rsidP="009351CB">
            <w:pPr>
              <w:spacing w:line="360" w:lineRule="auto"/>
              <w:rPr>
                <w:b/>
                <w:bCs/>
              </w:rPr>
            </w:pPr>
            <w:r w:rsidRPr="009351CB">
              <w:rPr>
                <w:b/>
                <w:bCs/>
              </w:rPr>
              <w:t>433 046</w:t>
            </w:r>
          </w:p>
        </w:tc>
        <w:tc>
          <w:tcPr>
            <w:tcW w:w="0" w:type="auto"/>
          </w:tcPr>
          <w:p w14:paraId="4E0AC38F" w14:textId="77777777" w:rsidR="00547212" w:rsidRPr="009351CB" w:rsidRDefault="00547212" w:rsidP="009351CB">
            <w:pPr>
              <w:spacing w:line="360" w:lineRule="auto"/>
              <w:rPr>
                <w:b/>
                <w:bCs/>
              </w:rPr>
            </w:pPr>
            <w:r w:rsidRPr="009351CB">
              <w:rPr>
                <w:b/>
                <w:bCs/>
              </w:rPr>
              <w:t>1 149 540</w:t>
            </w:r>
          </w:p>
        </w:tc>
      </w:tr>
    </w:tbl>
    <w:p w14:paraId="433C956D" w14:textId="77777777" w:rsidR="000657A6" w:rsidRPr="009351CB" w:rsidRDefault="000657A6" w:rsidP="009351CB">
      <w:pPr>
        <w:spacing w:line="360" w:lineRule="auto"/>
        <w:jc w:val="both"/>
      </w:pPr>
    </w:p>
    <w:p w14:paraId="063D4307" w14:textId="77777777" w:rsidR="00547212" w:rsidRPr="009351CB" w:rsidRDefault="00547212" w:rsidP="009351CB">
      <w:pPr>
        <w:spacing w:line="360" w:lineRule="auto"/>
        <w:jc w:val="both"/>
      </w:pPr>
    </w:p>
    <w:p w14:paraId="77412181" w14:textId="77777777" w:rsidR="000657A6" w:rsidRPr="009351CB" w:rsidRDefault="000657A6" w:rsidP="009351CB">
      <w:pPr>
        <w:pStyle w:val="BodySingle"/>
        <w:numPr>
          <w:ilvl w:val="0"/>
          <w:numId w:val="2"/>
        </w:numPr>
        <w:tabs>
          <w:tab w:val="clear" w:pos="360"/>
          <w:tab w:val="num" w:pos="709"/>
        </w:tabs>
        <w:spacing w:line="360" w:lineRule="auto"/>
        <w:ind w:left="709" w:hanging="709"/>
        <w:rPr>
          <w:rFonts w:ascii="Times New Roman" w:hAnsi="Times New Roman"/>
          <w:b/>
          <w:i w:val="0"/>
          <w:noProof w:val="0"/>
          <w:sz w:val="24"/>
          <w:szCs w:val="24"/>
          <w:lang w:val="en-GB" w:eastAsia="en-GB"/>
        </w:rPr>
      </w:pPr>
      <w:r w:rsidRPr="009351CB">
        <w:rPr>
          <w:rFonts w:ascii="Times New Roman" w:hAnsi="Times New Roman"/>
          <w:b/>
          <w:i w:val="0"/>
          <w:noProof w:val="0"/>
          <w:sz w:val="24"/>
          <w:szCs w:val="24"/>
          <w:lang w:val="en-GB" w:eastAsia="en-GB"/>
        </w:rPr>
        <w:t>Information Regulator</w:t>
      </w:r>
    </w:p>
    <w:p w14:paraId="18AF5A63" w14:textId="77777777" w:rsidR="000657A6" w:rsidRPr="009351CB" w:rsidRDefault="000657A6" w:rsidP="009351CB">
      <w:pPr>
        <w:pStyle w:val="BodySingle"/>
        <w:spacing w:line="360" w:lineRule="auto"/>
        <w:ind w:left="540"/>
        <w:rPr>
          <w:rFonts w:ascii="Times New Roman" w:hAnsi="Times New Roman"/>
          <w:b/>
          <w:i w:val="0"/>
          <w:noProof w:val="0"/>
          <w:sz w:val="24"/>
          <w:szCs w:val="24"/>
          <w:lang w:val="en-GB" w:eastAsia="en-GB"/>
        </w:rPr>
      </w:pPr>
    </w:p>
    <w:p w14:paraId="1A2B39A5" w14:textId="77777777" w:rsidR="000657A6" w:rsidRPr="009351CB" w:rsidRDefault="000657A6" w:rsidP="00F151D4">
      <w:pPr>
        <w:numPr>
          <w:ilvl w:val="1"/>
          <w:numId w:val="2"/>
        </w:numPr>
        <w:spacing w:line="360" w:lineRule="auto"/>
        <w:ind w:hanging="862"/>
        <w:jc w:val="both"/>
      </w:pPr>
      <w:r w:rsidRPr="009351CB">
        <w:t xml:space="preserve">The Protection of Personal Information Act, 2013, (POPIA) regulates the processing of personal information by providing a framework that sets out the minimum standards that responsible parties must comply with when processing personal information. The Act applies to public and private bodies, including juristic persons, and aims to achieve a balance between the free-flow of information and the right to privacy. The Information Regulator is established in terms of section 39 of POPIA and has a wide range of powers and functions </w:t>
      </w:r>
      <w:r w:rsidR="004C40B7" w:rsidRPr="009351CB">
        <w:t>regarding</w:t>
      </w:r>
      <w:r w:rsidRPr="009351CB">
        <w:t xml:space="preserve"> promoting</w:t>
      </w:r>
      <w:r w:rsidR="004C40B7" w:rsidRPr="009351CB">
        <w:t xml:space="preserve"> and</w:t>
      </w:r>
      <w:r w:rsidRPr="009351CB">
        <w:t xml:space="preserve"> enforcing the right to privacy.</w:t>
      </w:r>
    </w:p>
    <w:p w14:paraId="074F32D5" w14:textId="77777777" w:rsidR="000657A6" w:rsidRPr="009351CB" w:rsidRDefault="000657A6" w:rsidP="009351CB">
      <w:pPr>
        <w:spacing w:line="360" w:lineRule="auto"/>
        <w:ind w:left="720"/>
        <w:jc w:val="both"/>
      </w:pPr>
    </w:p>
    <w:p w14:paraId="045DB839" w14:textId="77777777" w:rsidR="000657A6" w:rsidRPr="009351CB" w:rsidRDefault="000657A6" w:rsidP="009351CB">
      <w:pPr>
        <w:numPr>
          <w:ilvl w:val="1"/>
          <w:numId w:val="2"/>
        </w:numPr>
        <w:spacing w:line="360" w:lineRule="auto"/>
        <w:jc w:val="both"/>
      </w:pPr>
      <w:r w:rsidRPr="009351CB">
        <w:t>POPIA also transfers certain key responsibilities concerning the Promotion of Access to Information Act, 2000, (PAIA) to the Information Regulator. These include the handling of complaints, conducting investigations, and making assessments about compliance by public and private bodies.</w:t>
      </w:r>
    </w:p>
    <w:p w14:paraId="1A7127F2" w14:textId="77777777" w:rsidR="000657A6" w:rsidRPr="009351CB" w:rsidRDefault="000657A6" w:rsidP="009351CB">
      <w:pPr>
        <w:pStyle w:val="ListParagraph"/>
        <w:spacing w:line="360" w:lineRule="auto"/>
      </w:pPr>
    </w:p>
    <w:p w14:paraId="02161C1A" w14:textId="77777777" w:rsidR="000657A6" w:rsidRPr="009351CB" w:rsidRDefault="000657A6" w:rsidP="009351CB">
      <w:pPr>
        <w:numPr>
          <w:ilvl w:val="1"/>
          <w:numId w:val="2"/>
        </w:numPr>
        <w:spacing w:line="360" w:lineRule="auto"/>
        <w:jc w:val="both"/>
      </w:pPr>
      <w:r w:rsidRPr="009351CB">
        <w:t>At present, only those parts of the Act relating to the establishment of the Regulator are operational</w:t>
      </w:r>
      <w:r w:rsidR="004C40B7" w:rsidRPr="009351CB">
        <w:t xml:space="preserve">. </w:t>
      </w:r>
      <w:r w:rsidR="005C6AF7" w:rsidRPr="009351CB">
        <w:t>Once t</w:t>
      </w:r>
      <w:r w:rsidRPr="009351CB">
        <w:t>he Regulator has reached a stage of operational readiness</w:t>
      </w:r>
      <w:r w:rsidR="005C6AF7" w:rsidRPr="009351CB">
        <w:t xml:space="preserve">, </w:t>
      </w:r>
      <w:r w:rsidRPr="009351CB">
        <w:t xml:space="preserve">the remaining provisions </w:t>
      </w:r>
      <w:r w:rsidR="005C6AF7" w:rsidRPr="009351CB">
        <w:t xml:space="preserve">will </w:t>
      </w:r>
      <w:r w:rsidRPr="009351CB">
        <w:t xml:space="preserve">come into force. </w:t>
      </w:r>
    </w:p>
    <w:p w14:paraId="2540B2DE" w14:textId="77777777" w:rsidR="000657A6" w:rsidRPr="009351CB" w:rsidRDefault="000657A6" w:rsidP="009351CB">
      <w:pPr>
        <w:spacing w:line="360" w:lineRule="auto"/>
        <w:ind w:left="720"/>
        <w:jc w:val="both"/>
      </w:pPr>
    </w:p>
    <w:p w14:paraId="3E1AA294" w14:textId="6E503335" w:rsidR="000657A6" w:rsidRPr="009351CB" w:rsidRDefault="000657A6" w:rsidP="009351CB">
      <w:pPr>
        <w:numPr>
          <w:ilvl w:val="1"/>
          <w:numId w:val="2"/>
        </w:numPr>
        <w:spacing w:line="360" w:lineRule="auto"/>
        <w:jc w:val="both"/>
      </w:pPr>
      <w:r w:rsidRPr="009351CB">
        <w:t xml:space="preserve">In terms of POPIA, the Regulator is given the power to determine its own administration in consultation with the Minister of Finance. </w:t>
      </w:r>
      <w:r w:rsidR="00F726C3" w:rsidRPr="009351CB">
        <w:t>The Regulator has an approved structure of 430 posts and plans to appoint 41 staff members in 2020/21.</w:t>
      </w:r>
    </w:p>
    <w:p w14:paraId="1EDBCD87" w14:textId="77777777" w:rsidR="000657A6" w:rsidRPr="009351CB" w:rsidRDefault="000657A6" w:rsidP="009351CB">
      <w:pPr>
        <w:spacing w:line="360" w:lineRule="auto"/>
        <w:ind w:left="720"/>
        <w:jc w:val="both"/>
      </w:pPr>
    </w:p>
    <w:p w14:paraId="71686BA3" w14:textId="77777777" w:rsidR="000657A6" w:rsidRPr="009351CB" w:rsidRDefault="000657A6" w:rsidP="00F151D4">
      <w:pPr>
        <w:numPr>
          <w:ilvl w:val="1"/>
          <w:numId w:val="2"/>
        </w:numPr>
        <w:spacing w:line="360" w:lineRule="auto"/>
        <w:ind w:hanging="862"/>
        <w:jc w:val="both"/>
      </w:pPr>
      <w:r w:rsidRPr="009351CB">
        <w:t xml:space="preserve">The Regulator </w:t>
      </w:r>
      <w:r w:rsidR="005C6AF7" w:rsidRPr="009351CB">
        <w:t xml:space="preserve">has </w:t>
      </w:r>
      <w:r w:rsidR="00646178" w:rsidRPr="009351CB">
        <w:t>sub-lease</w:t>
      </w:r>
      <w:r w:rsidR="005C6AF7" w:rsidRPr="009351CB">
        <w:t>d</w:t>
      </w:r>
      <w:r w:rsidR="00646178" w:rsidRPr="009351CB">
        <w:t xml:space="preserve"> accommodation from the SAHRC from 1 January 2019.</w:t>
      </w:r>
    </w:p>
    <w:p w14:paraId="4DF643E0" w14:textId="77777777" w:rsidR="000657A6" w:rsidRPr="009351CB" w:rsidRDefault="000657A6" w:rsidP="009351CB">
      <w:pPr>
        <w:spacing w:line="360" w:lineRule="auto"/>
        <w:ind w:left="720"/>
        <w:jc w:val="both"/>
      </w:pPr>
    </w:p>
    <w:p w14:paraId="7B96C55C" w14:textId="77777777" w:rsidR="008C618A" w:rsidRPr="009351CB" w:rsidRDefault="008C618A" w:rsidP="00F151D4">
      <w:pPr>
        <w:numPr>
          <w:ilvl w:val="1"/>
          <w:numId w:val="2"/>
        </w:numPr>
        <w:spacing w:line="360" w:lineRule="auto"/>
        <w:ind w:hanging="862"/>
        <w:jc w:val="both"/>
      </w:pPr>
      <w:r w:rsidRPr="009351CB">
        <w:t xml:space="preserve">The Regulator has entered into a memorandum of understanding with the SAHRC regarding the transfer of PAIA functions and </w:t>
      </w:r>
      <w:r w:rsidR="00285BD5" w:rsidRPr="009351CB">
        <w:t xml:space="preserve">a </w:t>
      </w:r>
      <w:r w:rsidRPr="009351CB">
        <w:t>joint committee is to develop an action plan to ensure a seamless transf</w:t>
      </w:r>
      <w:r w:rsidR="00285BD5" w:rsidRPr="009351CB">
        <w:t>er of these functions</w:t>
      </w:r>
      <w:r w:rsidRPr="009351CB">
        <w:t xml:space="preserve"> to the Regulator.</w:t>
      </w:r>
    </w:p>
    <w:p w14:paraId="621E4438" w14:textId="77777777" w:rsidR="008C618A" w:rsidRPr="009351CB" w:rsidRDefault="008C618A" w:rsidP="009351CB">
      <w:pPr>
        <w:pStyle w:val="ListParagraph"/>
        <w:spacing w:line="360" w:lineRule="auto"/>
      </w:pPr>
    </w:p>
    <w:p w14:paraId="3E2C0477" w14:textId="77777777" w:rsidR="000657A6" w:rsidRPr="009351CB" w:rsidRDefault="000657A6" w:rsidP="00F151D4">
      <w:pPr>
        <w:numPr>
          <w:ilvl w:val="1"/>
          <w:numId w:val="2"/>
        </w:numPr>
        <w:spacing w:line="360" w:lineRule="auto"/>
        <w:ind w:hanging="862"/>
        <w:jc w:val="both"/>
        <w:rPr>
          <w:color w:val="000000" w:themeColor="text1"/>
        </w:rPr>
      </w:pPr>
      <w:r w:rsidRPr="009351CB">
        <w:t>The</w:t>
      </w:r>
      <w:r w:rsidRPr="009351CB">
        <w:rPr>
          <w:color w:val="000000" w:themeColor="text1"/>
        </w:rPr>
        <w:t xml:space="preserve"> Regulator has encountered the following challenges:</w:t>
      </w:r>
    </w:p>
    <w:p w14:paraId="39B42731" w14:textId="77777777" w:rsidR="000657A6" w:rsidRPr="009351CB" w:rsidRDefault="000657A6" w:rsidP="004F6019">
      <w:pPr>
        <w:numPr>
          <w:ilvl w:val="0"/>
          <w:numId w:val="4"/>
        </w:numPr>
        <w:spacing w:line="360" w:lineRule="auto"/>
        <w:jc w:val="both"/>
        <w:rPr>
          <w:color w:val="000000" w:themeColor="text1"/>
        </w:rPr>
      </w:pPr>
      <w:r w:rsidRPr="009351CB">
        <w:rPr>
          <w:color w:val="000000" w:themeColor="text1"/>
        </w:rPr>
        <w:t>The slow pace of its establishment, which has affected the commencement of the remaining sections of POPIA.</w:t>
      </w:r>
    </w:p>
    <w:p w14:paraId="4F505419" w14:textId="77777777" w:rsidR="000657A6" w:rsidRPr="009351CB" w:rsidRDefault="000657A6" w:rsidP="004F6019">
      <w:pPr>
        <w:numPr>
          <w:ilvl w:val="0"/>
          <w:numId w:val="4"/>
        </w:numPr>
        <w:spacing w:line="360" w:lineRule="auto"/>
        <w:jc w:val="both"/>
        <w:rPr>
          <w:color w:val="000000" w:themeColor="text1"/>
        </w:rPr>
      </w:pPr>
      <w:r w:rsidRPr="009351CB">
        <w:rPr>
          <w:color w:val="000000" w:themeColor="text1"/>
        </w:rPr>
        <w:t>Delays in the finalisation of the organisational structure.</w:t>
      </w:r>
    </w:p>
    <w:p w14:paraId="57B71FFE" w14:textId="77777777" w:rsidR="000657A6" w:rsidRPr="009351CB" w:rsidRDefault="000657A6" w:rsidP="004F6019">
      <w:pPr>
        <w:numPr>
          <w:ilvl w:val="0"/>
          <w:numId w:val="4"/>
        </w:numPr>
        <w:spacing w:line="360" w:lineRule="auto"/>
        <w:jc w:val="both"/>
        <w:rPr>
          <w:color w:val="000000" w:themeColor="text1"/>
        </w:rPr>
      </w:pPr>
      <w:r w:rsidRPr="009351CB">
        <w:rPr>
          <w:color w:val="000000" w:themeColor="text1"/>
        </w:rPr>
        <w:t>Limited capacity and a growing workload/demand for services.</w:t>
      </w:r>
    </w:p>
    <w:p w14:paraId="2753361B" w14:textId="77777777" w:rsidR="000657A6" w:rsidRPr="009351CB" w:rsidRDefault="000657A6" w:rsidP="009351CB">
      <w:pPr>
        <w:spacing w:line="360" w:lineRule="auto"/>
        <w:jc w:val="both"/>
      </w:pPr>
    </w:p>
    <w:p w14:paraId="3E4F73B0" w14:textId="77777777" w:rsidR="000657A6" w:rsidRPr="009351CB" w:rsidRDefault="000657A6" w:rsidP="009351CB">
      <w:pPr>
        <w:spacing w:line="360" w:lineRule="auto"/>
        <w:jc w:val="both"/>
      </w:pPr>
    </w:p>
    <w:p w14:paraId="09160487" w14:textId="2523D7D8" w:rsidR="00106280" w:rsidRPr="009351CB" w:rsidRDefault="00106280" w:rsidP="009351CB">
      <w:pPr>
        <w:pStyle w:val="ListParagraph"/>
        <w:spacing w:line="360" w:lineRule="auto"/>
        <w:jc w:val="center"/>
        <w:rPr>
          <w:b/>
        </w:rPr>
      </w:pPr>
      <w:r w:rsidRPr="009351CB">
        <w:rPr>
          <w:b/>
        </w:rPr>
        <w:t>Part 3</w:t>
      </w:r>
    </w:p>
    <w:p w14:paraId="6B1C3376" w14:textId="035F4593" w:rsidR="00E4277C" w:rsidRPr="009351CB" w:rsidRDefault="00E4277C" w:rsidP="009351CB">
      <w:pPr>
        <w:pStyle w:val="ListParagraph"/>
        <w:spacing w:line="360" w:lineRule="auto"/>
        <w:jc w:val="center"/>
        <w:rPr>
          <w:b/>
        </w:rPr>
      </w:pPr>
      <w:r w:rsidRPr="009351CB">
        <w:rPr>
          <w:b/>
        </w:rPr>
        <w:t>Auxiliary and Associated Services</w:t>
      </w:r>
    </w:p>
    <w:p w14:paraId="2CB85D80" w14:textId="77777777" w:rsidR="00106280" w:rsidRPr="009351CB" w:rsidRDefault="00106280" w:rsidP="009351CB">
      <w:pPr>
        <w:pStyle w:val="ListParagraph"/>
        <w:spacing w:line="360" w:lineRule="auto"/>
        <w:rPr>
          <w:b/>
        </w:rPr>
      </w:pPr>
    </w:p>
    <w:p w14:paraId="750B5366" w14:textId="77777777" w:rsidR="00106280" w:rsidRPr="009351CB" w:rsidRDefault="00106280" w:rsidP="009351CB">
      <w:pPr>
        <w:pStyle w:val="BodySingle"/>
        <w:numPr>
          <w:ilvl w:val="0"/>
          <w:numId w:val="2"/>
        </w:numPr>
        <w:tabs>
          <w:tab w:val="clear" w:pos="360"/>
          <w:tab w:val="num" w:pos="709"/>
        </w:tabs>
        <w:spacing w:line="360" w:lineRule="auto"/>
        <w:ind w:left="709" w:hanging="709"/>
        <w:rPr>
          <w:rFonts w:ascii="Times New Roman" w:hAnsi="Times New Roman"/>
          <w:b/>
          <w:i w:val="0"/>
          <w:color w:val="000000" w:themeColor="text1"/>
          <w:sz w:val="24"/>
          <w:szCs w:val="24"/>
          <w:lang w:val="en-ZA" w:eastAsia="en-GB"/>
        </w:rPr>
      </w:pPr>
      <w:r w:rsidRPr="009351CB">
        <w:rPr>
          <w:rStyle w:val="AGHeading1blueCharChar"/>
          <w:rFonts w:ascii="Times New Roman" w:eastAsia="Batang" w:hAnsi="Times New Roman"/>
          <w:b/>
          <w:i w:val="0"/>
          <w:caps w:val="0"/>
          <w:color w:val="000000" w:themeColor="text1"/>
          <w:sz w:val="24"/>
          <w:szCs w:val="24"/>
        </w:rPr>
        <w:t>Legal Aid South Africa</w:t>
      </w:r>
    </w:p>
    <w:p w14:paraId="55DD0B9E" w14:textId="77777777" w:rsidR="00BC5A32" w:rsidRPr="009351CB" w:rsidRDefault="00BC5A32" w:rsidP="009351CB">
      <w:pPr>
        <w:spacing w:line="360" w:lineRule="auto"/>
        <w:rPr>
          <w:b/>
          <w:color w:val="000000" w:themeColor="text1"/>
        </w:rPr>
      </w:pPr>
    </w:p>
    <w:p w14:paraId="1C138D5C" w14:textId="414CD514" w:rsidR="00106280" w:rsidRPr="009351CB" w:rsidRDefault="00106280" w:rsidP="00F151D4">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eastAsiaTheme="minorHAnsi" w:hAnsi="Times New Roman"/>
          <w:i w:val="0"/>
          <w:color w:val="000000"/>
          <w:sz w:val="24"/>
          <w:szCs w:val="24"/>
          <w:lang w:val="en-ZA"/>
        </w:rPr>
      </w:pPr>
      <w:r w:rsidRPr="009351CB">
        <w:rPr>
          <w:rFonts w:ascii="Times New Roman" w:hAnsi="Times New Roman"/>
          <w:i w:val="0"/>
          <w:sz w:val="24"/>
          <w:szCs w:val="24"/>
        </w:rPr>
        <w:t>Legal</w:t>
      </w:r>
      <w:r w:rsidRPr="009351CB">
        <w:rPr>
          <w:rFonts w:ascii="Times New Roman" w:hAnsi="Times New Roman"/>
          <w:i w:val="0"/>
          <w:color w:val="000000" w:themeColor="text1"/>
          <w:sz w:val="24"/>
          <w:szCs w:val="24"/>
        </w:rPr>
        <w:t xml:space="preserve"> Aid SA is an autonomous statutory body that derives its mandate from the Constitution, 1996; the Legal Aid </w:t>
      </w:r>
      <w:r w:rsidR="00EB3E7C" w:rsidRPr="009351CB">
        <w:rPr>
          <w:rFonts w:ascii="Times New Roman" w:hAnsi="Times New Roman"/>
          <w:i w:val="0"/>
          <w:color w:val="000000" w:themeColor="text1"/>
          <w:sz w:val="24"/>
          <w:szCs w:val="24"/>
        </w:rPr>
        <w:t xml:space="preserve">South Africa </w:t>
      </w:r>
      <w:r w:rsidRPr="009351CB">
        <w:rPr>
          <w:rFonts w:ascii="Times New Roman" w:hAnsi="Times New Roman"/>
          <w:i w:val="0"/>
          <w:color w:val="000000" w:themeColor="text1"/>
          <w:sz w:val="24"/>
          <w:szCs w:val="24"/>
        </w:rPr>
        <w:t xml:space="preserve">Act 39 of 2014; and other legislation requiring the government to provide legal assistance to the indigent. Its main objective is to make </w:t>
      </w:r>
      <w:r w:rsidR="00F726C3" w:rsidRPr="009351CB">
        <w:rPr>
          <w:rFonts w:ascii="Times New Roman" w:hAnsi="Times New Roman"/>
          <w:i w:val="0"/>
          <w:color w:val="000000" w:themeColor="text1"/>
          <w:sz w:val="24"/>
          <w:szCs w:val="24"/>
        </w:rPr>
        <w:t>l</w:t>
      </w:r>
      <w:r w:rsidRPr="009351CB">
        <w:rPr>
          <w:rFonts w:ascii="Times New Roman" w:hAnsi="Times New Roman"/>
          <w:i w:val="0"/>
          <w:color w:val="000000" w:themeColor="text1"/>
          <w:sz w:val="24"/>
          <w:szCs w:val="24"/>
        </w:rPr>
        <w:t xml:space="preserve">egal representation </w:t>
      </w:r>
      <w:r w:rsidR="00F726C3" w:rsidRPr="009351CB">
        <w:rPr>
          <w:rFonts w:ascii="Times New Roman" w:hAnsi="Times New Roman"/>
          <w:i w:val="0"/>
          <w:color w:val="000000" w:themeColor="text1"/>
          <w:sz w:val="24"/>
          <w:szCs w:val="24"/>
        </w:rPr>
        <w:t xml:space="preserve">available </w:t>
      </w:r>
      <w:r w:rsidRPr="009351CB">
        <w:rPr>
          <w:rFonts w:ascii="Times New Roman" w:hAnsi="Times New Roman"/>
          <w:i w:val="0"/>
          <w:color w:val="000000" w:themeColor="text1"/>
          <w:sz w:val="24"/>
          <w:szCs w:val="24"/>
        </w:rPr>
        <w:t>to indigent persons at State expense</w:t>
      </w:r>
      <w:r w:rsidR="0043590D" w:rsidRPr="009351CB">
        <w:rPr>
          <w:rFonts w:ascii="Times New Roman" w:hAnsi="Times New Roman"/>
          <w:i w:val="0"/>
          <w:color w:val="000000" w:themeColor="text1"/>
          <w:sz w:val="24"/>
          <w:szCs w:val="24"/>
        </w:rPr>
        <w:t xml:space="preserve">, </w:t>
      </w:r>
      <w:r w:rsidRPr="009351CB">
        <w:rPr>
          <w:rFonts w:ascii="Times New Roman" w:hAnsi="Times New Roman"/>
          <w:i w:val="0"/>
          <w:color w:val="000000" w:themeColor="text1"/>
          <w:sz w:val="24"/>
          <w:szCs w:val="24"/>
        </w:rPr>
        <w:t xml:space="preserve">ensuring the right of all citizens to access to justice. Notably, the Legal Aid </w:t>
      </w:r>
      <w:r w:rsidR="00EB3E7C" w:rsidRPr="009351CB">
        <w:rPr>
          <w:rFonts w:ascii="Times New Roman" w:hAnsi="Times New Roman"/>
          <w:i w:val="0"/>
          <w:color w:val="000000" w:themeColor="text1"/>
          <w:sz w:val="24"/>
          <w:szCs w:val="24"/>
        </w:rPr>
        <w:t xml:space="preserve">South Africa </w:t>
      </w:r>
      <w:r w:rsidRPr="009351CB">
        <w:rPr>
          <w:rFonts w:ascii="Times New Roman" w:hAnsi="Times New Roman"/>
          <w:i w:val="0"/>
          <w:color w:val="000000" w:themeColor="text1"/>
          <w:sz w:val="24"/>
          <w:szCs w:val="24"/>
        </w:rPr>
        <w:t>Act, 2014</w:t>
      </w:r>
      <w:r w:rsidR="001A0E73" w:rsidRPr="009351CB">
        <w:rPr>
          <w:rFonts w:ascii="Times New Roman" w:hAnsi="Times New Roman"/>
          <w:i w:val="0"/>
          <w:color w:val="000000" w:themeColor="text1"/>
          <w:sz w:val="24"/>
          <w:szCs w:val="24"/>
        </w:rPr>
        <w:t>,</w:t>
      </w:r>
      <w:r w:rsidR="00CD59CD" w:rsidRPr="009351CB">
        <w:rPr>
          <w:rFonts w:ascii="Times New Roman" w:hAnsi="Times New Roman"/>
          <w:i w:val="0"/>
          <w:color w:val="000000" w:themeColor="text1"/>
          <w:sz w:val="24"/>
          <w:szCs w:val="24"/>
        </w:rPr>
        <w:t xml:space="preserve"> </w:t>
      </w:r>
      <w:r w:rsidRPr="009351CB">
        <w:rPr>
          <w:rFonts w:ascii="Times New Roman" w:hAnsi="Times New Roman"/>
          <w:i w:val="0"/>
          <w:color w:val="000000" w:themeColor="text1"/>
          <w:sz w:val="24"/>
          <w:szCs w:val="24"/>
        </w:rPr>
        <w:t>provides that Legal Aid SA must render or make available legal aid and legal advice; provide legal representation at state expense; and provide education and information concerning legal rights and obligations, as envisaged in the Constitution.</w:t>
      </w:r>
      <w:r w:rsidRPr="009351CB">
        <w:rPr>
          <w:rFonts w:ascii="Times New Roman" w:eastAsiaTheme="minorHAnsi" w:hAnsi="Times New Roman"/>
          <w:i w:val="0"/>
          <w:color w:val="000000" w:themeColor="text1"/>
          <w:sz w:val="24"/>
          <w:szCs w:val="24"/>
          <w:lang w:val="en-ZA"/>
        </w:rPr>
        <w:t xml:space="preserve"> </w:t>
      </w:r>
    </w:p>
    <w:p w14:paraId="3522B78C" w14:textId="77777777" w:rsidR="00106280" w:rsidRPr="009351CB" w:rsidRDefault="00106280" w:rsidP="009351CB">
      <w:pPr>
        <w:spacing w:line="360" w:lineRule="auto"/>
        <w:ind w:left="720"/>
        <w:jc w:val="both"/>
        <w:rPr>
          <w:color w:val="000000" w:themeColor="text1"/>
        </w:rPr>
      </w:pPr>
    </w:p>
    <w:p w14:paraId="0FE84762" w14:textId="77777777" w:rsidR="00FF1A5E" w:rsidRPr="009351CB" w:rsidRDefault="008A4DE8" w:rsidP="00F151D4">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i w:val="0"/>
          <w:sz w:val="24"/>
          <w:szCs w:val="24"/>
          <w:lang w:val="en-ZA"/>
        </w:rPr>
      </w:pPr>
      <w:r w:rsidRPr="009351CB">
        <w:rPr>
          <w:rFonts w:ascii="Times New Roman" w:hAnsi="Times New Roman"/>
          <w:i w:val="0"/>
          <w:sz w:val="24"/>
          <w:szCs w:val="24"/>
          <w:lang w:val="en-ZA"/>
        </w:rPr>
        <w:t>The over</w:t>
      </w:r>
      <w:r w:rsidR="001A0E73" w:rsidRPr="009351CB">
        <w:rPr>
          <w:rFonts w:ascii="Times New Roman" w:hAnsi="Times New Roman"/>
          <w:i w:val="0"/>
          <w:sz w:val="24"/>
          <w:szCs w:val="24"/>
          <w:lang w:val="en-ZA"/>
        </w:rPr>
        <w:t>all strategic shift in the 2015</w:t>
      </w:r>
      <w:r w:rsidRPr="009351CB">
        <w:rPr>
          <w:rFonts w:ascii="Times New Roman" w:hAnsi="Times New Roman"/>
          <w:i w:val="0"/>
          <w:sz w:val="24"/>
          <w:szCs w:val="24"/>
          <w:lang w:val="en-ZA"/>
        </w:rPr>
        <w:t>-2020 period focuses on increased o</w:t>
      </w:r>
      <w:r w:rsidR="00EB3E7C" w:rsidRPr="009351CB">
        <w:rPr>
          <w:rFonts w:ascii="Times New Roman" w:hAnsi="Times New Roman"/>
          <w:i w:val="0"/>
          <w:sz w:val="24"/>
          <w:szCs w:val="24"/>
          <w:lang w:val="en-ZA"/>
        </w:rPr>
        <w:t>rganisational maturity</w:t>
      </w:r>
      <w:r w:rsidRPr="009351CB">
        <w:rPr>
          <w:rFonts w:ascii="Times New Roman" w:hAnsi="Times New Roman"/>
          <w:i w:val="0"/>
          <w:sz w:val="24"/>
          <w:szCs w:val="24"/>
          <w:lang w:val="en-ZA"/>
        </w:rPr>
        <w:t xml:space="preserve"> and sustainable high performance in all segments of the organisation over the next decade, positively touching the lives of many more South Africans to ensure the outcome of quality justice for all. </w:t>
      </w:r>
    </w:p>
    <w:p w14:paraId="5D07460E" w14:textId="77777777" w:rsidR="00FF1A5E" w:rsidRPr="009351CB" w:rsidRDefault="00FF1A5E" w:rsidP="009351CB">
      <w:pPr>
        <w:pStyle w:val="ListParagraph"/>
        <w:spacing w:line="360" w:lineRule="auto"/>
        <w:rPr>
          <w:i/>
        </w:rPr>
      </w:pPr>
    </w:p>
    <w:p w14:paraId="7B175D8D" w14:textId="77777777" w:rsidR="008A4DE8" w:rsidRPr="009351CB" w:rsidRDefault="00FF1A5E" w:rsidP="00F151D4">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i w:val="0"/>
          <w:sz w:val="24"/>
          <w:szCs w:val="24"/>
          <w:lang w:val="en-ZA"/>
        </w:rPr>
      </w:pPr>
      <w:r w:rsidRPr="009351CB">
        <w:rPr>
          <w:rFonts w:ascii="Times New Roman" w:hAnsi="Times New Roman"/>
          <w:i w:val="0"/>
          <w:sz w:val="24"/>
          <w:szCs w:val="24"/>
          <w:lang w:val="en-ZA"/>
        </w:rPr>
        <w:t xml:space="preserve">In 2018/19, Legal Aid SA continued to fulfill the requirements of the </w:t>
      </w:r>
      <w:r w:rsidR="00EB3E7C" w:rsidRPr="009351CB">
        <w:rPr>
          <w:rFonts w:ascii="Times New Roman" w:hAnsi="Times New Roman"/>
          <w:i w:val="0"/>
          <w:sz w:val="24"/>
          <w:szCs w:val="24"/>
          <w:lang w:val="en-ZA"/>
        </w:rPr>
        <w:t xml:space="preserve">fourth </w:t>
      </w:r>
      <w:r w:rsidR="00F92226" w:rsidRPr="009351CB">
        <w:rPr>
          <w:rFonts w:ascii="Times New Roman" w:hAnsi="Times New Roman"/>
          <w:i w:val="0"/>
          <w:sz w:val="24"/>
          <w:szCs w:val="24"/>
          <w:lang w:val="en-ZA"/>
        </w:rPr>
        <w:t xml:space="preserve">year </w:t>
      </w:r>
      <w:r w:rsidRPr="009351CB">
        <w:rPr>
          <w:rFonts w:ascii="Times New Roman" w:hAnsi="Times New Roman"/>
          <w:i w:val="0"/>
          <w:sz w:val="24"/>
          <w:szCs w:val="24"/>
          <w:lang w:val="en-ZA"/>
        </w:rPr>
        <w:t xml:space="preserve">of </w:t>
      </w:r>
      <w:r w:rsidR="00546D85" w:rsidRPr="009351CB">
        <w:rPr>
          <w:rFonts w:ascii="Times New Roman" w:hAnsi="Times New Roman"/>
          <w:i w:val="0"/>
          <w:sz w:val="24"/>
          <w:szCs w:val="24"/>
          <w:lang w:val="en-ZA"/>
        </w:rPr>
        <w:t xml:space="preserve">the </w:t>
      </w:r>
      <w:r w:rsidR="008A4DE8" w:rsidRPr="009351CB">
        <w:rPr>
          <w:rFonts w:ascii="Times New Roman" w:hAnsi="Times New Roman"/>
          <w:i w:val="0"/>
          <w:sz w:val="24"/>
          <w:szCs w:val="24"/>
          <w:lang w:val="en-ZA"/>
        </w:rPr>
        <w:t>Strategic Plan 2015</w:t>
      </w:r>
      <w:r w:rsidRPr="009351CB">
        <w:rPr>
          <w:rFonts w:ascii="Times New Roman" w:hAnsi="Times New Roman"/>
          <w:i w:val="0"/>
          <w:sz w:val="24"/>
          <w:szCs w:val="24"/>
          <w:lang w:val="en-ZA"/>
        </w:rPr>
        <w:t xml:space="preserve"> </w:t>
      </w:r>
      <w:r w:rsidR="008A4DE8" w:rsidRPr="009351CB">
        <w:rPr>
          <w:rFonts w:ascii="Times New Roman" w:hAnsi="Times New Roman"/>
          <w:i w:val="0"/>
          <w:sz w:val="24"/>
          <w:szCs w:val="24"/>
          <w:lang w:val="en-ZA"/>
        </w:rPr>
        <w:t>- 2020</w:t>
      </w:r>
      <w:r w:rsidR="00EB3E7C" w:rsidRPr="009351CB">
        <w:rPr>
          <w:rFonts w:ascii="Times New Roman" w:hAnsi="Times New Roman"/>
          <w:i w:val="0"/>
          <w:sz w:val="24"/>
          <w:szCs w:val="24"/>
          <w:lang w:val="en-ZA"/>
        </w:rPr>
        <w:t>,</w:t>
      </w:r>
      <w:r w:rsidR="00994F1E" w:rsidRPr="009351CB">
        <w:rPr>
          <w:rFonts w:ascii="Times New Roman" w:hAnsi="Times New Roman"/>
          <w:i w:val="0"/>
          <w:sz w:val="24"/>
          <w:szCs w:val="24"/>
          <w:lang w:val="en-ZA"/>
        </w:rPr>
        <w:t xml:space="preserve"> with delivery on more than 9</w:t>
      </w:r>
      <w:r w:rsidR="00EB3E7C" w:rsidRPr="009351CB">
        <w:rPr>
          <w:rFonts w:ascii="Times New Roman" w:hAnsi="Times New Roman"/>
          <w:i w:val="0"/>
          <w:sz w:val="24"/>
          <w:szCs w:val="24"/>
          <w:lang w:val="en-ZA"/>
        </w:rPr>
        <w:t>0% of</w:t>
      </w:r>
      <w:r w:rsidR="00994F1E" w:rsidRPr="009351CB">
        <w:rPr>
          <w:rFonts w:ascii="Times New Roman" w:hAnsi="Times New Roman"/>
          <w:i w:val="0"/>
          <w:sz w:val="24"/>
          <w:szCs w:val="24"/>
          <w:lang w:val="en-ZA"/>
        </w:rPr>
        <w:t xml:space="preserve"> </w:t>
      </w:r>
      <w:r w:rsidRPr="009351CB">
        <w:rPr>
          <w:rFonts w:ascii="Times New Roman" w:hAnsi="Times New Roman"/>
          <w:i w:val="0"/>
          <w:sz w:val="24"/>
          <w:szCs w:val="24"/>
          <w:lang w:val="en-ZA"/>
        </w:rPr>
        <w:t xml:space="preserve">the </w:t>
      </w:r>
      <w:r w:rsidR="00994F1E" w:rsidRPr="009351CB">
        <w:rPr>
          <w:rFonts w:ascii="Times New Roman" w:hAnsi="Times New Roman"/>
          <w:i w:val="0"/>
          <w:sz w:val="24"/>
          <w:szCs w:val="24"/>
          <w:lang w:val="en-ZA"/>
        </w:rPr>
        <w:t>targets</w:t>
      </w:r>
      <w:r w:rsidR="00EB3E7C" w:rsidRPr="009351CB">
        <w:rPr>
          <w:rFonts w:ascii="Times New Roman" w:hAnsi="Times New Roman"/>
          <w:i w:val="0"/>
          <w:sz w:val="24"/>
          <w:szCs w:val="24"/>
          <w:lang w:val="en-ZA"/>
        </w:rPr>
        <w:t xml:space="preserve"> </w:t>
      </w:r>
      <w:r w:rsidRPr="009351CB">
        <w:rPr>
          <w:rFonts w:ascii="Times New Roman" w:hAnsi="Times New Roman"/>
          <w:i w:val="0"/>
          <w:sz w:val="24"/>
          <w:szCs w:val="24"/>
          <w:lang w:val="en-ZA"/>
        </w:rPr>
        <w:t xml:space="preserve">set in the Business Plan 2018 - </w:t>
      </w:r>
      <w:r w:rsidR="00EB3E7C" w:rsidRPr="009351CB">
        <w:rPr>
          <w:rFonts w:ascii="Times New Roman" w:hAnsi="Times New Roman"/>
          <w:i w:val="0"/>
          <w:sz w:val="24"/>
          <w:szCs w:val="24"/>
          <w:lang w:val="en-ZA"/>
        </w:rPr>
        <w:t>19</w:t>
      </w:r>
      <w:r w:rsidR="008A4DE8" w:rsidRPr="009351CB">
        <w:rPr>
          <w:rFonts w:ascii="Times New Roman" w:hAnsi="Times New Roman"/>
          <w:i w:val="0"/>
          <w:sz w:val="24"/>
          <w:szCs w:val="24"/>
          <w:lang w:val="en-ZA"/>
        </w:rPr>
        <w:t>.</w:t>
      </w:r>
    </w:p>
    <w:p w14:paraId="4A6CDB97" w14:textId="77777777" w:rsidR="00EB3E7C" w:rsidRPr="009351CB" w:rsidRDefault="00EB3E7C" w:rsidP="009351CB">
      <w:pPr>
        <w:pStyle w:val="ListParagraph"/>
        <w:spacing w:line="360" w:lineRule="auto"/>
        <w:rPr>
          <w:i/>
        </w:rPr>
      </w:pPr>
    </w:p>
    <w:p w14:paraId="4D3102F3" w14:textId="77777777" w:rsidR="00EB3E7C" w:rsidRPr="009351CB" w:rsidRDefault="00EB3E7C" w:rsidP="00F151D4">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i w:val="0"/>
          <w:sz w:val="24"/>
          <w:szCs w:val="24"/>
          <w:lang w:val="en-ZA"/>
        </w:rPr>
      </w:pPr>
      <w:r w:rsidRPr="009351CB">
        <w:rPr>
          <w:rFonts w:ascii="Times New Roman" w:hAnsi="Times New Roman"/>
          <w:i w:val="0"/>
          <w:sz w:val="24"/>
          <w:szCs w:val="24"/>
          <w:lang w:val="en-ZA"/>
        </w:rPr>
        <w:t xml:space="preserve">Notably the 2018/19 financial year was the final year of the Board’s term. The Board reports that it </w:t>
      </w:r>
      <w:r w:rsidR="000D3EA1" w:rsidRPr="009351CB">
        <w:rPr>
          <w:rFonts w:ascii="Times New Roman" w:hAnsi="Times New Roman"/>
          <w:i w:val="0"/>
          <w:sz w:val="24"/>
          <w:szCs w:val="24"/>
          <w:lang w:val="en-ZA"/>
        </w:rPr>
        <w:t xml:space="preserve">prepared a </w:t>
      </w:r>
      <w:r w:rsidR="00563D1B" w:rsidRPr="009351CB">
        <w:rPr>
          <w:rFonts w:ascii="Times New Roman" w:hAnsi="Times New Roman"/>
          <w:i w:val="0"/>
          <w:sz w:val="24"/>
          <w:szCs w:val="24"/>
          <w:lang w:val="en-ZA"/>
        </w:rPr>
        <w:t>handover report for the incoming Board, which assumed its duties on 1 March 2019.</w:t>
      </w:r>
    </w:p>
    <w:p w14:paraId="6C4B0EF9" w14:textId="77777777" w:rsidR="008A4DE8" w:rsidRPr="009351CB" w:rsidRDefault="008A4DE8" w:rsidP="009351CB">
      <w:pPr>
        <w:autoSpaceDE w:val="0"/>
        <w:autoSpaceDN w:val="0"/>
        <w:adjustRightInd w:val="0"/>
        <w:spacing w:line="360" w:lineRule="auto"/>
        <w:ind w:left="720"/>
      </w:pPr>
    </w:p>
    <w:p w14:paraId="168A597A" w14:textId="77777777" w:rsidR="00773866" w:rsidRPr="009351CB" w:rsidRDefault="008A4DE8" w:rsidP="00F151D4">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i w:val="0"/>
          <w:sz w:val="24"/>
          <w:szCs w:val="24"/>
          <w:lang w:val="en-ZA"/>
        </w:rPr>
      </w:pPr>
      <w:r w:rsidRPr="009351CB">
        <w:rPr>
          <w:rFonts w:ascii="Times New Roman" w:hAnsi="Times New Roman"/>
          <w:bCs/>
          <w:i w:val="0"/>
          <w:sz w:val="24"/>
          <w:szCs w:val="24"/>
        </w:rPr>
        <w:t>Legal</w:t>
      </w:r>
      <w:r w:rsidRPr="009351CB">
        <w:rPr>
          <w:rFonts w:ascii="Times New Roman" w:hAnsi="Times New Roman"/>
          <w:i w:val="0"/>
          <w:sz w:val="24"/>
          <w:szCs w:val="24"/>
          <w:lang w:val="en-ZA"/>
        </w:rPr>
        <w:t xml:space="preserve"> Aid SA’s </w:t>
      </w:r>
      <w:r w:rsidR="00773866" w:rsidRPr="009351CB">
        <w:rPr>
          <w:rFonts w:ascii="Times New Roman" w:hAnsi="Times New Roman"/>
          <w:i w:val="0"/>
          <w:sz w:val="24"/>
          <w:szCs w:val="24"/>
          <w:lang w:val="en-ZA"/>
        </w:rPr>
        <w:t>has the following outcomes and objectives for 2015-2020:</w:t>
      </w:r>
    </w:p>
    <w:p w14:paraId="445DCFC5" w14:textId="77777777" w:rsidR="00916F68" w:rsidRPr="009351CB" w:rsidRDefault="00916F68" w:rsidP="009351CB">
      <w:pPr>
        <w:spacing w:line="360" w:lineRule="auto"/>
        <w:ind w:left="928"/>
        <w:jc w:val="both"/>
        <w:rPr>
          <w:i/>
        </w:rPr>
      </w:pPr>
    </w:p>
    <w:p w14:paraId="4AFAFFAE" w14:textId="31BFC7BD" w:rsidR="00773866" w:rsidRPr="009351CB" w:rsidRDefault="00773866" w:rsidP="004F6019">
      <w:pPr>
        <w:pStyle w:val="ListParagraph"/>
        <w:numPr>
          <w:ilvl w:val="2"/>
          <w:numId w:val="17"/>
        </w:numPr>
        <w:spacing w:line="360" w:lineRule="auto"/>
        <w:jc w:val="both"/>
      </w:pPr>
      <w:r w:rsidRPr="00F151D4">
        <w:rPr>
          <w:color w:val="000000" w:themeColor="text1"/>
        </w:rPr>
        <w:t>Quality</w:t>
      </w:r>
      <w:r w:rsidRPr="009351CB">
        <w:t xml:space="preserve"> justice for all, focussing on the poor and vulnerable, thus contributing to building safer communities:</w:t>
      </w:r>
    </w:p>
    <w:p w14:paraId="1A2F8B1B" w14:textId="77777777" w:rsidR="00773866" w:rsidRPr="009351CB" w:rsidRDefault="00773866" w:rsidP="004F6019">
      <w:pPr>
        <w:numPr>
          <w:ilvl w:val="0"/>
          <w:numId w:val="4"/>
        </w:numPr>
        <w:spacing w:line="360" w:lineRule="auto"/>
        <w:jc w:val="both"/>
        <w:rPr>
          <w:color w:val="000000" w:themeColor="text1"/>
        </w:rPr>
      </w:pPr>
      <w:r w:rsidRPr="009351CB">
        <w:rPr>
          <w:color w:val="000000" w:themeColor="text1"/>
        </w:rPr>
        <w:t>Empowered clients and communities making informed choices about their legal rights and responsibilities.</w:t>
      </w:r>
    </w:p>
    <w:p w14:paraId="2CF85CEE" w14:textId="77777777" w:rsidR="00773866" w:rsidRPr="009351CB" w:rsidRDefault="00773866" w:rsidP="004F6019">
      <w:pPr>
        <w:numPr>
          <w:ilvl w:val="0"/>
          <w:numId w:val="4"/>
        </w:numPr>
        <w:spacing w:line="360" w:lineRule="auto"/>
        <w:jc w:val="both"/>
        <w:rPr>
          <w:color w:val="000000" w:themeColor="text1"/>
        </w:rPr>
      </w:pPr>
      <w:r w:rsidRPr="009351CB">
        <w:rPr>
          <w:color w:val="000000" w:themeColor="text1"/>
        </w:rPr>
        <w:t>All poor and vulnerable persons able to access quality public-funded legal services to protect or defend their rights.</w:t>
      </w:r>
    </w:p>
    <w:p w14:paraId="4F11F34C" w14:textId="77777777" w:rsidR="00773866" w:rsidRPr="009351CB" w:rsidRDefault="00773866" w:rsidP="004F6019">
      <w:pPr>
        <w:numPr>
          <w:ilvl w:val="0"/>
          <w:numId w:val="4"/>
        </w:numPr>
        <w:spacing w:line="360" w:lineRule="auto"/>
        <w:jc w:val="both"/>
        <w:rPr>
          <w:color w:val="000000" w:themeColor="text1"/>
        </w:rPr>
      </w:pPr>
      <w:r w:rsidRPr="009351CB">
        <w:rPr>
          <w:color w:val="000000" w:themeColor="text1"/>
        </w:rPr>
        <w:t>An accessible, effective, fair, independent and efficient justice system serving all in South Africa, contributing to building safer communities.</w:t>
      </w:r>
    </w:p>
    <w:p w14:paraId="7EAF8678" w14:textId="77777777" w:rsidR="00773866" w:rsidRPr="009351CB" w:rsidRDefault="00773866" w:rsidP="004F6019">
      <w:pPr>
        <w:numPr>
          <w:ilvl w:val="0"/>
          <w:numId w:val="4"/>
        </w:numPr>
        <w:spacing w:line="360" w:lineRule="auto"/>
        <w:jc w:val="both"/>
        <w:rPr>
          <w:lang w:val="x-none"/>
        </w:rPr>
      </w:pPr>
      <w:r w:rsidRPr="009351CB">
        <w:rPr>
          <w:color w:val="000000" w:themeColor="text1"/>
        </w:rPr>
        <w:t>Delivering on the constitutional and statutory shareholder mandate in an independent</w:t>
      </w:r>
      <w:r w:rsidRPr="009351CB">
        <w:rPr>
          <w:lang w:val="x-none"/>
        </w:rPr>
        <w:t>, accountable and sustainable manner.</w:t>
      </w:r>
    </w:p>
    <w:p w14:paraId="2EC69DF5" w14:textId="77777777" w:rsidR="00773866" w:rsidRPr="009351CB" w:rsidRDefault="00773866" w:rsidP="009351CB">
      <w:pPr>
        <w:pStyle w:val="ListParagraph"/>
        <w:spacing w:line="360" w:lineRule="auto"/>
        <w:rPr>
          <w:i/>
        </w:rPr>
      </w:pPr>
    </w:p>
    <w:p w14:paraId="14A69D4B" w14:textId="55A48734" w:rsidR="008A4DE8" w:rsidRPr="00F151D4" w:rsidRDefault="00773866" w:rsidP="004F6019">
      <w:pPr>
        <w:pStyle w:val="ListParagraph"/>
        <w:numPr>
          <w:ilvl w:val="2"/>
          <w:numId w:val="17"/>
        </w:numPr>
        <w:spacing w:line="360" w:lineRule="auto"/>
        <w:jc w:val="both"/>
        <w:rPr>
          <w:i/>
        </w:rPr>
      </w:pPr>
      <w:r w:rsidRPr="009351CB">
        <w:t>Respected, accessible, high perfroming and sustainable public entiry impacting positively on society, the economy and the environment:</w:t>
      </w:r>
    </w:p>
    <w:p w14:paraId="56ECFF31"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An organisation embedding sustainable practices in every segment of the organisation, to positively impact on society, the economy and the environment.</w:t>
      </w:r>
    </w:p>
    <w:p w14:paraId="5D06D670"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Embedding good governance, high ethical standards and integrity, high performance and accountability.</w:t>
      </w:r>
    </w:p>
    <w:p w14:paraId="6A5D6625"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 xml:space="preserve">Revised Legal Aid </w:t>
      </w:r>
      <w:r w:rsidR="00FF1A5E" w:rsidRPr="009351CB">
        <w:t xml:space="preserve">South Africa </w:t>
      </w:r>
      <w:r w:rsidRPr="009351CB">
        <w:rPr>
          <w:lang w:val="x-none"/>
        </w:rPr>
        <w:t>Act and its subsidiary legislation enacted and implemented.</w:t>
      </w:r>
    </w:p>
    <w:p w14:paraId="1C248305"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An effective and efficient, economic and environmentally responsive supply chain management system supporting client services delivery and internal business processes.</w:t>
      </w:r>
    </w:p>
    <w:p w14:paraId="3FC307AC"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An appropriately resourced national footprint reaching the poor and vulnerable persons requiring legal assistance.</w:t>
      </w:r>
    </w:p>
    <w:p w14:paraId="380A1572"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An expanded and capacitated/resourced national footprint reaching the poor and vulnerable persons requiring legal assistance.</w:t>
      </w:r>
    </w:p>
    <w:p w14:paraId="75E58696"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Competent, dedicated, motivated and empowered employees capacitated to deliver the constitutional mandate and organisational strategies.</w:t>
      </w:r>
    </w:p>
    <w:p w14:paraId="01690FF9" w14:textId="77777777" w:rsidR="008A4DE8" w:rsidRPr="009351CB" w:rsidRDefault="008A4DE8" w:rsidP="004F6019">
      <w:pPr>
        <w:numPr>
          <w:ilvl w:val="0"/>
          <w:numId w:val="6"/>
        </w:numPr>
        <w:autoSpaceDE w:val="0"/>
        <w:autoSpaceDN w:val="0"/>
        <w:adjustRightInd w:val="0"/>
        <w:spacing w:line="360" w:lineRule="auto"/>
        <w:jc w:val="both"/>
        <w:rPr>
          <w:lang w:val="x-none"/>
        </w:rPr>
      </w:pPr>
      <w:r w:rsidRPr="009351CB">
        <w:rPr>
          <w:lang w:val="x-none"/>
        </w:rPr>
        <w:t>A modern and appropriate, integrated, secure and cost-effective IT Platform supporting the provision of client services and linkages and enabling internal business needs</w:t>
      </w:r>
      <w:r w:rsidRPr="009351CB">
        <w:t>.</w:t>
      </w:r>
    </w:p>
    <w:p w14:paraId="36967117" w14:textId="77777777" w:rsidR="008A4DE8" w:rsidRPr="009351CB" w:rsidRDefault="008A4DE8" w:rsidP="009351CB">
      <w:pPr>
        <w:pStyle w:val="ListParagraph"/>
        <w:spacing w:line="360" w:lineRule="auto"/>
        <w:rPr>
          <w:bCs/>
        </w:rPr>
      </w:pPr>
    </w:p>
    <w:p w14:paraId="447D4A96" w14:textId="77777777" w:rsidR="00546D85" w:rsidRPr="009351CB" w:rsidRDefault="00546D85" w:rsidP="009351CB">
      <w:pPr>
        <w:pStyle w:val="BodySingle"/>
        <w:numPr>
          <w:ilvl w:val="1"/>
          <w:numId w:val="2"/>
        </w:numPr>
        <w:autoSpaceDE w:val="0"/>
        <w:autoSpaceDN w:val="0"/>
        <w:adjustRightInd w:val="0"/>
        <w:spacing w:after="44" w:line="360" w:lineRule="auto"/>
        <w:rPr>
          <w:rFonts w:ascii="Times New Roman" w:hAnsi="Times New Roman"/>
          <w:b/>
          <w:bCs/>
          <w:i w:val="0"/>
          <w:sz w:val="24"/>
          <w:szCs w:val="24"/>
        </w:rPr>
      </w:pPr>
      <w:r w:rsidRPr="009351CB">
        <w:rPr>
          <w:rFonts w:ascii="Times New Roman" w:hAnsi="Times New Roman"/>
          <w:b/>
          <w:i w:val="0"/>
          <w:color w:val="000000" w:themeColor="text1"/>
          <w:sz w:val="24"/>
          <w:szCs w:val="24"/>
        </w:rPr>
        <w:t>Human resources</w:t>
      </w:r>
    </w:p>
    <w:p w14:paraId="15A32985" w14:textId="77777777" w:rsidR="004D7AEE" w:rsidRPr="009351CB" w:rsidRDefault="004D7AEE" w:rsidP="009351CB">
      <w:pPr>
        <w:pStyle w:val="BodySingle"/>
        <w:autoSpaceDE w:val="0"/>
        <w:autoSpaceDN w:val="0"/>
        <w:adjustRightInd w:val="0"/>
        <w:spacing w:after="44" w:line="360" w:lineRule="auto"/>
        <w:rPr>
          <w:rFonts w:ascii="Times New Roman" w:hAnsi="Times New Roman"/>
          <w:b/>
          <w:bCs/>
          <w:i w:val="0"/>
          <w:sz w:val="24"/>
          <w:szCs w:val="24"/>
        </w:rPr>
      </w:pPr>
    </w:p>
    <w:p w14:paraId="2F7CA2AB" w14:textId="0265143C" w:rsidR="000B156A" w:rsidRPr="00F151D4" w:rsidRDefault="00EC6341" w:rsidP="004F6019">
      <w:pPr>
        <w:pStyle w:val="ListParagraph"/>
        <w:numPr>
          <w:ilvl w:val="2"/>
          <w:numId w:val="18"/>
        </w:numPr>
        <w:spacing w:line="360" w:lineRule="auto"/>
        <w:jc w:val="both"/>
        <w:rPr>
          <w:color w:val="000000" w:themeColor="text1"/>
        </w:rPr>
      </w:pPr>
      <w:r w:rsidRPr="00F151D4">
        <w:rPr>
          <w:color w:val="000000" w:themeColor="text1"/>
        </w:rPr>
        <w:t xml:space="preserve">At 31 March 2019, </w:t>
      </w:r>
      <w:r w:rsidR="00901066" w:rsidRPr="00F151D4">
        <w:rPr>
          <w:color w:val="000000" w:themeColor="text1"/>
        </w:rPr>
        <w:t>Legal Aid SA ha</w:t>
      </w:r>
      <w:r w:rsidRPr="00F151D4">
        <w:rPr>
          <w:color w:val="000000" w:themeColor="text1"/>
        </w:rPr>
        <w:t>d</w:t>
      </w:r>
      <w:r w:rsidR="00901066" w:rsidRPr="00F151D4">
        <w:rPr>
          <w:color w:val="000000" w:themeColor="text1"/>
        </w:rPr>
        <w:t xml:space="preserve"> a</w:t>
      </w:r>
      <w:r w:rsidR="00546D85" w:rsidRPr="00F151D4">
        <w:rPr>
          <w:color w:val="000000" w:themeColor="text1"/>
        </w:rPr>
        <w:t xml:space="preserve"> staff</w:t>
      </w:r>
      <w:r w:rsidR="00994F1E" w:rsidRPr="00F151D4">
        <w:rPr>
          <w:color w:val="000000" w:themeColor="text1"/>
        </w:rPr>
        <w:t xml:space="preserve"> establishment of 2 76</w:t>
      </w:r>
      <w:r w:rsidR="00901066" w:rsidRPr="00F151D4">
        <w:rPr>
          <w:color w:val="000000" w:themeColor="text1"/>
        </w:rPr>
        <w:t>1</w:t>
      </w:r>
      <w:r w:rsidR="00994F1E" w:rsidRPr="00F151D4">
        <w:rPr>
          <w:color w:val="000000" w:themeColor="text1"/>
        </w:rPr>
        <w:t xml:space="preserve">, of which total recruited staff </w:t>
      </w:r>
      <w:r w:rsidR="00525A75" w:rsidRPr="00F151D4">
        <w:rPr>
          <w:color w:val="000000" w:themeColor="text1"/>
        </w:rPr>
        <w:t>was 2 557 (</w:t>
      </w:r>
      <w:r w:rsidRPr="00F151D4">
        <w:rPr>
          <w:color w:val="000000" w:themeColor="text1"/>
        </w:rPr>
        <w:t xml:space="preserve">By way of comparison, on </w:t>
      </w:r>
      <w:r w:rsidR="00525A75" w:rsidRPr="00F151D4">
        <w:rPr>
          <w:color w:val="000000" w:themeColor="text1"/>
        </w:rPr>
        <w:t>1 March 2018, Legal Aid SA had 2761 budgeted posts</w:t>
      </w:r>
      <w:r w:rsidRPr="00F151D4">
        <w:rPr>
          <w:color w:val="000000" w:themeColor="text1"/>
        </w:rPr>
        <w:t xml:space="preserve">, of which staff were recruited to </w:t>
      </w:r>
      <w:r w:rsidR="00994F1E" w:rsidRPr="00F151D4">
        <w:rPr>
          <w:color w:val="000000" w:themeColor="text1"/>
        </w:rPr>
        <w:t>2</w:t>
      </w:r>
      <w:r w:rsidR="00525A75" w:rsidRPr="00F151D4">
        <w:rPr>
          <w:color w:val="000000" w:themeColor="text1"/>
        </w:rPr>
        <w:t> </w:t>
      </w:r>
      <w:r w:rsidRPr="00F151D4">
        <w:rPr>
          <w:color w:val="000000" w:themeColor="text1"/>
        </w:rPr>
        <w:t>627</w:t>
      </w:r>
      <w:r w:rsidR="00525A75" w:rsidRPr="00F151D4">
        <w:rPr>
          <w:color w:val="000000" w:themeColor="text1"/>
        </w:rPr>
        <w:t xml:space="preserve"> </w:t>
      </w:r>
      <w:r w:rsidRPr="00F151D4">
        <w:rPr>
          <w:color w:val="000000" w:themeColor="text1"/>
        </w:rPr>
        <w:t>posts.).</w:t>
      </w:r>
      <w:r w:rsidR="00901066" w:rsidRPr="00F151D4">
        <w:rPr>
          <w:color w:val="000000" w:themeColor="text1"/>
        </w:rPr>
        <w:t xml:space="preserve"> Legal staff, includ</w:t>
      </w:r>
      <w:r w:rsidRPr="00F151D4">
        <w:rPr>
          <w:color w:val="000000" w:themeColor="text1"/>
        </w:rPr>
        <w:t>ing paralegals, account for 79.1</w:t>
      </w:r>
      <w:r w:rsidR="00901066" w:rsidRPr="00F151D4">
        <w:rPr>
          <w:color w:val="000000" w:themeColor="text1"/>
        </w:rPr>
        <w:t xml:space="preserve">% of the establishment. </w:t>
      </w:r>
    </w:p>
    <w:p w14:paraId="5B793B4F" w14:textId="77777777" w:rsidR="000B156A" w:rsidRPr="009351CB" w:rsidRDefault="000B156A" w:rsidP="009351CB">
      <w:pPr>
        <w:pStyle w:val="BodySingle"/>
        <w:autoSpaceDE w:val="0"/>
        <w:autoSpaceDN w:val="0"/>
        <w:adjustRightInd w:val="0"/>
        <w:spacing w:after="44" w:line="360" w:lineRule="auto"/>
        <w:rPr>
          <w:rFonts w:ascii="Times New Roman" w:hAnsi="Times New Roman"/>
          <w:i w:val="0"/>
          <w:color w:val="000000" w:themeColor="text1"/>
          <w:sz w:val="24"/>
          <w:szCs w:val="24"/>
        </w:rPr>
      </w:pPr>
    </w:p>
    <w:p w14:paraId="54E52096" w14:textId="77777777" w:rsidR="000B156A" w:rsidRPr="009351CB" w:rsidRDefault="00901066" w:rsidP="004F6019">
      <w:pPr>
        <w:pStyle w:val="ListParagraph"/>
        <w:numPr>
          <w:ilvl w:val="2"/>
          <w:numId w:val="18"/>
        </w:numPr>
        <w:spacing w:line="360" w:lineRule="auto"/>
        <w:jc w:val="both"/>
        <w:rPr>
          <w:color w:val="000000" w:themeColor="text1"/>
        </w:rPr>
      </w:pPr>
      <w:r w:rsidRPr="009351CB">
        <w:rPr>
          <w:color w:val="000000" w:themeColor="text1"/>
        </w:rPr>
        <w:t>Deli</w:t>
      </w:r>
      <w:r w:rsidR="00A456A1" w:rsidRPr="009351CB">
        <w:rPr>
          <w:color w:val="000000" w:themeColor="text1"/>
        </w:rPr>
        <w:t xml:space="preserve">very occurs nationwide through </w:t>
      </w:r>
      <w:r w:rsidRPr="009351CB">
        <w:rPr>
          <w:color w:val="000000" w:themeColor="text1"/>
        </w:rPr>
        <w:t xml:space="preserve">64 </w:t>
      </w:r>
      <w:r w:rsidR="00FF1A5E" w:rsidRPr="009351CB">
        <w:rPr>
          <w:color w:val="000000" w:themeColor="text1"/>
        </w:rPr>
        <w:t>Local</w:t>
      </w:r>
      <w:r w:rsidR="00C36457" w:rsidRPr="009351CB">
        <w:rPr>
          <w:color w:val="000000" w:themeColor="text1"/>
        </w:rPr>
        <w:t xml:space="preserve"> Offices</w:t>
      </w:r>
      <w:r w:rsidRPr="009351CB">
        <w:rPr>
          <w:color w:val="000000" w:themeColor="text1"/>
        </w:rPr>
        <w:t xml:space="preserve"> and 64 satellite offices</w:t>
      </w:r>
      <w:r w:rsidR="00C95A69" w:rsidRPr="009351CB">
        <w:rPr>
          <w:color w:val="000000" w:themeColor="text1"/>
        </w:rPr>
        <w:t>.</w:t>
      </w:r>
      <w:r w:rsidRPr="009351CB">
        <w:rPr>
          <w:color w:val="000000" w:themeColor="text1"/>
        </w:rPr>
        <w:t xml:space="preserve"> In addition, Legal Aid S</w:t>
      </w:r>
      <w:r w:rsidR="00285BD5" w:rsidRPr="009351CB">
        <w:rPr>
          <w:color w:val="000000" w:themeColor="text1"/>
        </w:rPr>
        <w:t>A</w:t>
      </w:r>
      <w:r w:rsidR="000B156A" w:rsidRPr="009351CB">
        <w:rPr>
          <w:color w:val="000000" w:themeColor="text1"/>
        </w:rPr>
        <w:t xml:space="preserve"> has 1 2</w:t>
      </w:r>
      <w:r w:rsidR="00FF1A5E" w:rsidRPr="009351CB">
        <w:rPr>
          <w:color w:val="000000" w:themeColor="text1"/>
        </w:rPr>
        <w:t>74</w:t>
      </w:r>
      <w:r w:rsidRPr="009351CB">
        <w:rPr>
          <w:color w:val="000000" w:themeColor="text1"/>
        </w:rPr>
        <w:t xml:space="preserve"> accredited Judicare partners; </w:t>
      </w:r>
      <w:r w:rsidR="00FF1A5E" w:rsidRPr="009351CB">
        <w:rPr>
          <w:color w:val="000000" w:themeColor="text1"/>
        </w:rPr>
        <w:t xml:space="preserve">ten </w:t>
      </w:r>
      <w:r w:rsidRPr="009351CB">
        <w:rPr>
          <w:color w:val="000000" w:themeColor="text1"/>
        </w:rPr>
        <w:t xml:space="preserve">co-operation partners and </w:t>
      </w:r>
      <w:r w:rsidR="00FF1A5E" w:rsidRPr="009351CB">
        <w:rPr>
          <w:color w:val="000000" w:themeColor="text1"/>
        </w:rPr>
        <w:t xml:space="preserve">six </w:t>
      </w:r>
      <w:r w:rsidRPr="009351CB">
        <w:rPr>
          <w:color w:val="000000" w:themeColor="text1"/>
        </w:rPr>
        <w:t xml:space="preserve">agency agreements with private law firms. </w:t>
      </w:r>
      <w:r w:rsidR="00FF1A5E" w:rsidRPr="009351CB">
        <w:rPr>
          <w:color w:val="000000" w:themeColor="text1"/>
        </w:rPr>
        <w:t>This ensured a mixed model delivery system in which 96% of all new matters were handled by the Local Offices; 3% by Judicare practitioners and Agency Agreements; and 1% by co-operation partners.</w:t>
      </w:r>
    </w:p>
    <w:p w14:paraId="752000FE" w14:textId="77777777" w:rsidR="000B156A" w:rsidRPr="009351CB" w:rsidRDefault="000B156A" w:rsidP="009351CB">
      <w:pPr>
        <w:pStyle w:val="BodySingle"/>
        <w:autoSpaceDE w:val="0"/>
        <w:autoSpaceDN w:val="0"/>
        <w:adjustRightInd w:val="0"/>
        <w:spacing w:after="44" w:line="360" w:lineRule="auto"/>
        <w:rPr>
          <w:rFonts w:ascii="Times New Roman" w:hAnsi="Times New Roman"/>
          <w:i w:val="0"/>
          <w:color w:val="000000" w:themeColor="text1"/>
          <w:sz w:val="24"/>
          <w:szCs w:val="24"/>
        </w:rPr>
      </w:pPr>
    </w:p>
    <w:p w14:paraId="67D2FCB1" w14:textId="5A3FAD76" w:rsidR="00901066" w:rsidRPr="009351CB" w:rsidRDefault="00901066" w:rsidP="004F6019">
      <w:pPr>
        <w:pStyle w:val="ListParagraph"/>
        <w:numPr>
          <w:ilvl w:val="2"/>
          <w:numId w:val="18"/>
        </w:numPr>
        <w:spacing w:line="360" w:lineRule="auto"/>
        <w:jc w:val="both"/>
        <w:rPr>
          <w:b/>
          <w:bCs/>
        </w:rPr>
      </w:pPr>
      <w:r w:rsidRPr="009351CB">
        <w:rPr>
          <w:color w:val="000000" w:themeColor="text1"/>
        </w:rPr>
        <w:t xml:space="preserve">Notably, Legal Aid SA received top employer accreditation for the </w:t>
      </w:r>
      <w:r w:rsidR="000B156A" w:rsidRPr="009351CB">
        <w:rPr>
          <w:color w:val="000000" w:themeColor="text1"/>
        </w:rPr>
        <w:t>ninth</w:t>
      </w:r>
      <w:r w:rsidRPr="009351CB">
        <w:rPr>
          <w:color w:val="000000" w:themeColor="text1"/>
        </w:rPr>
        <w:t xml:space="preserve"> consecutive year.</w:t>
      </w:r>
      <w:r w:rsidR="000B156A" w:rsidRPr="009351CB">
        <w:rPr>
          <w:color w:val="000000" w:themeColor="text1"/>
        </w:rPr>
        <w:t xml:space="preserve"> </w:t>
      </w:r>
    </w:p>
    <w:p w14:paraId="24350C36" w14:textId="77777777" w:rsidR="007C0994" w:rsidRPr="009351CB" w:rsidRDefault="007C0994" w:rsidP="009351CB">
      <w:pPr>
        <w:pStyle w:val="ListParagraph"/>
        <w:spacing w:line="360" w:lineRule="auto"/>
        <w:rPr>
          <w:b/>
          <w:bCs/>
          <w:i/>
        </w:rPr>
      </w:pPr>
    </w:p>
    <w:p w14:paraId="22223B67" w14:textId="77777777" w:rsidR="00901066" w:rsidRPr="009351CB" w:rsidRDefault="00285BD5" w:rsidP="00F151D4">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i w:val="0"/>
          <w:color w:val="000000" w:themeColor="text1"/>
          <w:sz w:val="24"/>
          <w:szCs w:val="24"/>
        </w:rPr>
      </w:pPr>
      <w:r w:rsidRPr="009351CB">
        <w:rPr>
          <w:rFonts w:ascii="Times New Roman" w:hAnsi="Times New Roman"/>
          <w:b/>
          <w:i w:val="0"/>
          <w:color w:val="000000" w:themeColor="text1"/>
          <w:sz w:val="24"/>
          <w:szCs w:val="24"/>
        </w:rPr>
        <w:t>Audit outcome</w:t>
      </w:r>
      <w:r w:rsidRPr="009351CB">
        <w:rPr>
          <w:rFonts w:ascii="Times New Roman" w:hAnsi="Times New Roman"/>
          <w:i w:val="0"/>
          <w:color w:val="000000" w:themeColor="text1"/>
          <w:sz w:val="24"/>
          <w:szCs w:val="24"/>
        </w:rPr>
        <w:t xml:space="preserve">. </w:t>
      </w:r>
      <w:r w:rsidR="00901066" w:rsidRPr="009351CB">
        <w:rPr>
          <w:rFonts w:ascii="Times New Roman" w:hAnsi="Times New Roman"/>
          <w:i w:val="0"/>
          <w:color w:val="000000" w:themeColor="text1"/>
          <w:sz w:val="24"/>
          <w:szCs w:val="24"/>
        </w:rPr>
        <w:t xml:space="preserve">Legal Aid SA received its </w:t>
      </w:r>
      <w:r w:rsidR="00F7613D" w:rsidRPr="009351CB">
        <w:rPr>
          <w:rFonts w:ascii="Times New Roman" w:hAnsi="Times New Roman"/>
          <w:i w:val="0"/>
          <w:color w:val="000000" w:themeColor="text1"/>
          <w:sz w:val="24"/>
          <w:szCs w:val="24"/>
        </w:rPr>
        <w:t xml:space="preserve">eighteenth </w:t>
      </w:r>
      <w:r w:rsidR="00901066" w:rsidRPr="009351CB">
        <w:rPr>
          <w:rFonts w:ascii="Times New Roman" w:hAnsi="Times New Roman"/>
          <w:i w:val="0"/>
          <w:color w:val="000000" w:themeColor="text1"/>
          <w:sz w:val="24"/>
          <w:szCs w:val="24"/>
        </w:rPr>
        <w:t>consecutive u</w:t>
      </w:r>
      <w:r w:rsidR="00F7613D" w:rsidRPr="009351CB">
        <w:rPr>
          <w:rFonts w:ascii="Times New Roman" w:hAnsi="Times New Roman"/>
          <w:i w:val="0"/>
          <w:color w:val="000000" w:themeColor="text1"/>
          <w:sz w:val="24"/>
          <w:szCs w:val="24"/>
        </w:rPr>
        <w:t>nqualified audit opinion in 2018/19</w:t>
      </w:r>
      <w:r w:rsidR="00901066" w:rsidRPr="009351CB">
        <w:rPr>
          <w:rFonts w:ascii="Times New Roman" w:hAnsi="Times New Roman"/>
          <w:i w:val="0"/>
          <w:color w:val="000000" w:themeColor="text1"/>
          <w:sz w:val="24"/>
          <w:szCs w:val="24"/>
        </w:rPr>
        <w:t xml:space="preserve"> and </w:t>
      </w:r>
      <w:r w:rsidRPr="009351CB">
        <w:rPr>
          <w:rFonts w:ascii="Times New Roman" w:hAnsi="Times New Roman"/>
          <w:i w:val="0"/>
          <w:color w:val="000000" w:themeColor="text1"/>
          <w:sz w:val="24"/>
          <w:szCs w:val="24"/>
        </w:rPr>
        <w:t xml:space="preserve">this is </w:t>
      </w:r>
      <w:r w:rsidR="00901066" w:rsidRPr="009351CB">
        <w:rPr>
          <w:rFonts w:ascii="Times New Roman" w:hAnsi="Times New Roman"/>
          <w:i w:val="0"/>
          <w:color w:val="000000" w:themeColor="text1"/>
          <w:sz w:val="24"/>
          <w:szCs w:val="24"/>
        </w:rPr>
        <w:t xml:space="preserve">the </w:t>
      </w:r>
      <w:r w:rsidR="00F7613D" w:rsidRPr="009351CB">
        <w:rPr>
          <w:rFonts w:ascii="Times New Roman" w:hAnsi="Times New Roman"/>
          <w:i w:val="0"/>
          <w:color w:val="000000" w:themeColor="text1"/>
          <w:sz w:val="24"/>
          <w:szCs w:val="24"/>
        </w:rPr>
        <w:t>thirteenth</w:t>
      </w:r>
      <w:r w:rsidR="00901066" w:rsidRPr="009351CB">
        <w:rPr>
          <w:rFonts w:ascii="Times New Roman" w:hAnsi="Times New Roman"/>
          <w:i w:val="0"/>
          <w:color w:val="000000" w:themeColor="text1"/>
          <w:sz w:val="24"/>
          <w:szCs w:val="24"/>
        </w:rPr>
        <w:t xml:space="preserve"> consecutive year in which </w:t>
      </w:r>
      <w:r w:rsidR="000D3EA1" w:rsidRPr="009351CB">
        <w:rPr>
          <w:rFonts w:ascii="Times New Roman" w:hAnsi="Times New Roman"/>
          <w:i w:val="0"/>
          <w:color w:val="000000" w:themeColor="text1"/>
          <w:sz w:val="24"/>
          <w:szCs w:val="24"/>
        </w:rPr>
        <w:t>it obtained a clean audit opinion</w:t>
      </w:r>
      <w:r w:rsidR="00901066" w:rsidRPr="009351CB">
        <w:rPr>
          <w:rFonts w:ascii="Times New Roman" w:hAnsi="Times New Roman"/>
          <w:i w:val="0"/>
          <w:color w:val="000000" w:themeColor="text1"/>
          <w:sz w:val="24"/>
          <w:szCs w:val="24"/>
        </w:rPr>
        <w:t xml:space="preserve">. </w:t>
      </w:r>
    </w:p>
    <w:p w14:paraId="164D9259" w14:textId="77777777" w:rsidR="00A456A1" w:rsidRPr="009351CB" w:rsidRDefault="00A456A1" w:rsidP="009351CB">
      <w:pPr>
        <w:spacing w:line="360" w:lineRule="auto"/>
        <w:ind w:left="720"/>
        <w:jc w:val="both"/>
        <w:rPr>
          <w:color w:val="000000" w:themeColor="text1"/>
        </w:rPr>
      </w:pPr>
    </w:p>
    <w:p w14:paraId="38F40F17" w14:textId="77777777" w:rsidR="00901066" w:rsidRPr="009351CB" w:rsidRDefault="007C0994" w:rsidP="00E20A8C">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b/>
          <w:bCs/>
          <w:i w:val="0"/>
          <w:sz w:val="24"/>
          <w:szCs w:val="24"/>
        </w:rPr>
      </w:pPr>
      <w:r w:rsidRPr="009351CB">
        <w:rPr>
          <w:rFonts w:ascii="Times New Roman" w:hAnsi="Times New Roman"/>
          <w:b/>
          <w:bCs/>
          <w:i w:val="0"/>
          <w:sz w:val="24"/>
          <w:szCs w:val="24"/>
        </w:rPr>
        <w:t>Expenditure 2018/19</w:t>
      </w:r>
    </w:p>
    <w:p w14:paraId="05F3A606" w14:textId="77777777" w:rsidR="00901066" w:rsidRPr="009351CB" w:rsidRDefault="00901066" w:rsidP="009351CB">
      <w:pPr>
        <w:pStyle w:val="BodySingle"/>
        <w:autoSpaceDE w:val="0"/>
        <w:autoSpaceDN w:val="0"/>
        <w:adjustRightInd w:val="0"/>
        <w:spacing w:after="44" w:line="360" w:lineRule="auto"/>
        <w:rPr>
          <w:rFonts w:ascii="Times New Roman" w:hAnsi="Times New Roman"/>
          <w:b/>
          <w:bCs/>
          <w:i w:val="0"/>
          <w:sz w:val="24"/>
          <w:szCs w:val="24"/>
        </w:rPr>
      </w:pPr>
    </w:p>
    <w:p w14:paraId="6F34DE49" w14:textId="6B00DE42" w:rsidR="00F92226" w:rsidRPr="00E20A8C" w:rsidRDefault="00351E7D" w:rsidP="004F6019">
      <w:pPr>
        <w:pStyle w:val="ListParagraph"/>
        <w:numPr>
          <w:ilvl w:val="2"/>
          <w:numId w:val="19"/>
        </w:numPr>
        <w:spacing w:line="360" w:lineRule="auto"/>
        <w:jc w:val="both"/>
        <w:rPr>
          <w:bCs/>
          <w:i/>
        </w:rPr>
      </w:pPr>
      <w:r w:rsidRPr="00E20A8C">
        <w:rPr>
          <w:bCs/>
        </w:rPr>
        <w:t xml:space="preserve">Legal Aid SA </w:t>
      </w:r>
      <w:r w:rsidR="0000670F" w:rsidRPr="00E20A8C">
        <w:rPr>
          <w:bCs/>
        </w:rPr>
        <w:t xml:space="preserve">had a budget of R1.9 billion </w:t>
      </w:r>
      <w:r w:rsidR="00EF4EE0" w:rsidRPr="00E20A8C">
        <w:rPr>
          <w:bCs/>
        </w:rPr>
        <w:t xml:space="preserve">for </w:t>
      </w:r>
      <w:r w:rsidR="004C4726" w:rsidRPr="00E20A8C">
        <w:rPr>
          <w:bCs/>
        </w:rPr>
        <w:t>2018/19</w:t>
      </w:r>
      <w:r w:rsidR="00285BD5" w:rsidRPr="00E20A8C">
        <w:rPr>
          <w:bCs/>
        </w:rPr>
        <w:t xml:space="preserve">. Of this, Legal Aid SA spent </w:t>
      </w:r>
      <w:r w:rsidR="00EF4EE0" w:rsidRPr="00E20A8C">
        <w:rPr>
          <w:bCs/>
        </w:rPr>
        <w:t>R1.8</w:t>
      </w:r>
      <w:r w:rsidR="00B65084" w:rsidRPr="00E20A8C">
        <w:rPr>
          <w:bCs/>
        </w:rPr>
        <w:t>6</w:t>
      </w:r>
      <w:r w:rsidR="00EF4EE0" w:rsidRPr="00E20A8C">
        <w:rPr>
          <w:bCs/>
        </w:rPr>
        <w:t xml:space="preserve"> billion </w:t>
      </w:r>
      <w:r w:rsidR="00285BD5" w:rsidRPr="00E20A8C">
        <w:rPr>
          <w:bCs/>
        </w:rPr>
        <w:t>(</w:t>
      </w:r>
      <w:r w:rsidR="00EF4EE0" w:rsidRPr="00E20A8C">
        <w:rPr>
          <w:bCs/>
        </w:rPr>
        <w:t>or</w:t>
      </w:r>
      <w:r w:rsidRPr="00E20A8C">
        <w:rPr>
          <w:color w:val="000000" w:themeColor="text1"/>
        </w:rPr>
        <w:t xml:space="preserve"> 9</w:t>
      </w:r>
      <w:r w:rsidR="007C0994" w:rsidRPr="00E20A8C">
        <w:rPr>
          <w:color w:val="000000" w:themeColor="text1"/>
        </w:rPr>
        <w:t>8</w:t>
      </w:r>
      <w:r w:rsidRPr="00E20A8C">
        <w:rPr>
          <w:color w:val="000000" w:themeColor="text1"/>
        </w:rPr>
        <w:t>%</w:t>
      </w:r>
      <w:r w:rsidR="00285BD5" w:rsidRPr="00E20A8C">
        <w:rPr>
          <w:color w:val="000000" w:themeColor="text1"/>
        </w:rPr>
        <w:t>)</w:t>
      </w:r>
      <w:r w:rsidRPr="00E20A8C">
        <w:rPr>
          <w:rFonts w:eastAsiaTheme="minorHAnsi"/>
        </w:rPr>
        <w:t>.</w:t>
      </w:r>
      <w:r w:rsidR="00B23A3A" w:rsidRPr="00E20A8C">
        <w:rPr>
          <w:rFonts w:eastAsiaTheme="minorHAnsi"/>
        </w:rPr>
        <w:t xml:space="preserve"> </w:t>
      </w:r>
      <w:r w:rsidR="00F92226" w:rsidRPr="009351CB">
        <w:t xml:space="preserve">The entity is allocated </w:t>
      </w:r>
      <w:r w:rsidR="00B23A3A" w:rsidRPr="009351CB">
        <w:t>R1.98</w:t>
      </w:r>
      <w:r w:rsidR="004C4726" w:rsidRPr="009351CB">
        <w:t xml:space="preserve"> billion in 2019</w:t>
      </w:r>
      <w:r w:rsidR="00F92226" w:rsidRPr="009351CB">
        <w:t>/</w:t>
      </w:r>
      <w:r w:rsidR="004C4726" w:rsidRPr="009351CB">
        <w:t>20</w:t>
      </w:r>
      <w:r w:rsidR="00B23A3A" w:rsidRPr="009351CB">
        <w:t>.</w:t>
      </w:r>
    </w:p>
    <w:p w14:paraId="5A4099DE" w14:textId="77777777" w:rsidR="00B23A3A" w:rsidRPr="009351CB" w:rsidRDefault="00B23A3A" w:rsidP="009351CB">
      <w:pPr>
        <w:pStyle w:val="BodySingle"/>
        <w:autoSpaceDE w:val="0"/>
        <w:autoSpaceDN w:val="0"/>
        <w:adjustRightInd w:val="0"/>
        <w:spacing w:after="44" w:line="360" w:lineRule="auto"/>
        <w:rPr>
          <w:rFonts w:ascii="Times New Roman" w:hAnsi="Times New Roman"/>
          <w:bCs/>
          <w:i w:val="0"/>
          <w:sz w:val="24"/>
          <w:szCs w:val="24"/>
        </w:rPr>
      </w:pPr>
    </w:p>
    <w:p w14:paraId="7B5BC385" w14:textId="77777777" w:rsidR="00901066" w:rsidRPr="00E20A8C" w:rsidRDefault="0059506B" w:rsidP="00E20A8C">
      <w:pPr>
        <w:pStyle w:val="BodySingle"/>
        <w:numPr>
          <w:ilvl w:val="1"/>
          <w:numId w:val="2"/>
        </w:numPr>
        <w:tabs>
          <w:tab w:val="clear" w:pos="862"/>
          <w:tab w:val="num" w:pos="709"/>
        </w:tabs>
        <w:autoSpaceDE w:val="0"/>
        <w:autoSpaceDN w:val="0"/>
        <w:adjustRightInd w:val="0"/>
        <w:spacing w:after="44" w:line="360" w:lineRule="auto"/>
        <w:ind w:left="709" w:hanging="709"/>
        <w:rPr>
          <w:rFonts w:ascii="Times New Roman" w:hAnsi="Times New Roman"/>
          <w:b/>
          <w:i w:val="0"/>
          <w:color w:val="000000" w:themeColor="text1"/>
          <w:sz w:val="24"/>
          <w:szCs w:val="24"/>
        </w:rPr>
      </w:pPr>
      <w:r w:rsidRPr="00E20A8C">
        <w:rPr>
          <w:rFonts w:ascii="Times New Roman" w:hAnsi="Times New Roman"/>
          <w:b/>
          <w:i w:val="0"/>
          <w:color w:val="000000" w:themeColor="text1"/>
          <w:sz w:val="24"/>
          <w:szCs w:val="24"/>
        </w:rPr>
        <w:t>Service delivery p</w:t>
      </w:r>
      <w:r w:rsidR="00901066" w:rsidRPr="00E20A8C">
        <w:rPr>
          <w:rFonts w:ascii="Times New Roman" w:hAnsi="Times New Roman"/>
          <w:b/>
          <w:i w:val="0"/>
          <w:color w:val="000000" w:themeColor="text1"/>
          <w:sz w:val="24"/>
          <w:szCs w:val="24"/>
        </w:rPr>
        <w:t>erformance</w:t>
      </w:r>
      <w:r w:rsidRPr="00E20A8C">
        <w:rPr>
          <w:rFonts w:ascii="Times New Roman" w:hAnsi="Times New Roman"/>
          <w:b/>
          <w:i w:val="0"/>
          <w:color w:val="000000" w:themeColor="text1"/>
          <w:sz w:val="24"/>
          <w:szCs w:val="24"/>
        </w:rPr>
        <w:t xml:space="preserve"> </w:t>
      </w:r>
    </w:p>
    <w:p w14:paraId="0A68B869" w14:textId="77777777" w:rsidR="00901066" w:rsidRPr="009351CB" w:rsidRDefault="00901066" w:rsidP="009351CB">
      <w:pPr>
        <w:spacing w:line="360" w:lineRule="auto"/>
        <w:ind w:left="720"/>
        <w:jc w:val="both"/>
        <w:rPr>
          <w:b/>
          <w:color w:val="000000" w:themeColor="text1"/>
        </w:rPr>
      </w:pPr>
    </w:p>
    <w:p w14:paraId="6E77479E" w14:textId="24230CEA" w:rsidR="00901066" w:rsidRPr="00E20A8C" w:rsidRDefault="00901066" w:rsidP="004F6019">
      <w:pPr>
        <w:pStyle w:val="ListParagraph"/>
        <w:numPr>
          <w:ilvl w:val="2"/>
          <w:numId w:val="20"/>
        </w:numPr>
        <w:spacing w:line="360" w:lineRule="auto"/>
        <w:jc w:val="both"/>
        <w:rPr>
          <w:color w:val="000000" w:themeColor="text1"/>
        </w:rPr>
      </w:pPr>
      <w:r w:rsidRPr="00E20A8C">
        <w:rPr>
          <w:color w:val="000000" w:themeColor="text1"/>
        </w:rPr>
        <w:t>In</w:t>
      </w:r>
      <w:r w:rsidR="00A07565" w:rsidRPr="00E20A8C">
        <w:rPr>
          <w:color w:val="000000" w:themeColor="text1"/>
        </w:rPr>
        <w:t xml:space="preserve"> 2018</w:t>
      </w:r>
      <w:r w:rsidR="00F62A13" w:rsidRPr="00E20A8C">
        <w:rPr>
          <w:color w:val="000000" w:themeColor="text1"/>
        </w:rPr>
        <w:t>/19</w:t>
      </w:r>
      <w:r w:rsidR="00A07565" w:rsidRPr="00E20A8C">
        <w:rPr>
          <w:color w:val="000000" w:themeColor="text1"/>
        </w:rPr>
        <w:t xml:space="preserve">, Legal Aid SA </w:t>
      </w:r>
      <w:r w:rsidRPr="00E20A8C">
        <w:rPr>
          <w:color w:val="000000" w:themeColor="text1"/>
        </w:rPr>
        <w:t>provided</w:t>
      </w:r>
      <w:r w:rsidR="0059506B" w:rsidRPr="00E20A8C">
        <w:rPr>
          <w:color w:val="000000" w:themeColor="text1"/>
        </w:rPr>
        <w:t xml:space="preserve"> </w:t>
      </w:r>
      <w:r w:rsidRPr="00E20A8C">
        <w:rPr>
          <w:color w:val="000000" w:themeColor="text1"/>
        </w:rPr>
        <w:t xml:space="preserve">legal advice and legal assistance in </w:t>
      </w:r>
      <w:r w:rsidR="00F62A13" w:rsidRPr="00E20A8C">
        <w:rPr>
          <w:color w:val="000000" w:themeColor="text1"/>
        </w:rPr>
        <w:t xml:space="preserve">724 253 matters </w:t>
      </w:r>
      <w:r w:rsidR="00A07565" w:rsidRPr="00E20A8C">
        <w:rPr>
          <w:color w:val="000000" w:themeColor="text1"/>
        </w:rPr>
        <w:t xml:space="preserve">(compared with </w:t>
      </w:r>
      <w:r w:rsidR="00F62A13" w:rsidRPr="00E20A8C">
        <w:rPr>
          <w:color w:val="000000" w:themeColor="text1"/>
        </w:rPr>
        <w:t xml:space="preserve">731 856 and </w:t>
      </w:r>
      <w:r w:rsidRPr="00E20A8C">
        <w:rPr>
          <w:color w:val="000000" w:themeColor="text1"/>
        </w:rPr>
        <w:t xml:space="preserve">767 656 matters </w:t>
      </w:r>
      <w:r w:rsidR="00A07565" w:rsidRPr="00E20A8C">
        <w:rPr>
          <w:color w:val="000000" w:themeColor="text1"/>
        </w:rPr>
        <w:t xml:space="preserve">in </w:t>
      </w:r>
      <w:r w:rsidR="00F62A13" w:rsidRPr="00E20A8C">
        <w:rPr>
          <w:color w:val="000000" w:themeColor="text1"/>
        </w:rPr>
        <w:t xml:space="preserve">2017/18 and </w:t>
      </w:r>
      <w:r w:rsidR="00A07565" w:rsidRPr="00E20A8C">
        <w:rPr>
          <w:color w:val="000000" w:themeColor="text1"/>
        </w:rPr>
        <w:t>2016/17</w:t>
      </w:r>
      <w:r w:rsidR="00F62A13" w:rsidRPr="00E20A8C">
        <w:rPr>
          <w:color w:val="000000" w:themeColor="text1"/>
        </w:rPr>
        <w:t>, respectively</w:t>
      </w:r>
      <w:r w:rsidRPr="00E20A8C">
        <w:rPr>
          <w:color w:val="000000" w:themeColor="text1"/>
        </w:rPr>
        <w:t xml:space="preserve">). This included </w:t>
      </w:r>
      <w:r w:rsidR="00F62A13" w:rsidRPr="00E20A8C">
        <w:rPr>
          <w:color w:val="000000" w:themeColor="text1"/>
        </w:rPr>
        <w:t xml:space="preserve">416 203 </w:t>
      </w:r>
      <w:r w:rsidR="00A07565" w:rsidRPr="00E20A8C">
        <w:rPr>
          <w:color w:val="000000" w:themeColor="text1"/>
        </w:rPr>
        <w:t xml:space="preserve">new legal matters (compared with </w:t>
      </w:r>
      <w:r w:rsidR="00F62A13" w:rsidRPr="00E20A8C">
        <w:rPr>
          <w:color w:val="000000" w:themeColor="text1"/>
        </w:rPr>
        <w:t xml:space="preserve">426 617 and </w:t>
      </w:r>
      <w:r w:rsidRPr="00E20A8C">
        <w:rPr>
          <w:color w:val="000000" w:themeColor="text1"/>
        </w:rPr>
        <w:t xml:space="preserve">444 962 new legal matters </w:t>
      </w:r>
      <w:r w:rsidR="00A07565" w:rsidRPr="00E20A8C">
        <w:rPr>
          <w:color w:val="000000" w:themeColor="text1"/>
        </w:rPr>
        <w:t xml:space="preserve">in </w:t>
      </w:r>
      <w:r w:rsidR="00F62A13" w:rsidRPr="00E20A8C">
        <w:rPr>
          <w:color w:val="000000" w:themeColor="text1"/>
        </w:rPr>
        <w:t xml:space="preserve">2017/18 and </w:t>
      </w:r>
      <w:r w:rsidR="00A07565" w:rsidRPr="00E20A8C">
        <w:rPr>
          <w:color w:val="000000" w:themeColor="text1"/>
        </w:rPr>
        <w:t>2016/17</w:t>
      </w:r>
      <w:r w:rsidR="00F62A13" w:rsidRPr="00E20A8C">
        <w:rPr>
          <w:color w:val="000000" w:themeColor="text1"/>
        </w:rPr>
        <w:t>, respectvely</w:t>
      </w:r>
      <w:r w:rsidRPr="00E20A8C">
        <w:rPr>
          <w:color w:val="000000" w:themeColor="text1"/>
        </w:rPr>
        <w:t xml:space="preserve">). A breakdown of these new matters is as follows: There were </w:t>
      </w:r>
      <w:r w:rsidR="00F62A13" w:rsidRPr="00E20A8C">
        <w:rPr>
          <w:color w:val="000000" w:themeColor="text1"/>
        </w:rPr>
        <w:t>362 213</w:t>
      </w:r>
      <w:r w:rsidR="00A07565" w:rsidRPr="00E20A8C">
        <w:rPr>
          <w:color w:val="000000" w:themeColor="text1"/>
        </w:rPr>
        <w:t xml:space="preserve"> new criminal matters </w:t>
      </w:r>
      <w:r w:rsidRPr="00E20A8C">
        <w:rPr>
          <w:color w:val="000000" w:themeColor="text1"/>
        </w:rPr>
        <w:t xml:space="preserve">(87%); and </w:t>
      </w:r>
      <w:r w:rsidR="00F62A13" w:rsidRPr="00E20A8C">
        <w:rPr>
          <w:color w:val="000000" w:themeColor="text1"/>
        </w:rPr>
        <w:t xml:space="preserve">53 990 </w:t>
      </w:r>
      <w:r w:rsidR="00A07565" w:rsidRPr="00E20A8C">
        <w:rPr>
          <w:color w:val="000000" w:themeColor="text1"/>
        </w:rPr>
        <w:t>new civil matters (13%)</w:t>
      </w:r>
      <w:r w:rsidRPr="00E20A8C">
        <w:rPr>
          <w:color w:val="000000" w:themeColor="text1"/>
        </w:rPr>
        <w:t xml:space="preserve">. </w:t>
      </w:r>
      <w:r w:rsidR="00A07565" w:rsidRPr="00E20A8C">
        <w:rPr>
          <w:color w:val="000000" w:themeColor="text1"/>
        </w:rPr>
        <w:t xml:space="preserve">A total of </w:t>
      </w:r>
      <w:r w:rsidR="00F62A13" w:rsidRPr="00E20A8C">
        <w:rPr>
          <w:color w:val="000000" w:themeColor="text1"/>
        </w:rPr>
        <w:t>410 396 matters were finalised in 2018/19</w:t>
      </w:r>
      <w:r w:rsidRPr="00E20A8C">
        <w:rPr>
          <w:color w:val="000000" w:themeColor="text1"/>
        </w:rPr>
        <w:t xml:space="preserve">, representing a clearance rate of </w:t>
      </w:r>
      <w:r w:rsidR="00A07565" w:rsidRPr="00E20A8C">
        <w:rPr>
          <w:color w:val="000000" w:themeColor="text1"/>
        </w:rPr>
        <w:t>0.9</w:t>
      </w:r>
      <w:r w:rsidR="00F62A13" w:rsidRPr="00E20A8C">
        <w:rPr>
          <w:color w:val="000000" w:themeColor="text1"/>
        </w:rPr>
        <w:t>9</w:t>
      </w:r>
      <w:r w:rsidR="00A07565" w:rsidRPr="00E20A8C">
        <w:rPr>
          <w:color w:val="000000" w:themeColor="text1"/>
        </w:rPr>
        <w:t xml:space="preserve">% (compared with </w:t>
      </w:r>
      <w:r w:rsidR="00F62A13" w:rsidRPr="00E20A8C">
        <w:rPr>
          <w:color w:val="000000" w:themeColor="text1"/>
        </w:rPr>
        <w:t xml:space="preserve">0.98% and </w:t>
      </w:r>
      <w:r w:rsidR="00A07565" w:rsidRPr="00E20A8C">
        <w:rPr>
          <w:color w:val="000000" w:themeColor="text1"/>
        </w:rPr>
        <w:t>1% in 2016/17</w:t>
      </w:r>
      <w:r w:rsidR="00F62A13" w:rsidRPr="00E20A8C">
        <w:rPr>
          <w:color w:val="000000" w:themeColor="text1"/>
        </w:rPr>
        <w:t xml:space="preserve"> in 2017/18 and 2016/17, respectively</w:t>
      </w:r>
      <w:r w:rsidR="00A07565" w:rsidRPr="00E20A8C">
        <w:rPr>
          <w:color w:val="000000" w:themeColor="text1"/>
        </w:rPr>
        <w:t>)</w:t>
      </w:r>
      <w:r w:rsidRPr="00E20A8C">
        <w:rPr>
          <w:color w:val="000000" w:themeColor="text1"/>
        </w:rPr>
        <w:t>.</w:t>
      </w:r>
    </w:p>
    <w:p w14:paraId="7103706E" w14:textId="77777777" w:rsidR="00901066" w:rsidRPr="009351CB" w:rsidRDefault="00901066" w:rsidP="009351CB">
      <w:pPr>
        <w:pStyle w:val="BodySingle"/>
        <w:autoSpaceDE w:val="0"/>
        <w:autoSpaceDN w:val="0"/>
        <w:adjustRightInd w:val="0"/>
        <w:spacing w:after="44" w:line="360" w:lineRule="auto"/>
        <w:rPr>
          <w:rFonts w:ascii="Times New Roman" w:hAnsi="Times New Roman"/>
          <w:i w:val="0"/>
          <w:color w:val="000000" w:themeColor="text1"/>
          <w:sz w:val="24"/>
          <w:szCs w:val="24"/>
        </w:rPr>
      </w:pPr>
    </w:p>
    <w:p w14:paraId="2BFD2BDD" w14:textId="714E8E8C" w:rsidR="00106280" w:rsidRPr="009351CB" w:rsidRDefault="00285BD5" w:rsidP="004F6019">
      <w:pPr>
        <w:pStyle w:val="ListParagraph"/>
        <w:numPr>
          <w:ilvl w:val="2"/>
          <w:numId w:val="20"/>
        </w:numPr>
        <w:spacing w:line="360" w:lineRule="auto"/>
        <w:jc w:val="both"/>
        <w:rPr>
          <w:color w:val="000000" w:themeColor="text1"/>
        </w:rPr>
      </w:pPr>
      <w:r w:rsidRPr="009351CB">
        <w:rPr>
          <w:color w:val="000000" w:themeColor="text1"/>
        </w:rPr>
        <w:t>In 201</w:t>
      </w:r>
      <w:r w:rsidR="00F62A13" w:rsidRPr="009351CB">
        <w:rPr>
          <w:color w:val="000000" w:themeColor="text1"/>
        </w:rPr>
        <w:t xml:space="preserve">8/19, </w:t>
      </w:r>
      <w:r w:rsidR="00BD05ED" w:rsidRPr="009351CB">
        <w:rPr>
          <w:color w:val="000000" w:themeColor="text1"/>
        </w:rPr>
        <w:t xml:space="preserve">Legal Aid SA </w:t>
      </w:r>
      <w:r w:rsidR="004E2046" w:rsidRPr="009351CB">
        <w:rPr>
          <w:color w:val="000000" w:themeColor="text1"/>
        </w:rPr>
        <w:t xml:space="preserve">provided </w:t>
      </w:r>
      <w:r w:rsidR="0059506B" w:rsidRPr="009351CB">
        <w:rPr>
          <w:color w:val="000000" w:themeColor="text1"/>
        </w:rPr>
        <w:t xml:space="preserve">advice in </w:t>
      </w:r>
      <w:r w:rsidR="00F62A13" w:rsidRPr="009351CB">
        <w:rPr>
          <w:color w:val="000000" w:themeColor="text1"/>
        </w:rPr>
        <w:t xml:space="preserve">308 050 matters </w:t>
      </w:r>
      <w:r w:rsidR="00495F8B" w:rsidRPr="009351CB">
        <w:rPr>
          <w:color w:val="000000" w:themeColor="text1"/>
        </w:rPr>
        <w:t>to clients at all Legal Aid SA offices, the Legal Aid Advice line and to remand detainees and sen</w:t>
      </w:r>
      <w:r w:rsidR="00C41420" w:rsidRPr="009351CB">
        <w:rPr>
          <w:color w:val="000000" w:themeColor="text1"/>
        </w:rPr>
        <w:t>t</w:t>
      </w:r>
      <w:r w:rsidR="00495F8B" w:rsidRPr="009351CB">
        <w:rPr>
          <w:color w:val="000000" w:themeColor="text1"/>
        </w:rPr>
        <w:t xml:space="preserve">enced inmates </w:t>
      </w:r>
      <w:r w:rsidR="00F62A13" w:rsidRPr="009351CB">
        <w:rPr>
          <w:color w:val="000000" w:themeColor="text1"/>
        </w:rPr>
        <w:t xml:space="preserve">(compared to </w:t>
      </w:r>
      <w:r w:rsidR="004E2046" w:rsidRPr="009351CB">
        <w:rPr>
          <w:color w:val="000000" w:themeColor="text1"/>
        </w:rPr>
        <w:t xml:space="preserve">305 329 matters </w:t>
      </w:r>
      <w:r w:rsidR="00F62A13" w:rsidRPr="009351CB">
        <w:rPr>
          <w:color w:val="000000" w:themeColor="text1"/>
        </w:rPr>
        <w:t>in 2017/18)</w:t>
      </w:r>
      <w:r w:rsidR="00495F8B" w:rsidRPr="009351CB">
        <w:rPr>
          <w:color w:val="000000" w:themeColor="text1"/>
        </w:rPr>
        <w:t xml:space="preserve">. It </w:t>
      </w:r>
      <w:r w:rsidR="00BD05ED" w:rsidRPr="009351CB">
        <w:rPr>
          <w:color w:val="000000" w:themeColor="text1"/>
        </w:rPr>
        <w:t xml:space="preserve">undertook </w:t>
      </w:r>
      <w:r w:rsidR="00F62A13" w:rsidRPr="009351CB">
        <w:rPr>
          <w:color w:val="000000" w:themeColor="text1"/>
        </w:rPr>
        <w:t>30 new impact litigation matters wi</w:t>
      </w:r>
      <w:r w:rsidR="00495F8B" w:rsidRPr="009351CB">
        <w:rPr>
          <w:color w:val="000000" w:themeColor="text1"/>
        </w:rPr>
        <w:t>t</w:t>
      </w:r>
      <w:r w:rsidR="00F62A13" w:rsidRPr="009351CB">
        <w:rPr>
          <w:color w:val="000000" w:themeColor="text1"/>
        </w:rPr>
        <w:t>h a 8</w:t>
      </w:r>
      <w:r w:rsidR="00495F8B" w:rsidRPr="009351CB">
        <w:rPr>
          <w:color w:val="000000" w:themeColor="text1"/>
        </w:rPr>
        <w:t>9.4% success rate for the 19 matters finalis</w:t>
      </w:r>
      <w:r w:rsidR="00916F68" w:rsidRPr="009351CB">
        <w:rPr>
          <w:color w:val="000000" w:themeColor="text1"/>
        </w:rPr>
        <w:t xml:space="preserve">ed (seven </w:t>
      </w:r>
      <w:r w:rsidR="00495F8B" w:rsidRPr="009351CB">
        <w:rPr>
          <w:color w:val="000000" w:themeColor="text1"/>
        </w:rPr>
        <w:t>matters were finalised without an outcome). (In 2017/18, L</w:t>
      </w:r>
      <w:r w:rsidR="00F62A13" w:rsidRPr="009351CB">
        <w:rPr>
          <w:color w:val="000000" w:themeColor="text1"/>
        </w:rPr>
        <w:t xml:space="preserve">egal Aid SA took on </w:t>
      </w:r>
      <w:r w:rsidR="004E2046" w:rsidRPr="009351CB">
        <w:rPr>
          <w:color w:val="000000" w:themeColor="text1"/>
        </w:rPr>
        <w:t>25</w:t>
      </w:r>
      <w:r w:rsidR="00243EF7" w:rsidRPr="009351CB">
        <w:rPr>
          <w:color w:val="000000" w:themeColor="text1"/>
        </w:rPr>
        <w:t xml:space="preserve"> </w:t>
      </w:r>
      <w:r w:rsidR="00106280" w:rsidRPr="009351CB">
        <w:rPr>
          <w:color w:val="000000" w:themeColor="text1"/>
        </w:rPr>
        <w:t>new impact litigation matters</w:t>
      </w:r>
      <w:r w:rsidR="004E2046" w:rsidRPr="009351CB">
        <w:rPr>
          <w:color w:val="000000" w:themeColor="text1"/>
        </w:rPr>
        <w:t xml:space="preserve"> with a 79% success rate</w:t>
      </w:r>
      <w:r w:rsidR="00F62A13" w:rsidRPr="009351CB">
        <w:rPr>
          <w:color w:val="000000" w:themeColor="text1"/>
        </w:rPr>
        <w:t>)</w:t>
      </w:r>
      <w:r w:rsidR="00901066" w:rsidRPr="009351CB">
        <w:rPr>
          <w:color w:val="000000" w:themeColor="text1"/>
        </w:rPr>
        <w:t>.</w:t>
      </w:r>
      <w:r w:rsidR="00106280" w:rsidRPr="009351CB">
        <w:rPr>
          <w:color w:val="000000" w:themeColor="text1"/>
        </w:rPr>
        <w:t xml:space="preserve"> </w:t>
      </w:r>
    </w:p>
    <w:p w14:paraId="2A889986" w14:textId="77777777" w:rsidR="00106280" w:rsidRPr="009351CB" w:rsidRDefault="00106280" w:rsidP="009351CB">
      <w:pPr>
        <w:pStyle w:val="BodySingle"/>
        <w:autoSpaceDE w:val="0"/>
        <w:autoSpaceDN w:val="0"/>
        <w:adjustRightInd w:val="0"/>
        <w:spacing w:after="44" w:line="360" w:lineRule="auto"/>
        <w:rPr>
          <w:rFonts w:ascii="Times New Roman" w:hAnsi="Times New Roman"/>
          <w:i w:val="0"/>
          <w:color w:val="000000" w:themeColor="text1"/>
          <w:sz w:val="24"/>
          <w:szCs w:val="24"/>
        </w:rPr>
      </w:pPr>
    </w:p>
    <w:p w14:paraId="55767428" w14:textId="77777777" w:rsidR="00901066" w:rsidRPr="009351CB" w:rsidRDefault="00495F8B" w:rsidP="004F6019">
      <w:pPr>
        <w:pStyle w:val="ListParagraph"/>
        <w:numPr>
          <w:ilvl w:val="2"/>
          <w:numId w:val="20"/>
        </w:numPr>
        <w:spacing w:line="360" w:lineRule="auto"/>
        <w:jc w:val="both"/>
        <w:rPr>
          <w:color w:val="000000" w:themeColor="text1"/>
        </w:rPr>
      </w:pPr>
      <w:r w:rsidRPr="009351CB">
        <w:rPr>
          <w:color w:val="000000" w:themeColor="text1"/>
        </w:rPr>
        <w:t>As a r</w:t>
      </w:r>
      <w:r w:rsidR="0019147E" w:rsidRPr="009351CB">
        <w:rPr>
          <w:color w:val="000000" w:themeColor="text1"/>
        </w:rPr>
        <w:t>e</w:t>
      </w:r>
      <w:r w:rsidRPr="009351CB">
        <w:rPr>
          <w:color w:val="000000" w:themeColor="text1"/>
        </w:rPr>
        <w:t xml:space="preserve">sult of funding constraints, Legal Aid SA reduced its coverage at District Courts to 84% in 2018/19 (compared to 85% and 87% in </w:t>
      </w:r>
      <w:r w:rsidR="00285BD5" w:rsidRPr="009351CB">
        <w:rPr>
          <w:color w:val="000000" w:themeColor="text1"/>
        </w:rPr>
        <w:t>2017/18</w:t>
      </w:r>
      <w:r w:rsidRPr="009351CB">
        <w:rPr>
          <w:color w:val="000000" w:themeColor="text1"/>
        </w:rPr>
        <w:t xml:space="preserve"> and 2016/17, respectively). Coverage </w:t>
      </w:r>
      <w:r w:rsidR="0059506B" w:rsidRPr="009351CB">
        <w:rPr>
          <w:color w:val="000000" w:themeColor="text1"/>
        </w:rPr>
        <w:t>in the Regional Courts</w:t>
      </w:r>
      <w:r w:rsidR="00285BD5" w:rsidRPr="009351CB">
        <w:rPr>
          <w:color w:val="000000" w:themeColor="text1"/>
        </w:rPr>
        <w:t xml:space="preserve"> </w:t>
      </w:r>
      <w:r w:rsidRPr="009351CB">
        <w:rPr>
          <w:color w:val="000000" w:themeColor="text1"/>
        </w:rPr>
        <w:t xml:space="preserve">was reduced to 94% from </w:t>
      </w:r>
      <w:r w:rsidR="004E2046" w:rsidRPr="009351CB">
        <w:rPr>
          <w:color w:val="000000" w:themeColor="text1"/>
        </w:rPr>
        <w:t xml:space="preserve">95% </w:t>
      </w:r>
      <w:r w:rsidRPr="009351CB">
        <w:rPr>
          <w:color w:val="000000" w:themeColor="text1"/>
        </w:rPr>
        <w:t xml:space="preserve">and 97% in 2017/18 and </w:t>
      </w:r>
      <w:r w:rsidR="004E2046" w:rsidRPr="009351CB">
        <w:rPr>
          <w:color w:val="000000" w:themeColor="text1"/>
        </w:rPr>
        <w:t>2016/17</w:t>
      </w:r>
      <w:r w:rsidRPr="009351CB">
        <w:rPr>
          <w:color w:val="000000" w:themeColor="text1"/>
        </w:rPr>
        <w:t>, respectively</w:t>
      </w:r>
      <w:r w:rsidR="004E2046" w:rsidRPr="009351CB">
        <w:rPr>
          <w:color w:val="000000" w:themeColor="text1"/>
        </w:rPr>
        <w:t>)</w:t>
      </w:r>
      <w:r w:rsidR="0059506B" w:rsidRPr="009351CB">
        <w:rPr>
          <w:color w:val="000000" w:themeColor="text1"/>
        </w:rPr>
        <w:t xml:space="preserve">. </w:t>
      </w:r>
      <w:r w:rsidR="00106280" w:rsidRPr="009351CB">
        <w:rPr>
          <w:color w:val="000000" w:themeColor="text1"/>
        </w:rPr>
        <w:t xml:space="preserve">Representation was provided in all matters that required legal aid in the High Courts. </w:t>
      </w:r>
      <w:r w:rsidR="004E2046" w:rsidRPr="009351CB">
        <w:rPr>
          <w:color w:val="000000" w:themeColor="text1"/>
        </w:rPr>
        <w:t>There is no relief capacity available.</w:t>
      </w:r>
    </w:p>
    <w:p w14:paraId="3C531180" w14:textId="77777777" w:rsidR="00901066" w:rsidRPr="009351CB" w:rsidRDefault="00901066" w:rsidP="009351CB">
      <w:pPr>
        <w:pStyle w:val="ListParagraph"/>
        <w:spacing w:line="360" w:lineRule="auto"/>
        <w:rPr>
          <w:color w:val="000000" w:themeColor="text1"/>
        </w:rPr>
      </w:pPr>
    </w:p>
    <w:p w14:paraId="59D335B6" w14:textId="54D7897E" w:rsidR="00106280" w:rsidRPr="009351CB" w:rsidRDefault="00285BD5" w:rsidP="004F6019">
      <w:pPr>
        <w:pStyle w:val="ListParagraph"/>
        <w:numPr>
          <w:ilvl w:val="2"/>
          <w:numId w:val="20"/>
        </w:numPr>
        <w:spacing w:line="360" w:lineRule="auto"/>
        <w:jc w:val="both"/>
        <w:rPr>
          <w:color w:val="000000" w:themeColor="text1"/>
        </w:rPr>
      </w:pPr>
      <w:r w:rsidRPr="009351CB">
        <w:rPr>
          <w:color w:val="000000" w:themeColor="text1"/>
        </w:rPr>
        <w:t xml:space="preserve">In </w:t>
      </w:r>
      <w:r w:rsidR="001A1CC1" w:rsidRPr="009351CB">
        <w:rPr>
          <w:color w:val="000000" w:themeColor="text1"/>
        </w:rPr>
        <w:t>2018/19, a total of 53 990 new civil matters were taken on, which is 2.6% less than in 2017/18</w:t>
      </w:r>
      <w:r w:rsidR="00106280" w:rsidRPr="009351CB">
        <w:rPr>
          <w:color w:val="000000" w:themeColor="text1"/>
        </w:rPr>
        <w:t xml:space="preserve">. Representation </w:t>
      </w:r>
      <w:r w:rsidR="00B061FD" w:rsidRPr="009351CB">
        <w:rPr>
          <w:color w:val="000000" w:themeColor="text1"/>
        </w:rPr>
        <w:t>given to vulnerable groups</w:t>
      </w:r>
      <w:r w:rsidR="004E2046" w:rsidRPr="009351CB">
        <w:rPr>
          <w:color w:val="000000" w:themeColor="text1"/>
        </w:rPr>
        <w:t xml:space="preserve"> was provided as follows:</w:t>
      </w:r>
      <w:r w:rsidR="0059506B" w:rsidRPr="009351CB">
        <w:rPr>
          <w:color w:val="000000" w:themeColor="text1"/>
        </w:rPr>
        <w:t xml:space="preserve"> </w:t>
      </w:r>
      <w:r w:rsidR="00106280" w:rsidRPr="009351CB">
        <w:rPr>
          <w:color w:val="000000" w:themeColor="text1"/>
        </w:rPr>
        <w:t>children</w:t>
      </w:r>
      <w:r w:rsidR="001A1CC1" w:rsidRPr="009351CB">
        <w:rPr>
          <w:color w:val="000000" w:themeColor="text1"/>
        </w:rPr>
        <w:t xml:space="preserve"> (18</w:t>
      </w:r>
      <w:r w:rsidR="00BC73E4" w:rsidRPr="009351CB">
        <w:rPr>
          <w:color w:val="000000" w:themeColor="text1"/>
        </w:rPr>
        <w:t>%)</w:t>
      </w:r>
      <w:r w:rsidR="001A1CC1" w:rsidRPr="009351CB">
        <w:rPr>
          <w:color w:val="000000" w:themeColor="text1"/>
        </w:rPr>
        <w:t>,</w:t>
      </w:r>
      <w:r w:rsidR="00106280" w:rsidRPr="009351CB">
        <w:rPr>
          <w:color w:val="000000" w:themeColor="text1"/>
        </w:rPr>
        <w:t xml:space="preserve"> women </w:t>
      </w:r>
      <w:r w:rsidR="00BC73E4" w:rsidRPr="009351CB">
        <w:rPr>
          <w:color w:val="000000" w:themeColor="text1"/>
        </w:rPr>
        <w:t>(</w:t>
      </w:r>
      <w:r w:rsidR="001A1CC1" w:rsidRPr="009351CB">
        <w:rPr>
          <w:color w:val="000000" w:themeColor="text1"/>
        </w:rPr>
        <w:t>58</w:t>
      </w:r>
      <w:r w:rsidR="00BC73E4" w:rsidRPr="009351CB">
        <w:rPr>
          <w:color w:val="000000" w:themeColor="text1"/>
        </w:rPr>
        <w:t>%), mental health</w:t>
      </w:r>
      <w:r w:rsidR="00B90A67" w:rsidRPr="009351CB">
        <w:rPr>
          <w:color w:val="000000" w:themeColor="text1"/>
        </w:rPr>
        <w:t xml:space="preserve"> users (</w:t>
      </w:r>
      <w:r w:rsidR="004E2046" w:rsidRPr="009351CB">
        <w:rPr>
          <w:color w:val="000000" w:themeColor="text1"/>
        </w:rPr>
        <w:t>0.2%</w:t>
      </w:r>
      <w:r w:rsidR="00B90A67" w:rsidRPr="009351CB">
        <w:rPr>
          <w:color w:val="000000" w:themeColor="text1"/>
        </w:rPr>
        <w:t xml:space="preserve">) </w:t>
      </w:r>
      <w:r w:rsidR="001A1CC1" w:rsidRPr="009351CB">
        <w:rPr>
          <w:color w:val="000000" w:themeColor="text1"/>
        </w:rPr>
        <w:t xml:space="preserve">and </w:t>
      </w:r>
      <w:r w:rsidR="00B90A67" w:rsidRPr="009351CB">
        <w:rPr>
          <w:color w:val="000000" w:themeColor="text1"/>
        </w:rPr>
        <w:t>the elderly (</w:t>
      </w:r>
      <w:r w:rsidR="004E2046" w:rsidRPr="009351CB">
        <w:rPr>
          <w:color w:val="000000" w:themeColor="text1"/>
        </w:rPr>
        <w:t>1</w:t>
      </w:r>
      <w:r w:rsidR="001A1CC1" w:rsidRPr="009351CB">
        <w:rPr>
          <w:color w:val="000000" w:themeColor="text1"/>
        </w:rPr>
        <w:t>5.7%</w:t>
      </w:r>
      <w:r w:rsidR="00B90A67" w:rsidRPr="009351CB">
        <w:rPr>
          <w:color w:val="000000" w:themeColor="text1"/>
        </w:rPr>
        <w:t>),</w:t>
      </w:r>
      <w:r w:rsidR="0059506B" w:rsidRPr="009351CB">
        <w:rPr>
          <w:color w:val="000000" w:themeColor="text1"/>
        </w:rPr>
        <w:t xml:space="preserve"> In addition, representation was provided </w:t>
      </w:r>
      <w:r w:rsidR="00106280" w:rsidRPr="009351CB">
        <w:rPr>
          <w:color w:val="000000" w:themeColor="text1"/>
        </w:rPr>
        <w:t xml:space="preserve">in land/eviction matters </w:t>
      </w:r>
      <w:r w:rsidR="004E2046" w:rsidRPr="009351CB">
        <w:rPr>
          <w:color w:val="000000" w:themeColor="text1"/>
        </w:rPr>
        <w:t>(1</w:t>
      </w:r>
      <w:r w:rsidR="001A1CC1" w:rsidRPr="009351CB">
        <w:rPr>
          <w:color w:val="000000" w:themeColor="text1"/>
        </w:rPr>
        <w:t>1.8%</w:t>
      </w:r>
      <w:r w:rsidR="00BC73E4" w:rsidRPr="009351CB">
        <w:rPr>
          <w:color w:val="000000" w:themeColor="text1"/>
        </w:rPr>
        <w:t>)</w:t>
      </w:r>
      <w:r w:rsidR="00106280" w:rsidRPr="009351CB">
        <w:rPr>
          <w:color w:val="000000" w:themeColor="text1"/>
        </w:rPr>
        <w:t>.</w:t>
      </w:r>
    </w:p>
    <w:p w14:paraId="16C07BA2" w14:textId="77777777" w:rsidR="00106280" w:rsidRPr="009351CB" w:rsidRDefault="00106280" w:rsidP="009351CB">
      <w:pPr>
        <w:pStyle w:val="ListParagraph"/>
        <w:spacing w:line="360" w:lineRule="auto"/>
        <w:rPr>
          <w:color w:val="000000" w:themeColor="text1"/>
        </w:rPr>
      </w:pPr>
    </w:p>
    <w:p w14:paraId="7153BAA2" w14:textId="239B4237" w:rsidR="00106280" w:rsidRPr="009351CB" w:rsidRDefault="00B061FD" w:rsidP="004F6019">
      <w:pPr>
        <w:pStyle w:val="ListParagraph"/>
        <w:numPr>
          <w:ilvl w:val="2"/>
          <w:numId w:val="20"/>
        </w:numPr>
        <w:spacing w:line="360" w:lineRule="auto"/>
        <w:jc w:val="both"/>
        <w:rPr>
          <w:color w:val="000000" w:themeColor="text1"/>
        </w:rPr>
      </w:pPr>
      <w:r w:rsidRPr="009351CB">
        <w:rPr>
          <w:color w:val="000000" w:themeColor="text1"/>
        </w:rPr>
        <w:t>Children were provided with assistance in 1</w:t>
      </w:r>
      <w:r w:rsidR="00596BB5" w:rsidRPr="009351CB">
        <w:rPr>
          <w:color w:val="000000" w:themeColor="text1"/>
        </w:rPr>
        <w:t xml:space="preserve">6 </w:t>
      </w:r>
      <w:r w:rsidR="001A1CC1" w:rsidRPr="009351CB">
        <w:rPr>
          <w:color w:val="000000" w:themeColor="text1"/>
        </w:rPr>
        <w:t>173</w:t>
      </w:r>
      <w:r w:rsidRPr="009351CB">
        <w:rPr>
          <w:color w:val="000000" w:themeColor="text1"/>
        </w:rPr>
        <w:t xml:space="preserve"> matters, of which</w:t>
      </w:r>
      <w:r w:rsidR="00FC71D5" w:rsidRPr="009351CB">
        <w:rPr>
          <w:color w:val="000000" w:themeColor="text1"/>
        </w:rPr>
        <w:t xml:space="preserve"> </w:t>
      </w:r>
      <w:r w:rsidR="001A1CC1" w:rsidRPr="009351CB">
        <w:rPr>
          <w:color w:val="000000" w:themeColor="text1"/>
        </w:rPr>
        <w:t xml:space="preserve">59% </w:t>
      </w:r>
      <w:r w:rsidR="00FC71D5" w:rsidRPr="009351CB">
        <w:rPr>
          <w:color w:val="000000" w:themeColor="text1"/>
        </w:rPr>
        <w:t>were children in conflict</w:t>
      </w:r>
      <w:r w:rsidRPr="009351CB">
        <w:rPr>
          <w:color w:val="000000" w:themeColor="text1"/>
        </w:rPr>
        <w:t xml:space="preserve"> </w:t>
      </w:r>
      <w:r w:rsidR="00FC71D5" w:rsidRPr="009351CB">
        <w:rPr>
          <w:color w:val="000000" w:themeColor="text1"/>
        </w:rPr>
        <w:t xml:space="preserve">with the law </w:t>
      </w:r>
      <w:r w:rsidRPr="009351CB">
        <w:rPr>
          <w:color w:val="000000" w:themeColor="text1"/>
        </w:rPr>
        <w:t xml:space="preserve">and </w:t>
      </w:r>
      <w:r w:rsidR="001A1CC1" w:rsidRPr="009351CB">
        <w:rPr>
          <w:color w:val="000000" w:themeColor="text1"/>
        </w:rPr>
        <w:t>41</w:t>
      </w:r>
      <w:r w:rsidRPr="009351CB">
        <w:rPr>
          <w:color w:val="000000" w:themeColor="text1"/>
        </w:rPr>
        <w:t xml:space="preserve">% </w:t>
      </w:r>
      <w:r w:rsidR="00FC71D5" w:rsidRPr="009351CB">
        <w:rPr>
          <w:color w:val="000000" w:themeColor="text1"/>
        </w:rPr>
        <w:t xml:space="preserve">were assisted in </w:t>
      </w:r>
      <w:r w:rsidRPr="009351CB">
        <w:rPr>
          <w:color w:val="000000" w:themeColor="text1"/>
        </w:rPr>
        <w:t>civil matters</w:t>
      </w:r>
      <w:r w:rsidR="00596BB5" w:rsidRPr="009351CB">
        <w:rPr>
          <w:color w:val="000000" w:themeColor="text1"/>
        </w:rPr>
        <w:t xml:space="preserve"> (</w:t>
      </w:r>
      <w:r w:rsidR="001A1CC1" w:rsidRPr="009351CB">
        <w:rPr>
          <w:color w:val="000000" w:themeColor="text1"/>
        </w:rPr>
        <w:t xml:space="preserve">55% of these matters related to </w:t>
      </w:r>
      <w:r w:rsidR="00596BB5" w:rsidRPr="009351CB">
        <w:rPr>
          <w:color w:val="000000" w:themeColor="text1"/>
        </w:rPr>
        <w:t>estates)</w:t>
      </w:r>
      <w:r w:rsidRPr="009351CB">
        <w:rPr>
          <w:color w:val="000000" w:themeColor="text1"/>
        </w:rPr>
        <w:t xml:space="preserve">. </w:t>
      </w:r>
      <w:r w:rsidR="00106280" w:rsidRPr="009351CB">
        <w:rPr>
          <w:color w:val="000000" w:themeColor="text1"/>
        </w:rPr>
        <w:t xml:space="preserve">Assistance </w:t>
      </w:r>
      <w:r w:rsidR="00596BB5" w:rsidRPr="009351CB">
        <w:rPr>
          <w:color w:val="000000" w:themeColor="text1"/>
        </w:rPr>
        <w:t>t</w:t>
      </w:r>
      <w:r w:rsidR="00FC71D5" w:rsidRPr="009351CB">
        <w:rPr>
          <w:color w:val="000000" w:themeColor="text1"/>
        </w:rPr>
        <w:t xml:space="preserve">o </w:t>
      </w:r>
      <w:r w:rsidR="00106280" w:rsidRPr="009351CB">
        <w:rPr>
          <w:color w:val="000000" w:themeColor="text1"/>
        </w:rPr>
        <w:t xml:space="preserve">children in civil matters </w:t>
      </w:r>
      <w:r w:rsidR="00596BB5" w:rsidRPr="009351CB">
        <w:rPr>
          <w:color w:val="000000" w:themeColor="text1"/>
        </w:rPr>
        <w:t xml:space="preserve">decreased </w:t>
      </w:r>
      <w:r w:rsidR="00487610" w:rsidRPr="009351CB">
        <w:rPr>
          <w:color w:val="000000" w:themeColor="text1"/>
        </w:rPr>
        <w:t xml:space="preserve">6 </w:t>
      </w:r>
      <w:r w:rsidR="00106280" w:rsidRPr="009351CB">
        <w:rPr>
          <w:color w:val="000000" w:themeColor="text1"/>
        </w:rPr>
        <w:t>% when compared to 201</w:t>
      </w:r>
      <w:r w:rsidR="00916F68" w:rsidRPr="009351CB">
        <w:rPr>
          <w:color w:val="000000" w:themeColor="text1"/>
        </w:rPr>
        <w:t>7/18</w:t>
      </w:r>
      <w:r w:rsidR="00106280" w:rsidRPr="009351CB">
        <w:rPr>
          <w:color w:val="000000" w:themeColor="text1"/>
        </w:rPr>
        <w:t>.</w:t>
      </w:r>
    </w:p>
    <w:p w14:paraId="342BCF50" w14:textId="77777777" w:rsidR="00BF0FA7" w:rsidRPr="009351CB" w:rsidRDefault="00BF0FA7" w:rsidP="009351CB">
      <w:pPr>
        <w:pStyle w:val="ListParagraph"/>
        <w:spacing w:line="360" w:lineRule="auto"/>
        <w:rPr>
          <w:color w:val="000000" w:themeColor="text1"/>
        </w:rPr>
      </w:pPr>
    </w:p>
    <w:p w14:paraId="0FBD10A6" w14:textId="77777777" w:rsidR="00BF0FA7" w:rsidRPr="009351CB" w:rsidRDefault="007C0994" w:rsidP="004F6019">
      <w:pPr>
        <w:pStyle w:val="ListParagraph"/>
        <w:numPr>
          <w:ilvl w:val="2"/>
          <w:numId w:val="20"/>
        </w:numPr>
        <w:spacing w:line="360" w:lineRule="auto"/>
        <w:jc w:val="both"/>
        <w:rPr>
          <w:color w:val="000000" w:themeColor="text1"/>
        </w:rPr>
      </w:pPr>
      <w:r w:rsidRPr="009351CB">
        <w:rPr>
          <w:color w:val="000000" w:themeColor="text1"/>
        </w:rPr>
        <w:t>In 2018/19</w:t>
      </w:r>
      <w:r w:rsidR="00285BD5" w:rsidRPr="009351CB">
        <w:rPr>
          <w:color w:val="000000" w:themeColor="text1"/>
        </w:rPr>
        <w:t>, t</w:t>
      </w:r>
      <w:r w:rsidR="00BF0FA7" w:rsidRPr="009351CB">
        <w:rPr>
          <w:color w:val="000000" w:themeColor="text1"/>
        </w:rPr>
        <w:t>he stabili</w:t>
      </w:r>
      <w:r w:rsidR="00285BD5" w:rsidRPr="009351CB">
        <w:rPr>
          <w:color w:val="000000" w:themeColor="text1"/>
        </w:rPr>
        <w:t>ty of the IT platform was maintai</w:t>
      </w:r>
      <w:r w:rsidR="00BF0FA7" w:rsidRPr="009351CB">
        <w:rPr>
          <w:color w:val="000000" w:themeColor="text1"/>
        </w:rPr>
        <w:t xml:space="preserve">ned with system availability at 99%. </w:t>
      </w:r>
    </w:p>
    <w:p w14:paraId="633468F3" w14:textId="77777777" w:rsidR="00106280" w:rsidRPr="009351CB" w:rsidRDefault="00106280" w:rsidP="009351CB">
      <w:pPr>
        <w:spacing w:line="360" w:lineRule="auto"/>
        <w:rPr>
          <w:color w:val="000000" w:themeColor="text1"/>
        </w:rPr>
      </w:pPr>
    </w:p>
    <w:p w14:paraId="6CAB1867" w14:textId="3AFC3750" w:rsidR="00106280" w:rsidRPr="009351CB" w:rsidRDefault="009C2A0B" w:rsidP="00E20A8C">
      <w:pPr>
        <w:numPr>
          <w:ilvl w:val="1"/>
          <w:numId w:val="2"/>
        </w:numPr>
        <w:tabs>
          <w:tab w:val="clear" w:pos="862"/>
          <w:tab w:val="num" w:pos="709"/>
        </w:tabs>
        <w:spacing w:line="360" w:lineRule="auto"/>
        <w:ind w:left="709" w:hanging="709"/>
        <w:jc w:val="both"/>
        <w:rPr>
          <w:color w:val="000000" w:themeColor="text1"/>
        </w:rPr>
      </w:pPr>
      <w:r w:rsidRPr="009351CB">
        <w:rPr>
          <w:color w:val="000000" w:themeColor="text1"/>
        </w:rPr>
        <w:t xml:space="preserve">The </w:t>
      </w:r>
      <w:r w:rsidR="00106280" w:rsidRPr="009351CB">
        <w:rPr>
          <w:color w:val="000000" w:themeColor="text1"/>
        </w:rPr>
        <w:t>following key challenges</w:t>
      </w:r>
      <w:r w:rsidR="00285BD5" w:rsidRPr="009351CB">
        <w:rPr>
          <w:color w:val="000000" w:themeColor="text1"/>
        </w:rPr>
        <w:t xml:space="preserve"> we</w:t>
      </w:r>
      <w:r w:rsidRPr="009351CB">
        <w:rPr>
          <w:color w:val="000000" w:themeColor="text1"/>
        </w:rPr>
        <w:t>re reported</w:t>
      </w:r>
      <w:r w:rsidR="00106280" w:rsidRPr="009351CB">
        <w:rPr>
          <w:color w:val="000000" w:themeColor="text1"/>
        </w:rPr>
        <w:t xml:space="preserve">: </w:t>
      </w:r>
    </w:p>
    <w:p w14:paraId="78E2B8DF" w14:textId="77777777" w:rsidR="00E4277C" w:rsidRPr="009351CB" w:rsidRDefault="00E4277C" w:rsidP="009351CB">
      <w:pPr>
        <w:spacing w:line="360" w:lineRule="auto"/>
        <w:ind w:left="720"/>
        <w:jc w:val="both"/>
        <w:rPr>
          <w:color w:val="000000" w:themeColor="text1"/>
        </w:rPr>
      </w:pPr>
    </w:p>
    <w:p w14:paraId="402A9172" w14:textId="206F1E76" w:rsidR="00916F68" w:rsidRPr="00E20A8C" w:rsidRDefault="00D97AF5" w:rsidP="004F6019">
      <w:pPr>
        <w:pStyle w:val="ListParagraph"/>
        <w:numPr>
          <w:ilvl w:val="2"/>
          <w:numId w:val="21"/>
        </w:numPr>
        <w:autoSpaceDE w:val="0"/>
        <w:autoSpaceDN w:val="0"/>
        <w:adjustRightInd w:val="0"/>
        <w:spacing w:line="360" w:lineRule="auto"/>
        <w:ind w:left="1134" w:hanging="283"/>
        <w:jc w:val="both"/>
        <w:rPr>
          <w:color w:val="000000" w:themeColor="text1"/>
        </w:rPr>
      </w:pPr>
      <w:r w:rsidRPr="00E20A8C">
        <w:rPr>
          <w:color w:val="000000" w:themeColor="text1"/>
        </w:rPr>
        <w:t xml:space="preserve">Legal Aid SA </w:t>
      </w:r>
      <w:r w:rsidR="00BF0FA7" w:rsidRPr="00E20A8C">
        <w:rPr>
          <w:color w:val="000000" w:themeColor="text1"/>
        </w:rPr>
        <w:t xml:space="preserve">has discontinued its </w:t>
      </w:r>
      <w:r w:rsidR="009C2A0B" w:rsidRPr="00E20A8C">
        <w:rPr>
          <w:color w:val="000000" w:themeColor="text1"/>
        </w:rPr>
        <w:t>court r</w:t>
      </w:r>
      <w:r w:rsidR="00106280" w:rsidRPr="00E20A8C">
        <w:rPr>
          <w:color w:val="000000" w:themeColor="text1"/>
        </w:rPr>
        <w:t>elie</w:t>
      </w:r>
      <w:r w:rsidR="0043590D" w:rsidRPr="00E20A8C">
        <w:rPr>
          <w:color w:val="000000" w:themeColor="text1"/>
        </w:rPr>
        <w:t>f</w:t>
      </w:r>
      <w:r w:rsidR="00106280" w:rsidRPr="00E20A8C">
        <w:rPr>
          <w:color w:val="000000" w:themeColor="text1"/>
        </w:rPr>
        <w:t xml:space="preserve"> </w:t>
      </w:r>
      <w:r w:rsidR="00E74820" w:rsidRPr="00E20A8C">
        <w:rPr>
          <w:color w:val="000000" w:themeColor="text1"/>
        </w:rPr>
        <w:t>programme at criminal courts because of funding cuts. Notably, the absence of a relief component is also a concern of Legal Aid SA’s stakeholders, particularly those within the criminal justice system</w:t>
      </w:r>
      <w:r w:rsidR="00106280" w:rsidRPr="00E20A8C">
        <w:rPr>
          <w:color w:val="000000" w:themeColor="text1"/>
        </w:rPr>
        <w:t xml:space="preserve">. </w:t>
      </w:r>
    </w:p>
    <w:p w14:paraId="35910CA6" w14:textId="0FDDAFD2" w:rsidR="00106280" w:rsidRPr="009351CB" w:rsidRDefault="00D97AF5" w:rsidP="004F6019">
      <w:pPr>
        <w:pStyle w:val="ListParagraph"/>
        <w:numPr>
          <w:ilvl w:val="2"/>
          <w:numId w:val="21"/>
        </w:numPr>
        <w:autoSpaceDE w:val="0"/>
        <w:autoSpaceDN w:val="0"/>
        <w:adjustRightInd w:val="0"/>
        <w:spacing w:line="360" w:lineRule="auto"/>
        <w:ind w:left="1134" w:hanging="283"/>
        <w:jc w:val="both"/>
        <w:rPr>
          <w:color w:val="000000" w:themeColor="text1"/>
        </w:rPr>
      </w:pPr>
      <w:r w:rsidRPr="009351CB">
        <w:rPr>
          <w:color w:val="000000" w:themeColor="text1"/>
        </w:rPr>
        <w:t>Fiscal constraints threaten service delivery</w:t>
      </w:r>
      <w:r w:rsidR="00106280" w:rsidRPr="009351CB">
        <w:rPr>
          <w:color w:val="000000" w:themeColor="text1"/>
        </w:rPr>
        <w:t xml:space="preserve">. </w:t>
      </w:r>
    </w:p>
    <w:p w14:paraId="0D2576DC" w14:textId="77777777" w:rsidR="00916F68" w:rsidRPr="009351CB" w:rsidRDefault="00916F68" w:rsidP="009351CB">
      <w:pPr>
        <w:pStyle w:val="BodySingle"/>
        <w:autoSpaceDE w:val="0"/>
        <w:autoSpaceDN w:val="0"/>
        <w:adjustRightInd w:val="0"/>
        <w:spacing w:after="44" w:line="360" w:lineRule="auto"/>
        <w:ind w:left="0"/>
        <w:rPr>
          <w:rFonts w:ascii="Times New Roman" w:hAnsi="Times New Roman"/>
          <w:b/>
          <w:i w:val="0"/>
          <w:sz w:val="24"/>
          <w:szCs w:val="24"/>
        </w:rPr>
      </w:pPr>
    </w:p>
    <w:p w14:paraId="189F0942" w14:textId="64B46DBF" w:rsidR="00074C0F" w:rsidRPr="00E20A8C" w:rsidRDefault="00074C0F" w:rsidP="00E20A8C">
      <w:pPr>
        <w:numPr>
          <w:ilvl w:val="1"/>
          <w:numId w:val="2"/>
        </w:numPr>
        <w:tabs>
          <w:tab w:val="clear" w:pos="862"/>
          <w:tab w:val="num" w:pos="709"/>
        </w:tabs>
        <w:spacing w:line="360" w:lineRule="auto"/>
        <w:ind w:left="709" w:hanging="709"/>
        <w:jc w:val="both"/>
        <w:rPr>
          <w:rFonts w:eastAsia="Calibri"/>
          <w:b/>
        </w:rPr>
      </w:pPr>
      <w:r w:rsidRPr="00E20A8C">
        <w:rPr>
          <w:b/>
          <w:color w:val="000000" w:themeColor="text1"/>
        </w:rPr>
        <w:t>Funding</w:t>
      </w:r>
      <w:r w:rsidRPr="00E20A8C">
        <w:rPr>
          <w:b/>
        </w:rPr>
        <w:t xml:space="preserve"> needs 2020 MTEF</w:t>
      </w:r>
    </w:p>
    <w:p w14:paraId="2832F15C" w14:textId="77777777" w:rsidR="00074C0F" w:rsidRPr="009351CB" w:rsidRDefault="00074C0F" w:rsidP="009351CB">
      <w:pPr>
        <w:pStyle w:val="BodySingle"/>
        <w:autoSpaceDE w:val="0"/>
        <w:autoSpaceDN w:val="0"/>
        <w:adjustRightInd w:val="0"/>
        <w:spacing w:after="44" w:line="360" w:lineRule="auto"/>
        <w:rPr>
          <w:rFonts w:ascii="Times New Roman" w:eastAsia="Calibri" w:hAnsi="Times New Roman"/>
          <w:b/>
          <w:i w:val="0"/>
          <w:sz w:val="24"/>
          <w:szCs w:val="24"/>
        </w:rPr>
      </w:pPr>
    </w:p>
    <w:p w14:paraId="45621BBB" w14:textId="458620BF" w:rsidR="00074C0F" w:rsidRPr="009351CB" w:rsidRDefault="00074C0F" w:rsidP="004F6019">
      <w:pPr>
        <w:pStyle w:val="BodySingle"/>
        <w:numPr>
          <w:ilvl w:val="2"/>
          <w:numId w:val="22"/>
        </w:numPr>
        <w:autoSpaceDE w:val="0"/>
        <w:autoSpaceDN w:val="0"/>
        <w:adjustRightInd w:val="0"/>
        <w:spacing w:after="44" w:line="360" w:lineRule="auto"/>
        <w:rPr>
          <w:rFonts w:ascii="Times New Roman" w:eastAsia="Calibri" w:hAnsi="Times New Roman"/>
          <w:i w:val="0"/>
          <w:sz w:val="24"/>
          <w:szCs w:val="24"/>
        </w:rPr>
      </w:pPr>
      <w:r w:rsidRPr="009351CB">
        <w:rPr>
          <w:rFonts w:ascii="Times New Roman" w:hAnsi="Times New Roman"/>
          <w:i w:val="0"/>
          <w:sz w:val="24"/>
          <w:szCs w:val="24"/>
        </w:rPr>
        <w:t>The total projected baseline cut and shortfall is therefore R451.6 million over the MTEF period, as follows:</w:t>
      </w:r>
    </w:p>
    <w:p w14:paraId="5FCEAF72" w14:textId="77777777" w:rsidR="00074C0F" w:rsidRPr="009351CB" w:rsidRDefault="00074C0F" w:rsidP="009351CB">
      <w:pPr>
        <w:pStyle w:val="BodySingle"/>
        <w:autoSpaceDE w:val="0"/>
        <w:autoSpaceDN w:val="0"/>
        <w:adjustRightInd w:val="0"/>
        <w:spacing w:after="44" w:line="360" w:lineRule="auto"/>
        <w:ind w:left="0"/>
        <w:rPr>
          <w:rFonts w:ascii="Times New Roman" w:hAnsi="Times New Roman"/>
          <w:b/>
          <w:sz w:val="24"/>
          <w:szCs w:val="24"/>
        </w:rPr>
      </w:pPr>
    </w:p>
    <w:p w14:paraId="172D9271" w14:textId="77777777" w:rsidR="00074C0F" w:rsidRPr="009351CB" w:rsidRDefault="00074C0F" w:rsidP="009351CB">
      <w:pPr>
        <w:pStyle w:val="BodySingle"/>
        <w:autoSpaceDE w:val="0"/>
        <w:autoSpaceDN w:val="0"/>
        <w:adjustRightInd w:val="0"/>
        <w:spacing w:after="44" w:line="360" w:lineRule="auto"/>
        <w:ind w:left="0"/>
        <w:rPr>
          <w:rFonts w:ascii="Times New Roman" w:eastAsia="Calibri" w:hAnsi="Times New Roman"/>
          <w:b/>
          <w:i w:val="0"/>
          <w:sz w:val="24"/>
          <w:szCs w:val="24"/>
        </w:rPr>
      </w:pPr>
      <w:r w:rsidRPr="009351CB">
        <w:rPr>
          <w:rFonts w:ascii="Times New Roman" w:hAnsi="Times New Roman"/>
          <w:b/>
          <w:i w:val="0"/>
          <w:sz w:val="24"/>
          <w:szCs w:val="24"/>
        </w:rPr>
        <w:t>Table 8: Proposed baseline reductions</w:t>
      </w:r>
    </w:p>
    <w:tbl>
      <w:tblPr>
        <w:tblW w:w="0" w:type="auto"/>
        <w:tblLook w:val="04A0" w:firstRow="1" w:lastRow="0" w:firstColumn="1" w:lastColumn="0" w:noHBand="0" w:noVBand="1"/>
      </w:tblPr>
      <w:tblGrid>
        <w:gridCol w:w="3402"/>
        <w:gridCol w:w="1730"/>
        <w:gridCol w:w="1526"/>
        <w:gridCol w:w="1548"/>
      </w:tblGrid>
      <w:tr w:rsidR="00074C0F" w:rsidRPr="009351CB" w14:paraId="7A183F6A" w14:textId="77777777" w:rsidTr="00916F68">
        <w:trPr>
          <w:trHeight w:val="197"/>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57AD5A" w14:textId="77777777" w:rsidR="00074C0F" w:rsidRPr="009351CB" w:rsidRDefault="00074C0F" w:rsidP="009351CB">
            <w:pPr>
              <w:spacing w:line="360" w:lineRule="auto"/>
              <w:rPr>
                <w:b/>
                <w:color w:val="000000" w:themeColor="text1"/>
              </w:rPr>
            </w:pPr>
            <w:r w:rsidRPr="009351CB">
              <w:rPr>
                <w:b/>
                <w:color w:val="000000" w:themeColor="text1"/>
              </w:rPr>
              <w:t>Description</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A2274B" w14:textId="77777777" w:rsidR="00074C0F" w:rsidRPr="009351CB" w:rsidRDefault="00074C0F" w:rsidP="009351CB">
            <w:pPr>
              <w:spacing w:line="360" w:lineRule="auto"/>
              <w:jc w:val="center"/>
              <w:rPr>
                <w:b/>
                <w:bCs/>
                <w:color w:val="000000" w:themeColor="text1"/>
              </w:rPr>
            </w:pPr>
            <w:r w:rsidRPr="009351CB">
              <w:rPr>
                <w:b/>
                <w:bCs/>
                <w:color w:val="000000" w:themeColor="text1"/>
              </w:rPr>
              <w:t>2020/21</w:t>
            </w:r>
          </w:p>
          <w:p w14:paraId="07CA3AAC" w14:textId="77777777" w:rsidR="00074C0F" w:rsidRPr="009351CB" w:rsidRDefault="00074C0F" w:rsidP="009351CB">
            <w:pPr>
              <w:spacing w:line="360" w:lineRule="auto"/>
              <w:jc w:val="center"/>
              <w:rPr>
                <w:b/>
                <w:bCs/>
                <w:color w:val="000000" w:themeColor="text1"/>
              </w:rPr>
            </w:pPr>
            <w:r w:rsidRPr="009351CB">
              <w:rPr>
                <w:b/>
                <w:bCs/>
                <w:color w:val="000000" w:themeColor="text1"/>
              </w:rPr>
              <w:t>(R’000)</w:t>
            </w:r>
          </w:p>
        </w:tc>
        <w:tc>
          <w:tcPr>
            <w:tcW w:w="15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398477" w14:textId="77777777" w:rsidR="00074C0F" w:rsidRPr="009351CB" w:rsidRDefault="00074C0F" w:rsidP="009351CB">
            <w:pPr>
              <w:spacing w:line="360" w:lineRule="auto"/>
              <w:jc w:val="center"/>
              <w:rPr>
                <w:b/>
                <w:bCs/>
                <w:color w:val="000000" w:themeColor="text1"/>
              </w:rPr>
            </w:pPr>
            <w:r w:rsidRPr="009351CB">
              <w:rPr>
                <w:b/>
                <w:bCs/>
                <w:color w:val="000000" w:themeColor="text1"/>
              </w:rPr>
              <w:t>2021/22</w:t>
            </w:r>
          </w:p>
          <w:p w14:paraId="5D9BBAF8" w14:textId="77777777" w:rsidR="00074C0F" w:rsidRPr="009351CB" w:rsidRDefault="00074C0F" w:rsidP="009351CB">
            <w:pPr>
              <w:spacing w:line="360" w:lineRule="auto"/>
              <w:jc w:val="center"/>
              <w:rPr>
                <w:b/>
                <w:bCs/>
                <w:color w:val="000000" w:themeColor="text1"/>
              </w:rPr>
            </w:pPr>
            <w:r w:rsidRPr="009351CB">
              <w:rPr>
                <w:b/>
                <w:bCs/>
                <w:color w:val="000000" w:themeColor="text1"/>
              </w:rPr>
              <w:t>(R’000)</w:t>
            </w:r>
          </w:p>
        </w:tc>
        <w:tc>
          <w:tcPr>
            <w:tcW w:w="15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60B21B" w14:textId="77777777" w:rsidR="00074C0F" w:rsidRPr="009351CB" w:rsidRDefault="00074C0F" w:rsidP="009351CB">
            <w:pPr>
              <w:spacing w:line="360" w:lineRule="auto"/>
              <w:jc w:val="center"/>
              <w:rPr>
                <w:b/>
                <w:bCs/>
                <w:color w:val="000000" w:themeColor="text1"/>
              </w:rPr>
            </w:pPr>
            <w:r w:rsidRPr="009351CB">
              <w:rPr>
                <w:b/>
                <w:bCs/>
                <w:color w:val="000000" w:themeColor="text1"/>
              </w:rPr>
              <w:t>2022/23</w:t>
            </w:r>
          </w:p>
          <w:p w14:paraId="2A9D92DF" w14:textId="77777777" w:rsidR="00074C0F" w:rsidRPr="009351CB" w:rsidRDefault="00074C0F" w:rsidP="009351CB">
            <w:pPr>
              <w:spacing w:line="360" w:lineRule="auto"/>
              <w:jc w:val="center"/>
              <w:rPr>
                <w:b/>
                <w:bCs/>
                <w:color w:val="000000" w:themeColor="text1"/>
              </w:rPr>
            </w:pPr>
            <w:r w:rsidRPr="009351CB">
              <w:rPr>
                <w:b/>
                <w:bCs/>
                <w:color w:val="000000" w:themeColor="text1"/>
              </w:rPr>
              <w:t>(R’000)</w:t>
            </w:r>
          </w:p>
        </w:tc>
      </w:tr>
      <w:tr w:rsidR="00074C0F" w:rsidRPr="009351CB" w14:paraId="6FACF5D6" w14:textId="77777777" w:rsidTr="00916F68">
        <w:trPr>
          <w:trHeight w:val="188"/>
        </w:trPr>
        <w:tc>
          <w:tcPr>
            <w:tcW w:w="3402" w:type="dxa"/>
            <w:tcBorders>
              <w:top w:val="nil"/>
              <w:left w:val="single" w:sz="4" w:space="0" w:color="auto"/>
              <w:bottom w:val="single" w:sz="4" w:space="0" w:color="auto"/>
              <w:right w:val="single" w:sz="4" w:space="0" w:color="auto"/>
            </w:tcBorders>
            <w:noWrap/>
            <w:vAlign w:val="bottom"/>
            <w:hideMark/>
          </w:tcPr>
          <w:p w14:paraId="0F45AD83" w14:textId="77777777" w:rsidR="00074C0F" w:rsidRPr="009351CB" w:rsidRDefault="00074C0F" w:rsidP="009351CB">
            <w:pPr>
              <w:spacing w:line="360" w:lineRule="auto"/>
              <w:rPr>
                <w:color w:val="000000" w:themeColor="text1"/>
              </w:rPr>
            </w:pPr>
            <w:r w:rsidRPr="009351CB">
              <w:rPr>
                <w:color w:val="000000" w:themeColor="text1"/>
              </w:rPr>
              <w:t>Grant Allocation</w:t>
            </w:r>
          </w:p>
        </w:tc>
        <w:tc>
          <w:tcPr>
            <w:tcW w:w="1730" w:type="dxa"/>
            <w:tcBorders>
              <w:top w:val="nil"/>
              <w:left w:val="nil"/>
              <w:bottom w:val="single" w:sz="4" w:space="0" w:color="auto"/>
              <w:right w:val="single" w:sz="4" w:space="0" w:color="auto"/>
            </w:tcBorders>
            <w:noWrap/>
            <w:vAlign w:val="bottom"/>
            <w:hideMark/>
          </w:tcPr>
          <w:p w14:paraId="7F1E328F" w14:textId="77777777" w:rsidR="00074C0F" w:rsidRPr="009351CB" w:rsidRDefault="00074C0F" w:rsidP="009351CB">
            <w:pPr>
              <w:spacing w:line="360" w:lineRule="auto"/>
              <w:jc w:val="center"/>
              <w:rPr>
                <w:color w:val="000000" w:themeColor="text1"/>
              </w:rPr>
            </w:pPr>
            <w:r w:rsidRPr="009351CB">
              <w:rPr>
                <w:color w:val="000000" w:themeColor="text1"/>
              </w:rPr>
              <w:t>2 066 096</w:t>
            </w:r>
          </w:p>
        </w:tc>
        <w:tc>
          <w:tcPr>
            <w:tcW w:w="1526" w:type="dxa"/>
            <w:tcBorders>
              <w:top w:val="nil"/>
              <w:left w:val="nil"/>
              <w:bottom w:val="single" w:sz="4" w:space="0" w:color="auto"/>
              <w:right w:val="single" w:sz="4" w:space="0" w:color="auto"/>
            </w:tcBorders>
            <w:noWrap/>
            <w:vAlign w:val="bottom"/>
            <w:hideMark/>
          </w:tcPr>
          <w:p w14:paraId="44868C17" w14:textId="77777777" w:rsidR="00074C0F" w:rsidRPr="009351CB" w:rsidRDefault="00074C0F" w:rsidP="009351CB">
            <w:pPr>
              <w:spacing w:line="360" w:lineRule="auto"/>
              <w:jc w:val="center"/>
              <w:rPr>
                <w:color w:val="000000" w:themeColor="text1"/>
              </w:rPr>
            </w:pPr>
            <w:r w:rsidRPr="009351CB">
              <w:rPr>
                <w:color w:val="000000" w:themeColor="text1"/>
              </w:rPr>
              <w:t>2 179 215</w:t>
            </w:r>
          </w:p>
        </w:tc>
        <w:tc>
          <w:tcPr>
            <w:tcW w:w="1548" w:type="dxa"/>
            <w:tcBorders>
              <w:top w:val="nil"/>
              <w:left w:val="nil"/>
              <w:bottom w:val="single" w:sz="4" w:space="0" w:color="auto"/>
              <w:right w:val="single" w:sz="4" w:space="0" w:color="auto"/>
            </w:tcBorders>
            <w:noWrap/>
            <w:vAlign w:val="bottom"/>
            <w:hideMark/>
          </w:tcPr>
          <w:p w14:paraId="78B916CF" w14:textId="77777777" w:rsidR="00074C0F" w:rsidRPr="009351CB" w:rsidRDefault="00074C0F" w:rsidP="009351CB">
            <w:pPr>
              <w:spacing w:line="360" w:lineRule="auto"/>
              <w:jc w:val="center"/>
              <w:rPr>
                <w:color w:val="000000" w:themeColor="text1"/>
              </w:rPr>
            </w:pPr>
            <w:r w:rsidRPr="009351CB">
              <w:rPr>
                <w:color w:val="000000" w:themeColor="text1"/>
              </w:rPr>
              <w:t>2 299 072</w:t>
            </w:r>
          </w:p>
        </w:tc>
      </w:tr>
      <w:tr w:rsidR="00074C0F" w:rsidRPr="009351CB" w14:paraId="264A703D" w14:textId="77777777" w:rsidTr="00916F68">
        <w:trPr>
          <w:trHeight w:val="188"/>
        </w:trPr>
        <w:tc>
          <w:tcPr>
            <w:tcW w:w="3402" w:type="dxa"/>
            <w:tcBorders>
              <w:top w:val="nil"/>
              <w:left w:val="single" w:sz="4" w:space="0" w:color="auto"/>
              <w:bottom w:val="single" w:sz="4" w:space="0" w:color="auto"/>
              <w:right w:val="single" w:sz="4" w:space="0" w:color="auto"/>
            </w:tcBorders>
            <w:noWrap/>
            <w:vAlign w:val="bottom"/>
            <w:hideMark/>
          </w:tcPr>
          <w:p w14:paraId="59600FA5" w14:textId="77777777" w:rsidR="00074C0F" w:rsidRPr="009351CB" w:rsidRDefault="00074C0F" w:rsidP="009351CB">
            <w:pPr>
              <w:spacing w:line="360" w:lineRule="auto"/>
              <w:rPr>
                <w:color w:val="000000" w:themeColor="text1"/>
              </w:rPr>
            </w:pPr>
            <w:r w:rsidRPr="009351CB">
              <w:rPr>
                <w:color w:val="000000" w:themeColor="text1"/>
              </w:rPr>
              <w:t>Proposed baseline reduction %</w:t>
            </w:r>
          </w:p>
        </w:tc>
        <w:tc>
          <w:tcPr>
            <w:tcW w:w="1730" w:type="dxa"/>
            <w:tcBorders>
              <w:top w:val="nil"/>
              <w:left w:val="nil"/>
              <w:bottom w:val="single" w:sz="4" w:space="0" w:color="auto"/>
              <w:right w:val="single" w:sz="4" w:space="0" w:color="auto"/>
            </w:tcBorders>
            <w:noWrap/>
            <w:vAlign w:val="bottom"/>
            <w:hideMark/>
          </w:tcPr>
          <w:p w14:paraId="5545255A" w14:textId="77777777" w:rsidR="00074C0F" w:rsidRPr="009351CB" w:rsidRDefault="00074C0F" w:rsidP="009351CB">
            <w:pPr>
              <w:spacing w:line="360" w:lineRule="auto"/>
              <w:jc w:val="center"/>
              <w:rPr>
                <w:color w:val="000000" w:themeColor="text1"/>
              </w:rPr>
            </w:pPr>
            <w:r w:rsidRPr="009351CB">
              <w:rPr>
                <w:color w:val="000000" w:themeColor="text1"/>
              </w:rPr>
              <w:t>-5%</w:t>
            </w:r>
          </w:p>
        </w:tc>
        <w:tc>
          <w:tcPr>
            <w:tcW w:w="1526" w:type="dxa"/>
            <w:tcBorders>
              <w:top w:val="nil"/>
              <w:left w:val="nil"/>
              <w:bottom w:val="single" w:sz="4" w:space="0" w:color="auto"/>
              <w:right w:val="single" w:sz="4" w:space="0" w:color="auto"/>
            </w:tcBorders>
            <w:noWrap/>
            <w:vAlign w:val="bottom"/>
            <w:hideMark/>
          </w:tcPr>
          <w:p w14:paraId="58B6C390" w14:textId="77777777" w:rsidR="00074C0F" w:rsidRPr="009351CB" w:rsidRDefault="00074C0F" w:rsidP="009351CB">
            <w:pPr>
              <w:spacing w:line="360" w:lineRule="auto"/>
              <w:jc w:val="center"/>
              <w:rPr>
                <w:color w:val="000000" w:themeColor="text1"/>
              </w:rPr>
            </w:pPr>
            <w:r w:rsidRPr="009351CB">
              <w:rPr>
                <w:color w:val="000000" w:themeColor="text1"/>
              </w:rPr>
              <w:t>-6%</w:t>
            </w:r>
          </w:p>
        </w:tc>
        <w:tc>
          <w:tcPr>
            <w:tcW w:w="1548" w:type="dxa"/>
            <w:tcBorders>
              <w:top w:val="nil"/>
              <w:left w:val="nil"/>
              <w:bottom w:val="single" w:sz="4" w:space="0" w:color="auto"/>
              <w:right w:val="single" w:sz="4" w:space="0" w:color="auto"/>
            </w:tcBorders>
            <w:noWrap/>
            <w:vAlign w:val="bottom"/>
            <w:hideMark/>
          </w:tcPr>
          <w:p w14:paraId="76794B4B" w14:textId="77777777" w:rsidR="00074C0F" w:rsidRPr="009351CB" w:rsidRDefault="00074C0F" w:rsidP="009351CB">
            <w:pPr>
              <w:spacing w:line="360" w:lineRule="auto"/>
              <w:jc w:val="center"/>
              <w:rPr>
                <w:color w:val="000000" w:themeColor="text1"/>
              </w:rPr>
            </w:pPr>
            <w:r w:rsidRPr="009351CB">
              <w:rPr>
                <w:color w:val="000000" w:themeColor="text1"/>
              </w:rPr>
              <w:t>-7%</w:t>
            </w:r>
          </w:p>
        </w:tc>
      </w:tr>
      <w:tr w:rsidR="00074C0F" w:rsidRPr="009351CB" w14:paraId="33C305B9" w14:textId="77777777" w:rsidTr="00916F68">
        <w:trPr>
          <w:trHeight w:val="188"/>
        </w:trPr>
        <w:tc>
          <w:tcPr>
            <w:tcW w:w="3402" w:type="dxa"/>
            <w:tcBorders>
              <w:top w:val="nil"/>
              <w:left w:val="single" w:sz="4" w:space="0" w:color="auto"/>
              <w:bottom w:val="single" w:sz="4" w:space="0" w:color="auto"/>
              <w:right w:val="single" w:sz="4" w:space="0" w:color="auto"/>
            </w:tcBorders>
            <w:noWrap/>
            <w:vAlign w:val="bottom"/>
            <w:hideMark/>
          </w:tcPr>
          <w:p w14:paraId="10C08E88" w14:textId="77777777" w:rsidR="00074C0F" w:rsidRPr="009351CB" w:rsidRDefault="00074C0F" w:rsidP="009351CB">
            <w:pPr>
              <w:spacing w:line="360" w:lineRule="auto"/>
              <w:rPr>
                <w:color w:val="000000" w:themeColor="text1"/>
              </w:rPr>
            </w:pPr>
            <w:r w:rsidRPr="009351CB">
              <w:rPr>
                <w:color w:val="000000" w:themeColor="text1"/>
              </w:rPr>
              <w:t>Proposed baseline reduction</w:t>
            </w:r>
          </w:p>
        </w:tc>
        <w:tc>
          <w:tcPr>
            <w:tcW w:w="1730" w:type="dxa"/>
            <w:tcBorders>
              <w:top w:val="nil"/>
              <w:left w:val="nil"/>
              <w:bottom w:val="single" w:sz="4" w:space="0" w:color="auto"/>
              <w:right w:val="single" w:sz="4" w:space="0" w:color="auto"/>
            </w:tcBorders>
            <w:noWrap/>
            <w:vAlign w:val="bottom"/>
            <w:hideMark/>
          </w:tcPr>
          <w:p w14:paraId="4628BDFD" w14:textId="77777777" w:rsidR="00074C0F" w:rsidRPr="009351CB" w:rsidRDefault="00074C0F" w:rsidP="009351CB">
            <w:pPr>
              <w:spacing w:line="360" w:lineRule="auto"/>
              <w:jc w:val="center"/>
              <w:rPr>
                <w:color w:val="000000" w:themeColor="text1"/>
              </w:rPr>
            </w:pPr>
            <w:r w:rsidRPr="009351CB">
              <w:rPr>
                <w:color w:val="000000" w:themeColor="text1"/>
              </w:rPr>
              <w:t>(103 304.8)</w:t>
            </w:r>
          </w:p>
        </w:tc>
        <w:tc>
          <w:tcPr>
            <w:tcW w:w="1526" w:type="dxa"/>
            <w:tcBorders>
              <w:top w:val="nil"/>
              <w:left w:val="nil"/>
              <w:bottom w:val="single" w:sz="4" w:space="0" w:color="auto"/>
              <w:right w:val="single" w:sz="4" w:space="0" w:color="auto"/>
            </w:tcBorders>
            <w:noWrap/>
            <w:vAlign w:val="bottom"/>
            <w:hideMark/>
          </w:tcPr>
          <w:p w14:paraId="240D70CC" w14:textId="77777777" w:rsidR="00074C0F" w:rsidRPr="009351CB" w:rsidRDefault="00074C0F" w:rsidP="009351CB">
            <w:pPr>
              <w:spacing w:line="360" w:lineRule="auto"/>
              <w:jc w:val="center"/>
              <w:rPr>
                <w:color w:val="000000" w:themeColor="text1"/>
              </w:rPr>
            </w:pPr>
            <w:r w:rsidRPr="009351CB">
              <w:rPr>
                <w:color w:val="000000" w:themeColor="text1"/>
              </w:rPr>
              <w:t>(130 752.9)</w:t>
            </w:r>
          </w:p>
        </w:tc>
        <w:tc>
          <w:tcPr>
            <w:tcW w:w="1548" w:type="dxa"/>
            <w:tcBorders>
              <w:top w:val="nil"/>
              <w:left w:val="nil"/>
              <w:bottom w:val="single" w:sz="4" w:space="0" w:color="auto"/>
              <w:right w:val="single" w:sz="4" w:space="0" w:color="auto"/>
            </w:tcBorders>
            <w:noWrap/>
            <w:vAlign w:val="bottom"/>
            <w:hideMark/>
          </w:tcPr>
          <w:p w14:paraId="32AD0C70" w14:textId="77777777" w:rsidR="00074C0F" w:rsidRPr="009351CB" w:rsidRDefault="00074C0F" w:rsidP="009351CB">
            <w:pPr>
              <w:spacing w:line="360" w:lineRule="auto"/>
              <w:jc w:val="center"/>
              <w:rPr>
                <w:color w:val="000000" w:themeColor="text1"/>
              </w:rPr>
            </w:pPr>
            <w:r w:rsidRPr="009351CB">
              <w:rPr>
                <w:color w:val="000000" w:themeColor="text1"/>
              </w:rPr>
              <w:t xml:space="preserve">(160 935.04)      </w:t>
            </w:r>
          </w:p>
        </w:tc>
      </w:tr>
      <w:tr w:rsidR="00074C0F" w:rsidRPr="009351CB" w14:paraId="68E7D300" w14:textId="77777777" w:rsidTr="00916F68">
        <w:trPr>
          <w:trHeight w:val="188"/>
        </w:trPr>
        <w:tc>
          <w:tcPr>
            <w:tcW w:w="3402" w:type="dxa"/>
            <w:tcBorders>
              <w:top w:val="nil"/>
              <w:left w:val="single" w:sz="4" w:space="0" w:color="auto"/>
              <w:bottom w:val="single" w:sz="4" w:space="0" w:color="auto"/>
              <w:right w:val="single" w:sz="4" w:space="0" w:color="auto"/>
            </w:tcBorders>
            <w:noWrap/>
            <w:vAlign w:val="bottom"/>
            <w:hideMark/>
          </w:tcPr>
          <w:p w14:paraId="5BBF464C" w14:textId="77777777" w:rsidR="00074C0F" w:rsidRPr="009351CB" w:rsidRDefault="00074C0F" w:rsidP="009351CB">
            <w:pPr>
              <w:spacing w:line="360" w:lineRule="auto"/>
              <w:rPr>
                <w:color w:val="000000" w:themeColor="text1"/>
              </w:rPr>
            </w:pPr>
            <w:r w:rsidRPr="009351CB">
              <w:rPr>
                <w:color w:val="000000" w:themeColor="text1"/>
              </w:rPr>
              <w:t>Projected budget shortfall</w:t>
            </w:r>
          </w:p>
        </w:tc>
        <w:tc>
          <w:tcPr>
            <w:tcW w:w="1730" w:type="dxa"/>
            <w:tcBorders>
              <w:top w:val="nil"/>
              <w:left w:val="nil"/>
              <w:bottom w:val="single" w:sz="4" w:space="0" w:color="auto"/>
              <w:right w:val="single" w:sz="4" w:space="0" w:color="auto"/>
            </w:tcBorders>
            <w:noWrap/>
            <w:vAlign w:val="bottom"/>
            <w:hideMark/>
          </w:tcPr>
          <w:p w14:paraId="53F8C55F" w14:textId="77777777" w:rsidR="00074C0F" w:rsidRPr="009351CB" w:rsidRDefault="00074C0F" w:rsidP="009351CB">
            <w:pPr>
              <w:spacing w:line="360" w:lineRule="auto"/>
              <w:jc w:val="center"/>
              <w:rPr>
                <w:color w:val="000000" w:themeColor="text1"/>
              </w:rPr>
            </w:pPr>
            <w:r w:rsidRPr="009351CB">
              <w:rPr>
                <w:color w:val="000000" w:themeColor="text1"/>
              </w:rPr>
              <w:t>(6 227 381)</w:t>
            </w:r>
          </w:p>
        </w:tc>
        <w:tc>
          <w:tcPr>
            <w:tcW w:w="1526" w:type="dxa"/>
            <w:tcBorders>
              <w:top w:val="nil"/>
              <w:left w:val="nil"/>
              <w:bottom w:val="single" w:sz="4" w:space="0" w:color="auto"/>
              <w:right w:val="single" w:sz="4" w:space="0" w:color="auto"/>
            </w:tcBorders>
            <w:noWrap/>
            <w:vAlign w:val="bottom"/>
            <w:hideMark/>
          </w:tcPr>
          <w:p w14:paraId="09B8BFB5" w14:textId="77777777" w:rsidR="00074C0F" w:rsidRPr="009351CB" w:rsidRDefault="00074C0F" w:rsidP="009351CB">
            <w:pPr>
              <w:spacing w:line="360" w:lineRule="auto"/>
              <w:jc w:val="center"/>
              <w:rPr>
                <w:color w:val="000000" w:themeColor="text1"/>
              </w:rPr>
            </w:pPr>
            <w:r w:rsidRPr="009351CB">
              <w:rPr>
                <w:color w:val="000000" w:themeColor="text1"/>
              </w:rPr>
              <w:t>(26 262 630)</w:t>
            </w:r>
          </w:p>
        </w:tc>
        <w:tc>
          <w:tcPr>
            <w:tcW w:w="1548" w:type="dxa"/>
            <w:tcBorders>
              <w:top w:val="nil"/>
              <w:left w:val="nil"/>
              <w:bottom w:val="single" w:sz="4" w:space="0" w:color="auto"/>
              <w:right w:val="single" w:sz="4" w:space="0" w:color="auto"/>
            </w:tcBorders>
            <w:noWrap/>
            <w:vAlign w:val="bottom"/>
            <w:hideMark/>
          </w:tcPr>
          <w:p w14:paraId="0F9F2F57" w14:textId="77777777" w:rsidR="00074C0F" w:rsidRPr="009351CB" w:rsidRDefault="00074C0F" w:rsidP="009351CB">
            <w:pPr>
              <w:spacing w:line="360" w:lineRule="auto"/>
              <w:jc w:val="center"/>
              <w:rPr>
                <w:color w:val="000000" w:themeColor="text1"/>
              </w:rPr>
            </w:pPr>
            <w:r w:rsidRPr="009351CB">
              <w:rPr>
                <w:color w:val="000000" w:themeColor="text1"/>
              </w:rPr>
              <w:t>(24 067 475)</w:t>
            </w:r>
          </w:p>
        </w:tc>
      </w:tr>
      <w:tr w:rsidR="00074C0F" w:rsidRPr="009351CB" w14:paraId="03A135F3" w14:textId="77777777" w:rsidTr="00916F68">
        <w:trPr>
          <w:trHeight w:val="188"/>
        </w:trPr>
        <w:tc>
          <w:tcPr>
            <w:tcW w:w="3402" w:type="dxa"/>
            <w:tcBorders>
              <w:top w:val="nil"/>
              <w:left w:val="single" w:sz="4" w:space="0" w:color="auto"/>
              <w:bottom w:val="single" w:sz="4" w:space="0" w:color="auto"/>
              <w:right w:val="single" w:sz="4" w:space="0" w:color="auto"/>
            </w:tcBorders>
            <w:noWrap/>
            <w:vAlign w:val="bottom"/>
            <w:hideMark/>
          </w:tcPr>
          <w:p w14:paraId="2096A242" w14:textId="77777777" w:rsidR="00074C0F" w:rsidRPr="009351CB" w:rsidRDefault="00074C0F" w:rsidP="009351CB">
            <w:pPr>
              <w:spacing w:line="360" w:lineRule="auto"/>
              <w:rPr>
                <w:b/>
                <w:color w:val="000000" w:themeColor="text1"/>
              </w:rPr>
            </w:pPr>
            <w:r w:rsidRPr="009351CB">
              <w:rPr>
                <w:b/>
                <w:color w:val="000000" w:themeColor="text1"/>
              </w:rPr>
              <w:t>TOTAL REDUCTION OF BUDGET PROJECTED</w:t>
            </w:r>
          </w:p>
        </w:tc>
        <w:tc>
          <w:tcPr>
            <w:tcW w:w="1730" w:type="dxa"/>
            <w:tcBorders>
              <w:top w:val="nil"/>
              <w:left w:val="nil"/>
              <w:bottom w:val="single" w:sz="4" w:space="0" w:color="auto"/>
              <w:right w:val="single" w:sz="4" w:space="0" w:color="auto"/>
            </w:tcBorders>
            <w:noWrap/>
            <w:vAlign w:val="bottom"/>
            <w:hideMark/>
          </w:tcPr>
          <w:p w14:paraId="4DDB9019" w14:textId="77777777" w:rsidR="00074C0F" w:rsidRPr="009351CB" w:rsidRDefault="00074C0F" w:rsidP="009351CB">
            <w:pPr>
              <w:spacing w:line="360" w:lineRule="auto"/>
              <w:jc w:val="center"/>
              <w:rPr>
                <w:b/>
                <w:color w:val="000000" w:themeColor="text1"/>
              </w:rPr>
            </w:pPr>
            <w:r w:rsidRPr="009351CB">
              <w:rPr>
                <w:b/>
                <w:color w:val="000000" w:themeColor="text1"/>
              </w:rPr>
              <w:t>(109 532.2)</w:t>
            </w:r>
          </w:p>
        </w:tc>
        <w:tc>
          <w:tcPr>
            <w:tcW w:w="1526" w:type="dxa"/>
            <w:tcBorders>
              <w:top w:val="nil"/>
              <w:left w:val="nil"/>
              <w:bottom w:val="single" w:sz="4" w:space="0" w:color="auto"/>
              <w:right w:val="single" w:sz="4" w:space="0" w:color="auto"/>
            </w:tcBorders>
            <w:noWrap/>
            <w:vAlign w:val="bottom"/>
            <w:hideMark/>
          </w:tcPr>
          <w:p w14:paraId="7B33EBEA" w14:textId="77777777" w:rsidR="00074C0F" w:rsidRPr="009351CB" w:rsidRDefault="00074C0F" w:rsidP="009351CB">
            <w:pPr>
              <w:spacing w:line="360" w:lineRule="auto"/>
              <w:jc w:val="center"/>
              <w:rPr>
                <w:color w:val="000000" w:themeColor="text1"/>
              </w:rPr>
            </w:pPr>
            <w:r w:rsidRPr="009351CB">
              <w:rPr>
                <w:b/>
                <w:color w:val="000000" w:themeColor="text1"/>
              </w:rPr>
              <w:t>(157 015.5)</w:t>
            </w:r>
          </w:p>
        </w:tc>
        <w:tc>
          <w:tcPr>
            <w:tcW w:w="1548" w:type="dxa"/>
            <w:tcBorders>
              <w:top w:val="nil"/>
              <w:left w:val="nil"/>
              <w:bottom w:val="single" w:sz="4" w:space="0" w:color="auto"/>
              <w:right w:val="single" w:sz="4" w:space="0" w:color="auto"/>
            </w:tcBorders>
            <w:noWrap/>
            <w:vAlign w:val="bottom"/>
            <w:hideMark/>
          </w:tcPr>
          <w:p w14:paraId="11EE723D" w14:textId="77777777" w:rsidR="00074C0F" w:rsidRPr="009351CB" w:rsidRDefault="00074C0F" w:rsidP="009351CB">
            <w:pPr>
              <w:spacing w:line="360" w:lineRule="auto"/>
              <w:jc w:val="center"/>
              <w:rPr>
                <w:color w:val="000000" w:themeColor="text1"/>
              </w:rPr>
            </w:pPr>
            <w:r w:rsidRPr="009351CB">
              <w:rPr>
                <w:b/>
                <w:color w:val="000000" w:themeColor="text1"/>
              </w:rPr>
              <w:t>(185 002.5)</w:t>
            </w:r>
          </w:p>
        </w:tc>
      </w:tr>
    </w:tbl>
    <w:p w14:paraId="5A9F700F" w14:textId="77777777" w:rsidR="00074C0F" w:rsidRPr="009351CB" w:rsidRDefault="00074C0F" w:rsidP="009351CB">
      <w:pPr>
        <w:pStyle w:val="NoSpacing"/>
        <w:tabs>
          <w:tab w:val="left" w:pos="709"/>
        </w:tabs>
        <w:spacing w:line="360" w:lineRule="auto"/>
        <w:ind w:left="540"/>
        <w:jc w:val="both"/>
        <w:rPr>
          <w:rFonts w:ascii="Times New Roman" w:hAnsi="Times New Roman"/>
          <w:sz w:val="24"/>
          <w:szCs w:val="24"/>
        </w:rPr>
      </w:pPr>
    </w:p>
    <w:p w14:paraId="319AE5E9" w14:textId="77777777" w:rsidR="00074C0F" w:rsidRPr="009351CB" w:rsidRDefault="00074C0F" w:rsidP="00E20A8C">
      <w:pPr>
        <w:pStyle w:val="BodySingle"/>
        <w:numPr>
          <w:ilvl w:val="2"/>
          <w:numId w:val="2"/>
        </w:numPr>
        <w:autoSpaceDE w:val="0"/>
        <w:autoSpaceDN w:val="0"/>
        <w:adjustRightInd w:val="0"/>
        <w:spacing w:after="44" w:line="360" w:lineRule="auto"/>
        <w:rPr>
          <w:rFonts w:ascii="Times New Roman" w:hAnsi="Times New Roman"/>
          <w:bCs/>
          <w:i w:val="0"/>
          <w:sz w:val="24"/>
          <w:szCs w:val="24"/>
        </w:rPr>
      </w:pPr>
      <w:r w:rsidRPr="009351CB">
        <w:rPr>
          <w:rFonts w:ascii="Times New Roman" w:hAnsi="Times New Roman"/>
          <w:bCs/>
          <w:i w:val="0"/>
          <w:sz w:val="24"/>
          <w:szCs w:val="24"/>
        </w:rPr>
        <w:t xml:space="preserve">The proposed budget cuts will impact on posts, matters and court coverage as follows: </w:t>
      </w:r>
    </w:p>
    <w:p w14:paraId="1E72FC28" w14:textId="77777777" w:rsidR="00074C0F" w:rsidRPr="009351CB" w:rsidRDefault="00074C0F" w:rsidP="009351CB">
      <w:pPr>
        <w:pStyle w:val="ListParagraph"/>
        <w:autoSpaceDE w:val="0"/>
        <w:autoSpaceDN w:val="0"/>
        <w:adjustRightInd w:val="0"/>
        <w:spacing w:line="360" w:lineRule="auto"/>
        <w:ind w:left="375"/>
        <w:rPr>
          <w:b/>
          <w:bCs/>
        </w:rPr>
      </w:pPr>
    </w:p>
    <w:p w14:paraId="3C403C36" w14:textId="46020C75" w:rsidR="00074C0F" w:rsidRPr="009351CB" w:rsidRDefault="00074C0F" w:rsidP="009351CB">
      <w:pPr>
        <w:autoSpaceDE w:val="0"/>
        <w:autoSpaceDN w:val="0"/>
        <w:adjustRightInd w:val="0"/>
        <w:spacing w:line="360" w:lineRule="auto"/>
        <w:rPr>
          <w:b/>
          <w:bCs/>
        </w:rPr>
      </w:pPr>
      <w:r w:rsidRPr="009351CB">
        <w:rPr>
          <w:b/>
          <w:bCs/>
        </w:rPr>
        <w:t>Table 9: Projected impact of budget reductions on pos</w:t>
      </w:r>
      <w:r w:rsidR="00916F68" w:rsidRPr="009351CB">
        <w:rPr>
          <w:b/>
          <w:bCs/>
        </w:rPr>
        <w:t>ts, matters and court coverage 2020 MTEF</w:t>
      </w:r>
    </w:p>
    <w:tbl>
      <w:tblPr>
        <w:tblStyle w:val="TableGrid"/>
        <w:tblW w:w="5000" w:type="pct"/>
        <w:tblLook w:val="04A0" w:firstRow="1" w:lastRow="0" w:firstColumn="1" w:lastColumn="0" w:noHBand="0" w:noVBand="1"/>
      </w:tblPr>
      <w:tblGrid>
        <w:gridCol w:w="1348"/>
        <w:gridCol w:w="927"/>
        <w:gridCol w:w="927"/>
        <w:gridCol w:w="927"/>
        <w:gridCol w:w="710"/>
        <w:gridCol w:w="927"/>
        <w:gridCol w:w="927"/>
        <w:gridCol w:w="927"/>
        <w:gridCol w:w="812"/>
      </w:tblGrid>
      <w:tr w:rsidR="00074C0F" w:rsidRPr="009351CB" w14:paraId="05E140A7" w14:textId="77777777" w:rsidTr="00916F68">
        <w:trPr>
          <w:trHeight w:val="618"/>
          <w:tblHeader/>
        </w:trPr>
        <w:tc>
          <w:tcPr>
            <w:tcW w:w="841"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52A782"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p>
          <w:p w14:paraId="08F0C912"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r w:rsidRPr="009351CB">
              <w:rPr>
                <w:rFonts w:ascii="Times New Roman" w:hAnsi="Times New Roman"/>
                <w:b/>
                <w:color w:val="000000" w:themeColor="text1"/>
                <w:sz w:val="24"/>
                <w:szCs w:val="24"/>
              </w:rPr>
              <w:t>Description</w:t>
            </w:r>
          </w:p>
        </w:tc>
        <w:tc>
          <w:tcPr>
            <w:tcW w:w="2056"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5E7CC7"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p>
          <w:p w14:paraId="7BE58B79"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Number of posts impacted</w:t>
            </w:r>
          </w:p>
          <w:p w14:paraId="30248F1A"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p>
        </w:tc>
        <w:tc>
          <w:tcPr>
            <w:tcW w:w="2103"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92B2E3"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p>
          <w:p w14:paraId="67E56B28"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Number of matters impacted</w:t>
            </w:r>
          </w:p>
          <w:p w14:paraId="674CBC50"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p>
        </w:tc>
      </w:tr>
      <w:tr w:rsidR="00074C0F" w:rsidRPr="009351CB" w14:paraId="2242A39B" w14:textId="77777777" w:rsidTr="00916F68">
        <w:trPr>
          <w:trHeight w:val="275"/>
          <w:tblHeader/>
        </w:trPr>
        <w:tc>
          <w:tcPr>
            <w:tcW w:w="841" w:type="pct"/>
            <w:vMerge/>
            <w:tcBorders>
              <w:top w:val="single" w:sz="4" w:space="0" w:color="auto"/>
              <w:left w:val="single" w:sz="4" w:space="0" w:color="auto"/>
              <w:bottom w:val="single" w:sz="4" w:space="0" w:color="auto"/>
              <w:right w:val="single" w:sz="4" w:space="0" w:color="auto"/>
            </w:tcBorders>
            <w:vAlign w:val="center"/>
            <w:hideMark/>
          </w:tcPr>
          <w:p w14:paraId="2D79F640" w14:textId="77777777" w:rsidR="00074C0F" w:rsidRPr="009351CB" w:rsidRDefault="00074C0F" w:rsidP="009351CB">
            <w:pPr>
              <w:spacing w:line="360" w:lineRule="auto"/>
              <w:rPr>
                <w:b/>
                <w:color w:val="000000" w:themeColor="text1"/>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E8B5D7"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0C94C29D"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2020/21</w:t>
            </w:r>
          </w:p>
        </w:tc>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FABBC7"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4B02AAB7"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2021/22</w:t>
            </w:r>
          </w:p>
        </w:tc>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5C1E20"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28FC7DD4"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2022/23</w:t>
            </w:r>
          </w:p>
        </w:tc>
        <w:tc>
          <w:tcPr>
            <w:tcW w:w="42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73FD70"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71CEA034"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Total</w:t>
            </w:r>
          </w:p>
        </w:tc>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EE4E819"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4EA8CEA3"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2020/21</w:t>
            </w:r>
          </w:p>
        </w:tc>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0C2EF6"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177274DA"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2021/22</w:t>
            </w:r>
          </w:p>
        </w:tc>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F98EBD"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2CE59D56"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2022/23</w:t>
            </w:r>
          </w:p>
        </w:tc>
        <w:tc>
          <w:tcPr>
            <w:tcW w:w="46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D1BA50"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p>
          <w:p w14:paraId="2BE5999B"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Total</w:t>
            </w:r>
          </w:p>
        </w:tc>
      </w:tr>
      <w:tr w:rsidR="00074C0F" w:rsidRPr="009351CB" w14:paraId="3BD59C2A" w14:textId="77777777" w:rsidTr="00074C0F">
        <w:trPr>
          <w:trHeight w:val="476"/>
        </w:trPr>
        <w:tc>
          <w:tcPr>
            <w:tcW w:w="841" w:type="pct"/>
            <w:tcBorders>
              <w:top w:val="single" w:sz="4" w:space="0" w:color="auto"/>
              <w:left w:val="single" w:sz="4" w:space="0" w:color="auto"/>
              <w:bottom w:val="single" w:sz="4" w:space="0" w:color="auto"/>
              <w:right w:val="single" w:sz="4" w:space="0" w:color="auto"/>
            </w:tcBorders>
            <w:hideMark/>
          </w:tcPr>
          <w:p w14:paraId="718B320B"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Criminal production - DC</w:t>
            </w:r>
          </w:p>
        </w:tc>
        <w:tc>
          <w:tcPr>
            <w:tcW w:w="545" w:type="pct"/>
            <w:tcBorders>
              <w:top w:val="single" w:sz="4" w:space="0" w:color="auto"/>
              <w:left w:val="single" w:sz="4" w:space="0" w:color="auto"/>
              <w:bottom w:val="single" w:sz="4" w:space="0" w:color="auto"/>
              <w:right w:val="single" w:sz="4" w:space="0" w:color="auto"/>
            </w:tcBorders>
            <w:hideMark/>
          </w:tcPr>
          <w:p w14:paraId="040BCDCE"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61</w:t>
            </w:r>
          </w:p>
        </w:tc>
        <w:tc>
          <w:tcPr>
            <w:tcW w:w="545" w:type="pct"/>
            <w:tcBorders>
              <w:top w:val="single" w:sz="4" w:space="0" w:color="auto"/>
              <w:left w:val="single" w:sz="4" w:space="0" w:color="auto"/>
              <w:bottom w:val="single" w:sz="4" w:space="0" w:color="auto"/>
              <w:right w:val="single" w:sz="4" w:space="0" w:color="auto"/>
            </w:tcBorders>
            <w:hideMark/>
          </w:tcPr>
          <w:p w14:paraId="53E30A69"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40</w:t>
            </w:r>
          </w:p>
        </w:tc>
        <w:tc>
          <w:tcPr>
            <w:tcW w:w="545" w:type="pct"/>
            <w:tcBorders>
              <w:top w:val="single" w:sz="4" w:space="0" w:color="auto"/>
              <w:left w:val="single" w:sz="4" w:space="0" w:color="auto"/>
              <w:bottom w:val="single" w:sz="4" w:space="0" w:color="auto"/>
              <w:right w:val="single" w:sz="4" w:space="0" w:color="auto"/>
            </w:tcBorders>
            <w:hideMark/>
          </w:tcPr>
          <w:p w14:paraId="48134F49"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24</w:t>
            </w:r>
          </w:p>
        </w:tc>
        <w:tc>
          <w:tcPr>
            <w:tcW w:w="420" w:type="pct"/>
            <w:tcBorders>
              <w:top w:val="single" w:sz="4" w:space="0" w:color="auto"/>
              <w:left w:val="single" w:sz="4" w:space="0" w:color="auto"/>
              <w:bottom w:val="single" w:sz="4" w:space="0" w:color="auto"/>
              <w:right w:val="single" w:sz="4" w:space="0" w:color="auto"/>
            </w:tcBorders>
            <w:hideMark/>
          </w:tcPr>
          <w:p w14:paraId="27D58800"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125</w:t>
            </w:r>
          </w:p>
        </w:tc>
        <w:tc>
          <w:tcPr>
            <w:tcW w:w="545" w:type="pct"/>
            <w:tcBorders>
              <w:top w:val="single" w:sz="4" w:space="0" w:color="auto"/>
              <w:left w:val="single" w:sz="4" w:space="0" w:color="auto"/>
              <w:bottom w:val="single" w:sz="4" w:space="0" w:color="auto"/>
              <w:right w:val="single" w:sz="4" w:space="0" w:color="auto"/>
            </w:tcBorders>
          </w:tcPr>
          <w:p w14:paraId="45CF31BB"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16 775</w:t>
            </w:r>
          </w:p>
          <w:p w14:paraId="38B3A29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14:paraId="5E710B30" w14:textId="77777777" w:rsidR="00074C0F" w:rsidRPr="009351CB" w:rsidRDefault="00074C0F" w:rsidP="009351CB">
            <w:pPr>
              <w:spacing w:line="360" w:lineRule="auto"/>
              <w:jc w:val="center"/>
              <w:rPr>
                <w:color w:val="000000" w:themeColor="text1"/>
              </w:rPr>
            </w:pPr>
            <w:r w:rsidRPr="009351CB">
              <w:rPr>
                <w:color w:val="000000" w:themeColor="text1"/>
              </w:rPr>
              <w:t>11 000</w:t>
            </w:r>
          </w:p>
        </w:tc>
        <w:tc>
          <w:tcPr>
            <w:tcW w:w="545" w:type="pct"/>
            <w:tcBorders>
              <w:top w:val="single" w:sz="4" w:space="0" w:color="auto"/>
              <w:left w:val="single" w:sz="4" w:space="0" w:color="auto"/>
              <w:bottom w:val="single" w:sz="4" w:space="0" w:color="auto"/>
              <w:right w:val="single" w:sz="4" w:space="0" w:color="auto"/>
            </w:tcBorders>
            <w:hideMark/>
          </w:tcPr>
          <w:p w14:paraId="31C7213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6,600</w:t>
            </w:r>
          </w:p>
        </w:tc>
        <w:tc>
          <w:tcPr>
            <w:tcW w:w="467" w:type="pct"/>
            <w:tcBorders>
              <w:top w:val="single" w:sz="4" w:space="0" w:color="auto"/>
              <w:left w:val="single" w:sz="4" w:space="0" w:color="auto"/>
              <w:bottom w:val="single" w:sz="4" w:space="0" w:color="auto"/>
              <w:right w:val="single" w:sz="4" w:space="0" w:color="auto"/>
            </w:tcBorders>
            <w:hideMark/>
          </w:tcPr>
          <w:p w14:paraId="3F51AFE4"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34 375</w:t>
            </w:r>
          </w:p>
        </w:tc>
      </w:tr>
      <w:tr w:rsidR="00074C0F" w:rsidRPr="009351CB" w14:paraId="20C98D4A"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0CD4C509"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Criminal Production – RC</w:t>
            </w:r>
          </w:p>
        </w:tc>
        <w:tc>
          <w:tcPr>
            <w:tcW w:w="545" w:type="pct"/>
            <w:tcBorders>
              <w:top w:val="single" w:sz="4" w:space="0" w:color="auto"/>
              <w:left w:val="single" w:sz="4" w:space="0" w:color="auto"/>
              <w:bottom w:val="single" w:sz="4" w:space="0" w:color="auto"/>
              <w:right w:val="single" w:sz="4" w:space="0" w:color="auto"/>
            </w:tcBorders>
            <w:hideMark/>
          </w:tcPr>
          <w:p w14:paraId="5997B293"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23</w:t>
            </w:r>
          </w:p>
        </w:tc>
        <w:tc>
          <w:tcPr>
            <w:tcW w:w="545" w:type="pct"/>
            <w:tcBorders>
              <w:top w:val="single" w:sz="4" w:space="0" w:color="auto"/>
              <w:left w:val="single" w:sz="4" w:space="0" w:color="auto"/>
              <w:bottom w:val="single" w:sz="4" w:space="0" w:color="auto"/>
              <w:right w:val="single" w:sz="4" w:space="0" w:color="auto"/>
            </w:tcBorders>
            <w:hideMark/>
          </w:tcPr>
          <w:p w14:paraId="2BAA961C"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15</w:t>
            </w:r>
          </w:p>
        </w:tc>
        <w:tc>
          <w:tcPr>
            <w:tcW w:w="545" w:type="pct"/>
            <w:tcBorders>
              <w:top w:val="single" w:sz="4" w:space="0" w:color="auto"/>
              <w:left w:val="single" w:sz="4" w:space="0" w:color="auto"/>
              <w:bottom w:val="single" w:sz="4" w:space="0" w:color="auto"/>
              <w:right w:val="single" w:sz="4" w:space="0" w:color="auto"/>
            </w:tcBorders>
            <w:hideMark/>
          </w:tcPr>
          <w:p w14:paraId="4A4D6871"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9</w:t>
            </w:r>
          </w:p>
        </w:tc>
        <w:tc>
          <w:tcPr>
            <w:tcW w:w="420" w:type="pct"/>
            <w:tcBorders>
              <w:top w:val="single" w:sz="4" w:space="0" w:color="auto"/>
              <w:left w:val="single" w:sz="4" w:space="0" w:color="auto"/>
              <w:bottom w:val="single" w:sz="4" w:space="0" w:color="auto"/>
              <w:right w:val="single" w:sz="4" w:space="0" w:color="auto"/>
            </w:tcBorders>
            <w:hideMark/>
          </w:tcPr>
          <w:p w14:paraId="16ACA0B4"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47</w:t>
            </w:r>
          </w:p>
        </w:tc>
        <w:tc>
          <w:tcPr>
            <w:tcW w:w="545" w:type="pct"/>
            <w:tcBorders>
              <w:top w:val="single" w:sz="4" w:space="0" w:color="auto"/>
              <w:left w:val="single" w:sz="4" w:space="0" w:color="auto"/>
              <w:bottom w:val="single" w:sz="4" w:space="0" w:color="auto"/>
              <w:right w:val="single" w:sz="4" w:space="0" w:color="auto"/>
            </w:tcBorders>
            <w:hideMark/>
          </w:tcPr>
          <w:p w14:paraId="779DD136"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3,450</w:t>
            </w:r>
          </w:p>
        </w:tc>
        <w:tc>
          <w:tcPr>
            <w:tcW w:w="545" w:type="pct"/>
            <w:tcBorders>
              <w:top w:val="single" w:sz="4" w:space="0" w:color="auto"/>
              <w:left w:val="single" w:sz="4" w:space="0" w:color="auto"/>
              <w:bottom w:val="single" w:sz="4" w:space="0" w:color="auto"/>
              <w:right w:val="single" w:sz="4" w:space="0" w:color="auto"/>
            </w:tcBorders>
            <w:hideMark/>
          </w:tcPr>
          <w:p w14:paraId="7C6FEAD1" w14:textId="77777777" w:rsidR="00074C0F" w:rsidRPr="009351CB" w:rsidRDefault="00074C0F" w:rsidP="009351CB">
            <w:pPr>
              <w:spacing w:line="360" w:lineRule="auto"/>
              <w:jc w:val="center"/>
              <w:rPr>
                <w:color w:val="000000" w:themeColor="text1"/>
              </w:rPr>
            </w:pPr>
            <w:r w:rsidRPr="009351CB">
              <w:rPr>
                <w:color w:val="000000" w:themeColor="text1"/>
              </w:rPr>
              <w:t>2,250</w:t>
            </w:r>
          </w:p>
        </w:tc>
        <w:tc>
          <w:tcPr>
            <w:tcW w:w="545" w:type="pct"/>
            <w:tcBorders>
              <w:top w:val="single" w:sz="4" w:space="0" w:color="auto"/>
              <w:left w:val="single" w:sz="4" w:space="0" w:color="auto"/>
              <w:bottom w:val="single" w:sz="4" w:space="0" w:color="auto"/>
              <w:right w:val="single" w:sz="4" w:space="0" w:color="auto"/>
            </w:tcBorders>
            <w:hideMark/>
          </w:tcPr>
          <w:p w14:paraId="6C904AD6"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1,350</w:t>
            </w:r>
          </w:p>
        </w:tc>
        <w:tc>
          <w:tcPr>
            <w:tcW w:w="467" w:type="pct"/>
            <w:tcBorders>
              <w:top w:val="single" w:sz="4" w:space="0" w:color="auto"/>
              <w:left w:val="single" w:sz="4" w:space="0" w:color="auto"/>
              <w:bottom w:val="single" w:sz="4" w:space="0" w:color="auto"/>
              <w:right w:val="single" w:sz="4" w:space="0" w:color="auto"/>
            </w:tcBorders>
            <w:hideMark/>
          </w:tcPr>
          <w:p w14:paraId="7693D7C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7 050</w:t>
            </w:r>
          </w:p>
        </w:tc>
      </w:tr>
      <w:tr w:rsidR="00074C0F" w:rsidRPr="009351CB" w14:paraId="68335387"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6F3E18EF"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Criminal Production - HC</w:t>
            </w:r>
          </w:p>
        </w:tc>
        <w:tc>
          <w:tcPr>
            <w:tcW w:w="545" w:type="pct"/>
            <w:tcBorders>
              <w:top w:val="single" w:sz="4" w:space="0" w:color="auto"/>
              <w:left w:val="single" w:sz="4" w:space="0" w:color="auto"/>
              <w:bottom w:val="single" w:sz="4" w:space="0" w:color="auto"/>
              <w:right w:val="single" w:sz="4" w:space="0" w:color="auto"/>
            </w:tcBorders>
            <w:hideMark/>
          </w:tcPr>
          <w:p w14:paraId="3C4F8CD9"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19</w:t>
            </w:r>
          </w:p>
        </w:tc>
        <w:tc>
          <w:tcPr>
            <w:tcW w:w="545" w:type="pct"/>
            <w:tcBorders>
              <w:top w:val="single" w:sz="4" w:space="0" w:color="auto"/>
              <w:left w:val="single" w:sz="4" w:space="0" w:color="auto"/>
              <w:bottom w:val="single" w:sz="4" w:space="0" w:color="auto"/>
              <w:right w:val="single" w:sz="4" w:space="0" w:color="auto"/>
            </w:tcBorders>
            <w:hideMark/>
          </w:tcPr>
          <w:p w14:paraId="52DB3CC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12</w:t>
            </w:r>
          </w:p>
        </w:tc>
        <w:tc>
          <w:tcPr>
            <w:tcW w:w="545" w:type="pct"/>
            <w:tcBorders>
              <w:top w:val="single" w:sz="4" w:space="0" w:color="auto"/>
              <w:left w:val="single" w:sz="4" w:space="0" w:color="auto"/>
              <w:bottom w:val="single" w:sz="4" w:space="0" w:color="auto"/>
              <w:right w:val="single" w:sz="4" w:space="0" w:color="auto"/>
            </w:tcBorders>
            <w:hideMark/>
          </w:tcPr>
          <w:p w14:paraId="3FB72689"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7</w:t>
            </w:r>
          </w:p>
        </w:tc>
        <w:tc>
          <w:tcPr>
            <w:tcW w:w="420" w:type="pct"/>
            <w:tcBorders>
              <w:top w:val="single" w:sz="4" w:space="0" w:color="auto"/>
              <w:left w:val="single" w:sz="4" w:space="0" w:color="auto"/>
              <w:bottom w:val="single" w:sz="4" w:space="0" w:color="auto"/>
              <w:right w:val="single" w:sz="4" w:space="0" w:color="auto"/>
            </w:tcBorders>
            <w:hideMark/>
          </w:tcPr>
          <w:p w14:paraId="704E2EDB"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38</w:t>
            </w:r>
          </w:p>
        </w:tc>
        <w:tc>
          <w:tcPr>
            <w:tcW w:w="545" w:type="pct"/>
            <w:tcBorders>
              <w:top w:val="single" w:sz="4" w:space="0" w:color="auto"/>
              <w:left w:val="single" w:sz="4" w:space="0" w:color="auto"/>
              <w:bottom w:val="single" w:sz="4" w:space="0" w:color="auto"/>
              <w:right w:val="single" w:sz="4" w:space="0" w:color="auto"/>
            </w:tcBorders>
            <w:hideMark/>
          </w:tcPr>
          <w:p w14:paraId="026886A4"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950</w:t>
            </w:r>
          </w:p>
        </w:tc>
        <w:tc>
          <w:tcPr>
            <w:tcW w:w="545" w:type="pct"/>
            <w:tcBorders>
              <w:top w:val="single" w:sz="4" w:space="0" w:color="auto"/>
              <w:left w:val="single" w:sz="4" w:space="0" w:color="auto"/>
              <w:bottom w:val="single" w:sz="4" w:space="0" w:color="auto"/>
              <w:right w:val="single" w:sz="4" w:space="0" w:color="auto"/>
            </w:tcBorders>
            <w:hideMark/>
          </w:tcPr>
          <w:p w14:paraId="7F01F773" w14:textId="77777777" w:rsidR="00074C0F" w:rsidRPr="009351CB" w:rsidRDefault="00074C0F" w:rsidP="009351CB">
            <w:pPr>
              <w:spacing w:line="360" w:lineRule="auto"/>
              <w:jc w:val="center"/>
              <w:rPr>
                <w:color w:val="000000" w:themeColor="text1"/>
              </w:rPr>
            </w:pPr>
            <w:r w:rsidRPr="009351CB">
              <w:rPr>
                <w:color w:val="000000" w:themeColor="text1"/>
              </w:rPr>
              <w:t>600</w:t>
            </w:r>
          </w:p>
        </w:tc>
        <w:tc>
          <w:tcPr>
            <w:tcW w:w="545" w:type="pct"/>
            <w:tcBorders>
              <w:top w:val="single" w:sz="4" w:space="0" w:color="auto"/>
              <w:left w:val="single" w:sz="4" w:space="0" w:color="auto"/>
              <w:bottom w:val="single" w:sz="4" w:space="0" w:color="auto"/>
              <w:right w:val="single" w:sz="4" w:space="0" w:color="auto"/>
            </w:tcBorders>
            <w:hideMark/>
          </w:tcPr>
          <w:p w14:paraId="097EE7A0"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350</w:t>
            </w:r>
          </w:p>
        </w:tc>
        <w:tc>
          <w:tcPr>
            <w:tcW w:w="467" w:type="pct"/>
            <w:tcBorders>
              <w:top w:val="single" w:sz="4" w:space="0" w:color="auto"/>
              <w:left w:val="single" w:sz="4" w:space="0" w:color="auto"/>
              <w:bottom w:val="single" w:sz="4" w:space="0" w:color="auto"/>
              <w:right w:val="single" w:sz="4" w:space="0" w:color="auto"/>
            </w:tcBorders>
            <w:hideMark/>
          </w:tcPr>
          <w:p w14:paraId="64889E71"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1 900</w:t>
            </w:r>
          </w:p>
        </w:tc>
      </w:tr>
      <w:tr w:rsidR="00074C0F" w:rsidRPr="009351CB" w14:paraId="6A3196C2" w14:textId="77777777" w:rsidTr="00074C0F">
        <w:trPr>
          <w:trHeight w:val="202"/>
        </w:trPr>
        <w:tc>
          <w:tcPr>
            <w:tcW w:w="841" w:type="pct"/>
            <w:tcBorders>
              <w:top w:val="single" w:sz="4" w:space="0" w:color="auto"/>
              <w:left w:val="single" w:sz="4" w:space="0" w:color="auto"/>
              <w:bottom w:val="single" w:sz="4" w:space="0" w:color="auto"/>
              <w:right w:val="single" w:sz="4" w:space="0" w:color="auto"/>
            </w:tcBorders>
            <w:hideMark/>
          </w:tcPr>
          <w:p w14:paraId="14185343"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Criminal Management</w:t>
            </w:r>
          </w:p>
        </w:tc>
        <w:tc>
          <w:tcPr>
            <w:tcW w:w="545" w:type="pct"/>
            <w:tcBorders>
              <w:top w:val="single" w:sz="4" w:space="0" w:color="auto"/>
              <w:left w:val="single" w:sz="4" w:space="0" w:color="auto"/>
              <w:bottom w:val="single" w:sz="4" w:space="0" w:color="auto"/>
              <w:right w:val="single" w:sz="4" w:space="0" w:color="auto"/>
            </w:tcBorders>
            <w:hideMark/>
          </w:tcPr>
          <w:p w14:paraId="043EF66D"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8</w:t>
            </w:r>
          </w:p>
        </w:tc>
        <w:tc>
          <w:tcPr>
            <w:tcW w:w="545" w:type="pct"/>
            <w:tcBorders>
              <w:top w:val="single" w:sz="4" w:space="0" w:color="auto"/>
              <w:left w:val="single" w:sz="4" w:space="0" w:color="auto"/>
              <w:bottom w:val="single" w:sz="4" w:space="0" w:color="auto"/>
              <w:right w:val="single" w:sz="4" w:space="0" w:color="auto"/>
            </w:tcBorders>
            <w:hideMark/>
          </w:tcPr>
          <w:p w14:paraId="7E807934"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5</w:t>
            </w:r>
          </w:p>
        </w:tc>
        <w:tc>
          <w:tcPr>
            <w:tcW w:w="545" w:type="pct"/>
            <w:tcBorders>
              <w:top w:val="single" w:sz="4" w:space="0" w:color="auto"/>
              <w:left w:val="single" w:sz="4" w:space="0" w:color="auto"/>
              <w:bottom w:val="single" w:sz="4" w:space="0" w:color="auto"/>
              <w:right w:val="single" w:sz="4" w:space="0" w:color="auto"/>
            </w:tcBorders>
            <w:hideMark/>
          </w:tcPr>
          <w:p w14:paraId="21B6B648"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w:t>
            </w:r>
          </w:p>
        </w:tc>
        <w:tc>
          <w:tcPr>
            <w:tcW w:w="420" w:type="pct"/>
            <w:tcBorders>
              <w:top w:val="single" w:sz="4" w:space="0" w:color="auto"/>
              <w:left w:val="single" w:sz="4" w:space="0" w:color="auto"/>
              <w:bottom w:val="single" w:sz="4" w:space="0" w:color="auto"/>
              <w:right w:val="single" w:sz="4" w:space="0" w:color="auto"/>
            </w:tcBorders>
            <w:hideMark/>
          </w:tcPr>
          <w:p w14:paraId="797B9B54"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16</w:t>
            </w:r>
          </w:p>
        </w:tc>
        <w:tc>
          <w:tcPr>
            <w:tcW w:w="545" w:type="pct"/>
            <w:tcBorders>
              <w:top w:val="single" w:sz="4" w:space="0" w:color="auto"/>
              <w:left w:val="single" w:sz="4" w:space="0" w:color="auto"/>
              <w:bottom w:val="single" w:sz="4" w:space="0" w:color="auto"/>
              <w:right w:val="single" w:sz="4" w:space="0" w:color="auto"/>
            </w:tcBorders>
            <w:hideMark/>
          </w:tcPr>
          <w:p w14:paraId="1602E80B"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600</w:t>
            </w:r>
          </w:p>
        </w:tc>
        <w:tc>
          <w:tcPr>
            <w:tcW w:w="545" w:type="pct"/>
            <w:tcBorders>
              <w:top w:val="single" w:sz="4" w:space="0" w:color="auto"/>
              <w:left w:val="single" w:sz="4" w:space="0" w:color="auto"/>
              <w:bottom w:val="single" w:sz="4" w:space="0" w:color="auto"/>
              <w:right w:val="single" w:sz="4" w:space="0" w:color="auto"/>
            </w:tcBorders>
            <w:hideMark/>
          </w:tcPr>
          <w:p w14:paraId="088CB1A9" w14:textId="77777777" w:rsidR="00074C0F" w:rsidRPr="009351CB" w:rsidRDefault="00074C0F" w:rsidP="009351CB">
            <w:pPr>
              <w:spacing w:line="360" w:lineRule="auto"/>
              <w:jc w:val="center"/>
              <w:rPr>
                <w:color w:val="000000" w:themeColor="text1"/>
              </w:rPr>
            </w:pPr>
            <w:r w:rsidRPr="009351CB">
              <w:rPr>
                <w:color w:val="000000" w:themeColor="text1"/>
              </w:rPr>
              <w:t>375</w:t>
            </w:r>
          </w:p>
        </w:tc>
        <w:tc>
          <w:tcPr>
            <w:tcW w:w="545" w:type="pct"/>
            <w:tcBorders>
              <w:top w:val="single" w:sz="4" w:space="0" w:color="auto"/>
              <w:left w:val="single" w:sz="4" w:space="0" w:color="auto"/>
              <w:bottom w:val="single" w:sz="4" w:space="0" w:color="auto"/>
              <w:right w:val="single" w:sz="4" w:space="0" w:color="auto"/>
            </w:tcBorders>
            <w:hideMark/>
          </w:tcPr>
          <w:p w14:paraId="188854B2"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225</w:t>
            </w:r>
          </w:p>
        </w:tc>
        <w:tc>
          <w:tcPr>
            <w:tcW w:w="467" w:type="pct"/>
            <w:tcBorders>
              <w:top w:val="single" w:sz="4" w:space="0" w:color="auto"/>
              <w:left w:val="single" w:sz="4" w:space="0" w:color="auto"/>
              <w:bottom w:val="single" w:sz="4" w:space="0" w:color="auto"/>
              <w:right w:val="single" w:sz="4" w:space="0" w:color="auto"/>
            </w:tcBorders>
            <w:hideMark/>
          </w:tcPr>
          <w:p w14:paraId="41260243"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1 200</w:t>
            </w:r>
          </w:p>
        </w:tc>
      </w:tr>
      <w:tr w:rsidR="00074C0F" w:rsidRPr="009351CB" w14:paraId="28976A19" w14:textId="77777777" w:rsidTr="00074C0F">
        <w:trPr>
          <w:trHeight w:val="276"/>
        </w:trPr>
        <w:tc>
          <w:tcPr>
            <w:tcW w:w="841" w:type="pct"/>
            <w:tcBorders>
              <w:top w:val="single" w:sz="4" w:space="0" w:color="auto"/>
              <w:left w:val="single" w:sz="4" w:space="0" w:color="auto"/>
              <w:bottom w:val="single" w:sz="4" w:space="0" w:color="auto"/>
              <w:right w:val="single" w:sz="4" w:space="0" w:color="auto"/>
            </w:tcBorders>
            <w:hideMark/>
          </w:tcPr>
          <w:p w14:paraId="0B718931"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Civil Production</w:t>
            </w:r>
          </w:p>
        </w:tc>
        <w:tc>
          <w:tcPr>
            <w:tcW w:w="545" w:type="pct"/>
            <w:tcBorders>
              <w:top w:val="single" w:sz="4" w:space="0" w:color="auto"/>
              <w:left w:val="single" w:sz="4" w:space="0" w:color="auto"/>
              <w:bottom w:val="single" w:sz="4" w:space="0" w:color="auto"/>
              <w:right w:val="single" w:sz="4" w:space="0" w:color="auto"/>
            </w:tcBorders>
            <w:hideMark/>
          </w:tcPr>
          <w:p w14:paraId="1DA8C1D1"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18</w:t>
            </w:r>
          </w:p>
        </w:tc>
        <w:tc>
          <w:tcPr>
            <w:tcW w:w="545" w:type="pct"/>
            <w:tcBorders>
              <w:top w:val="single" w:sz="4" w:space="0" w:color="auto"/>
              <w:left w:val="single" w:sz="4" w:space="0" w:color="auto"/>
              <w:bottom w:val="single" w:sz="4" w:space="0" w:color="auto"/>
              <w:right w:val="single" w:sz="4" w:space="0" w:color="auto"/>
            </w:tcBorders>
            <w:hideMark/>
          </w:tcPr>
          <w:p w14:paraId="6E203E6C"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12</w:t>
            </w:r>
          </w:p>
        </w:tc>
        <w:tc>
          <w:tcPr>
            <w:tcW w:w="545" w:type="pct"/>
            <w:tcBorders>
              <w:top w:val="single" w:sz="4" w:space="0" w:color="auto"/>
              <w:left w:val="single" w:sz="4" w:space="0" w:color="auto"/>
              <w:bottom w:val="single" w:sz="4" w:space="0" w:color="auto"/>
              <w:right w:val="single" w:sz="4" w:space="0" w:color="auto"/>
            </w:tcBorders>
            <w:hideMark/>
          </w:tcPr>
          <w:p w14:paraId="6607AAB8"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7</w:t>
            </w:r>
          </w:p>
        </w:tc>
        <w:tc>
          <w:tcPr>
            <w:tcW w:w="420" w:type="pct"/>
            <w:tcBorders>
              <w:top w:val="single" w:sz="4" w:space="0" w:color="auto"/>
              <w:left w:val="single" w:sz="4" w:space="0" w:color="auto"/>
              <w:bottom w:val="single" w:sz="4" w:space="0" w:color="auto"/>
              <w:right w:val="single" w:sz="4" w:space="0" w:color="auto"/>
            </w:tcBorders>
            <w:hideMark/>
          </w:tcPr>
          <w:p w14:paraId="4F2D4DDA"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37</w:t>
            </w:r>
          </w:p>
        </w:tc>
        <w:tc>
          <w:tcPr>
            <w:tcW w:w="545" w:type="pct"/>
            <w:tcBorders>
              <w:top w:val="single" w:sz="4" w:space="0" w:color="auto"/>
              <w:left w:val="single" w:sz="4" w:space="0" w:color="auto"/>
              <w:bottom w:val="single" w:sz="4" w:space="0" w:color="auto"/>
              <w:right w:val="single" w:sz="4" w:space="0" w:color="auto"/>
            </w:tcBorders>
            <w:hideMark/>
          </w:tcPr>
          <w:p w14:paraId="18108B73"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4 500</w:t>
            </w:r>
          </w:p>
        </w:tc>
        <w:tc>
          <w:tcPr>
            <w:tcW w:w="545" w:type="pct"/>
            <w:tcBorders>
              <w:top w:val="single" w:sz="4" w:space="0" w:color="auto"/>
              <w:left w:val="single" w:sz="4" w:space="0" w:color="auto"/>
              <w:bottom w:val="single" w:sz="4" w:space="0" w:color="auto"/>
              <w:right w:val="single" w:sz="4" w:space="0" w:color="auto"/>
            </w:tcBorders>
            <w:hideMark/>
          </w:tcPr>
          <w:p w14:paraId="4DC279CB" w14:textId="77777777" w:rsidR="00074C0F" w:rsidRPr="009351CB" w:rsidRDefault="00074C0F" w:rsidP="009351CB">
            <w:pPr>
              <w:spacing w:line="360" w:lineRule="auto"/>
              <w:jc w:val="center"/>
              <w:rPr>
                <w:color w:val="000000" w:themeColor="text1"/>
              </w:rPr>
            </w:pPr>
            <w:r w:rsidRPr="009351CB">
              <w:rPr>
                <w:color w:val="000000" w:themeColor="text1"/>
              </w:rPr>
              <w:t>3 000</w:t>
            </w:r>
          </w:p>
        </w:tc>
        <w:tc>
          <w:tcPr>
            <w:tcW w:w="545" w:type="pct"/>
            <w:tcBorders>
              <w:top w:val="single" w:sz="4" w:space="0" w:color="auto"/>
              <w:left w:val="single" w:sz="4" w:space="0" w:color="auto"/>
              <w:bottom w:val="single" w:sz="4" w:space="0" w:color="auto"/>
              <w:right w:val="single" w:sz="4" w:space="0" w:color="auto"/>
            </w:tcBorders>
          </w:tcPr>
          <w:p w14:paraId="38C7315F"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1 750</w:t>
            </w:r>
          </w:p>
        </w:tc>
        <w:tc>
          <w:tcPr>
            <w:tcW w:w="467" w:type="pct"/>
            <w:tcBorders>
              <w:top w:val="single" w:sz="4" w:space="0" w:color="auto"/>
              <w:left w:val="single" w:sz="4" w:space="0" w:color="auto"/>
              <w:bottom w:val="single" w:sz="4" w:space="0" w:color="auto"/>
              <w:right w:val="single" w:sz="4" w:space="0" w:color="auto"/>
            </w:tcBorders>
            <w:hideMark/>
          </w:tcPr>
          <w:p w14:paraId="4CBDCE12"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9 250</w:t>
            </w:r>
          </w:p>
        </w:tc>
      </w:tr>
      <w:tr w:rsidR="00074C0F" w:rsidRPr="009351CB" w14:paraId="41FE5EA0"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53CE0797"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Paralegals</w:t>
            </w:r>
          </w:p>
        </w:tc>
        <w:tc>
          <w:tcPr>
            <w:tcW w:w="545" w:type="pct"/>
            <w:tcBorders>
              <w:top w:val="single" w:sz="4" w:space="0" w:color="auto"/>
              <w:left w:val="single" w:sz="4" w:space="0" w:color="auto"/>
              <w:bottom w:val="single" w:sz="4" w:space="0" w:color="auto"/>
              <w:right w:val="single" w:sz="4" w:space="0" w:color="auto"/>
            </w:tcBorders>
            <w:hideMark/>
          </w:tcPr>
          <w:p w14:paraId="220602C6"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5</w:t>
            </w:r>
          </w:p>
        </w:tc>
        <w:tc>
          <w:tcPr>
            <w:tcW w:w="545" w:type="pct"/>
            <w:tcBorders>
              <w:top w:val="single" w:sz="4" w:space="0" w:color="auto"/>
              <w:left w:val="single" w:sz="4" w:space="0" w:color="auto"/>
              <w:bottom w:val="single" w:sz="4" w:space="0" w:color="auto"/>
              <w:right w:val="single" w:sz="4" w:space="0" w:color="auto"/>
            </w:tcBorders>
            <w:hideMark/>
          </w:tcPr>
          <w:p w14:paraId="5BA53461"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w:t>
            </w:r>
          </w:p>
        </w:tc>
        <w:tc>
          <w:tcPr>
            <w:tcW w:w="545" w:type="pct"/>
            <w:tcBorders>
              <w:top w:val="single" w:sz="4" w:space="0" w:color="auto"/>
              <w:left w:val="single" w:sz="4" w:space="0" w:color="auto"/>
              <w:bottom w:val="single" w:sz="4" w:space="0" w:color="auto"/>
              <w:right w:val="single" w:sz="4" w:space="0" w:color="auto"/>
            </w:tcBorders>
            <w:hideMark/>
          </w:tcPr>
          <w:p w14:paraId="6BD74DE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w:t>
            </w:r>
          </w:p>
        </w:tc>
        <w:tc>
          <w:tcPr>
            <w:tcW w:w="420" w:type="pct"/>
            <w:tcBorders>
              <w:top w:val="single" w:sz="4" w:space="0" w:color="auto"/>
              <w:left w:val="single" w:sz="4" w:space="0" w:color="auto"/>
              <w:bottom w:val="single" w:sz="4" w:space="0" w:color="auto"/>
              <w:right w:val="single" w:sz="4" w:space="0" w:color="auto"/>
            </w:tcBorders>
            <w:hideMark/>
          </w:tcPr>
          <w:p w14:paraId="3DD4302B"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10</w:t>
            </w:r>
          </w:p>
        </w:tc>
        <w:tc>
          <w:tcPr>
            <w:tcW w:w="545" w:type="pct"/>
            <w:tcBorders>
              <w:top w:val="single" w:sz="4" w:space="0" w:color="auto"/>
              <w:left w:val="single" w:sz="4" w:space="0" w:color="auto"/>
              <w:bottom w:val="single" w:sz="4" w:space="0" w:color="auto"/>
              <w:right w:val="single" w:sz="4" w:space="0" w:color="auto"/>
            </w:tcBorders>
            <w:hideMark/>
          </w:tcPr>
          <w:p w14:paraId="1048C3B5"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17 075</w:t>
            </w:r>
          </w:p>
        </w:tc>
        <w:tc>
          <w:tcPr>
            <w:tcW w:w="545" w:type="pct"/>
            <w:tcBorders>
              <w:top w:val="single" w:sz="4" w:space="0" w:color="auto"/>
              <w:left w:val="single" w:sz="4" w:space="0" w:color="auto"/>
              <w:bottom w:val="single" w:sz="4" w:space="0" w:color="auto"/>
              <w:right w:val="single" w:sz="4" w:space="0" w:color="auto"/>
            </w:tcBorders>
            <w:hideMark/>
          </w:tcPr>
          <w:p w14:paraId="5288A150"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11,194</w:t>
            </w:r>
          </w:p>
        </w:tc>
        <w:tc>
          <w:tcPr>
            <w:tcW w:w="545" w:type="pct"/>
            <w:tcBorders>
              <w:top w:val="single" w:sz="4" w:space="0" w:color="auto"/>
              <w:left w:val="single" w:sz="4" w:space="0" w:color="auto"/>
              <w:bottom w:val="single" w:sz="4" w:space="0" w:color="auto"/>
              <w:right w:val="single" w:sz="4" w:space="0" w:color="auto"/>
            </w:tcBorders>
            <w:hideMark/>
          </w:tcPr>
          <w:p w14:paraId="5EA15A7E"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6 598</w:t>
            </w:r>
          </w:p>
        </w:tc>
        <w:tc>
          <w:tcPr>
            <w:tcW w:w="467" w:type="pct"/>
            <w:tcBorders>
              <w:top w:val="single" w:sz="4" w:space="0" w:color="auto"/>
              <w:left w:val="single" w:sz="4" w:space="0" w:color="auto"/>
              <w:bottom w:val="single" w:sz="4" w:space="0" w:color="auto"/>
              <w:right w:val="single" w:sz="4" w:space="0" w:color="auto"/>
            </w:tcBorders>
            <w:hideMark/>
          </w:tcPr>
          <w:p w14:paraId="6F198B35"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34 867</w:t>
            </w:r>
          </w:p>
        </w:tc>
      </w:tr>
      <w:tr w:rsidR="00074C0F" w:rsidRPr="009351CB" w14:paraId="24C2E406"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5680E907"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Support</w:t>
            </w:r>
          </w:p>
        </w:tc>
        <w:tc>
          <w:tcPr>
            <w:tcW w:w="545" w:type="pct"/>
            <w:tcBorders>
              <w:top w:val="single" w:sz="4" w:space="0" w:color="auto"/>
              <w:left w:val="single" w:sz="4" w:space="0" w:color="auto"/>
              <w:bottom w:val="single" w:sz="4" w:space="0" w:color="auto"/>
              <w:right w:val="single" w:sz="4" w:space="0" w:color="auto"/>
            </w:tcBorders>
            <w:hideMark/>
          </w:tcPr>
          <w:p w14:paraId="2A78A7A2"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33</w:t>
            </w:r>
          </w:p>
        </w:tc>
        <w:tc>
          <w:tcPr>
            <w:tcW w:w="545" w:type="pct"/>
            <w:tcBorders>
              <w:top w:val="single" w:sz="4" w:space="0" w:color="auto"/>
              <w:left w:val="single" w:sz="4" w:space="0" w:color="auto"/>
              <w:bottom w:val="single" w:sz="4" w:space="0" w:color="auto"/>
              <w:right w:val="single" w:sz="4" w:space="0" w:color="auto"/>
            </w:tcBorders>
            <w:hideMark/>
          </w:tcPr>
          <w:p w14:paraId="71C3AF84"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22</w:t>
            </w:r>
          </w:p>
        </w:tc>
        <w:tc>
          <w:tcPr>
            <w:tcW w:w="545" w:type="pct"/>
            <w:tcBorders>
              <w:top w:val="single" w:sz="4" w:space="0" w:color="auto"/>
              <w:left w:val="single" w:sz="4" w:space="0" w:color="auto"/>
              <w:bottom w:val="single" w:sz="4" w:space="0" w:color="auto"/>
              <w:right w:val="single" w:sz="4" w:space="0" w:color="auto"/>
            </w:tcBorders>
            <w:hideMark/>
          </w:tcPr>
          <w:p w14:paraId="7B314799"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13</w:t>
            </w:r>
          </w:p>
        </w:tc>
        <w:tc>
          <w:tcPr>
            <w:tcW w:w="420" w:type="pct"/>
            <w:tcBorders>
              <w:top w:val="single" w:sz="4" w:space="0" w:color="auto"/>
              <w:left w:val="single" w:sz="4" w:space="0" w:color="auto"/>
              <w:bottom w:val="single" w:sz="4" w:space="0" w:color="auto"/>
              <w:right w:val="single" w:sz="4" w:space="0" w:color="auto"/>
            </w:tcBorders>
            <w:hideMark/>
          </w:tcPr>
          <w:p w14:paraId="2C94A11C"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tcPr>
          <w:p w14:paraId="5CF571A2"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4F15321C"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7B304957"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467" w:type="pct"/>
            <w:tcBorders>
              <w:top w:val="single" w:sz="4" w:space="0" w:color="auto"/>
              <w:left w:val="single" w:sz="4" w:space="0" w:color="auto"/>
              <w:bottom w:val="single" w:sz="4" w:space="0" w:color="auto"/>
              <w:right w:val="single" w:sz="4" w:space="0" w:color="auto"/>
            </w:tcBorders>
          </w:tcPr>
          <w:p w14:paraId="067A8166"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r>
      <w:tr w:rsidR="00074C0F" w:rsidRPr="009351CB" w14:paraId="392B98AE"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63B275F8" w14:textId="77777777" w:rsidR="00074C0F" w:rsidRPr="009351CB" w:rsidRDefault="00074C0F" w:rsidP="009351CB">
            <w:pPr>
              <w:pStyle w:val="NoSpacing"/>
              <w:tabs>
                <w:tab w:val="left" w:pos="142"/>
              </w:tabs>
              <w:spacing w:line="360" w:lineRule="auto"/>
              <w:jc w:val="both"/>
              <w:rPr>
                <w:rFonts w:ascii="Times New Roman" w:hAnsi="Times New Roman"/>
                <w:b/>
                <w:color w:val="000000" w:themeColor="text1"/>
                <w:sz w:val="24"/>
                <w:szCs w:val="24"/>
              </w:rPr>
            </w:pPr>
            <w:r w:rsidRPr="009351CB">
              <w:rPr>
                <w:rFonts w:ascii="Times New Roman" w:hAnsi="Times New Roman"/>
                <w:b/>
                <w:color w:val="000000" w:themeColor="text1"/>
                <w:sz w:val="24"/>
                <w:szCs w:val="24"/>
              </w:rPr>
              <w:t>Total</w:t>
            </w:r>
          </w:p>
        </w:tc>
        <w:tc>
          <w:tcPr>
            <w:tcW w:w="545" w:type="pct"/>
            <w:tcBorders>
              <w:top w:val="single" w:sz="4" w:space="0" w:color="auto"/>
              <w:left w:val="single" w:sz="4" w:space="0" w:color="auto"/>
              <w:bottom w:val="single" w:sz="4" w:space="0" w:color="auto"/>
              <w:right w:val="single" w:sz="4" w:space="0" w:color="auto"/>
            </w:tcBorders>
            <w:hideMark/>
          </w:tcPr>
          <w:p w14:paraId="5064A959"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167</w:t>
            </w:r>
          </w:p>
        </w:tc>
        <w:tc>
          <w:tcPr>
            <w:tcW w:w="545" w:type="pct"/>
            <w:tcBorders>
              <w:top w:val="single" w:sz="4" w:space="0" w:color="auto"/>
              <w:left w:val="single" w:sz="4" w:space="0" w:color="auto"/>
              <w:bottom w:val="single" w:sz="4" w:space="0" w:color="auto"/>
              <w:right w:val="single" w:sz="4" w:space="0" w:color="auto"/>
            </w:tcBorders>
            <w:hideMark/>
          </w:tcPr>
          <w:p w14:paraId="40C197A5"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110</w:t>
            </w:r>
          </w:p>
        </w:tc>
        <w:tc>
          <w:tcPr>
            <w:tcW w:w="545" w:type="pct"/>
            <w:tcBorders>
              <w:top w:val="single" w:sz="4" w:space="0" w:color="auto"/>
              <w:left w:val="single" w:sz="4" w:space="0" w:color="auto"/>
              <w:bottom w:val="single" w:sz="4" w:space="0" w:color="auto"/>
              <w:right w:val="single" w:sz="4" w:space="0" w:color="auto"/>
            </w:tcBorders>
            <w:hideMark/>
          </w:tcPr>
          <w:p w14:paraId="5DE36663"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65</w:t>
            </w:r>
          </w:p>
        </w:tc>
        <w:tc>
          <w:tcPr>
            <w:tcW w:w="420" w:type="pct"/>
            <w:tcBorders>
              <w:top w:val="single" w:sz="4" w:space="0" w:color="auto"/>
              <w:left w:val="single" w:sz="4" w:space="0" w:color="auto"/>
              <w:bottom w:val="single" w:sz="4" w:space="0" w:color="auto"/>
              <w:right w:val="single" w:sz="4" w:space="0" w:color="auto"/>
            </w:tcBorders>
            <w:hideMark/>
          </w:tcPr>
          <w:p w14:paraId="77DBCECF"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342</w:t>
            </w:r>
          </w:p>
        </w:tc>
        <w:tc>
          <w:tcPr>
            <w:tcW w:w="545" w:type="pct"/>
            <w:tcBorders>
              <w:top w:val="single" w:sz="4" w:space="0" w:color="auto"/>
              <w:left w:val="single" w:sz="4" w:space="0" w:color="auto"/>
              <w:bottom w:val="single" w:sz="4" w:space="0" w:color="auto"/>
              <w:right w:val="single" w:sz="4" w:space="0" w:color="auto"/>
            </w:tcBorders>
            <w:hideMark/>
          </w:tcPr>
          <w:p w14:paraId="4699DC27"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26,275</w:t>
            </w:r>
          </w:p>
        </w:tc>
        <w:tc>
          <w:tcPr>
            <w:tcW w:w="545" w:type="pct"/>
            <w:tcBorders>
              <w:top w:val="single" w:sz="4" w:space="0" w:color="auto"/>
              <w:left w:val="single" w:sz="4" w:space="0" w:color="auto"/>
              <w:bottom w:val="single" w:sz="4" w:space="0" w:color="auto"/>
              <w:right w:val="single" w:sz="4" w:space="0" w:color="auto"/>
            </w:tcBorders>
            <w:hideMark/>
          </w:tcPr>
          <w:p w14:paraId="179F8EE0"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17,225</w:t>
            </w:r>
          </w:p>
        </w:tc>
        <w:tc>
          <w:tcPr>
            <w:tcW w:w="545" w:type="pct"/>
            <w:tcBorders>
              <w:top w:val="single" w:sz="4" w:space="0" w:color="auto"/>
              <w:left w:val="single" w:sz="4" w:space="0" w:color="auto"/>
              <w:bottom w:val="single" w:sz="4" w:space="0" w:color="auto"/>
              <w:right w:val="single" w:sz="4" w:space="0" w:color="auto"/>
            </w:tcBorders>
            <w:hideMark/>
          </w:tcPr>
          <w:p w14:paraId="5F38DE85"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10,275</w:t>
            </w:r>
          </w:p>
        </w:tc>
        <w:tc>
          <w:tcPr>
            <w:tcW w:w="467" w:type="pct"/>
            <w:tcBorders>
              <w:top w:val="single" w:sz="4" w:space="0" w:color="auto"/>
              <w:left w:val="single" w:sz="4" w:space="0" w:color="auto"/>
              <w:bottom w:val="single" w:sz="4" w:space="0" w:color="auto"/>
              <w:right w:val="single" w:sz="4" w:space="0" w:color="auto"/>
            </w:tcBorders>
            <w:hideMark/>
          </w:tcPr>
          <w:p w14:paraId="23BD8888" w14:textId="77777777" w:rsidR="00074C0F" w:rsidRPr="009351CB" w:rsidRDefault="00074C0F" w:rsidP="009351CB">
            <w:pPr>
              <w:pStyle w:val="NoSpacing"/>
              <w:tabs>
                <w:tab w:val="left" w:pos="142"/>
              </w:tabs>
              <w:spacing w:line="360" w:lineRule="auto"/>
              <w:jc w:val="center"/>
              <w:rPr>
                <w:rFonts w:ascii="Times New Roman" w:hAnsi="Times New Roman"/>
                <w:b/>
                <w:color w:val="000000" w:themeColor="text1"/>
                <w:sz w:val="24"/>
                <w:szCs w:val="24"/>
              </w:rPr>
            </w:pPr>
            <w:r w:rsidRPr="009351CB">
              <w:rPr>
                <w:rFonts w:ascii="Times New Roman" w:hAnsi="Times New Roman"/>
                <w:b/>
                <w:color w:val="000000" w:themeColor="text1"/>
                <w:sz w:val="24"/>
                <w:szCs w:val="24"/>
              </w:rPr>
              <w:t>53,775</w:t>
            </w:r>
          </w:p>
        </w:tc>
      </w:tr>
      <w:tr w:rsidR="00074C0F" w:rsidRPr="009351CB" w14:paraId="08E470B4"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588D2BCB"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Court coverage - DC</w:t>
            </w:r>
          </w:p>
        </w:tc>
        <w:tc>
          <w:tcPr>
            <w:tcW w:w="545" w:type="pct"/>
            <w:tcBorders>
              <w:top w:val="single" w:sz="4" w:space="0" w:color="auto"/>
              <w:left w:val="single" w:sz="4" w:space="0" w:color="auto"/>
              <w:bottom w:val="single" w:sz="4" w:space="0" w:color="auto"/>
              <w:right w:val="single" w:sz="4" w:space="0" w:color="auto"/>
            </w:tcBorders>
          </w:tcPr>
          <w:p w14:paraId="3AD5E9C1"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3B75773E"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246C4F1B"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tcPr>
          <w:p w14:paraId="6A23808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14:paraId="6F06539E"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-5.6%</w:t>
            </w:r>
          </w:p>
        </w:tc>
        <w:tc>
          <w:tcPr>
            <w:tcW w:w="545" w:type="pct"/>
            <w:tcBorders>
              <w:top w:val="single" w:sz="4" w:space="0" w:color="auto"/>
              <w:left w:val="single" w:sz="4" w:space="0" w:color="auto"/>
              <w:bottom w:val="single" w:sz="4" w:space="0" w:color="auto"/>
              <w:right w:val="single" w:sz="4" w:space="0" w:color="auto"/>
            </w:tcBorders>
            <w:hideMark/>
          </w:tcPr>
          <w:p w14:paraId="60C2C46A"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-3.7%</w:t>
            </w:r>
          </w:p>
        </w:tc>
        <w:tc>
          <w:tcPr>
            <w:tcW w:w="545" w:type="pct"/>
            <w:tcBorders>
              <w:top w:val="single" w:sz="4" w:space="0" w:color="auto"/>
              <w:left w:val="single" w:sz="4" w:space="0" w:color="auto"/>
              <w:bottom w:val="single" w:sz="4" w:space="0" w:color="auto"/>
              <w:right w:val="single" w:sz="4" w:space="0" w:color="auto"/>
            </w:tcBorders>
            <w:hideMark/>
          </w:tcPr>
          <w:p w14:paraId="2AF605A1"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-2.2%</w:t>
            </w:r>
          </w:p>
        </w:tc>
        <w:tc>
          <w:tcPr>
            <w:tcW w:w="467" w:type="pct"/>
            <w:tcBorders>
              <w:top w:val="single" w:sz="4" w:space="0" w:color="auto"/>
              <w:left w:val="single" w:sz="4" w:space="0" w:color="auto"/>
              <w:bottom w:val="single" w:sz="4" w:space="0" w:color="auto"/>
              <w:right w:val="single" w:sz="4" w:space="0" w:color="auto"/>
            </w:tcBorders>
            <w:hideMark/>
          </w:tcPr>
          <w:p w14:paraId="3B42B347"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-11.5%</w:t>
            </w:r>
          </w:p>
        </w:tc>
      </w:tr>
      <w:tr w:rsidR="00074C0F" w:rsidRPr="009351CB" w14:paraId="42654BDA" w14:textId="77777777" w:rsidTr="00074C0F">
        <w:trPr>
          <w:trHeight w:val="208"/>
        </w:trPr>
        <w:tc>
          <w:tcPr>
            <w:tcW w:w="841" w:type="pct"/>
            <w:tcBorders>
              <w:top w:val="single" w:sz="4" w:space="0" w:color="auto"/>
              <w:left w:val="single" w:sz="4" w:space="0" w:color="auto"/>
              <w:bottom w:val="single" w:sz="4" w:space="0" w:color="auto"/>
              <w:right w:val="single" w:sz="4" w:space="0" w:color="auto"/>
            </w:tcBorders>
            <w:hideMark/>
          </w:tcPr>
          <w:p w14:paraId="3EC46EED"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Court coverage - RC</w:t>
            </w:r>
          </w:p>
        </w:tc>
        <w:tc>
          <w:tcPr>
            <w:tcW w:w="545" w:type="pct"/>
            <w:tcBorders>
              <w:top w:val="single" w:sz="4" w:space="0" w:color="auto"/>
              <w:left w:val="single" w:sz="4" w:space="0" w:color="auto"/>
              <w:bottom w:val="single" w:sz="4" w:space="0" w:color="auto"/>
              <w:right w:val="single" w:sz="4" w:space="0" w:color="auto"/>
            </w:tcBorders>
          </w:tcPr>
          <w:p w14:paraId="10E04328"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067D0CD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tcPr>
          <w:p w14:paraId="0661FCCE"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tcPr>
          <w:p w14:paraId="782C31DD"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14:paraId="5281F2FB"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-4.6%</w:t>
            </w:r>
          </w:p>
        </w:tc>
        <w:tc>
          <w:tcPr>
            <w:tcW w:w="545" w:type="pct"/>
            <w:tcBorders>
              <w:top w:val="single" w:sz="4" w:space="0" w:color="auto"/>
              <w:left w:val="single" w:sz="4" w:space="0" w:color="auto"/>
              <w:bottom w:val="single" w:sz="4" w:space="0" w:color="auto"/>
              <w:right w:val="single" w:sz="4" w:space="0" w:color="auto"/>
            </w:tcBorders>
            <w:hideMark/>
          </w:tcPr>
          <w:p w14:paraId="5E535F39"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-2.9%</w:t>
            </w:r>
          </w:p>
        </w:tc>
        <w:tc>
          <w:tcPr>
            <w:tcW w:w="545" w:type="pct"/>
            <w:tcBorders>
              <w:top w:val="single" w:sz="4" w:space="0" w:color="auto"/>
              <w:left w:val="single" w:sz="4" w:space="0" w:color="auto"/>
              <w:bottom w:val="single" w:sz="4" w:space="0" w:color="auto"/>
              <w:right w:val="single" w:sz="4" w:space="0" w:color="auto"/>
            </w:tcBorders>
            <w:hideMark/>
          </w:tcPr>
          <w:p w14:paraId="3F78F7F5"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-1.8%</w:t>
            </w:r>
          </w:p>
        </w:tc>
        <w:tc>
          <w:tcPr>
            <w:tcW w:w="467" w:type="pct"/>
            <w:tcBorders>
              <w:top w:val="single" w:sz="4" w:space="0" w:color="auto"/>
              <w:left w:val="single" w:sz="4" w:space="0" w:color="auto"/>
              <w:bottom w:val="single" w:sz="4" w:space="0" w:color="auto"/>
              <w:right w:val="single" w:sz="4" w:space="0" w:color="auto"/>
            </w:tcBorders>
            <w:hideMark/>
          </w:tcPr>
          <w:p w14:paraId="1ECD3B36" w14:textId="77777777" w:rsidR="00074C0F" w:rsidRPr="009351CB" w:rsidRDefault="00074C0F" w:rsidP="009351CB">
            <w:pPr>
              <w:pStyle w:val="NoSpacing"/>
              <w:tabs>
                <w:tab w:val="left" w:pos="142"/>
              </w:tabs>
              <w:spacing w:line="360" w:lineRule="auto"/>
              <w:jc w:val="center"/>
              <w:rPr>
                <w:rFonts w:ascii="Times New Roman" w:hAnsi="Times New Roman"/>
                <w:color w:val="000000" w:themeColor="text1"/>
                <w:sz w:val="24"/>
                <w:szCs w:val="24"/>
              </w:rPr>
            </w:pPr>
            <w:r w:rsidRPr="009351CB">
              <w:rPr>
                <w:rFonts w:ascii="Times New Roman" w:hAnsi="Times New Roman"/>
                <w:color w:val="000000" w:themeColor="text1"/>
                <w:sz w:val="24"/>
                <w:szCs w:val="24"/>
              </w:rPr>
              <w:t>-9.3%</w:t>
            </w:r>
          </w:p>
        </w:tc>
      </w:tr>
      <w:tr w:rsidR="00074C0F" w:rsidRPr="009351CB" w14:paraId="413FC6BE" w14:textId="77777777" w:rsidTr="00074C0F">
        <w:trPr>
          <w:trHeight w:val="409"/>
        </w:trPr>
        <w:tc>
          <w:tcPr>
            <w:tcW w:w="841" w:type="pct"/>
            <w:tcBorders>
              <w:top w:val="single" w:sz="4" w:space="0" w:color="auto"/>
              <w:left w:val="single" w:sz="4" w:space="0" w:color="auto"/>
              <w:bottom w:val="single" w:sz="4" w:space="0" w:color="auto"/>
              <w:right w:val="single" w:sz="4" w:space="0" w:color="auto"/>
            </w:tcBorders>
          </w:tcPr>
          <w:p w14:paraId="431BBDBE"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p>
        </w:tc>
        <w:tc>
          <w:tcPr>
            <w:tcW w:w="3692" w:type="pct"/>
            <w:gridSpan w:val="7"/>
            <w:tcBorders>
              <w:top w:val="single" w:sz="4" w:space="0" w:color="auto"/>
              <w:left w:val="single" w:sz="4" w:space="0" w:color="auto"/>
              <w:bottom w:val="single" w:sz="4" w:space="0" w:color="auto"/>
              <w:right w:val="single" w:sz="4" w:space="0" w:color="auto"/>
            </w:tcBorders>
            <w:hideMark/>
          </w:tcPr>
          <w:p w14:paraId="1A4AE9CF"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r w:rsidRPr="009351CB">
              <w:rPr>
                <w:rFonts w:ascii="Times New Roman" w:hAnsi="Times New Roman"/>
                <w:color w:val="000000" w:themeColor="text1"/>
                <w:sz w:val="24"/>
                <w:szCs w:val="24"/>
              </w:rPr>
              <w:t>The numbers in bold linked to paralegals are the impact to the number of advice matters. Total is 34,866 matters</w:t>
            </w:r>
          </w:p>
        </w:tc>
        <w:tc>
          <w:tcPr>
            <w:tcW w:w="467" w:type="pct"/>
            <w:tcBorders>
              <w:top w:val="single" w:sz="4" w:space="0" w:color="auto"/>
              <w:left w:val="single" w:sz="4" w:space="0" w:color="auto"/>
              <w:bottom w:val="single" w:sz="4" w:space="0" w:color="auto"/>
              <w:right w:val="single" w:sz="4" w:space="0" w:color="auto"/>
            </w:tcBorders>
          </w:tcPr>
          <w:p w14:paraId="46F85E20" w14:textId="77777777" w:rsidR="00074C0F" w:rsidRPr="009351CB" w:rsidRDefault="00074C0F" w:rsidP="009351CB">
            <w:pPr>
              <w:pStyle w:val="NoSpacing"/>
              <w:tabs>
                <w:tab w:val="left" w:pos="142"/>
              </w:tabs>
              <w:spacing w:line="360" w:lineRule="auto"/>
              <w:jc w:val="both"/>
              <w:rPr>
                <w:rFonts w:ascii="Times New Roman" w:hAnsi="Times New Roman"/>
                <w:color w:val="000000" w:themeColor="text1"/>
                <w:sz w:val="24"/>
                <w:szCs w:val="24"/>
              </w:rPr>
            </w:pPr>
          </w:p>
        </w:tc>
      </w:tr>
    </w:tbl>
    <w:p w14:paraId="46B84E0D" w14:textId="77777777" w:rsidR="00074C0F" w:rsidRPr="009351CB" w:rsidRDefault="00074C0F" w:rsidP="009351CB">
      <w:pPr>
        <w:pStyle w:val="BodySingle"/>
        <w:autoSpaceDE w:val="0"/>
        <w:autoSpaceDN w:val="0"/>
        <w:adjustRightInd w:val="0"/>
        <w:spacing w:after="44" w:line="360" w:lineRule="auto"/>
        <w:ind w:left="0"/>
        <w:rPr>
          <w:rFonts w:ascii="Times New Roman" w:hAnsi="Times New Roman"/>
          <w:i w:val="0"/>
          <w:color w:val="000000" w:themeColor="text1"/>
          <w:sz w:val="24"/>
          <w:szCs w:val="24"/>
        </w:rPr>
      </w:pPr>
    </w:p>
    <w:p w14:paraId="27971933" w14:textId="77777777" w:rsidR="00285BD5" w:rsidRPr="009351CB" w:rsidRDefault="00285BD5" w:rsidP="009351CB">
      <w:pPr>
        <w:spacing w:line="360" w:lineRule="auto"/>
        <w:jc w:val="both"/>
        <w:rPr>
          <w:color w:val="000000" w:themeColor="text1"/>
        </w:rPr>
      </w:pPr>
    </w:p>
    <w:p w14:paraId="6AAE7026" w14:textId="56E69202" w:rsidR="00106280" w:rsidRPr="009351CB" w:rsidRDefault="00106280" w:rsidP="00E20A8C">
      <w:pPr>
        <w:pStyle w:val="BodySingle"/>
        <w:numPr>
          <w:ilvl w:val="0"/>
          <w:numId w:val="2"/>
        </w:numPr>
        <w:tabs>
          <w:tab w:val="clear" w:pos="360"/>
          <w:tab w:val="num" w:pos="851"/>
        </w:tabs>
        <w:spacing w:line="360" w:lineRule="auto"/>
        <w:ind w:left="851" w:hanging="851"/>
        <w:rPr>
          <w:rFonts w:ascii="Times New Roman" w:hAnsi="Times New Roman"/>
          <w:b/>
          <w:i w:val="0"/>
          <w:sz w:val="24"/>
          <w:szCs w:val="24"/>
        </w:rPr>
      </w:pPr>
      <w:r w:rsidRPr="009351CB">
        <w:rPr>
          <w:rFonts w:ascii="Times New Roman" w:hAnsi="Times New Roman"/>
          <w:b/>
          <w:i w:val="0"/>
          <w:sz w:val="24"/>
          <w:szCs w:val="24"/>
        </w:rPr>
        <w:t>Special Investigating Unit (SIU)</w:t>
      </w:r>
    </w:p>
    <w:p w14:paraId="41114B9B" w14:textId="77777777" w:rsidR="00106280" w:rsidRPr="009351CB" w:rsidRDefault="00106280" w:rsidP="009351CB">
      <w:pPr>
        <w:spacing w:line="360" w:lineRule="auto"/>
        <w:jc w:val="both"/>
      </w:pPr>
    </w:p>
    <w:p w14:paraId="4F8E3F11" w14:textId="77777777" w:rsidR="0028778F" w:rsidRPr="009351CB" w:rsidRDefault="0028778F" w:rsidP="00E20A8C">
      <w:pPr>
        <w:numPr>
          <w:ilvl w:val="1"/>
          <w:numId w:val="2"/>
        </w:numPr>
        <w:autoSpaceDE w:val="0"/>
        <w:autoSpaceDN w:val="0"/>
        <w:adjustRightInd w:val="0"/>
        <w:spacing w:line="360" w:lineRule="auto"/>
        <w:ind w:hanging="862"/>
        <w:jc w:val="both"/>
      </w:pPr>
      <w:r w:rsidRPr="009351CB">
        <w:rPr>
          <w:bCs/>
        </w:rPr>
        <w:t>The</w:t>
      </w:r>
      <w:r w:rsidRPr="009351CB">
        <w:t xml:space="preserve"> legislative mandate of the Special Investigating Unit (SIU) is derived from the Special Investigating Unit and Special Tribunals Act 74 of 1996 (as amended). The SIU’s principal function is to investigate serious malpractices, maladministration and corruption in connection with the administration of state institutions, state assets and public money, as well as any conduct, which may seriously harm the interests of the public. </w:t>
      </w:r>
      <w:r w:rsidR="00FC71D5" w:rsidRPr="009351CB">
        <w:t>Matters are referred to the SIU through Presidential proclamations</w:t>
      </w:r>
      <w:r w:rsidR="00FD40C3" w:rsidRPr="009351CB">
        <w:t xml:space="preserve"> that </w:t>
      </w:r>
      <w:r w:rsidR="00FC71D5" w:rsidRPr="009351CB">
        <w:t xml:space="preserve">set out the scope of the investigation. </w:t>
      </w:r>
      <w:r w:rsidRPr="009351CB">
        <w:t xml:space="preserve">The SIU also: </w:t>
      </w:r>
    </w:p>
    <w:p w14:paraId="1F164D23" w14:textId="6F36EF23" w:rsidR="0028778F" w:rsidRPr="009351CB" w:rsidRDefault="0028778F" w:rsidP="004F6019">
      <w:pPr>
        <w:pStyle w:val="ListParagraph"/>
        <w:numPr>
          <w:ilvl w:val="0"/>
          <w:numId w:val="9"/>
        </w:numPr>
        <w:spacing w:line="360" w:lineRule="auto"/>
        <w:ind w:left="1276" w:hanging="425"/>
        <w:jc w:val="both"/>
      </w:pPr>
      <w:r w:rsidRPr="009351CB">
        <w:t xml:space="preserve">Institutes and conducts civil proceedings in any court of law or special tribunal, in its own name or on behalf of state institutions. </w:t>
      </w:r>
    </w:p>
    <w:p w14:paraId="359A0903" w14:textId="77777777" w:rsidR="0028778F" w:rsidRPr="009351CB" w:rsidRDefault="0028778F" w:rsidP="004F6019">
      <w:pPr>
        <w:pStyle w:val="ListParagraph"/>
        <w:numPr>
          <w:ilvl w:val="0"/>
          <w:numId w:val="9"/>
        </w:numPr>
        <w:spacing w:line="360" w:lineRule="auto"/>
        <w:ind w:left="1276" w:hanging="425"/>
        <w:jc w:val="both"/>
      </w:pPr>
      <w:r w:rsidRPr="009351CB">
        <w:t>Brings potential disciplinary matters to the attention of state institutions.</w:t>
      </w:r>
    </w:p>
    <w:p w14:paraId="71589500" w14:textId="77777777" w:rsidR="0028778F" w:rsidRPr="009351CB" w:rsidRDefault="0028778F" w:rsidP="004F6019">
      <w:pPr>
        <w:pStyle w:val="ListParagraph"/>
        <w:numPr>
          <w:ilvl w:val="0"/>
          <w:numId w:val="9"/>
        </w:numPr>
        <w:spacing w:line="360" w:lineRule="auto"/>
        <w:ind w:left="1276" w:hanging="425"/>
        <w:jc w:val="both"/>
        <w:rPr>
          <w:lang w:val="x-none"/>
        </w:rPr>
      </w:pPr>
      <w:r w:rsidRPr="009351CB">
        <w:t>Provid</w:t>
      </w:r>
      <w:r w:rsidRPr="00E20A8C">
        <w:t>es</w:t>
      </w:r>
      <w:r w:rsidRPr="009351CB">
        <w:rPr>
          <w:lang w:val="x-none"/>
        </w:rPr>
        <w:t xml:space="preserve"> for the secondment of SIU officials to improve departmental systems. </w:t>
      </w:r>
    </w:p>
    <w:p w14:paraId="6E5903D4" w14:textId="77777777" w:rsidR="00001A18" w:rsidRPr="009351CB" w:rsidRDefault="00001A18" w:rsidP="009351CB">
      <w:pPr>
        <w:autoSpaceDE w:val="0"/>
        <w:autoSpaceDN w:val="0"/>
        <w:adjustRightInd w:val="0"/>
        <w:spacing w:line="360" w:lineRule="auto"/>
        <w:ind w:left="993"/>
        <w:jc w:val="both"/>
      </w:pPr>
    </w:p>
    <w:p w14:paraId="67F4CC55" w14:textId="77777777" w:rsidR="00C669CB" w:rsidRPr="009351CB" w:rsidRDefault="00C669CB" w:rsidP="00E20A8C">
      <w:pPr>
        <w:numPr>
          <w:ilvl w:val="1"/>
          <w:numId w:val="2"/>
        </w:numPr>
        <w:spacing w:line="360" w:lineRule="auto"/>
        <w:ind w:hanging="862"/>
        <w:jc w:val="both"/>
        <w:rPr>
          <w:b/>
        </w:rPr>
      </w:pPr>
      <w:r w:rsidRPr="009351CB">
        <w:rPr>
          <w:b/>
        </w:rPr>
        <w:t>Situational update</w:t>
      </w:r>
    </w:p>
    <w:p w14:paraId="354FBD82" w14:textId="0B77412A" w:rsidR="00C669CB" w:rsidRPr="009351CB" w:rsidRDefault="00644E56" w:rsidP="009351CB">
      <w:pPr>
        <w:spacing w:line="360" w:lineRule="auto"/>
        <w:ind w:left="720"/>
        <w:jc w:val="both"/>
      </w:pPr>
      <w:r w:rsidRPr="009351CB">
        <w:t>The following had consequences for the SIU’s work in 2018/19 and 2019/20:</w:t>
      </w:r>
    </w:p>
    <w:p w14:paraId="4F25FBE4" w14:textId="77777777" w:rsidR="00644E56" w:rsidRPr="009351CB" w:rsidRDefault="00644E56" w:rsidP="004F6019">
      <w:pPr>
        <w:pStyle w:val="ListParagraph"/>
        <w:numPr>
          <w:ilvl w:val="0"/>
          <w:numId w:val="9"/>
        </w:numPr>
        <w:spacing w:line="360" w:lineRule="auto"/>
        <w:jc w:val="both"/>
      </w:pPr>
      <w:r w:rsidRPr="009351CB">
        <w:t xml:space="preserve">The Presidency has demonstrated </w:t>
      </w:r>
      <w:r w:rsidR="00724228" w:rsidRPr="009351CB">
        <w:t xml:space="preserve">its </w:t>
      </w:r>
      <w:r w:rsidRPr="009351CB">
        <w:t>support for the SIU’s work by requiring that affected state institutions give feedback to the President on the steps taken to implement the recommendations contained in SIU’s report. If there has been no action, the affected state institution is required to give reasons for the failure to act.</w:t>
      </w:r>
    </w:p>
    <w:p w14:paraId="7F3D4798" w14:textId="11DECAAA" w:rsidR="00C50377" w:rsidRPr="009351CB" w:rsidRDefault="00644E56" w:rsidP="004F6019">
      <w:pPr>
        <w:pStyle w:val="ListParagraph"/>
        <w:numPr>
          <w:ilvl w:val="0"/>
          <w:numId w:val="9"/>
        </w:numPr>
        <w:spacing w:line="360" w:lineRule="auto"/>
        <w:jc w:val="both"/>
      </w:pPr>
      <w:r w:rsidRPr="009351CB">
        <w:t>As part of the A</w:t>
      </w:r>
      <w:r w:rsidR="003A6CB4" w:rsidRPr="009351CB">
        <w:t>nti-</w:t>
      </w:r>
      <w:r w:rsidRPr="009351CB">
        <w:t>C</w:t>
      </w:r>
      <w:r w:rsidR="003A6CB4" w:rsidRPr="009351CB">
        <w:t xml:space="preserve">orruption </w:t>
      </w:r>
      <w:r w:rsidRPr="009351CB">
        <w:t>T</w:t>
      </w:r>
      <w:r w:rsidR="003A6CB4" w:rsidRPr="009351CB">
        <w:t xml:space="preserve">ask </w:t>
      </w:r>
      <w:r w:rsidRPr="009351CB">
        <w:t>T</w:t>
      </w:r>
      <w:r w:rsidR="003A6CB4" w:rsidRPr="009351CB">
        <w:t>eam (ACTT)</w:t>
      </w:r>
      <w:r w:rsidRPr="009351CB">
        <w:t xml:space="preserve">, the SIU has conducted fraud and corruption assessments </w:t>
      </w:r>
      <w:r w:rsidR="00033BE8" w:rsidRPr="009351CB">
        <w:t>of</w:t>
      </w:r>
      <w:r w:rsidRPr="009351CB">
        <w:t xml:space="preserve"> sectors of the economy</w:t>
      </w:r>
      <w:r w:rsidR="00033BE8" w:rsidRPr="009351CB">
        <w:t xml:space="preserve"> identified as corruption prone in order to improve controls. These include the construction, health, education, information technology and local government sectors, as well as state-owned </w:t>
      </w:r>
      <w:r w:rsidR="00724228" w:rsidRPr="009351CB">
        <w:t>enterprises</w:t>
      </w:r>
      <w:r w:rsidRPr="009351CB">
        <w:t xml:space="preserve">. </w:t>
      </w:r>
    </w:p>
    <w:p w14:paraId="6CF09664" w14:textId="77777777" w:rsidR="00644E56" w:rsidRPr="009351CB" w:rsidRDefault="00644E56" w:rsidP="004F6019">
      <w:pPr>
        <w:pStyle w:val="ListParagraph"/>
        <w:numPr>
          <w:ilvl w:val="0"/>
          <w:numId w:val="9"/>
        </w:numPr>
        <w:spacing w:line="360" w:lineRule="auto"/>
        <w:jc w:val="both"/>
      </w:pPr>
      <w:r w:rsidRPr="009351CB">
        <w:t xml:space="preserve">An anti-corruption forum for the health sector was launched by the President on 1 October 2019. Stakeholders, including the SIU, </w:t>
      </w:r>
      <w:r w:rsidR="00C50377" w:rsidRPr="009351CB">
        <w:t xml:space="preserve">signed terms of reference outlining the mutual support and co-operation they will give in fighting fraud and corruption in the healthcare sector.  As a result, a number of proclamations have already been signed off by the President mandating the SIU to investigate fraud and corruption in state institutions in the health sector. </w:t>
      </w:r>
    </w:p>
    <w:p w14:paraId="64C6640D" w14:textId="72E0E941" w:rsidR="0073487B" w:rsidRPr="009351CB" w:rsidRDefault="00033BE8" w:rsidP="004F6019">
      <w:pPr>
        <w:pStyle w:val="ListParagraph"/>
        <w:numPr>
          <w:ilvl w:val="0"/>
          <w:numId w:val="9"/>
        </w:numPr>
        <w:spacing w:line="360" w:lineRule="auto"/>
        <w:jc w:val="both"/>
      </w:pPr>
      <w:r w:rsidRPr="009351CB">
        <w:t xml:space="preserve">In February 2019, the President announced that the </w:t>
      </w:r>
      <w:r w:rsidR="00C50377" w:rsidRPr="009351CB">
        <w:t xml:space="preserve">establishment of the Special Tribunal </w:t>
      </w:r>
      <w:r w:rsidRPr="009351CB">
        <w:t xml:space="preserve">was to be fast tracked to speed up </w:t>
      </w:r>
      <w:r w:rsidR="00BB10C2" w:rsidRPr="009351CB">
        <w:t>the</w:t>
      </w:r>
      <w:r w:rsidRPr="009351CB">
        <w:t xml:space="preserve"> </w:t>
      </w:r>
      <w:r w:rsidR="00BB10C2" w:rsidRPr="009351CB">
        <w:t>recovery</w:t>
      </w:r>
      <w:r w:rsidRPr="009351CB">
        <w:t xml:space="preserve"> of money lo</w:t>
      </w:r>
      <w:r w:rsidR="00B93CDD" w:rsidRPr="009351CB">
        <w:t>s</w:t>
      </w:r>
      <w:r w:rsidRPr="009351CB">
        <w:t xml:space="preserve">t to the State through irregular and corrupt practices. </w:t>
      </w:r>
      <w:r w:rsidR="00B93CDD" w:rsidRPr="009351CB">
        <w:t xml:space="preserve">The Tribunal has been operational from 1 October 2019. </w:t>
      </w:r>
      <w:r w:rsidR="00BB10C2" w:rsidRPr="009351CB">
        <w:t xml:space="preserve">Judge Makhanya </w:t>
      </w:r>
      <w:r w:rsidR="00B93CDD" w:rsidRPr="009351CB">
        <w:t xml:space="preserve">is appointed </w:t>
      </w:r>
      <w:r w:rsidR="00BB10C2" w:rsidRPr="009351CB">
        <w:t xml:space="preserve">to chair the Tribunal and additional members include Judges Pillay, Eksteen, Mothle, Modiba, Siwendu, van Zyl, and Desai. The seat of the Tribunal is the Booysen’s Magistrate’s Court in Johannesburg but </w:t>
      </w:r>
      <w:r w:rsidR="00B93CDD" w:rsidRPr="009351CB">
        <w:t xml:space="preserve">it can schedule </w:t>
      </w:r>
      <w:r w:rsidR="00BB10C2" w:rsidRPr="009351CB">
        <w:t>hearings at any High or Magistrates’ Court. The Regulations have been gazetted</w:t>
      </w:r>
      <w:r w:rsidR="00B93CDD" w:rsidRPr="009351CB">
        <w:t xml:space="preserve"> and it was reported that the</w:t>
      </w:r>
      <w:r w:rsidR="00BB10C2" w:rsidRPr="009351CB">
        <w:t xml:space="preserve"> Rules</w:t>
      </w:r>
      <w:r w:rsidR="00B93CDD" w:rsidRPr="009351CB">
        <w:t xml:space="preserve"> will be </w:t>
      </w:r>
      <w:r w:rsidR="00BB10C2" w:rsidRPr="009351CB">
        <w:t xml:space="preserve">gazetted soon (a date of 18 </w:t>
      </w:r>
      <w:r w:rsidR="003A6CB4" w:rsidRPr="009351CB">
        <w:t>November</w:t>
      </w:r>
      <w:r w:rsidR="00BB10C2" w:rsidRPr="009351CB">
        <w:t xml:space="preserve"> 2019 was announced). The </w:t>
      </w:r>
      <w:r w:rsidR="00B93CDD" w:rsidRPr="009351CB">
        <w:t xml:space="preserve">SIU has reported that the </w:t>
      </w:r>
      <w:r w:rsidR="00BB10C2" w:rsidRPr="009351CB">
        <w:t xml:space="preserve">value of the </w:t>
      </w:r>
      <w:r w:rsidR="00B93CDD" w:rsidRPr="009351CB">
        <w:t xml:space="preserve">civil </w:t>
      </w:r>
      <w:r w:rsidR="00BB10C2" w:rsidRPr="009351CB">
        <w:t xml:space="preserve">cases ready for adjudication </w:t>
      </w:r>
      <w:r w:rsidR="00B93CDD" w:rsidRPr="009351CB">
        <w:t xml:space="preserve">is </w:t>
      </w:r>
      <w:r w:rsidR="00BB10C2" w:rsidRPr="009351CB">
        <w:t>R14.7 billion.</w:t>
      </w:r>
    </w:p>
    <w:p w14:paraId="29F92BF4" w14:textId="77777777" w:rsidR="000D3EA1" w:rsidRPr="009351CB" w:rsidRDefault="000D3EA1" w:rsidP="009351CB">
      <w:pPr>
        <w:spacing w:line="360" w:lineRule="auto"/>
        <w:ind w:left="720"/>
        <w:jc w:val="both"/>
        <w:rPr>
          <w:b/>
        </w:rPr>
      </w:pPr>
    </w:p>
    <w:p w14:paraId="5717F253" w14:textId="77777777" w:rsidR="00724228" w:rsidRPr="009351CB" w:rsidRDefault="0073487B" w:rsidP="009351CB">
      <w:pPr>
        <w:numPr>
          <w:ilvl w:val="1"/>
          <w:numId w:val="2"/>
        </w:numPr>
        <w:spacing w:line="360" w:lineRule="auto"/>
        <w:jc w:val="both"/>
        <w:rPr>
          <w:b/>
        </w:rPr>
      </w:pPr>
      <w:r w:rsidRPr="009351CB">
        <w:rPr>
          <w:b/>
        </w:rPr>
        <w:t xml:space="preserve">Key </w:t>
      </w:r>
      <w:r w:rsidR="00724228" w:rsidRPr="009351CB">
        <w:rPr>
          <w:b/>
        </w:rPr>
        <w:t>activities for 2018/19</w:t>
      </w:r>
    </w:p>
    <w:p w14:paraId="4CB84D51" w14:textId="77777777" w:rsidR="00724228" w:rsidRPr="009351CB" w:rsidRDefault="00724228" w:rsidP="004F6019">
      <w:pPr>
        <w:pStyle w:val="ListParagraph"/>
        <w:numPr>
          <w:ilvl w:val="0"/>
          <w:numId w:val="9"/>
        </w:numPr>
        <w:spacing w:line="360" w:lineRule="auto"/>
        <w:jc w:val="both"/>
      </w:pPr>
      <w:r w:rsidRPr="009351CB">
        <w:t>A total of 24 proclamations were issued in 2018/19.</w:t>
      </w:r>
    </w:p>
    <w:p w14:paraId="557AFD3B" w14:textId="77777777" w:rsidR="00724228" w:rsidRPr="009351CB" w:rsidRDefault="00724228" w:rsidP="004F6019">
      <w:pPr>
        <w:pStyle w:val="ListParagraph"/>
        <w:numPr>
          <w:ilvl w:val="0"/>
          <w:numId w:val="9"/>
        </w:numPr>
        <w:spacing w:line="360" w:lineRule="auto"/>
        <w:jc w:val="both"/>
      </w:pPr>
      <w:r w:rsidRPr="009351CB">
        <w:t xml:space="preserve">A total of 20 final reports </w:t>
      </w:r>
      <w:r w:rsidR="0073487B" w:rsidRPr="009351CB">
        <w:t xml:space="preserve">in respect of completed investigations </w:t>
      </w:r>
      <w:r w:rsidRPr="009351CB">
        <w:t>were submitted to the President.</w:t>
      </w:r>
    </w:p>
    <w:p w14:paraId="6A51B458" w14:textId="77777777" w:rsidR="0073487B" w:rsidRPr="009351CB" w:rsidRDefault="0073487B" w:rsidP="004F6019">
      <w:pPr>
        <w:pStyle w:val="ListParagraph"/>
        <w:numPr>
          <w:ilvl w:val="0"/>
          <w:numId w:val="9"/>
        </w:numPr>
        <w:spacing w:line="360" w:lineRule="auto"/>
        <w:jc w:val="both"/>
      </w:pPr>
      <w:r w:rsidRPr="009351CB">
        <w:t xml:space="preserve">Investigations were conducted at 14 national departments, 17 provincial departments, 17 municipalities and three state owned enterprises. </w:t>
      </w:r>
    </w:p>
    <w:p w14:paraId="5B809418" w14:textId="77777777" w:rsidR="0073487B" w:rsidRPr="009351CB" w:rsidRDefault="0073487B" w:rsidP="004F6019">
      <w:pPr>
        <w:pStyle w:val="ListParagraph"/>
        <w:numPr>
          <w:ilvl w:val="0"/>
          <w:numId w:val="9"/>
        </w:numPr>
        <w:spacing w:line="360" w:lineRule="auto"/>
        <w:jc w:val="both"/>
      </w:pPr>
      <w:r w:rsidRPr="009351CB">
        <w:t>There has been an intense focus on civil litigations matters, including 17 matters involving the Department of Public Works, two involving the Depa</w:t>
      </w:r>
      <w:r w:rsidR="000D3EA1" w:rsidRPr="009351CB">
        <w:t>rtment of Correctional Services</w:t>
      </w:r>
      <w:r w:rsidRPr="009351CB">
        <w:t xml:space="preserve"> and eight involving the SABC.</w:t>
      </w:r>
    </w:p>
    <w:p w14:paraId="6EBE4DC8" w14:textId="77777777" w:rsidR="0073487B" w:rsidRPr="009351CB" w:rsidRDefault="0073487B" w:rsidP="004F6019">
      <w:pPr>
        <w:pStyle w:val="ListParagraph"/>
        <w:numPr>
          <w:ilvl w:val="0"/>
          <w:numId w:val="9"/>
        </w:numPr>
        <w:spacing w:line="360" w:lineRule="auto"/>
        <w:jc w:val="both"/>
      </w:pPr>
      <w:r w:rsidRPr="009351CB">
        <w:t>A total of 331 referrals were made to the NPA and 335 referrals were made for disciplinary action.</w:t>
      </w:r>
    </w:p>
    <w:p w14:paraId="15BAF588" w14:textId="77777777" w:rsidR="0073487B" w:rsidRPr="009351CB" w:rsidRDefault="0073487B" w:rsidP="009351CB">
      <w:pPr>
        <w:pStyle w:val="ListParagraph"/>
        <w:spacing w:line="360" w:lineRule="auto"/>
        <w:ind w:left="1080"/>
        <w:jc w:val="both"/>
      </w:pPr>
    </w:p>
    <w:p w14:paraId="406A3042" w14:textId="77777777" w:rsidR="00B93CDD" w:rsidRPr="009351CB" w:rsidRDefault="00FC71D5" w:rsidP="00E20A8C">
      <w:pPr>
        <w:numPr>
          <w:ilvl w:val="1"/>
          <w:numId w:val="2"/>
        </w:numPr>
        <w:spacing w:line="360" w:lineRule="auto"/>
        <w:ind w:hanging="862"/>
        <w:jc w:val="both"/>
      </w:pPr>
      <w:r w:rsidRPr="009351CB">
        <w:rPr>
          <w:b/>
        </w:rPr>
        <w:t>Human Resources</w:t>
      </w:r>
    </w:p>
    <w:p w14:paraId="44CA2340" w14:textId="77777777" w:rsidR="00B93CDD" w:rsidRPr="009351CB" w:rsidRDefault="00B93CDD" w:rsidP="009351CB">
      <w:pPr>
        <w:spacing w:line="360" w:lineRule="auto"/>
        <w:ind w:left="720"/>
        <w:jc w:val="both"/>
      </w:pPr>
    </w:p>
    <w:p w14:paraId="19B72ED6" w14:textId="6804A5C0" w:rsidR="00FD40C3" w:rsidRPr="009351CB" w:rsidRDefault="00FD40C3" w:rsidP="004F6019">
      <w:pPr>
        <w:pStyle w:val="ListParagraph"/>
        <w:numPr>
          <w:ilvl w:val="2"/>
          <w:numId w:val="23"/>
        </w:numPr>
        <w:spacing w:line="360" w:lineRule="auto"/>
        <w:ind w:left="851" w:hanging="851"/>
        <w:jc w:val="both"/>
      </w:pPr>
      <w:r w:rsidRPr="009351CB">
        <w:t>In 2017/18, the SIU emba</w:t>
      </w:r>
      <w:r w:rsidR="003D2487" w:rsidRPr="009351CB">
        <w:t>rked on an organisational renewal project -</w:t>
      </w:r>
      <w:r w:rsidRPr="009351CB">
        <w:t xml:space="preserve"> ‘Project Siyakha’</w:t>
      </w:r>
      <w:r w:rsidR="003D2487" w:rsidRPr="009351CB">
        <w:t>.</w:t>
      </w:r>
      <w:r w:rsidRPr="009351CB">
        <w:t xml:space="preserve"> The project continued</w:t>
      </w:r>
      <w:r w:rsidR="003D2487" w:rsidRPr="009351CB">
        <w:t xml:space="preserve"> in 2018/19 with the </w:t>
      </w:r>
      <w:r w:rsidRPr="009351CB">
        <w:t xml:space="preserve">following key deliverables </w:t>
      </w:r>
      <w:r w:rsidR="007E48B5" w:rsidRPr="009351CB">
        <w:t xml:space="preserve">being </w:t>
      </w:r>
      <w:r w:rsidR="003D2487" w:rsidRPr="009351CB">
        <w:t>approved</w:t>
      </w:r>
      <w:r w:rsidRPr="009351CB">
        <w:t>:</w:t>
      </w:r>
      <w:r w:rsidR="003D2487" w:rsidRPr="009351CB">
        <w:t xml:space="preserve"> the (new) organisational structure; </w:t>
      </w:r>
      <w:r w:rsidR="007E48B5" w:rsidRPr="009351CB">
        <w:t xml:space="preserve">a </w:t>
      </w:r>
      <w:r w:rsidR="003D2487" w:rsidRPr="009351CB">
        <w:t xml:space="preserve">new value chain; </w:t>
      </w:r>
      <w:r w:rsidR="007E48B5" w:rsidRPr="009351CB">
        <w:t xml:space="preserve">and </w:t>
      </w:r>
      <w:r w:rsidR="003D2487" w:rsidRPr="009351CB">
        <w:t xml:space="preserve">job profiles and </w:t>
      </w:r>
      <w:r w:rsidR="007E48B5" w:rsidRPr="009351CB">
        <w:t xml:space="preserve">job </w:t>
      </w:r>
      <w:r w:rsidR="003D2487" w:rsidRPr="009351CB">
        <w:t>grades</w:t>
      </w:r>
      <w:r w:rsidR="003D2487" w:rsidRPr="00E20A8C">
        <w:rPr>
          <w:b/>
        </w:rPr>
        <w:t>.</w:t>
      </w:r>
    </w:p>
    <w:p w14:paraId="238C8064" w14:textId="77777777" w:rsidR="00B93CDD" w:rsidRPr="009351CB" w:rsidRDefault="00B93CDD" w:rsidP="009351CB">
      <w:pPr>
        <w:pStyle w:val="ListParagraph"/>
        <w:spacing w:line="360" w:lineRule="auto"/>
        <w:jc w:val="both"/>
      </w:pPr>
    </w:p>
    <w:p w14:paraId="60263C17" w14:textId="77777777" w:rsidR="00FC71D5" w:rsidRPr="009351CB" w:rsidRDefault="007E48B5" w:rsidP="004F6019">
      <w:pPr>
        <w:pStyle w:val="ListParagraph"/>
        <w:numPr>
          <w:ilvl w:val="2"/>
          <w:numId w:val="23"/>
        </w:numPr>
        <w:spacing w:line="360" w:lineRule="auto"/>
        <w:ind w:left="851" w:hanging="851"/>
        <w:jc w:val="both"/>
      </w:pPr>
      <w:r w:rsidRPr="009351CB">
        <w:t>A</w:t>
      </w:r>
      <w:r w:rsidR="00FD40C3" w:rsidRPr="009351CB">
        <w:t>t the end of 2018/19, the</w:t>
      </w:r>
      <w:r w:rsidR="00FD40C3" w:rsidRPr="009351CB">
        <w:rPr>
          <w:b/>
        </w:rPr>
        <w:t xml:space="preserve"> </w:t>
      </w:r>
      <w:r w:rsidR="00FC71D5" w:rsidRPr="009351CB">
        <w:t>SIU had a staff complement of</w:t>
      </w:r>
      <w:r w:rsidRPr="009351CB">
        <w:t xml:space="preserve"> </w:t>
      </w:r>
      <w:r w:rsidR="008426C4" w:rsidRPr="009351CB">
        <w:t xml:space="preserve">532 of 603 approved post, of which 513 (97%) were permanent and 19 (3%) were fixed term. The overall vacancy rate was 12% (compared with </w:t>
      </w:r>
      <w:r w:rsidR="00D41844" w:rsidRPr="009351CB">
        <w:t xml:space="preserve">515 of 629 approved posts and an </w:t>
      </w:r>
      <w:r w:rsidR="00FC71D5" w:rsidRPr="009351CB">
        <w:t xml:space="preserve">overall vacancy rate </w:t>
      </w:r>
      <w:r w:rsidR="00D41844" w:rsidRPr="009351CB">
        <w:t>of 18%</w:t>
      </w:r>
      <w:r w:rsidR="008426C4" w:rsidRPr="009351CB">
        <w:t xml:space="preserve"> in 2017/18)</w:t>
      </w:r>
      <w:r w:rsidR="00FC71D5" w:rsidRPr="009351CB">
        <w:t xml:space="preserve">. Of particular concern is the vacancy rate at </w:t>
      </w:r>
      <w:r w:rsidR="008426C4" w:rsidRPr="009351CB">
        <w:t xml:space="preserve">top and </w:t>
      </w:r>
      <w:r w:rsidR="00FC71D5" w:rsidRPr="009351CB">
        <w:t>se</w:t>
      </w:r>
      <w:r w:rsidR="008426C4" w:rsidRPr="009351CB">
        <w:t>nior management level, which wa</w:t>
      </w:r>
      <w:r w:rsidR="0035542D" w:rsidRPr="009351CB">
        <w:t xml:space="preserve">s at </w:t>
      </w:r>
      <w:r w:rsidR="008426C4" w:rsidRPr="009351CB">
        <w:t>88% and 37% respectively.</w:t>
      </w:r>
    </w:p>
    <w:p w14:paraId="35DC2E4D" w14:textId="77777777" w:rsidR="00B93CDD" w:rsidRPr="009351CB" w:rsidRDefault="00B93CDD" w:rsidP="009351CB">
      <w:pPr>
        <w:pStyle w:val="ListParagraph"/>
        <w:spacing w:line="360" w:lineRule="auto"/>
      </w:pPr>
    </w:p>
    <w:p w14:paraId="5AE901AF" w14:textId="77777777" w:rsidR="008426C4" w:rsidRPr="009351CB" w:rsidRDefault="00B93CDD" w:rsidP="004F6019">
      <w:pPr>
        <w:pStyle w:val="ListParagraph"/>
        <w:numPr>
          <w:ilvl w:val="2"/>
          <w:numId w:val="23"/>
        </w:numPr>
        <w:spacing w:line="360" w:lineRule="auto"/>
        <w:ind w:left="851" w:hanging="851"/>
        <w:jc w:val="both"/>
      </w:pPr>
      <w:r w:rsidRPr="009351CB">
        <w:t xml:space="preserve">At the end of 2018/19, Africans </w:t>
      </w:r>
      <w:r w:rsidR="000D3EA1" w:rsidRPr="009351CB">
        <w:t xml:space="preserve">were </w:t>
      </w:r>
      <w:r w:rsidR="00C669CB" w:rsidRPr="009351CB">
        <w:t>under</w:t>
      </w:r>
      <w:r w:rsidR="000D3EA1" w:rsidRPr="009351CB">
        <w:t>-</w:t>
      </w:r>
      <w:r w:rsidR="00C669CB" w:rsidRPr="009351CB">
        <w:t>represented</w:t>
      </w:r>
      <w:r w:rsidRPr="009351CB">
        <w:t xml:space="preserve"> at 61% of the SIU’s total workforce</w:t>
      </w:r>
      <w:r w:rsidR="00C669CB" w:rsidRPr="009351CB">
        <w:t xml:space="preserve">. A total of </w:t>
      </w:r>
      <w:r w:rsidRPr="009351CB">
        <w:t xml:space="preserve">261 women were employed at the SIU, of which </w:t>
      </w:r>
      <w:r w:rsidR="00C669CB" w:rsidRPr="009351CB">
        <w:t>24 women (7% of the total workplace) were employed at senior and top management level. Th</w:t>
      </w:r>
      <w:r w:rsidRPr="009351CB">
        <w:t xml:space="preserve">e majority of women at the SIU were </w:t>
      </w:r>
      <w:r w:rsidR="00C669CB" w:rsidRPr="009351CB">
        <w:t xml:space="preserve">at skilled technical or below, employed predominantly in administrative positions. </w:t>
      </w:r>
      <w:r w:rsidRPr="009351CB">
        <w:t xml:space="preserve">This is in contrast to men, who are employed in higher numbers at professional </w:t>
      </w:r>
      <w:r w:rsidR="00DE6995" w:rsidRPr="009351CB">
        <w:t xml:space="preserve">qualified </w:t>
      </w:r>
      <w:r w:rsidRPr="009351CB">
        <w:t>and above</w:t>
      </w:r>
      <w:r w:rsidR="00DE6995" w:rsidRPr="009351CB">
        <w:t xml:space="preserve"> (management). </w:t>
      </w:r>
      <w:r w:rsidR="0073487B" w:rsidRPr="009351CB">
        <w:t xml:space="preserve">No </w:t>
      </w:r>
      <w:r w:rsidR="00F259CA" w:rsidRPr="009351CB">
        <w:t xml:space="preserve">persons with disabilities were/are </w:t>
      </w:r>
      <w:r w:rsidR="00C669CB" w:rsidRPr="009351CB">
        <w:t>employed at the SIU.</w:t>
      </w:r>
    </w:p>
    <w:p w14:paraId="37F27BE1" w14:textId="77777777" w:rsidR="00FC71D5" w:rsidRPr="009351CB" w:rsidRDefault="00FC71D5" w:rsidP="009351CB">
      <w:pPr>
        <w:pStyle w:val="ListParagraph"/>
        <w:spacing w:line="360" w:lineRule="auto"/>
        <w:jc w:val="both"/>
      </w:pPr>
    </w:p>
    <w:p w14:paraId="6C873064" w14:textId="4C27182F" w:rsidR="0011635B" w:rsidRPr="009351CB" w:rsidRDefault="000657A6" w:rsidP="009351CB">
      <w:pPr>
        <w:numPr>
          <w:ilvl w:val="1"/>
          <w:numId w:val="2"/>
        </w:numPr>
        <w:spacing w:line="360" w:lineRule="auto"/>
        <w:jc w:val="both"/>
      </w:pPr>
      <w:r w:rsidRPr="009351CB">
        <w:rPr>
          <w:b/>
        </w:rPr>
        <w:t>Audit outcome</w:t>
      </w:r>
    </w:p>
    <w:p w14:paraId="19585B60" w14:textId="77777777" w:rsidR="000D3EA1" w:rsidRPr="009351CB" w:rsidRDefault="000D3EA1" w:rsidP="009351CB">
      <w:pPr>
        <w:pStyle w:val="ListParagraph"/>
        <w:spacing w:line="360" w:lineRule="auto"/>
        <w:jc w:val="both"/>
      </w:pPr>
    </w:p>
    <w:p w14:paraId="6DB62CD7" w14:textId="287A8729" w:rsidR="000657A6" w:rsidRPr="009351CB" w:rsidRDefault="000657A6" w:rsidP="004F6019">
      <w:pPr>
        <w:pStyle w:val="ListParagraph"/>
        <w:numPr>
          <w:ilvl w:val="2"/>
          <w:numId w:val="24"/>
        </w:numPr>
        <w:spacing w:line="360" w:lineRule="auto"/>
        <w:jc w:val="both"/>
      </w:pPr>
      <w:r w:rsidRPr="009351CB">
        <w:t>The SIU</w:t>
      </w:r>
      <w:r w:rsidR="008426C4" w:rsidRPr="009351CB">
        <w:t xml:space="preserve"> maintained a</w:t>
      </w:r>
      <w:r w:rsidR="004F1FAB" w:rsidRPr="009351CB">
        <w:t xml:space="preserve"> clean </w:t>
      </w:r>
      <w:r w:rsidRPr="009351CB">
        <w:t xml:space="preserve">audit outcome </w:t>
      </w:r>
      <w:r w:rsidR="004F1FAB" w:rsidRPr="009351CB">
        <w:t>in 201</w:t>
      </w:r>
      <w:r w:rsidR="008426C4" w:rsidRPr="009351CB">
        <w:t>8/19</w:t>
      </w:r>
      <w:r w:rsidR="0011635B" w:rsidRPr="009351CB">
        <w:t xml:space="preserve"> (its third consecutive clean audit)</w:t>
      </w:r>
      <w:r w:rsidR="004F1FAB" w:rsidRPr="009351CB">
        <w:t xml:space="preserve">. </w:t>
      </w:r>
      <w:r w:rsidR="001356F8" w:rsidRPr="009351CB">
        <w:t>However,</w:t>
      </w:r>
      <w:r w:rsidR="003A6CB4" w:rsidRPr="009351CB">
        <w:t xml:space="preserve"> the Auditor-General noted that</w:t>
      </w:r>
      <w:r w:rsidR="001356F8" w:rsidRPr="009351CB">
        <w:t xml:space="preserve"> the collection of debt is concerning with R493 million outstanding for services rendered to departments, entities and municipalities at 31 March 2019; and </w:t>
      </w:r>
      <w:r w:rsidR="0011635B" w:rsidRPr="009351CB">
        <w:t xml:space="preserve">there were </w:t>
      </w:r>
      <w:r w:rsidR="001356F8" w:rsidRPr="009351CB">
        <w:t xml:space="preserve">material misstatements </w:t>
      </w:r>
      <w:r w:rsidR="0011635B" w:rsidRPr="009351CB">
        <w:t>in the performance report submitted for auditing which were subsequently corrected.</w:t>
      </w:r>
    </w:p>
    <w:p w14:paraId="00E33270" w14:textId="77777777" w:rsidR="001356F8" w:rsidRPr="009351CB" w:rsidRDefault="001356F8" w:rsidP="009351CB">
      <w:pPr>
        <w:pStyle w:val="ListParagraph"/>
        <w:spacing w:line="360" w:lineRule="auto"/>
        <w:jc w:val="both"/>
      </w:pPr>
    </w:p>
    <w:p w14:paraId="2712AFC2" w14:textId="77777777" w:rsidR="00BD2677" w:rsidRPr="009351CB" w:rsidRDefault="00BD2677" w:rsidP="004F6019">
      <w:pPr>
        <w:pStyle w:val="ListParagraph"/>
        <w:numPr>
          <w:ilvl w:val="2"/>
          <w:numId w:val="24"/>
        </w:numPr>
        <w:spacing w:line="360" w:lineRule="auto"/>
        <w:jc w:val="both"/>
        <w:rPr>
          <w:lang w:eastAsia="en-ZA"/>
        </w:rPr>
      </w:pPr>
      <w:r w:rsidRPr="009351CB">
        <w:t xml:space="preserve">The SIU reports irregular expenditure of </w:t>
      </w:r>
      <w:r w:rsidR="001356F8" w:rsidRPr="009351CB">
        <w:t xml:space="preserve">R2.1 </w:t>
      </w:r>
      <w:r w:rsidR="0011635B" w:rsidRPr="009351CB">
        <w:t>million as</w:t>
      </w:r>
      <w:r w:rsidR="001356F8" w:rsidRPr="009351CB">
        <w:t xml:space="preserve"> a result of two employees being paid on an unapproved scale (compared with </w:t>
      </w:r>
      <w:r w:rsidR="000D3EA1" w:rsidRPr="009351CB">
        <w:t>R1.5 million for 2017/18).</w:t>
      </w:r>
      <w:r w:rsidRPr="009351CB">
        <w:t xml:space="preserve"> There was no frui</w:t>
      </w:r>
      <w:r w:rsidR="000D3EA1" w:rsidRPr="009351CB">
        <w:t>tless and wasteful expenditure</w:t>
      </w:r>
      <w:r w:rsidRPr="009351CB">
        <w:t xml:space="preserve">. The SIU’s contingent liabilities decreased </w:t>
      </w:r>
      <w:r w:rsidR="0011635B" w:rsidRPr="009351CB">
        <w:t xml:space="preserve">to R484 000 </w:t>
      </w:r>
      <w:r w:rsidR="000D3EA1" w:rsidRPr="009351CB">
        <w:t xml:space="preserve">from </w:t>
      </w:r>
      <w:r w:rsidR="0011635B" w:rsidRPr="009351CB">
        <w:t xml:space="preserve">R7.9 million in 2017/18. </w:t>
      </w:r>
    </w:p>
    <w:p w14:paraId="12ED5A61" w14:textId="77777777" w:rsidR="000657A6" w:rsidRPr="009351CB" w:rsidRDefault="000657A6" w:rsidP="009351CB">
      <w:pPr>
        <w:pStyle w:val="ListParagraph"/>
        <w:spacing w:line="360" w:lineRule="auto"/>
        <w:jc w:val="both"/>
      </w:pPr>
    </w:p>
    <w:p w14:paraId="36B1035C" w14:textId="77777777" w:rsidR="00C6062B" w:rsidRPr="009351CB" w:rsidRDefault="000657A6" w:rsidP="00E20A8C">
      <w:pPr>
        <w:numPr>
          <w:ilvl w:val="1"/>
          <w:numId w:val="2"/>
        </w:numPr>
        <w:spacing w:line="360" w:lineRule="auto"/>
        <w:ind w:hanging="862"/>
        <w:jc w:val="both"/>
      </w:pPr>
      <w:r w:rsidRPr="009351CB">
        <w:rPr>
          <w:b/>
        </w:rPr>
        <w:t>Financial performance</w:t>
      </w:r>
    </w:p>
    <w:p w14:paraId="3FDAA086" w14:textId="77777777" w:rsidR="000657A6" w:rsidRPr="009351CB" w:rsidRDefault="000657A6" w:rsidP="009351CB">
      <w:pPr>
        <w:pStyle w:val="ListParagraph"/>
        <w:spacing w:line="360" w:lineRule="auto"/>
        <w:jc w:val="both"/>
        <w:rPr>
          <w:lang w:eastAsia="en-ZA"/>
        </w:rPr>
      </w:pPr>
    </w:p>
    <w:p w14:paraId="414D0A66" w14:textId="64BE5068" w:rsidR="00FD21A8" w:rsidRPr="009351CB" w:rsidRDefault="00C8741A" w:rsidP="004F6019">
      <w:pPr>
        <w:pStyle w:val="ListParagraph"/>
        <w:numPr>
          <w:ilvl w:val="2"/>
          <w:numId w:val="25"/>
        </w:numPr>
        <w:spacing w:line="360" w:lineRule="auto"/>
        <w:jc w:val="both"/>
        <w:rPr>
          <w:lang w:eastAsia="en-ZA"/>
        </w:rPr>
      </w:pPr>
      <w:r w:rsidRPr="009351CB">
        <w:t xml:space="preserve">The SIU’s funding model provides for a baseline grant from National Treasury. In addition, the SIU charges state institutions for its services, thus raising additional revenue. </w:t>
      </w:r>
      <w:r w:rsidR="00C471BC" w:rsidRPr="009351CB">
        <w:t>The</w:t>
      </w:r>
      <w:r w:rsidR="00C471BC" w:rsidRPr="00E20A8C">
        <w:rPr>
          <w:lang w:val="en-US" w:eastAsia="en-US"/>
        </w:rPr>
        <w:t xml:space="preserve"> recovery of debts from state institutions for services is proving to be a challenge and requires legislative amendments (On average, the SIU has only been able to recover about 25% of the outstanding debt over the past seven years. The debt has grown in the past seven years from R34 </w:t>
      </w:r>
      <w:r w:rsidR="003A6CB4" w:rsidRPr="00E20A8C">
        <w:rPr>
          <w:lang w:val="en-US" w:eastAsia="en-US"/>
        </w:rPr>
        <w:t xml:space="preserve">million </w:t>
      </w:r>
      <w:r w:rsidR="00C471BC" w:rsidRPr="00E20A8C">
        <w:rPr>
          <w:lang w:val="en-US" w:eastAsia="en-US"/>
        </w:rPr>
        <w:t xml:space="preserve">to R493 million at the end of 2018/19). </w:t>
      </w:r>
      <w:r w:rsidR="000D3EA1" w:rsidRPr="00E20A8C">
        <w:rPr>
          <w:lang w:val="en-US" w:eastAsia="en-US"/>
        </w:rPr>
        <w:t xml:space="preserve">A </w:t>
      </w:r>
      <w:r w:rsidR="00C471BC" w:rsidRPr="00E20A8C">
        <w:rPr>
          <w:lang w:val="en-US" w:eastAsia="en-US"/>
        </w:rPr>
        <w:t>key challenge</w:t>
      </w:r>
      <w:r w:rsidR="003A6CB4" w:rsidRPr="00E20A8C">
        <w:rPr>
          <w:lang w:val="en-US" w:eastAsia="en-US"/>
        </w:rPr>
        <w:t xml:space="preserve"> is</w:t>
      </w:r>
      <w:r w:rsidR="00C471BC" w:rsidRPr="00E20A8C">
        <w:rPr>
          <w:lang w:val="en-US" w:eastAsia="en-US"/>
        </w:rPr>
        <w:t xml:space="preserve"> th</w:t>
      </w:r>
      <w:r w:rsidR="000D3EA1" w:rsidRPr="00E20A8C">
        <w:rPr>
          <w:lang w:val="en-US" w:eastAsia="en-US"/>
        </w:rPr>
        <w:t xml:space="preserve">e risk of conflict of interest as the </w:t>
      </w:r>
      <w:r w:rsidR="00C471BC" w:rsidRPr="00E20A8C">
        <w:rPr>
          <w:lang w:val="en-US" w:eastAsia="en-US"/>
        </w:rPr>
        <w:t xml:space="preserve">SIU presents its invoice to senior officials at the affected institution, </w:t>
      </w:r>
      <w:r w:rsidR="000D3EA1" w:rsidRPr="00E20A8C">
        <w:rPr>
          <w:lang w:val="en-US" w:eastAsia="en-US"/>
        </w:rPr>
        <w:t>who</w:t>
      </w:r>
      <w:r w:rsidR="00C471BC" w:rsidRPr="00E20A8C">
        <w:rPr>
          <w:lang w:val="en-US" w:eastAsia="en-US"/>
        </w:rPr>
        <w:t xml:space="preserve"> may be implicated. Also, in most cases, the state institution has not budgeted for the cost of the investigation. </w:t>
      </w:r>
    </w:p>
    <w:p w14:paraId="4394BD1A" w14:textId="77777777" w:rsidR="000D3EA1" w:rsidRPr="009351CB" w:rsidRDefault="000D3EA1" w:rsidP="009351CB">
      <w:pPr>
        <w:pStyle w:val="ListParagraph"/>
        <w:spacing w:line="360" w:lineRule="auto"/>
        <w:jc w:val="both"/>
        <w:rPr>
          <w:lang w:eastAsia="en-ZA"/>
        </w:rPr>
      </w:pPr>
    </w:p>
    <w:p w14:paraId="3C276450" w14:textId="39921EFF" w:rsidR="0011635B" w:rsidRPr="009351CB" w:rsidRDefault="004F1FAB" w:rsidP="004F6019">
      <w:pPr>
        <w:pStyle w:val="ListParagraph"/>
        <w:numPr>
          <w:ilvl w:val="2"/>
          <w:numId w:val="25"/>
        </w:numPr>
        <w:spacing w:line="360" w:lineRule="auto"/>
        <w:jc w:val="both"/>
        <w:rPr>
          <w:lang w:eastAsia="en-ZA"/>
        </w:rPr>
      </w:pPr>
      <w:r w:rsidRPr="009351CB">
        <w:t xml:space="preserve">In </w:t>
      </w:r>
      <w:r w:rsidR="00DE6995" w:rsidRPr="009351CB">
        <w:t>2018/19, the SIU received R648 million (compared with</w:t>
      </w:r>
      <w:r w:rsidR="00C8741A" w:rsidRPr="009351CB">
        <w:t xml:space="preserve"> R</w:t>
      </w:r>
      <w:r w:rsidRPr="009351CB">
        <w:t>657.8</w:t>
      </w:r>
      <w:r w:rsidR="00C8741A" w:rsidRPr="009351CB">
        <w:t xml:space="preserve"> million </w:t>
      </w:r>
      <w:r w:rsidR="00DE6995" w:rsidRPr="009351CB">
        <w:t>in 2017/18</w:t>
      </w:r>
      <w:r w:rsidR="00C8741A" w:rsidRPr="009351CB">
        <w:t>)</w:t>
      </w:r>
      <w:r w:rsidR="0035542D" w:rsidRPr="009351CB">
        <w:t xml:space="preserve"> </w:t>
      </w:r>
      <w:r w:rsidR="003E7042" w:rsidRPr="009351CB">
        <w:t xml:space="preserve">made up </w:t>
      </w:r>
      <w:r w:rsidR="00DE6995" w:rsidRPr="009351CB">
        <w:t>of the grant allocation of R357</w:t>
      </w:r>
      <w:r w:rsidR="003E7042" w:rsidRPr="009351CB">
        <w:t xml:space="preserve"> million and revenue from payments for services of R</w:t>
      </w:r>
      <w:r w:rsidR="00DE6995" w:rsidRPr="009351CB">
        <w:t>255</w:t>
      </w:r>
      <w:r w:rsidR="003E7042" w:rsidRPr="009351CB">
        <w:t xml:space="preserve"> million. </w:t>
      </w:r>
      <w:r w:rsidR="00DE6995" w:rsidRPr="009351CB">
        <w:t xml:space="preserve">An amount of R178 164 was made available to the SIU from CARA funds and R35.8 million was from other monies received (for example, interest). </w:t>
      </w:r>
      <w:r w:rsidR="0011635B" w:rsidRPr="009351CB">
        <w:t>The SIU was affected by baseline reductions of R9.2 million in 2018/19; R15.8 million in 2019/20; and R16.6 million in 2020/21.</w:t>
      </w:r>
    </w:p>
    <w:p w14:paraId="4E40310C" w14:textId="77777777" w:rsidR="0011635B" w:rsidRPr="009351CB" w:rsidRDefault="0011635B" w:rsidP="009351CB">
      <w:pPr>
        <w:pStyle w:val="ListParagraph"/>
        <w:spacing w:line="360" w:lineRule="auto"/>
      </w:pPr>
    </w:p>
    <w:p w14:paraId="0FA666FD" w14:textId="65DEDEA4" w:rsidR="000F7487" w:rsidRPr="009351CB" w:rsidRDefault="003E7042" w:rsidP="004F6019">
      <w:pPr>
        <w:pStyle w:val="ListParagraph"/>
        <w:numPr>
          <w:ilvl w:val="2"/>
          <w:numId w:val="25"/>
        </w:numPr>
        <w:spacing w:line="360" w:lineRule="auto"/>
        <w:jc w:val="both"/>
        <w:rPr>
          <w:lang w:eastAsia="en-ZA"/>
        </w:rPr>
      </w:pPr>
      <w:r w:rsidRPr="009351CB">
        <w:t>A</w:t>
      </w:r>
      <w:r w:rsidR="003A6CB4" w:rsidRPr="009351CB">
        <w:t xml:space="preserve">ctual expenditure </w:t>
      </w:r>
      <w:r w:rsidR="0011635B" w:rsidRPr="009351CB">
        <w:t xml:space="preserve">in 2018/19, </w:t>
      </w:r>
      <w:r w:rsidR="00C8741A" w:rsidRPr="009351CB">
        <w:t xml:space="preserve">was </w:t>
      </w:r>
      <w:r w:rsidR="00DE6995" w:rsidRPr="009351CB">
        <w:t xml:space="preserve">R619.8 million </w:t>
      </w:r>
      <w:r w:rsidR="0011635B" w:rsidRPr="009351CB">
        <w:t xml:space="preserve">or 95.6% of total revenue, </w:t>
      </w:r>
      <w:r w:rsidR="00DE6995" w:rsidRPr="009351CB">
        <w:t>with a surp</w:t>
      </w:r>
      <w:r w:rsidR="003A6CB4" w:rsidRPr="009351CB">
        <w:t>lus of R28.2 million</w:t>
      </w:r>
      <w:r w:rsidR="00DE6995" w:rsidRPr="009351CB">
        <w:t xml:space="preserve">. </w:t>
      </w:r>
    </w:p>
    <w:p w14:paraId="7DC9B247" w14:textId="77777777" w:rsidR="00C471BC" w:rsidRPr="009351CB" w:rsidRDefault="00C471BC" w:rsidP="009351CB">
      <w:pPr>
        <w:pStyle w:val="ListParagraph"/>
        <w:spacing w:line="360" w:lineRule="auto"/>
        <w:rPr>
          <w:lang w:eastAsia="en-ZA"/>
        </w:rPr>
      </w:pPr>
    </w:p>
    <w:p w14:paraId="3DC93ABD" w14:textId="02BFF2E9" w:rsidR="00DE6995" w:rsidRPr="009351CB" w:rsidRDefault="0011635B" w:rsidP="004F6019">
      <w:pPr>
        <w:pStyle w:val="ListParagraph"/>
        <w:numPr>
          <w:ilvl w:val="2"/>
          <w:numId w:val="25"/>
        </w:numPr>
        <w:spacing w:line="360" w:lineRule="auto"/>
        <w:jc w:val="both"/>
        <w:rPr>
          <w:lang w:eastAsia="en-ZA"/>
        </w:rPr>
      </w:pPr>
      <w:r w:rsidRPr="009351CB">
        <w:rPr>
          <w:lang w:eastAsia="en-ZA"/>
        </w:rPr>
        <w:t xml:space="preserve">The main area of </w:t>
      </w:r>
      <w:r w:rsidR="000D3EA1" w:rsidRPr="009351CB">
        <w:rPr>
          <w:lang w:eastAsia="en-ZA"/>
        </w:rPr>
        <w:t>under-</w:t>
      </w:r>
      <w:r w:rsidR="00C471BC" w:rsidRPr="009351CB">
        <w:rPr>
          <w:lang w:eastAsia="en-ZA"/>
        </w:rPr>
        <w:t>expenditure</w:t>
      </w:r>
      <w:r w:rsidRPr="009351CB">
        <w:rPr>
          <w:lang w:eastAsia="en-ZA"/>
        </w:rPr>
        <w:t xml:space="preserve"> was on compensation of employees: R399 million of the a</w:t>
      </w:r>
      <w:r w:rsidR="00662496" w:rsidRPr="009351CB">
        <w:rPr>
          <w:lang w:eastAsia="en-ZA"/>
        </w:rPr>
        <w:t>djusted budget of R451</w:t>
      </w:r>
      <w:r w:rsidR="003A6CB4" w:rsidRPr="009351CB">
        <w:rPr>
          <w:lang w:eastAsia="en-ZA"/>
        </w:rPr>
        <w:t xml:space="preserve"> </w:t>
      </w:r>
      <w:r w:rsidR="00662496" w:rsidRPr="009351CB">
        <w:rPr>
          <w:lang w:eastAsia="en-ZA"/>
        </w:rPr>
        <w:t xml:space="preserve">million </w:t>
      </w:r>
      <w:r w:rsidRPr="009351CB">
        <w:rPr>
          <w:lang w:eastAsia="en-ZA"/>
        </w:rPr>
        <w:t xml:space="preserve">for </w:t>
      </w:r>
      <w:r w:rsidR="00662496" w:rsidRPr="009351CB">
        <w:rPr>
          <w:lang w:eastAsia="en-ZA"/>
        </w:rPr>
        <w:t xml:space="preserve">this item </w:t>
      </w:r>
      <w:r w:rsidRPr="009351CB">
        <w:rPr>
          <w:lang w:eastAsia="en-ZA"/>
        </w:rPr>
        <w:t xml:space="preserve">was spent. </w:t>
      </w:r>
      <w:r w:rsidR="00662496" w:rsidRPr="009351CB">
        <w:rPr>
          <w:lang w:eastAsia="en-ZA"/>
        </w:rPr>
        <w:t xml:space="preserve">The reason for the difference is that the SIU was undergoing an organisational review process, in which it was developing a new organisational structure. The SIU intends to fill the structure over the MTEF period so that budgeting and expenditure is in line. </w:t>
      </w:r>
    </w:p>
    <w:p w14:paraId="6BDF42B1" w14:textId="77777777" w:rsidR="0073487B" w:rsidRPr="009351CB" w:rsidRDefault="0073487B" w:rsidP="009351CB">
      <w:pPr>
        <w:pStyle w:val="ListParagraph"/>
        <w:spacing w:line="360" w:lineRule="auto"/>
        <w:jc w:val="both"/>
        <w:rPr>
          <w:lang w:eastAsia="en-ZA"/>
        </w:rPr>
      </w:pPr>
    </w:p>
    <w:p w14:paraId="6F0E7EED" w14:textId="49407C1E" w:rsidR="00662496" w:rsidRPr="009351CB" w:rsidRDefault="00662496" w:rsidP="00E20A8C">
      <w:pPr>
        <w:numPr>
          <w:ilvl w:val="1"/>
          <w:numId w:val="2"/>
        </w:numPr>
        <w:spacing w:line="360" w:lineRule="auto"/>
        <w:ind w:hanging="862"/>
        <w:jc w:val="both"/>
        <w:rPr>
          <w:lang w:eastAsia="en-ZA"/>
        </w:rPr>
      </w:pPr>
      <w:r w:rsidRPr="009351CB">
        <w:t>The SIU’s projected total revenue for 2019/20 is R718 million, compared with R661.7 million in 2018/</w:t>
      </w:r>
      <w:r w:rsidR="00E4277C" w:rsidRPr="009351CB">
        <w:t xml:space="preserve">19. Despite baseline reductions, </w:t>
      </w:r>
      <w:r w:rsidRPr="009351CB">
        <w:t>the SIU’s budget increases in real terms by 3.2% from 2018/19. A significant portion of the budget (R565.9 million or 79%) is for salaries (The SIU projects to increase its headcount in 2019/20 from 531 to 673 employees).</w:t>
      </w:r>
    </w:p>
    <w:p w14:paraId="1A284967" w14:textId="77777777" w:rsidR="004F1FAB" w:rsidRPr="009351CB" w:rsidRDefault="004F1FAB" w:rsidP="009351CB">
      <w:pPr>
        <w:pStyle w:val="ListParagraph"/>
        <w:spacing w:line="360" w:lineRule="auto"/>
      </w:pPr>
    </w:p>
    <w:p w14:paraId="732C7E8F" w14:textId="77777777" w:rsidR="00F24D95" w:rsidRPr="009351CB" w:rsidRDefault="00F24D95" w:rsidP="00E20A8C">
      <w:pPr>
        <w:numPr>
          <w:ilvl w:val="1"/>
          <w:numId w:val="2"/>
        </w:numPr>
        <w:spacing w:line="360" w:lineRule="auto"/>
        <w:ind w:hanging="862"/>
        <w:jc w:val="both"/>
        <w:rPr>
          <w:b/>
          <w:color w:val="000000" w:themeColor="text1"/>
        </w:rPr>
      </w:pPr>
      <w:r w:rsidRPr="009351CB">
        <w:rPr>
          <w:b/>
          <w:color w:val="000000" w:themeColor="text1"/>
        </w:rPr>
        <w:t>Performance</w:t>
      </w:r>
    </w:p>
    <w:p w14:paraId="0D002A57" w14:textId="77777777" w:rsidR="00C6062B" w:rsidRPr="009351CB" w:rsidRDefault="00C6062B" w:rsidP="009351CB">
      <w:pPr>
        <w:spacing w:line="360" w:lineRule="auto"/>
        <w:ind w:left="720"/>
        <w:jc w:val="both"/>
        <w:rPr>
          <w:b/>
          <w:color w:val="000000" w:themeColor="text1"/>
        </w:rPr>
      </w:pPr>
    </w:p>
    <w:p w14:paraId="5A64FEC8" w14:textId="061918EB" w:rsidR="0004542C" w:rsidRPr="009351CB" w:rsidRDefault="0004542C" w:rsidP="004F6019">
      <w:pPr>
        <w:pStyle w:val="ListParagraph"/>
        <w:numPr>
          <w:ilvl w:val="2"/>
          <w:numId w:val="26"/>
        </w:numPr>
        <w:spacing w:line="360" w:lineRule="auto"/>
        <w:jc w:val="both"/>
        <w:rPr>
          <w:lang w:eastAsia="en-ZA"/>
        </w:rPr>
      </w:pPr>
      <w:r w:rsidRPr="009351CB">
        <w:t xml:space="preserve">The SIU’s planning is aligned </w:t>
      </w:r>
      <w:r w:rsidR="00FD44FC" w:rsidRPr="009351CB">
        <w:t>to</w:t>
      </w:r>
      <w:r w:rsidRPr="009351CB">
        <w:t xml:space="preserve"> Outcome 3 (South Africans are and feel safe) and Outcome 12 (Efficient, effective and development oriented state). The Unit’s focus is on contributing significantly to the reduction of corruption and the perception of corruption. These outcomes are linked to the vision set out in the National Development Plan (NDP) that highlights the importance of building a resilient anti-corruption system. </w:t>
      </w:r>
    </w:p>
    <w:p w14:paraId="6F8F1AD1" w14:textId="77777777" w:rsidR="0004542C" w:rsidRPr="009351CB" w:rsidRDefault="0004542C" w:rsidP="009351CB">
      <w:pPr>
        <w:shd w:val="clear" w:color="auto" w:fill="FFFFFF"/>
        <w:autoSpaceDE w:val="0"/>
        <w:autoSpaceDN w:val="0"/>
        <w:adjustRightInd w:val="0"/>
        <w:spacing w:line="360" w:lineRule="auto"/>
      </w:pPr>
    </w:p>
    <w:p w14:paraId="6004ADCC" w14:textId="77777777" w:rsidR="00724228" w:rsidRPr="009351CB" w:rsidRDefault="00724228" w:rsidP="004F6019">
      <w:pPr>
        <w:pStyle w:val="ListParagraph"/>
        <w:numPr>
          <w:ilvl w:val="2"/>
          <w:numId w:val="26"/>
        </w:numPr>
        <w:spacing w:line="360" w:lineRule="auto"/>
        <w:jc w:val="both"/>
      </w:pPr>
      <w:r w:rsidRPr="009351CB">
        <w:t>The 2018/19 Annual Performance Plan (APP) introduced a new programme – ‘Market data analytics and prevention’ in addition to the ‘Administration’ and ‘Investigations and Legal Counsel’ programmes with significant changes to the strategic objectives and performance indicators.</w:t>
      </w:r>
    </w:p>
    <w:p w14:paraId="2E8C5E47" w14:textId="77777777" w:rsidR="00724228" w:rsidRPr="009351CB" w:rsidRDefault="00724228" w:rsidP="009351CB">
      <w:pPr>
        <w:pStyle w:val="ListParagraph"/>
        <w:spacing w:line="360" w:lineRule="auto"/>
      </w:pPr>
    </w:p>
    <w:p w14:paraId="5A09843C" w14:textId="33ACC87A" w:rsidR="00A22E85" w:rsidRPr="009351CB" w:rsidRDefault="00D5284A" w:rsidP="004F6019">
      <w:pPr>
        <w:pStyle w:val="ListParagraph"/>
        <w:numPr>
          <w:ilvl w:val="2"/>
          <w:numId w:val="26"/>
        </w:numPr>
        <w:spacing w:line="360" w:lineRule="auto"/>
        <w:jc w:val="both"/>
      </w:pPr>
      <w:r w:rsidRPr="009351CB">
        <w:t xml:space="preserve">The SIU achieved 17 of 29 or 59% of its targets for 2018/19: Administration achieved </w:t>
      </w:r>
      <w:r w:rsidR="00E4277C" w:rsidRPr="009351CB">
        <w:t xml:space="preserve">six </w:t>
      </w:r>
      <w:r w:rsidRPr="009351CB">
        <w:t xml:space="preserve">of 12 or 50% of planned targets; Investigations and Legal Counsel achieved </w:t>
      </w:r>
      <w:r w:rsidR="00E4277C" w:rsidRPr="009351CB">
        <w:t xml:space="preserve">nine </w:t>
      </w:r>
      <w:r w:rsidRPr="009351CB">
        <w:t xml:space="preserve">of </w:t>
      </w:r>
      <w:r w:rsidR="00E4277C" w:rsidRPr="009351CB">
        <w:t xml:space="preserve">ten </w:t>
      </w:r>
      <w:r w:rsidRPr="009351CB">
        <w:t xml:space="preserve">or 90% of planned targets; and Market Data Analytics and Prevention achieved </w:t>
      </w:r>
      <w:r w:rsidR="00E4277C" w:rsidRPr="009351CB">
        <w:t>two of six</w:t>
      </w:r>
      <w:r w:rsidRPr="009351CB">
        <w:t xml:space="preserve"> or 33% of planned targets.</w:t>
      </w:r>
    </w:p>
    <w:p w14:paraId="41325249" w14:textId="77777777" w:rsidR="00E4277C" w:rsidRPr="009351CB" w:rsidRDefault="00E4277C" w:rsidP="009351CB">
      <w:pPr>
        <w:pStyle w:val="ListParagraph"/>
        <w:spacing w:line="360" w:lineRule="auto"/>
      </w:pPr>
    </w:p>
    <w:p w14:paraId="617BEFE7" w14:textId="179BF776" w:rsidR="00E4277C" w:rsidRPr="009351CB" w:rsidRDefault="00E4277C" w:rsidP="004F6019">
      <w:pPr>
        <w:pStyle w:val="ListParagraph"/>
        <w:numPr>
          <w:ilvl w:val="2"/>
          <w:numId w:val="26"/>
        </w:numPr>
        <w:spacing w:line="360" w:lineRule="auto"/>
        <w:jc w:val="both"/>
      </w:pPr>
      <w:r w:rsidRPr="009351CB">
        <w:t>Comparing performance with expenditure, the SIU achieved 59% of its targets for 2018/19, spending 95.6% of total revenue.</w:t>
      </w:r>
    </w:p>
    <w:p w14:paraId="3A22E5B6" w14:textId="77777777" w:rsidR="00D5284A" w:rsidRPr="009351CB" w:rsidRDefault="00D5284A" w:rsidP="009351CB">
      <w:pPr>
        <w:pStyle w:val="ListParagraph"/>
        <w:shd w:val="clear" w:color="auto" w:fill="FFFFFF"/>
        <w:autoSpaceDE w:val="0"/>
        <w:autoSpaceDN w:val="0"/>
        <w:adjustRightInd w:val="0"/>
        <w:spacing w:line="360" w:lineRule="auto"/>
        <w:jc w:val="both"/>
      </w:pPr>
    </w:p>
    <w:p w14:paraId="67D350E1" w14:textId="77777777" w:rsidR="00106280" w:rsidRPr="009351CB" w:rsidRDefault="00106280" w:rsidP="009351CB">
      <w:pPr>
        <w:spacing w:line="360" w:lineRule="auto"/>
        <w:jc w:val="both"/>
        <w:rPr>
          <w:b/>
        </w:rPr>
      </w:pPr>
      <w:r w:rsidRPr="009351CB">
        <w:rPr>
          <w:b/>
          <w:color w:val="000000" w:themeColor="text1"/>
          <w:lang w:eastAsia="en-ZA"/>
        </w:rPr>
        <w:t>Table 1</w:t>
      </w:r>
      <w:r w:rsidR="00074C0F" w:rsidRPr="009351CB">
        <w:rPr>
          <w:b/>
          <w:color w:val="000000" w:themeColor="text1"/>
          <w:lang w:eastAsia="en-ZA"/>
        </w:rPr>
        <w:t>0</w:t>
      </w:r>
      <w:r w:rsidRPr="009351CB">
        <w:rPr>
          <w:b/>
        </w:rPr>
        <w:t xml:space="preserve">: SIU </w:t>
      </w:r>
      <w:r w:rsidR="00C471BC" w:rsidRPr="009351CB">
        <w:rPr>
          <w:b/>
        </w:rPr>
        <w:t>performance for</w:t>
      </w:r>
      <w:r w:rsidRPr="009351CB">
        <w:rPr>
          <w:b/>
        </w:rPr>
        <w:t xml:space="preserve"> targets and indicators </w:t>
      </w:r>
      <w:r w:rsidR="00C471BC" w:rsidRPr="009351CB">
        <w:rPr>
          <w:b/>
        </w:rPr>
        <w:t xml:space="preserve">relating to core business </w:t>
      </w:r>
      <w:r w:rsidRPr="009351CB">
        <w:rPr>
          <w:b/>
        </w:rPr>
        <w:t>201</w:t>
      </w:r>
      <w:r w:rsidR="00724228" w:rsidRPr="009351CB">
        <w:rPr>
          <w:b/>
        </w:rPr>
        <w:t>6/17 – 2018/19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813"/>
        <w:gridCol w:w="1818"/>
        <w:gridCol w:w="1867"/>
      </w:tblGrid>
      <w:tr w:rsidR="00C471BC" w:rsidRPr="009351CB" w14:paraId="1E9190EB" w14:textId="77777777" w:rsidTr="00C471BC">
        <w:trPr>
          <w:trHeight w:val="555"/>
          <w:tblHeader/>
        </w:trPr>
        <w:tc>
          <w:tcPr>
            <w:tcW w:w="1740" w:type="pct"/>
            <w:shd w:val="clear" w:color="auto" w:fill="D9D9D9" w:themeFill="background1" w:themeFillShade="D9"/>
          </w:tcPr>
          <w:p w14:paraId="30D2B8CE" w14:textId="77777777" w:rsidR="00C471BC" w:rsidRPr="009351CB" w:rsidRDefault="00C471BC" w:rsidP="009351CB">
            <w:pPr>
              <w:pStyle w:val="NormalWeb"/>
              <w:spacing w:before="0" w:after="0" w:line="360" w:lineRule="auto"/>
              <w:jc w:val="center"/>
              <w:rPr>
                <w:b/>
                <w:color w:val="000000"/>
              </w:rPr>
            </w:pPr>
            <w:r w:rsidRPr="009351CB">
              <w:rPr>
                <w:b/>
                <w:color w:val="000000"/>
              </w:rPr>
              <w:t>INDICATOR</w:t>
            </w:r>
          </w:p>
        </w:tc>
        <w:tc>
          <w:tcPr>
            <w:tcW w:w="1075" w:type="pct"/>
            <w:shd w:val="clear" w:color="auto" w:fill="D9D9D9" w:themeFill="background1" w:themeFillShade="D9"/>
          </w:tcPr>
          <w:p w14:paraId="1F089459" w14:textId="77777777" w:rsidR="00C471BC" w:rsidRPr="009351CB" w:rsidRDefault="00C471BC" w:rsidP="009351CB">
            <w:pPr>
              <w:pStyle w:val="NormalWeb"/>
              <w:spacing w:before="0" w:after="0" w:line="360" w:lineRule="auto"/>
              <w:jc w:val="center"/>
              <w:rPr>
                <w:b/>
                <w:color w:val="000000"/>
              </w:rPr>
            </w:pPr>
            <w:r w:rsidRPr="009351CB">
              <w:rPr>
                <w:b/>
                <w:color w:val="000000"/>
              </w:rPr>
              <w:t>2016/17</w:t>
            </w:r>
          </w:p>
        </w:tc>
        <w:tc>
          <w:tcPr>
            <w:tcW w:w="1078" w:type="pct"/>
            <w:shd w:val="clear" w:color="auto" w:fill="D9D9D9" w:themeFill="background1" w:themeFillShade="D9"/>
          </w:tcPr>
          <w:p w14:paraId="272FE82F" w14:textId="77777777" w:rsidR="00C471BC" w:rsidRPr="009351CB" w:rsidRDefault="00C471BC" w:rsidP="009351CB">
            <w:pPr>
              <w:pStyle w:val="NormalWeb"/>
              <w:spacing w:before="0" w:after="0" w:line="360" w:lineRule="auto"/>
              <w:jc w:val="center"/>
              <w:rPr>
                <w:b/>
                <w:color w:val="000000"/>
              </w:rPr>
            </w:pPr>
            <w:r w:rsidRPr="009351CB">
              <w:rPr>
                <w:b/>
                <w:color w:val="000000"/>
              </w:rPr>
              <w:t>2017/18</w:t>
            </w:r>
          </w:p>
        </w:tc>
        <w:tc>
          <w:tcPr>
            <w:tcW w:w="1107" w:type="pct"/>
            <w:shd w:val="clear" w:color="auto" w:fill="D9D9D9" w:themeFill="background1" w:themeFillShade="D9"/>
          </w:tcPr>
          <w:p w14:paraId="73EB2258" w14:textId="77777777" w:rsidR="00C471BC" w:rsidRPr="009351CB" w:rsidRDefault="00C471BC" w:rsidP="009351CB">
            <w:pPr>
              <w:pStyle w:val="NormalWeb"/>
              <w:spacing w:before="0" w:after="0" w:line="360" w:lineRule="auto"/>
              <w:jc w:val="center"/>
              <w:rPr>
                <w:b/>
                <w:color w:val="000000"/>
              </w:rPr>
            </w:pPr>
            <w:r w:rsidRPr="009351CB">
              <w:rPr>
                <w:b/>
                <w:color w:val="000000"/>
              </w:rPr>
              <w:t>2018/19</w:t>
            </w:r>
          </w:p>
        </w:tc>
      </w:tr>
      <w:tr w:rsidR="00C471BC" w:rsidRPr="009351CB" w14:paraId="5094539C" w14:textId="77777777" w:rsidTr="00C471BC">
        <w:tc>
          <w:tcPr>
            <w:tcW w:w="1740" w:type="pct"/>
            <w:shd w:val="clear" w:color="auto" w:fill="FFFFFF" w:themeFill="background1"/>
          </w:tcPr>
          <w:p w14:paraId="51714017" w14:textId="77777777" w:rsidR="00C471BC" w:rsidRPr="009351CB" w:rsidRDefault="00C471BC" w:rsidP="009351CB">
            <w:pPr>
              <w:pStyle w:val="NormalWeb"/>
              <w:shd w:val="clear" w:color="auto" w:fill="FFFFFF"/>
              <w:spacing w:before="0" w:after="0" w:line="360" w:lineRule="auto"/>
              <w:rPr>
                <w:color w:val="000000" w:themeColor="text1"/>
              </w:rPr>
            </w:pPr>
            <w:r w:rsidRPr="009351CB">
              <w:rPr>
                <w:color w:val="000000" w:themeColor="text1"/>
              </w:rPr>
              <w:t>The percentage of allegations that were electronically tracked according to predetermined standards</w:t>
            </w:r>
          </w:p>
        </w:tc>
        <w:tc>
          <w:tcPr>
            <w:tcW w:w="1075" w:type="pct"/>
            <w:shd w:val="clear" w:color="auto" w:fill="FFFFFF" w:themeFill="background1"/>
          </w:tcPr>
          <w:p w14:paraId="00B49F75"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w:t>
            </w:r>
          </w:p>
        </w:tc>
        <w:tc>
          <w:tcPr>
            <w:tcW w:w="1078" w:type="pct"/>
            <w:shd w:val="clear" w:color="auto" w:fill="FFFFFF" w:themeFill="background1"/>
          </w:tcPr>
          <w:p w14:paraId="2C55EA9A"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w:t>
            </w:r>
          </w:p>
        </w:tc>
        <w:tc>
          <w:tcPr>
            <w:tcW w:w="1107" w:type="pct"/>
            <w:shd w:val="clear" w:color="auto" w:fill="FFFFFF" w:themeFill="background1"/>
          </w:tcPr>
          <w:p w14:paraId="7715D808" w14:textId="77777777" w:rsidR="00C471BC" w:rsidRPr="009351CB" w:rsidRDefault="00D5284A" w:rsidP="009351CB">
            <w:pPr>
              <w:pStyle w:val="NormalWeb"/>
              <w:shd w:val="clear" w:color="auto" w:fill="FFFFFF"/>
              <w:spacing w:before="0" w:after="0" w:line="360" w:lineRule="auto"/>
              <w:rPr>
                <w:color w:val="000000"/>
              </w:rPr>
            </w:pPr>
            <w:r w:rsidRPr="009351CB">
              <w:rPr>
                <w:color w:val="000000"/>
              </w:rPr>
              <w:t>98%</w:t>
            </w:r>
          </w:p>
          <w:p w14:paraId="1C0D9831" w14:textId="77777777" w:rsidR="00D5284A" w:rsidRPr="009351CB" w:rsidRDefault="00D5284A" w:rsidP="009351CB">
            <w:pPr>
              <w:pStyle w:val="NormalWeb"/>
              <w:shd w:val="clear" w:color="auto" w:fill="FFFFFF"/>
              <w:spacing w:before="0" w:after="0" w:line="360" w:lineRule="auto"/>
              <w:rPr>
                <w:color w:val="000000"/>
              </w:rPr>
            </w:pPr>
            <w:r w:rsidRPr="009351CB">
              <w:rPr>
                <w:color w:val="000000"/>
              </w:rPr>
              <w:t>(baseline)</w:t>
            </w:r>
          </w:p>
        </w:tc>
      </w:tr>
      <w:tr w:rsidR="00C471BC" w:rsidRPr="009351CB" w14:paraId="5885EBDA" w14:textId="77777777" w:rsidTr="00C471BC">
        <w:tc>
          <w:tcPr>
            <w:tcW w:w="1740" w:type="pct"/>
            <w:shd w:val="clear" w:color="auto" w:fill="FFFFFF" w:themeFill="background1"/>
          </w:tcPr>
          <w:p w14:paraId="65587045" w14:textId="77777777" w:rsidR="00C471BC" w:rsidRPr="009351CB" w:rsidRDefault="00C471BC" w:rsidP="009351CB">
            <w:pPr>
              <w:pStyle w:val="NormalWeb"/>
              <w:shd w:val="clear" w:color="auto" w:fill="FFFFFF"/>
              <w:spacing w:before="0" w:after="0" w:line="360" w:lineRule="auto"/>
              <w:rPr>
                <w:color w:val="000000" w:themeColor="text1"/>
              </w:rPr>
            </w:pPr>
            <w:r w:rsidRPr="009351CB">
              <w:rPr>
                <w:color w:val="000000" w:themeColor="text1"/>
              </w:rPr>
              <w:t>The percentage of centrally registered allegations received that are assessed in accordance with predetermined standards</w:t>
            </w:r>
          </w:p>
        </w:tc>
        <w:tc>
          <w:tcPr>
            <w:tcW w:w="1075" w:type="pct"/>
            <w:shd w:val="clear" w:color="auto" w:fill="FFFFFF" w:themeFill="background1"/>
          </w:tcPr>
          <w:p w14:paraId="0CD7F6CA"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w:t>
            </w:r>
          </w:p>
        </w:tc>
        <w:tc>
          <w:tcPr>
            <w:tcW w:w="1078" w:type="pct"/>
            <w:shd w:val="clear" w:color="auto" w:fill="FFFFFF" w:themeFill="background1"/>
          </w:tcPr>
          <w:p w14:paraId="5423503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w:t>
            </w:r>
          </w:p>
        </w:tc>
        <w:tc>
          <w:tcPr>
            <w:tcW w:w="1107" w:type="pct"/>
            <w:shd w:val="clear" w:color="auto" w:fill="FFFFFF" w:themeFill="background1"/>
          </w:tcPr>
          <w:p w14:paraId="69C8331A" w14:textId="77777777" w:rsidR="00C471BC" w:rsidRPr="009351CB" w:rsidRDefault="00D5284A" w:rsidP="009351CB">
            <w:pPr>
              <w:pStyle w:val="NormalWeb"/>
              <w:shd w:val="clear" w:color="auto" w:fill="FFFFFF"/>
              <w:spacing w:before="0" w:after="0" w:line="360" w:lineRule="auto"/>
              <w:rPr>
                <w:color w:val="000000"/>
              </w:rPr>
            </w:pPr>
            <w:r w:rsidRPr="009351CB">
              <w:rPr>
                <w:color w:val="000000"/>
              </w:rPr>
              <w:t>100%</w:t>
            </w:r>
          </w:p>
          <w:p w14:paraId="405D5B57" w14:textId="77777777" w:rsidR="00D5284A" w:rsidRPr="009351CB" w:rsidRDefault="00D5284A" w:rsidP="009351CB">
            <w:pPr>
              <w:pStyle w:val="NormalWeb"/>
              <w:shd w:val="clear" w:color="auto" w:fill="FFFFFF"/>
              <w:spacing w:before="0" w:after="0" w:line="360" w:lineRule="auto"/>
              <w:rPr>
                <w:color w:val="000000"/>
              </w:rPr>
            </w:pPr>
            <w:r w:rsidRPr="009351CB">
              <w:rPr>
                <w:color w:val="000000"/>
              </w:rPr>
              <w:t>(baseline)</w:t>
            </w:r>
          </w:p>
        </w:tc>
      </w:tr>
      <w:tr w:rsidR="00C471BC" w:rsidRPr="009351CB" w14:paraId="3E511C81" w14:textId="77777777" w:rsidTr="00C471BC">
        <w:tc>
          <w:tcPr>
            <w:tcW w:w="1740" w:type="pct"/>
            <w:shd w:val="clear" w:color="auto" w:fill="FFFFFF" w:themeFill="background1"/>
          </w:tcPr>
          <w:p w14:paraId="24B5DC78" w14:textId="77777777" w:rsidR="00C471BC" w:rsidRPr="009351CB" w:rsidRDefault="00C471BC" w:rsidP="009351CB">
            <w:pPr>
              <w:pStyle w:val="NormalWeb"/>
              <w:shd w:val="clear" w:color="auto" w:fill="FFFFFF"/>
              <w:spacing w:before="0" w:after="0" w:line="360" w:lineRule="auto"/>
              <w:rPr>
                <w:color w:val="000000" w:themeColor="text1"/>
              </w:rPr>
            </w:pPr>
            <w:r w:rsidRPr="009351CB">
              <w:rPr>
                <w:color w:val="000000" w:themeColor="text1"/>
              </w:rPr>
              <w:t>No. of investigations closed out</w:t>
            </w:r>
          </w:p>
        </w:tc>
        <w:tc>
          <w:tcPr>
            <w:tcW w:w="1075" w:type="pct"/>
            <w:shd w:val="clear" w:color="auto" w:fill="FFFFFF" w:themeFill="background1"/>
          </w:tcPr>
          <w:p w14:paraId="6FD7AC0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3FEE75FC"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1 186 against a target of 800</w:t>
            </w:r>
          </w:p>
        </w:tc>
        <w:tc>
          <w:tcPr>
            <w:tcW w:w="1078" w:type="pct"/>
            <w:shd w:val="clear" w:color="auto" w:fill="FFFFFF" w:themeFill="background1"/>
          </w:tcPr>
          <w:p w14:paraId="3A31134C"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07BE20C8"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1 556 against a target of 1000</w:t>
            </w:r>
          </w:p>
        </w:tc>
        <w:tc>
          <w:tcPr>
            <w:tcW w:w="1107" w:type="pct"/>
            <w:shd w:val="clear" w:color="auto" w:fill="FFFFFF" w:themeFill="background1"/>
          </w:tcPr>
          <w:p w14:paraId="23FC47CA"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205ACD87"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 xml:space="preserve">3 430 against a target of </w:t>
            </w:r>
          </w:p>
          <w:p w14:paraId="568B6FE9"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1 200</w:t>
            </w:r>
          </w:p>
        </w:tc>
      </w:tr>
      <w:tr w:rsidR="00C471BC" w:rsidRPr="009351CB" w14:paraId="233480E7" w14:textId="77777777" w:rsidTr="00C471BC">
        <w:tc>
          <w:tcPr>
            <w:tcW w:w="1740" w:type="pct"/>
          </w:tcPr>
          <w:p w14:paraId="48BF590E"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No. of reports submitted to the Presidency</w:t>
            </w:r>
          </w:p>
        </w:tc>
        <w:tc>
          <w:tcPr>
            <w:tcW w:w="1075" w:type="pct"/>
          </w:tcPr>
          <w:p w14:paraId="6FC83FE8"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70488E9B"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6 against a target of 5</w:t>
            </w:r>
          </w:p>
        </w:tc>
        <w:tc>
          <w:tcPr>
            <w:tcW w:w="1078" w:type="pct"/>
          </w:tcPr>
          <w:p w14:paraId="2A93BCBB"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00BC257C"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15 against a target of 8</w:t>
            </w:r>
          </w:p>
        </w:tc>
        <w:tc>
          <w:tcPr>
            <w:tcW w:w="1107" w:type="pct"/>
          </w:tcPr>
          <w:p w14:paraId="4CF6A777"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2D835A86"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20 against a target of 12</w:t>
            </w:r>
          </w:p>
        </w:tc>
      </w:tr>
      <w:tr w:rsidR="00C471BC" w:rsidRPr="009351CB" w14:paraId="39AE2163" w14:textId="77777777" w:rsidTr="00C471BC">
        <w:trPr>
          <w:trHeight w:val="1071"/>
        </w:trPr>
        <w:tc>
          <w:tcPr>
            <w:tcW w:w="1740" w:type="pct"/>
          </w:tcPr>
          <w:p w14:paraId="3041D691"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Actual value of cash assets recovered</w:t>
            </w:r>
          </w:p>
        </w:tc>
        <w:tc>
          <w:tcPr>
            <w:tcW w:w="1075" w:type="pct"/>
          </w:tcPr>
          <w:p w14:paraId="68D1387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NOT ACHIEVED</w:t>
            </w:r>
          </w:p>
          <w:p w14:paraId="3D6F10A1"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R45.5 million against a target of R140 million</w:t>
            </w:r>
          </w:p>
        </w:tc>
        <w:tc>
          <w:tcPr>
            <w:tcW w:w="1078" w:type="pct"/>
          </w:tcPr>
          <w:p w14:paraId="68DDD89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NOT ACHIEVED</w:t>
            </w:r>
          </w:p>
          <w:p w14:paraId="21C9F19E"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R34 million against a target of R120 million.</w:t>
            </w:r>
          </w:p>
        </w:tc>
        <w:tc>
          <w:tcPr>
            <w:tcW w:w="1107" w:type="pct"/>
          </w:tcPr>
          <w:p w14:paraId="5B47040D"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4E7355C4"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R137 million against a target of R120 million</w:t>
            </w:r>
          </w:p>
        </w:tc>
      </w:tr>
      <w:tr w:rsidR="00C471BC" w:rsidRPr="009351CB" w14:paraId="50E56587" w14:textId="77777777" w:rsidTr="00C471BC">
        <w:trPr>
          <w:trHeight w:val="1071"/>
        </w:trPr>
        <w:tc>
          <w:tcPr>
            <w:tcW w:w="1740" w:type="pct"/>
          </w:tcPr>
          <w:p w14:paraId="68439CFE"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The value of potential loss prevented</w:t>
            </w:r>
          </w:p>
        </w:tc>
        <w:tc>
          <w:tcPr>
            <w:tcW w:w="1075" w:type="pct"/>
          </w:tcPr>
          <w:p w14:paraId="04EAA7CD"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393409B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R106.5 million against a target of R18 million.</w:t>
            </w:r>
          </w:p>
        </w:tc>
        <w:tc>
          <w:tcPr>
            <w:tcW w:w="1078" w:type="pct"/>
          </w:tcPr>
          <w:p w14:paraId="1C6470D8"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5449C205"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R407 million against a target of R21 million.</w:t>
            </w:r>
          </w:p>
        </w:tc>
        <w:tc>
          <w:tcPr>
            <w:tcW w:w="1107" w:type="pct"/>
          </w:tcPr>
          <w:p w14:paraId="2CA51275"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53C1E7C5"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R53.4 million against a target of R24 million</w:t>
            </w:r>
          </w:p>
        </w:tc>
      </w:tr>
      <w:tr w:rsidR="00C471BC" w:rsidRPr="009351CB" w14:paraId="2E8E2297" w14:textId="77777777" w:rsidTr="00C471BC">
        <w:trPr>
          <w:trHeight w:val="1071"/>
        </w:trPr>
        <w:tc>
          <w:tcPr>
            <w:tcW w:w="1740" w:type="pct"/>
          </w:tcPr>
          <w:p w14:paraId="0B74DAA4"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Value of contracts/administrative decisions set aside or deemed invalid</w:t>
            </w:r>
          </w:p>
        </w:tc>
        <w:tc>
          <w:tcPr>
            <w:tcW w:w="1075" w:type="pct"/>
          </w:tcPr>
          <w:p w14:paraId="1CF47CF4"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6A6A5908"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R4 billion against a target of R600 million.</w:t>
            </w:r>
          </w:p>
        </w:tc>
        <w:tc>
          <w:tcPr>
            <w:tcW w:w="1078" w:type="pct"/>
          </w:tcPr>
          <w:p w14:paraId="0CE6712F"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7F90D36A"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R797 million against a target of R660 million.</w:t>
            </w:r>
          </w:p>
        </w:tc>
        <w:tc>
          <w:tcPr>
            <w:tcW w:w="1107" w:type="pct"/>
          </w:tcPr>
          <w:p w14:paraId="720B845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3EDFE62D" w14:textId="77777777" w:rsidR="00D5284A" w:rsidRPr="009351CB" w:rsidRDefault="00D5284A" w:rsidP="009351CB">
            <w:pPr>
              <w:pStyle w:val="NormalWeb"/>
              <w:shd w:val="clear" w:color="auto" w:fill="FFFFFF"/>
              <w:spacing w:before="0" w:after="0" w:line="360" w:lineRule="auto"/>
              <w:rPr>
                <w:color w:val="000000"/>
              </w:rPr>
            </w:pPr>
            <w:r w:rsidRPr="009351CB">
              <w:rPr>
                <w:color w:val="000000"/>
              </w:rPr>
              <w:t>R999 million against a target of R730 million</w:t>
            </w:r>
          </w:p>
        </w:tc>
      </w:tr>
      <w:tr w:rsidR="00C471BC" w:rsidRPr="009351CB" w14:paraId="03EC2D98" w14:textId="77777777" w:rsidTr="00C471BC">
        <w:trPr>
          <w:trHeight w:val="1071"/>
        </w:trPr>
        <w:tc>
          <w:tcPr>
            <w:tcW w:w="1740" w:type="pct"/>
          </w:tcPr>
          <w:p w14:paraId="1DD1D752"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Value of matters in respect of which evidence was referred for the institution or defence of civil proceedings</w:t>
            </w:r>
          </w:p>
        </w:tc>
        <w:tc>
          <w:tcPr>
            <w:tcW w:w="1075" w:type="pct"/>
          </w:tcPr>
          <w:p w14:paraId="163E1DD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680A70CD"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R3.8 billion against a target of R1.2 billion.</w:t>
            </w:r>
          </w:p>
        </w:tc>
        <w:tc>
          <w:tcPr>
            <w:tcW w:w="1078" w:type="pct"/>
          </w:tcPr>
          <w:p w14:paraId="73966A2C"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6C7403EE"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R2.7 billion against a target of R1.3 billion.</w:t>
            </w:r>
          </w:p>
          <w:p w14:paraId="39C7BBAB" w14:textId="77777777" w:rsidR="00C471BC" w:rsidRPr="009351CB" w:rsidRDefault="00C471BC" w:rsidP="009351CB">
            <w:pPr>
              <w:pStyle w:val="NormalWeb"/>
              <w:shd w:val="clear" w:color="auto" w:fill="FFFFFF"/>
              <w:spacing w:before="0" w:after="0" w:line="360" w:lineRule="auto"/>
              <w:rPr>
                <w:color w:val="000000"/>
              </w:rPr>
            </w:pPr>
          </w:p>
        </w:tc>
        <w:tc>
          <w:tcPr>
            <w:tcW w:w="1107" w:type="pct"/>
          </w:tcPr>
          <w:p w14:paraId="3E7772DA"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077DE5F9" w14:textId="77777777" w:rsidR="00D5284A" w:rsidRPr="009351CB" w:rsidRDefault="00D5284A" w:rsidP="009351CB">
            <w:pPr>
              <w:pStyle w:val="NormalWeb"/>
              <w:shd w:val="clear" w:color="auto" w:fill="FFFFFF"/>
              <w:spacing w:before="0" w:after="0" w:line="360" w:lineRule="auto"/>
              <w:rPr>
                <w:color w:val="000000"/>
              </w:rPr>
            </w:pPr>
            <w:r w:rsidRPr="009351CB">
              <w:rPr>
                <w:color w:val="000000"/>
              </w:rPr>
              <w:t>R7.9 billion against a target of R1.4 billion</w:t>
            </w:r>
          </w:p>
        </w:tc>
      </w:tr>
      <w:tr w:rsidR="00C471BC" w:rsidRPr="009351CB" w14:paraId="36C8BE8C" w14:textId="77777777" w:rsidTr="00C471BC">
        <w:trPr>
          <w:trHeight w:val="1071"/>
        </w:trPr>
        <w:tc>
          <w:tcPr>
            <w:tcW w:w="1740" w:type="pct"/>
          </w:tcPr>
          <w:p w14:paraId="169DD32C"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Number of referrals made to the NPA</w:t>
            </w:r>
          </w:p>
        </w:tc>
        <w:tc>
          <w:tcPr>
            <w:tcW w:w="1075" w:type="pct"/>
          </w:tcPr>
          <w:p w14:paraId="3FBB063E"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04EB4867"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108 against a target of 60.</w:t>
            </w:r>
          </w:p>
        </w:tc>
        <w:tc>
          <w:tcPr>
            <w:tcW w:w="1078" w:type="pct"/>
          </w:tcPr>
          <w:p w14:paraId="51453CA8"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6834DD6F"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148 against a target of 75.</w:t>
            </w:r>
          </w:p>
        </w:tc>
        <w:tc>
          <w:tcPr>
            <w:tcW w:w="1107" w:type="pct"/>
          </w:tcPr>
          <w:p w14:paraId="4F1FD473"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1326138D" w14:textId="77777777" w:rsidR="00D5284A" w:rsidRPr="009351CB" w:rsidRDefault="00D5284A" w:rsidP="009351CB">
            <w:pPr>
              <w:pStyle w:val="NormalWeb"/>
              <w:shd w:val="clear" w:color="auto" w:fill="FFFFFF"/>
              <w:spacing w:before="0" w:after="0" w:line="360" w:lineRule="auto"/>
              <w:rPr>
                <w:color w:val="000000"/>
              </w:rPr>
            </w:pPr>
            <w:r w:rsidRPr="009351CB">
              <w:rPr>
                <w:color w:val="000000"/>
              </w:rPr>
              <w:t>331 against a target of 75</w:t>
            </w:r>
          </w:p>
        </w:tc>
      </w:tr>
      <w:tr w:rsidR="00C471BC" w:rsidRPr="009351CB" w14:paraId="59EEA30E" w14:textId="77777777" w:rsidTr="00C471BC">
        <w:trPr>
          <w:trHeight w:val="1071"/>
        </w:trPr>
        <w:tc>
          <w:tcPr>
            <w:tcW w:w="1740" w:type="pct"/>
            <w:vAlign w:val="bottom"/>
          </w:tcPr>
          <w:p w14:paraId="4E42CEC9" w14:textId="77777777" w:rsidR="00C471BC" w:rsidRPr="009351CB" w:rsidRDefault="00C471BC" w:rsidP="009351CB">
            <w:pPr>
              <w:spacing w:line="360" w:lineRule="auto"/>
              <w:jc w:val="both"/>
              <w:rPr>
                <w:lang w:eastAsia="en-ZA"/>
              </w:rPr>
            </w:pPr>
            <w:r w:rsidRPr="009351CB">
              <w:rPr>
                <w:lang w:eastAsia="en-ZA"/>
              </w:rPr>
              <w:t>Number of referrals made for disciplinary action</w:t>
            </w:r>
          </w:p>
        </w:tc>
        <w:tc>
          <w:tcPr>
            <w:tcW w:w="1075" w:type="pct"/>
          </w:tcPr>
          <w:p w14:paraId="7403CB42"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5099A5CD"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137 against a target of 75</w:t>
            </w:r>
          </w:p>
        </w:tc>
        <w:tc>
          <w:tcPr>
            <w:tcW w:w="1078" w:type="pct"/>
          </w:tcPr>
          <w:p w14:paraId="317A8902"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44E6DBE8"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319 against a target of 75</w:t>
            </w:r>
          </w:p>
        </w:tc>
        <w:tc>
          <w:tcPr>
            <w:tcW w:w="1107" w:type="pct"/>
          </w:tcPr>
          <w:p w14:paraId="678F2660" w14:textId="77777777" w:rsidR="00C471BC" w:rsidRPr="009351CB" w:rsidRDefault="00C471BC" w:rsidP="009351CB">
            <w:pPr>
              <w:pStyle w:val="NormalWeb"/>
              <w:shd w:val="clear" w:color="auto" w:fill="FFFFFF"/>
              <w:spacing w:before="0" w:after="0" w:line="360" w:lineRule="auto"/>
              <w:rPr>
                <w:color w:val="000000"/>
              </w:rPr>
            </w:pPr>
            <w:r w:rsidRPr="009351CB">
              <w:rPr>
                <w:color w:val="000000"/>
              </w:rPr>
              <w:t>EXCEEDED</w:t>
            </w:r>
          </w:p>
          <w:p w14:paraId="79C01B92" w14:textId="77777777" w:rsidR="00D5284A" w:rsidRPr="009351CB" w:rsidRDefault="00D5284A" w:rsidP="009351CB">
            <w:pPr>
              <w:pStyle w:val="NormalWeb"/>
              <w:shd w:val="clear" w:color="auto" w:fill="FFFFFF"/>
              <w:spacing w:before="0" w:after="0" w:line="360" w:lineRule="auto"/>
              <w:rPr>
                <w:color w:val="000000"/>
              </w:rPr>
            </w:pPr>
            <w:r w:rsidRPr="009351CB">
              <w:rPr>
                <w:color w:val="000000"/>
              </w:rPr>
              <w:t>335 against a target of 100</w:t>
            </w:r>
          </w:p>
        </w:tc>
      </w:tr>
    </w:tbl>
    <w:p w14:paraId="32F22308" w14:textId="77777777" w:rsidR="00106280" w:rsidRPr="009351CB" w:rsidRDefault="00106280" w:rsidP="009351CB">
      <w:pPr>
        <w:spacing w:line="360" w:lineRule="auto"/>
        <w:jc w:val="both"/>
        <w:rPr>
          <w:lang w:eastAsia="en-ZA"/>
        </w:rPr>
      </w:pPr>
    </w:p>
    <w:p w14:paraId="0E36C6AC" w14:textId="77777777" w:rsidR="00D5284A" w:rsidRPr="009351CB" w:rsidRDefault="00D5284A" w:rsidP="00E20A8C">
      <w:pPr>
        <w:numPr>
          <w:ilvl w:val="1"/>
          <w:numId w:val="2"/>
        </w:numPr>
        <w:autoSpaceDE w:val="0"/>
        <w:autoSpaceDN w:val="0"/>
        <w:adjustRightInd w:val="0"/>
        <w:spacing w:line="360" w:lineRule="auto"/>
        <w:ind w:hanging="862"/>
        <w:jc w:val="both"/>
        <w:rPr>
          <w:b/>
        </w:rPr>
      </w:pPr>
      <w:r w:rsidRPr="009351CB">
        <w:rPr>
          <w:b/>
        </w:rPr>
        <w:t>Planning 2019/20</w:t>
      </w:r>
    </w:p>
    <w:p w14:paraId="66706303" w14:textId="77777777" w:rsidR="00D5284A" w:rsidRPr="009351CB" w:rsidRDefault="00D5284A" w:rsidP="009351CB">
      <w:pPr>
        <w:autoSpaceDE w:val="0"/>
        <w:autoSpaceDN w:val="0"/>
        <w:adjustRightInd w:val="0"/>
        <w:spacing w:line="360" w:lineRule="auto"/>
        <w:ind w:left="720"/>
        <w:jc w:val="both"/>
        <w:rPr>
          <w:b/>
        </w:rPr>
      </w:pPr>
    </w:p>
    <w:p w14:paraId="00936294" w14:textId="4B8A02C6" w:rsidR="00C471BC" w:rsidRPr="00E20A8C" w:rsidRDefault="00C471BC" w:rsidP="004F6019">
      <w:pPr>
        <w:pStyle w:val="ListParagraph"/>
        <w:numPr>
          <w:ilvl w:val="2"/>
          <w:numId w:val="27"/>
        </w:numPr>
        <w:shd w:val="clear" w:color="auto" w:fill="FFFFFF"/>
        <w:autoSpaceDE w:val="0"/>
        <w:autoSpaceDN w:val="0"/>
        <w:adjustRightInd w:val="0"/>
        <w:spacing w:line="360" w:lineRule="auto"/>
        <w:jc w:val="both"/>
        <w:rPr>
          <w:lang w:val="x-none"/>
        </w:rPr>
      </w:pPr>
      <w:r w:rsidRPr="009351CB">
        <w:t>The 2019/20 Annual Performance Plan (APP) outlines specific activities for the SIU to take a more proactive role and ensure greater preventative measures to address maladministration, malpractice and corruption. The</w:t>
      </w:r>
      <w:r w:rsidRPr="00E20A8C">
        <w:rPr>
          <w:lang w:val="x-none"/>
        </w:rPr>
        <w:t xml:space="preserve"> following strategic inventions are planned to support this focus:</w:t>
      </w:r>
    </w:p>
    <w:p w14:paraId="31397E3D"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Define the SIU value chain.</w:t>
      </w:r>
    </w:p>
    <w:p w14:paraId="05ACC607"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Accelerate the conversion of allegations to proclamations.</w:t>
      </w:r>
    </w:p>
    <w:p w14:paraId="5035ADAE"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Establish capacity for corruption, maladministration and malpractice prevention through public education, data analytics, and scenario analysis.</w:t>
      </w:r>
    </w:p>
    <w:p w14:paraId="3654D812"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Monitor and evaluate the impact of the SIU’s objectives.</w:t>
      </w:r>
    </w:p>
    <w:p w14:paraId="6FF20340"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Standardise the manner in which cases are scoped.</w:t>
      </w:r>
    </w:p>
    <w:p w14:paraId="3273B0DA"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Improve the quality and turnaround time of investigations.</w:t>
      </w:r>
    </w:p>
    <w:p w14:paraId="1B5465C0"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Expand on the monitoring and evaluation of case management, including central case registration system.</w:t>
      </w:r>
    </w:p>
    <w:p w14:paraId="0FD04654"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Ensure the long term financial stability of the SIU.</w:t>
      </w:r>
    </w:p>
    <w:p w14:paraId="4426B43F"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Create and publish sector data intelligence.</w:t>
      </w:r>
    </w:p>
    <w:p w14:paraId="1BDDA36A"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Create advisory capacity to prevent the reoccurrence of maladministration, malpractice and corruption.</w:t>
      </w:r>
    </w:p>
    <w:p w14:paraId="20D2DAC6" w14:textId="77777777" w:rsidR="00C471BC" w:rsidRPr="009351CB" w:rsidRDefault="00C471BC" w:rsidP="004F6019">
      <w:pPr>
        <w:numPr>
          <w:ilvl w:val="0"/>
          <w:numId w:val="6"/>
        </w:numPr>
        <w:autoSpaceDE w:val="0"/>
        <w:autoSpaceDN w:val="0"/>
        <w:adjustRightInd w:val="0"/>
        <w:spacing w:line="360" w:lineRule="auto"/>
        <w:ind w:left="1353"/>
        <w:jc w:val="both"/>
        <w:rPr>
          <w:lang w:val="x-none"/>
        </w:rPr>
      </w:pPr>
      <w:r w:rsidRPr="009351CB">
        <w:rPr>
          <w:lang w:val="x-none"/>
        </w:rPr>
        <w:t>Amend the SIU Act.</w:t>
      </w:r>
    </w:p>
    <w:p w14:paraId="541F996C" w14:textId="77777777" w:rsidR="00C471BC" w:rsidRPr="009351CB" w:rsidRDefault="00C471BC" w:rsidP="004F6019">
      <w:pPr>
        <w:numPr>
          <w:ilvl w:val="0"/>
          <w:numId w:val="6"/>
        </w:numPr>
        <w:autoSpaceDE w:val="0"/>
        <w:autoSpaceDN w:val="0"/>
        <w:adjustRightInd w:val="0"/>
        <w:spacing w:line="360" w:lineRule="auto"/>
        <w:ind w:left="1353"/>
        <w:jc w:val="both"/>
      </w:pPr>
      <w:r w:rsidRPr="009351CB">
        <w:rPr>
          <w:lang w:val="x-none"/>
        </w:rPr>
        <w:t>Improve</w:t>
      </w:r>
      <w:r w:rsidRPr="009351CB">
        <w:t xml:space="preserve"> governance.</w:t>
      </w:r>
    </w:p>
    <w:p w14:paraId="5B4DA69D" w14:textId="77777777" w:rsidR="00EC5DBA" w:rsidRPr="009351CB" w:rsidRDefault="00EC5DBA" w:rsidP="009351CB">
      <w:pPr>
        <w:autoSpaceDE w:val="0"/>
        <w:autoSpaceDN w:val="0"/>
        <w:adjustRightInd w:val="0"/>
        <w:spacing w:line="360" w:lineRule="auto"/>
        <w:jc w:val="both"/>
      </w:pPr>
    </w:p>
    <w:p w14:paraId="67D4E116" w14:textId="77777777" w:rsidR="00FD44FC" w:rsidRPr="009351CB" w:rsidRDefault="00FD44FC" w:rsidP="009351CB">
      <w:pPr>
        <w:autoSpaceDE w:val="0"/>
        <w:autoSpaceDN w:val="0"/>
        <w:adjustRightInd w:val="0"/>
        <w:spacing w:line="360" w:lineRule="auto"/>
        <w:jc w:val="both"/>
      </w:pPr>
    </w:p>
    <w:p w14:paraId="6CCBE946" w14:textId="77777777" w:rsidR="00106280" w:rsidRPr="009351CB" w:rsidRDefault="00106280" w:rsidP="009351CB">
      <w:pPr>
        <w:pStyle w:val="BodySingle"/>
        <w:numPr>
          <w:ilvl w:val="0"/>
          <w:numId w:val="2"/>
        </w:numPr>
        <w:tabs>
          <w:tab w:val="clear" w:pos="360"/>
          <w:tab w:val="num" w:pos="709"/>
        </w:tabs>
        <w:spacing w:line="360" w:lineRule="auto"/>
        <w:ind w:left="709" w:hanging="709"/>
        <w:rPr>
          <w:rStyle w:val="AGHeading1blueCharChar"/>
          <w:rFonts w:ascii="Times New Roman" w:eastAsia="Batang" w:hAnsi="Times New Roman"/>
          <w:b/>
          <w:i w:val="0"/>
          <w:caps w:val="0"/>
          <w:color w:val="000000" w:themeColor="text1"/>
          <w:sz w:val="24"/>
          <w:szCs w:val="24"/>
        </w:rPr>
      </w:pPr>
      <w:r w:rsidRPr="009351CB">
        <w:rPr>
          <w:rStyle w:val="AGHeading1blueCharChar"/>
          <w:rFonts w:ascii="Times New Roman" w:eastAsia="Batang" w:hAnsi="Times New Roman"/>
          <w:b/>
          <w:i w:val="0"/>
          <w:caps w:val="0"/>
          <w:color w:val="000000" w:themeColor="text1"/>
          <w:sz w:val="24"/>
          <w:szCs w:val="24"/>
        </w:rPr>
        <w:t>South African Human Rights Commission (SAHRC)</w:t>
      </w:r>
    </w:p>
    <w:p w14:paraId="65C10BED" w14:textId="77777777" w:rsidR="00106280" w:rsidRPr="009351CB" w:rsidRDefault="00106280" w:rsidP="009351CB">
      <w:pPr>
        <w:autoSpaceDE w:val="0"/>
        <w:autoSpaceDN w:val="0"/>
        <w:adjustRightInd w:val="0"/>
        <w:spacing w:line="360" w:lineRule="auto"/>
        <w:jc w:val="both"/>
        <w:rPr>
          <w:color w:val="000000"/>
        </w:rPr>
      </w:pPr>
    </w:p>
    <w:p w14:paraId="39F379B6" w14:textId="77777777" w:rsidR="00106280" w:rsidRPr="009351CB" w:rsidRDefault="00106280" w:rsidP="00E20A8C">
      <w:pPr>
        <w:numPr>
          <w:ilvl w:val="1"/>
          <w:numId w:val="2"/>
        </w:numPr>
        <w:spacing w:line="360" w:lineRule="auto"/>
        <w:ind w:hanging="862"/>
        <w:jc w:val="both"/>
      </w:pPr>
      <w:r w:rsidRPr="009351CB">
        <w:t xml:space="preserve">The SAHRC’s mandate is extremely broad, encompassing the promotion, protection and monitoring of human rights in South Africa. </w:t>
      </w:r>
      <w:r w:rsidR="00491901" w:rsidRPr="009351CB">
        <w:t>The Commission derives its mandate from the Constitution and South African Human Rights Act, 2014. The Commission also has specific obligations in terms of the Promotion of Equality and Prevention of Unfair Discrimination Act, 2000, and Promotion of Access to Information Act, 2000.</w:t>
      </w:r>
    </w:p>
    <w:p w14:paraId="4C910333" w14:textId="77777777" w:rsidR="00106280" w:rsidRPr="009351CB" w:rsidRDefault="00106280" w:rsidP="009351CB">
      <w:pPr>
        <w:pStyle w:val="BodySingle"/>
        <w:tabs>
          <w:tab w:val="left" w:pos="851"/>
        </w:tabs>
        <w:spacing w:line="360" w:lineRule="auto"/>
        <w:ind w:left="851" w:hanging="709"/>
        <w:rPr>
          <w:rFonts w:ascii="Times New Roman" w:hAnsi="Times New Roman"/>
          <w:i w:val="0"/>
          <w:sz w:val="24"/>
          <w:szCs w:val="24"/>
        </w:rPr>
      </w:pPr>
    </w:p>
    <w:p w14:paraId="72348B53" w14:textId="77777777" w:rsidR="001A6FAC" w:rsidRPr="009351CB" w:rsidRDefault="00491901" w:rsidP="00E20A8C">
      <w:pPr>
        <w:numPr>
          <w:ilvl w:val="1"/>
          <w:numId w:val="2"/>
        </w:numPr>
        <w:spacing w:line="360" w:lineRule="auto"/>
        <w:ind w:hanging="862"/>
        <w:jc w:val="both"/>
      </w:pPr>
      <w:r w:rsidRPr="009351CB">
        <w:t>In</w:t>
      </w:r>
      <w:r w:rsidR="001A6FAC" w:rsidRPr="009351CB">
        <w:t xml:space="preserve"> recognition of South Africa’s core challenges – high levels of poverty, inequality, unemployment and violence – all areas of the SAHRC’s work attempt to contribute to addressing each of these challenges.</w:t>
      </w:r>
      <w:r w:rsidRPr="009351CB">
        <w:t xml:space="preserve"> </w:t>
      </w:r>
      <w:r w:rsidR="00634C64" w:rsidRPr="009351CB">
        <w:t xml:space="preserve">The identified strategic focus for the period under review included: children and migration; civil and political rights; disability and social security; education; equality and social cohesion; health care; land, environment and the right to food; and water, sanitation and housing. </w:t>
      </w:r>
      <w:r w:rsidRPr="009351CB">
        <w:t>Its interventions include complaints handling, strategic impact litigation, investigative hearings, public outreach, monitoring recommendations and research.</w:t>
      </w:r>
    </w:p>
    <w:p w14:paraId="61AACC54" w14:textId="77777777" w:rsidR="00491901" w:rsidRPr="009351CB" w:rsidRDefault="00491901" w:rsidP="009351CB">
      <w:pPr>
        <w:pStyle w:val="ListParagraph"/>
        <w:spacing w:line="360" w:lineRule="auto"/>
      </w:pPr>
    </w:p>
    <w:p w14:paraId="706D9B43" w14:textId="5E02C4CF" w:rsidR="00491901" w:rsidRPr="009351CB" w:rsidRDefault="00E4277C" w:rsidP="00E20A8C">
      <w:pPr>
        <w:numPr>
          <w:ilvl w:val="1"/>
          <w:numId w:val="2"/>
        </w:numPr>
        <w:spacing w:line="360" w:lineRule="auto"/>
        <w:ind w:hanging="862"/>
        <w:jc w:val="both"/>
        <w:rPr>
          <w:b/>
        </w:rPr>
      </w:pPr>
      <w:r w:rsidRPr="009351CB">
        <w:rPr>
          <w:b/>
        </w:rPr>
        <w:t>O</w:t>
      </w:r>
      <w:r w:rsidR="00491901" w:rsidRPr="009351CB">
        <w:rPr>
          <w:b/>
        </w:rPr>
        <w:t>perational developments 2018/19</w:t>
      </w:r>
    </w:p>
    <w:p w14:paraId="0DF428CC" w14:textId="77777777" w:rsidR="00E4277C" w:rsidRPr="009351CB" w:rsidRDefault="00E4277C" w:rsidP="009351CB">
      <w:pPr>
        <w:spacing w:line="360" w:lineRule="auto"/>
        <w:jc w:val="both"/>
        <w:rPr>
          <w:b/>
        </w:rPr>
      </w:pPr>
    </w:p>
    <w:p w14:paraId="34183FA4" w14:textId="3E274C69" w:rsidR="00FE3C3A" w:rsidRPr="009351CB" w:rsidRDefault="00FE3C3A" w:rsidP="004F6019">
      <w:pPr>
        <w:pStyle w:val="ListParagraph"/>
        <w:numPr>
          <w:ilvl w:val="2"/>
          <w:numId w:val="28"/>
        </w:numPr>
        <w:spacing w:line="360" w:lineRule="auto"/>
        <w:jc w:val="both"/>
      </w:pPr>
      <w:r w:rsidRPr="009351CB">
        <w:t>The Commission received more than 10 000 complaints and enquiries in 2018/19, finalising more than 80% of these. The key human rights concerns concern the right to equality; section 27 (health care, food, water and social security</w:t>
      </w:r>
      <w:r w:rsidR="00E4277C" w:rsidRPr="009351CB">
        <w:t>)</w:t>
      </w:r>
      <w:r w:rsidRPr="009351CB">
        <w:t>; just administrative action; human dignity and labour relations.</w:t>
      </w:r>
    </w:p>
    <w:p w14:paraId="214E499A" w14:textId="77777777" w:rsidR="00D93AF7" w:rsidRPr="009351CB" w:rsidRDefault="00D93AF7" w:rsidP="009351CB">
      <w:pPr>
        <w:pStyle w:val="ListParagraph"/>
        <w:spacing w:line="360" w:lineRule="auto"/>
      </w:pPr>
    </w:p>
    <w:p w14:paraId="536A5650" w14:textId="77777777" w:rsidR="00491901" w:rsidRPr="009351CB" w:rsidRDefault="00491901" w:rsidP="004F6019">
      <w:pPr>
        <w:pStyle w:val="ListParagraph"/>
        <w:numPr>
          <w:ilvl w:val="2"/>
          <w:numId w:val="28"/>
        </w:numPr>
        <w:spacing w:line="360" w:lineRule="auto"/>
        <w:jc w:val="both"/>
      </w:pPr>
      <w:r w:rsidRPr="009351CB">
        <w:t>The</w:t>
      </w:r>
      <w:r w:rsidR="00FE3C3A" w:rsidRPr="009351CB">
        <w:t xml:space="preserve"> Commission reports that it compiled</w:t>
      </w:r>
      <w:r w:rsidRPr="009351CB">
        <w:t xml:space="preserve"> a State of Human Rights Report, which highlights that:</w:t>
      </w:r>
    </w:p>
    <w:p w14:paraId="317E0BD6" w14:textId="77777777" w:rsidR="00491901" w:rsidRPr="009351CB" w:rsidRDefault="00491901" w:rsidP="004F6019">
      <w:pPr>
        <w:numPr>
          <w:ilvl w:val="0"/>
          <w:numId w:val="6"/>
        </w:numPr>
        <w:autoSpaceDE w:val="0"/>
        <w:autoSpaceDN w:val="0"/>
        <w:adjustRightInd w:val="0"/>
        <w:spacing w:line="360" w:lineRule="auto"/>
        <w:ind w:left="1353"/>
        <w:jc w:val="both"/>
        <w:rPr>
          <w:lang w:val="x-none"/>
        </w:rPr>
      </w:pPr>
      <w:r w:rsidRPr="009351CB">
        <w:rPr>
          <w:lang w:val="x-none"/>
        </w:rPr>
        <w:t>Some progress has been made in the progressive realisation of the right of access to health care</w:t>
      </w:r>
      <w:r w:rsidR="0000069A" w:rsidRPr="009351CB">
        <w:rPr>
          <w:lang w:val="x-none"/>
        </w:rPr>
        <w:t>.</w:t>
      </w:r>
    </w:p>
    <w:p w14:paraId="4B98E33D" w14:textId="77777777" w:rsidR="0000069A" w:rsidRPr="009351CB" w:rsidRDefault="0000069A" w:rsidP="004F6019">
      <w:pPr>
        <w:numPr>
          <w:ilvl w:val="0"/>
          <w:numId w:val="6"/>
        </w:numPr>
        <w:autoSpaceDE w:val="0"/>
        <w:autoSpaceDN w:val="0"/>
        <w:adjustRightInd w:val="0"/>
        <w:spacing w:line="360" w:lineRule="auto"/>
        <w:ind w:left="1353"/>
        <w:jc w:val="both"/>
        <w:rPr>
          <w:lang w:val="x-none"/>
        </w:rPr>
      </w:pPr>
      <w:r w:rsidRPr="009351CB">
        <w:rPr>
          <w:lang w:val="x-none"/>
        </w:rPr>
        <w:t>The right to basic education continues to be violated by the skewed distribution of resources.</w:t>
      </w:r>
    </w:p>
    <w:p w14:paraId="4352747A" w14:textId="77777777" w:rsidR="0000069A" w:rsidRPr="009351CB" w:rsidRDefault="0000069A" w:rsidP="004F6019">
      <w:pPr>
        <w:numPr>
          <w:ilvl w:val="0"/>
          <w:numId w:val="6"/>
        </w:numPr>
        <w:autoSpaceDE w:val="0"/>
        <w:autoSpaceDN w:val="0"/>
        <w:adjustRightInd w:val="0"/>
        <w:spacing w:line="360" w:lineRule="auto"/>
        <w:ind w:left="1353"/>
        <w:jc w:val="both"/>
        <w:rPr>
          <w:lang w:val="x-none"/>
        </w:rPr>
      </w:pPr>
      <w:r w:rsidRPr="009351CB">
        <w:rPr>
          <w:lang w:val="x-none"/>
        </w:rPr>
        <w:t>Vulnerable groups continue to not enjoy the benefits and protection of the law on an equal basis.</w:t>
      </w:r>
    </w:p>
    <w:p w14:paraId="4D4B3394" w14:textId="77777777" w:rsidR="0000069A" w:rsidRPr="009351CB" w:rsidRDefault="0000069A" w:rsidP="004F6019">
      <w:pPr>
        <w:numPr>
          <w:ilvl w:val="0"/>
          <w:numId w:val="6"/>
        </w:numPr>
        <w:autoSpaceDE w:val="0"/>
        <w:autoSpaceDN w:val="0"/>
        <w:adjustRightInd w:val="0"/>
        <w:spacing w:line="360" w:lineRule="auto"/>
        <w:ind w:left="1353"/>
        <w:jc w:val="both"/>
        <w:rPr>
          <w:lang w:val="x-none"/>
        </w:rPr>
      </w:pPr>
      <w:r w:rsidRPr="009351CB">
        <w:rPr>
          <w:lang w:val="x-none"/>
        </w:rPr>
        <w:t>Unfair discrimination on the basis of race, gender, sexual orientation and disability persists.</w:t>
      </w:r>
    </w:p>
    <w:p w14:paraId="590684A3" w14:textId="77777777" w:rsidR="0000069A" w:rsidRPr="009351CB" w:rsidRDefault="0000069A" w:rsidP="004F6019">
      <w:pPr>
        <w:numPr>
          <w:ilvl w:val="0"/>
          <w:numId w:val="6"/>
        </w:numPr>
        <w:autoSpaceDE w:val="0"/>
        <w:autoSpaceDN w:val="0"/>
        <w:adjustRightInd w:val="0"/>
        <w:spacing w:line="360" w:lineRule="auto"/>
        <w:ind w:left="1353"/>
        <w:jc w:val="both"/>
      </w:pPr>
      <w:r w:rsidRPr="009351CB">
        <w:rPr>
          <w:lang w:val="x-none"/>
        </w:rPr>
        <w:t>Hate speech continues to undermine social cohesion in the context of legal unce</w:t>
      </w:r>
      <w:r w:rsidRPr="009351CB">
        <w:t>rtainty.</w:t>
      </w:r>
    </w:p>
    <w:p w14:paraId="6A1B532E" w14:textId="77777777" w:rsidR="0000069A" w:rsidRPr="009351CB" w:rsidRDefault="0000069A" w:rsidP="009351CB">
      <w:pPr>
        <w:pStyle w:val="ListParagraph"/>
        <w:spacing w:line="360" w:lineRule="auto"/>
        <w:ind w:left="360"/>
        <w:rPr>
          <w:b/>
        </w:rPr>
      </w:pPr>
    </w:p>
    <w:p w14:paraId="3552F01E" w14:textId="27A1CFB0" w:rsidR="0000069A" w:rsidRPr="009351CB" w:rsidRDefault="0000069A" w:rsidP="004F6019">
      <w:pPr>
        <w:pStyle w:val="ListParagraph"/>
        <w:numPr>
          <w:ilvl w:val="2"/>
          <w:numId w:val="28"/>
        </w:numPr>
        <w:spacing w:line="360" w:lineRule="auto"/>
        <w:jc w:val="both"/>
      </w:pPr>
      <w:r w:rsidRPr="009351CB">
        <w:t>The Optional Protocol to</w:t>
      </w:r>
      <w:r w:rsidR="00FE3C3A" w:rsidRPr="009351CB">
        <w:t xml:space="preserve"> the Convention against Torture, </w:t>
      </w:r>
      <w:r w:rsidRPr="009351CB">
        <w:t xml:space="preserve">Cruel, Inhuman or Degrading Treatment or Punishment (OPCAT) was ratified at the end of March 2019. The OPCAT obliges State parties to establish national preventative mechanisms to monitor places of </w:t>
      </w:r>
      <w:r w:rsidR="00FE3C3A" w:rsidRPr="009351CB">
        <w:t xml:space="preserve">prevention of liberty </w:t>
      </w:r>
      <w:r w:rsidRPr="009351CB">
        <w:t>through regular visits. The Commission is the co-ordinating body for the NPM in South Africa, in accordance with Article 17 of the OPCAT. The Commission receive</w:t>
      </w:r>
      <w:r w:rsidR="00D93AF7" w:rsidRPr="009351CB">
        <w:t>d</w:t>
      </w:r>
      <w:r w:rsidRPr="009351CB">
        <w:t xml:space="preserve"> R1.68 million in 2019/20 from the Justice Department</w:t>
      </w:r>
      <w:r w:rsidR="00E4277C" w:rsidRPr="009351CB">
        <w:t xml:space="preserve"> for this work</w:t>
      </w:r>
      <w:r w:rsidRPr="009351CB">
        <w:t>.</w:t>
      </w:r>
    </w:p>
    <w:p w14:paraId="49D271A9" w14:textId="77777777" w:rsidR="00F259CA" w:rsidRPr="009351CB" w:rsidRDefault="00F259CA" w:rsidP="009351CB">
      <w:pPr>
        <w:pStyle w:val="ListParagraph"/>
        <w:spacing w:line="360" w:lineRule="auto"/>
        <w:jc w:val="both"/>
      </w:pPr>
    </w:p>
    <w:p w14:paraId="295F342B" w14:textId="41497F29" w:rsidR="000251CC" w:rsidRPr="009351CB" w:rsidRDefault="000251CC" w:rsidP="004F6019">
      <w:pPr>
        <w:pStyle w:val="ListParagraph"/>
        <w:numPr>
          <w:ilvl w:val="2"/>
          <w:numId w:val="28"/>
        </w:numPr>
        <w:spacing w:line="360" w:lineRule="auto"/>
        <w:jc w:val="both"/>
      </w:pPr>
      <w:r w:rsidRPr="009351CB">
        <w:t>The Promotion of Access to Information Act Annual Report for 2018/19 was tabled and referred to the Committee for consideration and report on 4 October 2019.</w:t>
      </w:r>
      <w:r w:rsidR="0004291B" w:rsidRPr="009351CB">
        <w:t xml:space="preserve"> The Report highlights ongoing, systemic non-compliance with PAIA at all levels of government.</w:t>
      </w:r>
    </w:p>
    <w:p w14:paraId="44610BF2" w14:textId="77777777" w:rsidR="00532E6E" w:rsidRPr="009351CB" w:rsidRDefault="00532E6E" w:rsidP="009351CB">
      <w:pPr>
        <w:pStyle w:val="BodySingle"/>
        <w:tabs>
          <w:tab w:val="left" w:pos="851"/>
        </w:tabs>
        <w:spacing w:line="360" w:lineRule="auto"/>
        <w:ind w:left="851" w:hanging="709"/>
        <w:rPr>
          <w:rFonts w:ascii="Times New Roman" w:hAnsi="Times New Roman"/>
          <w:b/>
          <w:sz w:val="24"/>
          <w:szCs w:val="24"/>
        </w:rPr>
      </w:pPr>
    </w:p>
    <w:p w14:paraId="5A1410D7" w14:textId="22C4AF79" w:rsidR="00B404B6" w:rsidRPr="009351CB" w:rsidRDefault="00EC5DBA" w:rsidP="004F6019">
      <w:pPr>
        <w:pStyle w:val="ListParagraph"/>
        <w:numPr>
          <w:ilvl w:val="1"/>
          <w:numId w:val="28"/>
        </w:numPr>
        <w:spacing w:line="360" w:lineRule="auto"/>
        <w:jc w:val="both"/>
      </w:pPr>
      <w:r w:rsidRPr="00E20A8C">
        <w:rPr>
          <w:b/>
        </w:rPr>
        <w:t>Human resources</w:t>
      </w:r>
      <w:r w:rsidR="002624A6" w:rsidRPr="00E20A8C">
        <w:rPr>
          <w:b/>
        </w:rPr>
        <w:t xml:space="preserve">. </w:t>
      </w:r>
      <w:r w:rsidR="00B404B6" w:rsidRPr="009351CB">
        <w:t xml:space="preserve">The Commission reports that, in </w:t>
      </w:r>
      <w:r w:rsidR="003053A2" w:rsidRPr="009351CB">
        <w:t>2018/19, 173 posts were filled (of 198)</w:t>
      </w:r>
      <w:r w:rsidR="00B404B6" w:rsidRPr="009351CB">
        <w:t xml:space="preserve">2017/18, 186 posts </w:t>
      </w:r>
      <w:r w:rsidR="00B404B6" w:rsidRPr="00E20A8C">
        <w:rPr>
          <w:bCs/>
        </w:rPr>
        <w:t xml:space="preserve">were filled (of 198) with a vacancy rate of </w:t>
      </w:r>
      <w:r w:rsidR="003053A2" w:rsidRPr="00E20A8C">
        <w:rPr>
          <w:bCs/>
        </w:rPr>
        <w:t>12%</w:t>
      </w:r>
      <w:r w:rsidR="00B404B6" w:rsidRPr="00E20A8C">
        <w:rPr>
          <w:bCs/>
        </w:rPr>
        <w:t xml:space="preserve">%. </w:t>
      </w:r>
      <w:r w:rsidR="00B404B6" w:rsidRPr="009351CB">
        <w:t xml:space="preserve">(Compared with </w:t>
      </w:r>
      <w:r w:rsidR="003053A2" w:rsidRPr="009351CB">
        <w:t>186 of 198 p</w:t>
      </w:r>
      <w:r w:rsidR="00B404B6" w:rsidRPr="00E20A8C">
        <w:rPr>
          <w:bCs/>
        </w:rPr>
        <w:t xml:space="preserve">osts filled with a vacancy rate of </w:t>
      </w:r>
      <w:r w:rsidR="003053A2" w:rsidRPr="00E20A8C">
        <w:rPr>
          <w:bCs/>
        </w:rPr>
        <w:t>6% in 2017/18</w:t>
      </w:r>
      <w:r w:rsidR="00B404B6" w:rsidRPr="00E20A8C">
        <w:rPr>
          <w:bCs/>
        </w:rPr>
        <w:t>.)</w:t>
      </w:r>
      <w:r w:rsidR="003053A2" w:rsidRPr="00E20A8C">
        <w:rPr>
          <w:bCs/>
        </w:rPr>
        <w:t xml:space="preserve"> At Senior Management level, the vacancy rate is 21% (from 10% in 2017/18). In terms of occupation, vacancies at research is 31% and there is a 17% vacancy rate for advocacy and communications.</w:t>
      </w:r>
    </w:p>
    <w:p w14:paraId="4ED6DE59" w14:textId="77777777" w:rsidR="00EC5DBA" w:rsidRPr="009351CB" w:rsidRDefault="00EC5DBA" w:rsidP="009351CB">
      <w:pPr>
        <w:spacing w:line="360" w:lineRule="auto"/>
        <w:ind w:left="720"/>
        <w:jc w:val="both"/>
      </w:pPr>
      <w:r w:rsidRPr="009351CB">
        <w:t>.</w:t>
      </w:r>
    </w:p>
    <w:p w14:paraId="241CD8CC" w14:textId="77777777" w:rsidR="00EC5DBA" w:rsidRPr="009351CB" w:rsidRDefault="00EC5DBA" w:rsidP="004F6019">
      <w:pPr>
        <w:pStyle w:val="ListParagraph"/>
        <w:numPr>
          <w:ilvl w:val="1"/>
          <w:numId w:val="28"/>
        </w:numPr>
        <w:spacing w:line="360" w:lineRule="auto"/>
        <w:jc w:val="both"/>
        <w:rPr>
          <w:b/>
        </w:rPr>
      </w:pPr>
      <w:r w:rsidRPr="009351CB">
        <w:rPr>
          <w:b/>
        </w:rPr>
        <w:t xml:space="preserve">Audit </w:t>
      </w:r>
      <w:r w:rsidR="00F338DC" w:rsidRPr="009351CB">
        <w:rPr>
          <w:b/>
        </w:rPr>
        <w:t>outcome</w:t>
      </w:r>
    </w:p>
    <w:p w14:paraId="01B5C322" w14:textId="77777777" w:rsidR="00B404B6" w:rsidRPr="009351CB" w:rsidRDefault="00B404B6" w:rsidP="009351CB">
      <w:pPr>
        <w:spacing w:line="360" w:lineRule="auto"/>
        <w:ind w:left="720"/>
        <w:jc w:val="both"/>
        <w:rPr>
          <w:b/>
        </w:rPr>
      </w:pPr>
    </w:p>
    <w:p w14:paraId="350BAB98" w14:textId="0C57817D" w:rsidR="00EC5DBA" w:rsidRPr="009351CB" w:rsidRDefault="00E4277C" w:rsidP="004F6019">
      <w:pPr>
        <w:pStyle w:val="ListParagraph"/>
        <w:numPr>
          <w:ilvl w:val="2"/>
          <w:numId w:val="28"/>
        </w:numPr>
        <w:spacing w:line="360" w:lineRule="auto"/>
        <w:jc w:val="both"/>
      </w:pPr>
      <w:r w:rsidRPr="009351CB">
        <w:t>T</w:t>
      </w:r>
      <w:r w:rsidR="00024EDE" w:rsidRPr="009351CB">
        <w:t>he SAHRC received an unqualified audit opinion</w:t>
      </w:r>
      <w:r w:rsidR="00D93AF7" w:rsidRPr="009351CB">
        <w:t xml:space="preserve"> with findings</w:t>
      </w:r>
      <w:r w:rsidR="00024EDE" w:rsidRPr="009351CB">
        <w:t>.</w:t>
      </w:r>
      <w:r w:rsidR="00B404B6" w:rsidRPr="009351CB">
        <w:t xml:space="preserve"> </w:t>
      </w:r>
    </w:p>
    <w:p w14:paraId="1BC2C190" w14:textId="77777777" w:rsidR="00D93AF7" w:rsidRPr="009351CB" w:rsidRDefault="00D93AF7" w:rsidP="004F6019">
      <w:pPr>
        <w:numPr>
          <w:ilvl w:val="0"/>
          <w:numId w:val="4"/>
        </w:numPr>
        <w:spacing w:line="360" w:lineRule="auto"/>
        <w:jc w:val="both"/>
        <w:rPr>
          <w:color w:val="000000" w:themeColor="text1"/>
        </w:rPr>
      </w:pPr>
      <w:r w:rsidRPr="009351CB">
        <w:rPr>
          <w:color w:val="000000" w:themeColor="text1"/>
        </w:rPr>
        <w:t xml:space="preserve">Only some </w:t>
      </w:r>
      <w:r w:rsidR="00B404B6" w:rsidRPr="009351CB">
        <w:rPr>
          <w:color w:val="000000" w:themeColor="text1"/>
        </w:rPr>
        <w:t xml:space="preserve">material misstatement in the annual performance report </w:t>
      </w:r>
      <w:r w:rsidRPr="009351CB">
        <w:rPr>
          <w:color w:val="000000" w:themeColor="text1"/>
        </w:rPr>
        <w:t>that were identified were corrected.</w:t>
      </w:r>
    </w:p>
    <w:p w14:paraId="1988658A" w14:textId="77777777" w:rsidR="00B404B6" w:rsidRPr="009351CB" w:rsidRDefault="00B404B6" w:rsidP="004F6019">
      <w:pPr>
        <w:numPr>
          <w:ilvl w:val="0"/>
          <w:numId w:val="4"/>
        </w:numPr>
        <w:spacing w:line="360" w:lineRule="auto"/>
        <w:jc w:val="both"/>
        <w:rPr>
          <w:color w:val="000000" w:themeColor="text1"/>
        </w:rPr>
      </w:pPr>
      <w:r w:rsidRPr="009351CB">
        <w:rPr>
          <w:color w:val="000000" w:themeColor="text1"/>
        </w:rPr>
        <w:t xml:space="preserve">Some goods/services </w:t>
      </w:r>
      <w:r w:rsidR="008D5C4B" w:rsidRPr="009351CB">
        <w:rPr>
          <w:color w:val="000000" w:themeColor="text1"/>
        </w:rPr>
        <w:t xml:space="preserve">above </w:t>
      </w:r>
      <w:r w:rsidRPr="009351CB">
        <w:rPr>
          <w:color w:val="000000" w:themeColor="text1"/>
        </w:rPr>
        <w:t>R500 000 were procured without price quotations.</w:t>
      </w:r>
    </w:p>
    <w:p w14:paraId="20AC29C3" w14:textId="77777777" w:rsidR="008D5C4B" w:rsidRPr="009351CB" w:rsidRDefault="008D5C4B" w:rsidP="004F6019">
      <w:pPr>
        <w:numPr>
          <w:ilvl w:val="0"/>
          <w:numId w:val="4"/>
        </w:numPr>
        <w:spacing w:line="360" w:lineRule="auto"/>
        <w:jc w:val="both"/>
        <w:rPr>
          <w:color w:val="000000" w:themeColor="text1"/>
        </w:rPr>
      </w:pPr>
      <w:r w:rsidRPr="009351CB">
        <w:rPr>
          <w:color w:val="000000" w:themeColor="text1"/>
        </w:rPr>
        <w:t>Effective and appropriate steps were not taken to prevent irregular expenditure amounting to R2.2 million (largely as a result of a deviation from competitive bidding with approval).</w:t>
      </w:r>
    </w:p>
    <w:p w14:paraId="07CAF463" w14:textId="77777777" w:rsidR="008D5C4B" w:rsidRPr="009351CB" w:rsidRDefault="00B404B6" w:rsidP="004F6019">
      <w:pPr>
        <w:numPr>
          <w:ilvl w:val="0"/>
          <w:numId w:val="4"/>
        </w:numPr>
        <w:spacing w:line="360" w:lineRule="auto"/>
        <w:jc w:val="both"/>
        <w:rPr>
          <w:color w:val="000000"/>
        </w:rPr>
      </w:pPr>
      <w:r w:rsidRPr="009351CB">
        <w:rPr>
          <w:color w:val="000000" w:themeColor="text1"/>
        </w:rPr>
        <w:t xml:space="preserve">Management did not adequately review and monitor compliance with the </w:t>
      </w:r>
      <w:r w:rsidR="008D5C4B" w:rsidRPr="009351CB">
        <w:rPr>
          <w:color w:val="000000" w:themeColor="text1"/>
        </w:rPr>
        <w:t>legislation and prepare regular, accurate and complete performance reports supported by reliable evidence.</w:t>
      </w:r>
    </w:p>
    <w:p w14:paraId="100E2594" w14:textId="77777777" w:rsidR="00B404B6" w:rsidRPr="009351CB" w:rsidRDefault="00B404B6" w:rsidP="009351CB">
      <w:pPr>
        <w:spacing w:line="360" w:lineRule="auto"/>
        <w:ind w:left="928"/>
        <w:jc w:val="both"/>
        <w:rPr>
          <w:color w:val="000000"/>
        </w:rPr>
      </w:pPr>
    </w:p>
    <w:p w14:paraId="09C4474E" w14:textId="77777777" w:rsidR="00EC5DBA" w:rsidRPr="009351CB" w:rsidRDefault="008D5C4B" w:rsidP="004F6019">
      <w:pPr>
        <w:pStyle w:val="ListParagraph"/>
        <w:numPr>
          <w:ilvl w:val="2"/>
          <w:numId w:val="28"/>
        </w:numPr>
        <w:spacing w:line="360" w:lineRule="auto"/>
        <w:jc w:val="both"/>
      </w:pPr>
      <w:r w:rsidRPr="009351CB">
        <w:t>There was no fruitless and wasteful expenditure reported for 2018/19.</w:t>
      </w:r>
    </w:p>
    <w:p w14:paraId="49F03914" w14:textId="77777777" w:rsidR="00787EE9" w:rsidRPr="009351CB" w:rsidRDefault="00787EE9" w:rsidP="009351CB">
      <w:pPr>
        <w:spacing w:line="360" w:lineRule="auto"/>
        <w:ind w:left="720"/>
        <w:jc w:val="both"/>
      </w:pPr>
    </w:p>
    <w:p w14:paraId="1FCA8185" w14:textId="77777777" w:rsidR="00FD21A8" w:rsidRPr="009351CB" w:rsidRDefault="00787EE9" w:rsidP="004F6019">
      <w:pPr>
        <w:numPr>
          <w:ilvl w:val="1"/>
          <w:numId w:val="28"/>
        </w:numPr>
        <w:spacing w:line="360" w:lineRule="auto"/>
        <w:jc w:val="both"/>
      </w:pPr>
      <w:r w:rsidRPr="009351CB">
        <w:rPr>
          <w:b/>
        </w:rPr>
        <w:t>Expenditure 2018/19</w:t>
      </w:r>
      <w:r w:rsidR="00EC5DBA" w:rsidRPr="009351CB">
        <w:rPr>
          <w:b/>
        </w:rPr>
        <w:t xml:space="preserve"> </w:t>
      </w:r>
    </w:p>
    <w:p w14:paraId="36D78935" w14:textId="77777777" w:rsidR="00EC5DBA" w:rsidRPr="009351CB" w:rsidRDefault="00EC5DBA" w:rsidP="009351CB">
      <w:pPr>
        <w:pStyle w:val="ListParagraph"/>
        <w:spacing w:line="360" w:lineRule="auto"/>
      </w:pPr>
    </w:p>
    <w:p w14:paraId="05B79172" w14:textId="77777777" w:rsidR="00012CF5" w:rsidRPr="009351CB" w:rsidRDefault="00012CF5" w:rsidP="009351CB">
      <w:pPr>
        <w:pStyle w:val="ListParagraph"/>
        <w:tabs>
          <w:tab w:val="left" w:pos="851"/>
        </w:tabs>
        <w:spacing w:line="360" w:lineRule="auto"/>
        <w:jc w:val="both"/>
      </w:pPr>
    </w:p>
    <w:p w14:paraId="6E53780F" w14:textId="2B8D879B" w:rsidR="00EC5DBA" w:rsidRPr="009351CB" w:rsidRDefault="001A6FAC" w:rsidP="004F6019">
      <w:pPr>
        <w:pStyle w:val="ListParagraph"/>
        <w:numPr>
          <w:ilvl w:val="2"/>
          <w:numId w:val="28"/>
        </w:numPr>
        <w:spacing w:line="360" w:lineRule="auto"/>
        <w:jc w:val="both"/>
      </w:pPr>
      <w:r w:rsidRPr="009351CB">
        <w:t xml:space="preserve">The SAHRC </w:t>
      </w:r>
      <w:r w:rsidR="003053A2" w:rsidRPr="009351CB">
        <w:t>wa</w:t>
      </w:r>
      <w:r w:rsidRPr="009351CB">
        <w:t>s allocated R178.8 million for 2018/19</w:t>
      </w:r>
      <w:r w:rsidR="009D28E2" w:rsidRPr="009351CB">
        <w:t xml:space="preserve"> but finds its capacity to</w:t>
      </w:r>
      <w:r w:rsidRPr="009351CB">
        <w:t xml:space="preserve"> deliver is constrained by </w:t>
      </w:r>
      <w:r w:rsidR="009D28E2" w:rsidRPr="009351CB">
        <w:t>a</w:t>
      </w:r>
      <w:r w:rsidRPr="009351CB">
        <w:t xml:space="preserve"> (relatively) small budget (compared to the mandate), which is now exacerbated by budget reductions. </w:t>
      </w:r>
    </w:p>
    <w:p w14:paraId="1331D9C1" w14:textId="77777777" w:rsidR="000251CC" w:rsidRPr="009351CB" w:rsidRDefault="000251CC" w:rsidP="009351CB">
      <w:pPr>
        <w:pStyle w:val="ListParagraph"/>
        <w:spacing w:line="360" w:lineRule="auto"/>
        <w:jc w:val="both"/>
      </w:pPr>
    </w:p>
    <w:p w14:paraId="7A7B6FCA" w14:textId="77777777" w:rsidR="000251CC" w:rsidRPr="009351CB" w:rsidRDefault="000251CC" w:rsidP="004F6019">
      <w:pPr>
        <w:pStyle w:val="ListParagraph"/>
        <w:numPr>
          <w:ilvl w:val="2"/>
          <w:numId w:val="28"/>
        </w:numPr>
        <w:spacing w:line="360" w:lineRule="auto"/>
        <w:jc w:val="both"/>
      </w:pPr>
      <w:r w:rsidRPr="009351CB">
        <w:t>In 2018/19, the Commission sublet office space to the Information Regulator to the amount of R855 552.</w:t>
      </w:r>
    </w:p>
    <w:p w14:paraId="6C7C9ECD" w14:textId="77777777" w:rsidR="000251CC" w:rsidRPr="009351CB" w:rsidRDefault="000251CC" w:rsidP="009351CB">
      <w:pPr>
        <w:pStyle w:val="ListParagraph"/>
        <w:spacing w:line="360" w:lineRule="auto"/>
        <w:jc w:val="both"/>
      </w:pPr>
    </w:p>
    <w:p w14:paraId="03E51995" w14:textId="77777777" w:rsidR="000251CC" w:rsidRPr="009351CB" w:rsidRDefault="000251CC" w:rsidP="004F6019">
      <w:pPr>
        <w:pStyle w:val="ListParagraph"/>
        <w:numPr>
          <w:ilvl w:val="2"/>
          <w:numId w:val="28"/>
        </w:numPr>
        <w:spacing w:line="360" w:lineRule="auto"/>
        <w:jc w:val="both"/>
      </w:pPr>
      <w:r w:rsidRPr="009351CB">
        <w:t>Expenditure in 2018/19 was R165.4 million (91%) with an amount of R15.7 million unspent. The underspending is attributed to the freezing of (approximately 12) posts as they became vacant throughout the year, as part of planned cost containment measures. The decrease in general expenses, such as printing and stationary costs, IT enhancements and audit fees) is due to cost containment measures to reduce administration costs.</w:t>
      </w:r>
    </w:p>
    <w:p w14:paraId="07132D64" w14:textId="77777777" w:rsidR="00EC5DBA" w:rsidRPr="009351CB" w:rsidRDefault="00EC5DBA" w:rsidP="009351CB">
      <w:pPr>
        <w:pStyle w:val="ListParagraph"/>
        <w:spacing w:line="360" w:lineRule="auto"/>
        <w:rPr>
          <w:b/>
          <w:bCs/>
        </w:rPr>
      </w:pPr>
    </w:p>
    <w:p w14:paraId="05C11B04" w14:textId="77777777" w:rsidR="00FD21A8" w:rsidRPr="009351CB" w:rsidRDefault="00FD21A8" w:rsidP="004F6019">
      <w:pPr>
        <w:numPr>
          <w:ilvl w:val="1"/>
          <w:numId w:val="28"/>
        </w:numPr>
        <w:spacing w:line="360" w:lineRule="auto"/>
        <w:jc w:val="both"/>
        <w:rPr>
          <w:b/>
        </w:rPr>
      </w:pPr>
      <w:r w:rsidRPr="009351CB">
        <w:rPr>
          <w:b/>
        </w:rPr>
        <w:t>Performance</w:t>
      </w:r>
      <w:r w:rsidR="00E37205" w:rsidRPr="009351CB">
        <w:rPr>
          <w:b/>
        </w:rPr>
        <w:t xml:space="preserve"> 2018/19</w:t>
      </w:r>
    </w:p>
    <w:p w14:paraId="5C361915" w14:textId="77777777" w:rsidR="00EC5DBA" w:rsidRPr="009351CB" w:rsidRDefault="00EC5DBA" w:rsidP="009351CB">
      <w:pPr>
        <w:spacing w:line="360" w:lineRule="auto"/>
        <w:ind w:left="720"/>
        <w:jc w:val="both"/>
        <w:rPr>
          <w:b/>
        </w:rPr>
      </w:pPr>
    </w:p>
    <w:p w14:paraId="226D100D" w14:textId="77777777" w:rsidR="00A21D70" w:rsidRPr="009351CB" w:rsidRDefault="00A21D70" w:rsidP="004F6019">
      <w:pPr>
        <w:pStyle w:val="ListParagraph"/>
        <w:numPr>
          <w:ilvl w:val="2"/>
          <w:numId w:val="28"/>
        </w:numPr>
        <w:spacing w:line="360" w:lineRule="auto"/>
        <w:jc w:val="both"/>
        <w:rPr>
          <w:color w:val="000000" w:themeColor="text1"/>
        </w:rPr>
      </w:pPr>
      <w:r w:rsidRPr="009351CB">
        <w:t xml:space="preserve">The SAHRC’s </w:t>
      </w:r>
      <w:r w:rsidR="004525E3" w:rsidRPr="009351CB">
        <w:t>performance has steadily declined since 2014/15 when it achieved 92% of its planned targets. In 2018/19, the Commission achieved 22 of 30 or 73% of planned targets</w:t>
      </w:r>
      <w:r w:rsidR="00634C64" w:rsidRPr="009351CB">
        <w:t xml:space="preserve">. </w:t>
      </w:r>
    </w:p>
    <w:p w14:paraId="4D0D78E5" w14:textId="77777777" w:rsidR="00A21D70" w:rsidRPr="009351CB" w:rsidRDefault="00A21D70" w:rsidP="009351CB">
      <w:pPr>
        <w:pStyle w:val="ListParagraph"/>
        <w:spacing w:line="360" w:lineRule="auto"/>
        <w:jc w:val="both"/>
        <w:rPr>
          <w:color w:val="000000" w:themeColor="text1"/>
        </w:rPr>
      </w:pPr>
    </w:p>
    <w:p w14:paraId="18E3CF8C" w14:textId="77777777" w:rsidR="00E867F6" w:rsidRPr="009351CB" w:rsidRDefault="00634C64" w:rsidP="004F6019">
      <w:pPr>
        <w:pStyle w:val="ListParagraph"/>
        <w:numPr>
          <w:ilvl w:val="2"/>
          <w:numId w:val="28"/>
        </w:numPr>
        <w:spacing w:line="360" w:lineRule="auto"/>
        <w:jc w:val="both"/>
        <w:rPr>
          <w:color w:val="000000" w:themeColor="text1"/>
        </w:rPr>
      </w:pPr>
      <w:r w:rsidRPr="009351CB">
        <w:rPr>
          <w:color w:val="000000"/>
        </w:rPr>
        <w:t>The Commission</w:t>
      </w:r>
      <w:r w:rsidR="00A21D70" w:rsidRPr="009351CB">
        <w:rPr>
          <w:color w:val="000000"/>
        </w:rPr>
        <w:t xml:space="preserve"> report</w:t>
      </w:r>
      <w:r w:rsidR="004525E3" w:rsidRPr="009351CB">
        <w:rPr>
          <w:color w:val="000000"/>
        </w:rPr>
        <w:t>s</w:t>
      </w:r>
      <w:r w:rsidR="00A21D70" w:rsidRPr="009351CB">
        <w:rPr>
          <w:color w:val="000000"/>
        </w:rPr>
        <w:t xml:space="preserve"> on its performance in respect of f</w:t>
      </w:r>
      <w:r w:rsidRPr="009351CB">
        <w:rPr>
          <w:color w:val="000000"/>
        </w:rPr>
        <w:t>our</w:t>
      </w:r>
      <w:r w:rsidR="00A21D70" w:rsidRPr="009351CB">
        <w:rPr>
          <w:color w:val="000000"/>
        </w:rPr>
        <w:t xml:space="preserve"> strategic objectives and performance indicators and targets are aligned to these objectives. </w:t>
      </w:r>
    </w:p>
    <w:p w14:paraId="769DE5FA" w14:textId="77777777" w:rsidR="00D558BF" w:rsidRPr="009351CB" w:rsidRDefault="00D558BF" w:rsidP="009351CB">
      <w:pPr>
        <w:pStyle w:val="ListParagraph"/>
        <w:spacing w:line="360" w:lineRule="auto"/>
        <w:rPr>
          <w:color w:val="000000" w:themeColor="text1"/>
        </w:rPr>
      </w:pPr>
    </w:p>
    <w:p w14:paraId="228CA9E6" w14:textId="77777777" w:rsidR="00D558BF" w:rsidRPr="009351CB" w:rsidRDefault="00D558BF" w:rsidP="004F6019">
      <w:pPr>
        <w:numPr>
          <w:ilvl w:val="0"/>
          <w:numId w:val="4"/>
        </w:numPr>
        <w:spacing w:line="360" w:lineRule="auto"/>
        <w:jc w:val="both"/>
        <w:rPr>
          <w:color w:val="000000" w:themeColor="text1"/>
        </w:rPr>
      </w:pPr>
      <w:r w:rsidRPr="009351CB">
        <w:rPr>
          <w:color w:val="000000" w:themeColor="text1"/>
        </w:rPr>
        <w:t>Strategic objective 1: Improve the effectiveness and efficiency of the Commission to support delivery on the mandate – a total of 7 or 56% of 12 targets were achieved.</w:t>
      </w:r>
    </w:p>
    <w:p w14:paraId="095E9C9F" w14:textId="77777777" w:rsidR="00D558BF" w:rsidRPr="009351CB" w:rsidRDefault="00D558BF" w:rsidP="004F6019">
      <w:pPr>
        <w:numPr>
          <w:ilvl w:val="0"/>
          <w:numId w:val="4"/>
        </w:numPr>
        <w:spacing w:line="360" w:lineRule="auto"/>
        <w:jc w:val="both"/>
        <w:rPr>
          <w:color w:val="000000" w:themeColor="text1"/>
        </w:rPr>
      </w:pPr>
      <w:r w:rsidRPr="009351CB">
        <w:rPr>
          <w:color w:val="000000" w:themeColor="text1"/>
        </w:rPr>
        <w:t>Strategic objective 2: Deepen the understanding of human rights to entrench a human rights culture – all targets were met.</w:t>
      </w:r>
    </w:p>
    <w:p w14:paraId="0DAB3EDB" w14:textId="41035ED1" w:rsidR="00D558BF" w:rsidRPr="009351CB" w:rsidRDefault="00D558BF" w:rsidP="004F6019">
      <w:pPr>
        <w:numPr>
          <w:ilvl w:val="0"/>
          <w:numId w:val="4"/>
        </w:numPr>
        <w:spacing w:line="360" w:lineRule="auto"/>
        <w:jc w:val="both"/>
        <w:rPr>
          <w:color w:val="000000" w:themeColor="text1"/>
        </w:rPr>
      </w:pPr>
      <w:r w:rsidRPr="009351CB">
        <w:rPr>
          <w:color w:val="000000" w:themeColor="text1"/>
        </w:rPr>
        <w:t>Strategic objective 3: Take steps to secure appropriate redress where human rights have been violated – A total of 15% of 4 targets were achieved.</w:t>
      </w:r>
    </w:p>
    <w:p w14:paraId="7D9708C8" w14:textId="707DD728" w:rsidR="00D558BF" w:rsidRPr="009351CB" w:rsidRDefault="00D558BF" w:rsidP="004F6019">
      <w:pPr>
        <w:numPr>
          <w:ilvl w:val="0"/>
          <w:numId w:val="4"/>
        </w:numPr>
        <w:spacing w:line="360" w:lineRule="auto"/>
        <w:jc w:val="both"/>
        <w:rPr>
          <w:color w:val="000000" w:themeColor="text1"/>
        </w:rPr>
      </w:pPr>
      <w:r w:rsidRPr="009351CB">
        <w:rPr>
          <w:color w:val="000000" w:themeColor="text1"/>
        </w:rPr>
        <w:t xml:space="preserve">Strategic objective 4: Conduct research to monitor and assess and report on the observance of human rights – a total of </w:t>
      </w:r>
      <w:r w:rsidR="009D28E2" w:rsidRPr="009351CB">
        <w:rPr>
          <w:color w:val="000000" w:themeColor="text1"/>
        </w:rPr>
        <w:t>six or 86% of eight</w:t>
      </w:r>
      <w:r w:rsidRPr="009351CB">
        <w:rPr>
          <w:color w:val="000000" w:themeColor="text1"/>
        </w:rPr>
        <w:t xml:space="preserve"> targets were achieved.</w:t>
      </w:r>
    </w:p>
    <w:p w14:paraId="2638EDD3" w14:textId="77777777" w:rsidR="002624A6" w:rsidRPr="009351CB" w:rsidRDefault="002624A6" w:rsidP="009351CB">
      <w:pPr>
        <w:pStyle w:val="ListParagraph"/>
        <w:spacing w:line="360" w:lineRule="auto"/>
        <w:rPr>
          <w:color w:val="000000" w:themeColor="text1"/>
        </w:rPr>
      </w:pPr>
    </w:p>
    <w:p w14:paraId="71087338" w14:textId="77777777" w:rsidR="004908DA" w:rsidRPr="009351CB" w:rsidRDefault="004D7AEE" w:rsidP="009351CB">
      <w:pPr>
        <w:spacing w:line="360" w:lineRule="auto"/>
        <w:rPr>
          <w:b/>
          <w:color w:val="000000" w:themeColor="text1"/>
        </w:rPr>
      </w:pPr>
      <w:r w:rsidRPr="009351CB">
        <w:rPr>
          <w:b/>
          <w:color w:val="000000" w:themeColor="text1"/>
        </w:rPr>
        <w:t>Table 1</w:t>
      </w:r>
      <w:r w:rsidR="00074C0F" w:rsidRPr="009351CB">
        <w:rPr>
          <w:b/>
          <w:color w:val="000000" w:themeColor="text1"/>
        </w:rPr>
        <w:t>1</w:t>
      </w:r>
      <w:r w:rsidRPr="009351CB">
        <w:rPr>
          <w:b/>
          <w:color w:val="000000" w:themeColor="text1"/>
        </w:rPr>
        <w:t xml:space="preserve">: SAHRC </w:t>
      </w:r>
      <w:r w:rsidR="00D93AF7" w:rsidRPr="009351CB">
        <w:rPr>
          <w:b/>
          <w:color w:val="000000" w:themeColor="text1"/>
        </w:rPr>
        <w:t xml:space="preserve">– Selected </w:t>
      </w:r>
      <w:r w:rsidRPr="009351CB">
        <w:rPr>
          <w:b/>
        </w:rPr>
        <w:t xml:space="preserve">performance </w:t>
      </w:r>
      <w:r w:rsidR="00D93AF7" w:rsidRPr="009351CB">
        <w:rPr>
          <w:b/>
        </w:rPr>
        <w:t xml:space="preserve">per strategic objective </w:t>
      </w:r>
      <w:r w:rsidRPr="009351CB">
        <w:rPr>
          <w:b/>
        </w:rPr>
        <w:t>2017/18</w:t>
      </w:r>
      <w:r w:rsidRPr="009351CB">
        <w:rPr>
          <w:color w:val="000000" w:themeColor="text1"/>
        </w:rPr>
        <w:t xml:space="preserve"> </w:t>
      </w:r>
      <w:r w:rsidR="00634C64" w:rsidRPr="009351CB">
        <w:rPr>
          <w:color w:val="000000" w:themeColor="text1"/>
        </w:rPr>
        <w:t>-</w:t>
      </w:r>
      <w:r w:rsidR="00634C64" w:rsidRPr="009351CB">
        <w:rPr>
          <w:b/>
          <w:color w:val="000000" w:themeColor="text1"/>
        </w:rPr>
        <w:t>2018/19</w:t>
      </w:r>
    </w:p>
    <w:tbl>
      <w:tblPr>
        <w:tblStyle w:val="TableGrid"/>
        <w:tblW w:w="0" w:type="auto"/>
        <w:tblLook w:val="04A0" w:firstRow="1" w:lastRow="0" w:firstColumn="1" w:lastColumn="0" w:noHBand="0" w:noVBand="1"/>
      </w:tblPr>
      <w:tblGrid>
        <w:gridCol w:w="4473"/>
        <w:gridCol w:w="1703"/>
        <w:gridCol w:w="2256"/>
      </w:tblGrid>
      <w:tr w:rsidR="00634C64" w:rsidRPr="009351CB" w14:paraId="6244A2BF" w14:textId="77777777" w:rsidTr="00F259CA">
        <w:trPr>
          <w:tblHeader/>
        </w:trPr>
        <w:tc>
          <w:tcPr>
            <w:tcW w:w="0" w:type="auto"/>
            <w:vMerge w:val="restart"/>
            <w:shd w:val="clear" w:color="auto" w:fill="D9D9D9" w:themeFill="background1" w:themeFillShade="D9"/>
          </w:tcPr>
          <w:p w14:paraId="64DBB320" w14:textId="77777777" w:rsidR="00634C64" w:rsidRPr="009351CB" w:rsidRDefault="00634C64" w:rsidP="009351CB">
            <w:pPr>
              <w:pStyle w:val="ListParagraph"/>
              <w:spacing w:line="360" w:lineRule="auto"/>
              <w:ind w:left="0"/>
              <w:jc w:val="center"/>
              <w:rPr>
                <w:b/>
                <w:caps/>
                <w:color w:val="000000" w:themeColor="text1"/>
              </w:rPr>
            </w:pPr>
            <w:r w:rsidRPr="009351CB">
              <w:rPr>
                <w:b/>
                <w:caps/>
                <w:color w:val="000000" w:themeColor="text1"/>
              </w:rPr>
              <w:t>Performance Indicator</w:t>
            </w:r>
          </w:p>
        </w:tc>
        <w:tc>
          <w:tcPr>
            <w:tcW w:w="0" w:type="auto"/>
            <w:gridSpan w:val="2"/>
            <w:shd w:val="clear" w:color="auto" w:fill="D9D9D9" w:themeFill="background1" w:themeFillShade="D9"/>
          </w:tcPr>
          <w:p w14:paraId="5B73B0F5" w14:textId="77777777" w:rsidR="00634C64" w:rsidRPr="009351CB" w:rsidRDefault="00634C64" w:rsidP="009351CB">
            <w:pPr>
              <w:pStyle w:val="ListParagraph"/>
              <w:spacing w:line="360" w:lineRule="auto"/>
              <w:ind w:left="0"/>
              <w:jc w:val="center"/>
              <w:rPr>
                <w:b/>
                <w:caps/>
                <w:color w:val="000000" w:themeColor="text1"/>
              </w:rPr>
            </w:pPr>
            <w:r w:rsidRPr="009351CB">
              <w:rPr>
                <w:b/>
                <w:caps/>
                <w:color w:val="000000" w:themeColor="text1"/>
              </w:rPr>
              <w:t>Performance</w:t>
            </w:r>
          </w:p>
          <w:p w14:paraId="00589B26" w14:textId="77777777" w:rsidR="00634C64" w:rsidRPr="009351CB" w:rsidRDefault="00634C64" w:rsidP="009351CB">
            <w:pPr>
              <w:pStyle w:val="ListParagraph"/>
              <w:spacing w:line="360" w:lineRule="auto"/>
              <w:ind w:left="0"/>
              <w:jc w:val="center"/>
              <w:rPr>
                <w:b/>
                <w:caps/>
                <w:color w:val="000000" w:themeColor="text1"/>
              </w:rPr>
            </w:pPr>
          </w:p>
        </w:tc>
      </w:tr>
      <w:tr w:rsidR="00634C64" w:rsidRPr="009351CB" w14:paraId="11C1E404" w14:textId="77777777" w:rsidTr="00F259CA">
        <w:trPr>
          <w:tblHeader/>
        </w:trPr>
        <w:tc>
          <w:tcPr>
            <w:tcW w:w="0" w:type="auto"/>
            <w:vMerge/>
            <w:shd w:val="clear" w:color="auto" w:fill="D9D9D9" w:themeFill="background1" w:themeFillShade="D9"/>
          </w:tcPr>
          <w:p w14:paraId="7E245E17" w14:textId="77777777" w:rsidR="00634C64" w:rsidRPr="009351CB" w:rsidRDefault="00634C64" w:rsidP="009351CB">
            <w:pPr>
              <w:pStyle w:val="ListParagraph"/>
              <w:spacing w:line="360" w:lineRule="auto"/>
              <w:ind w:left="0"/>
              <w:jc w:val="both"/>
              <w:rPr>
                <w:color w:val="000000" w:themeColor="text1"/>
              </w:rPr>
            </w:pPr>
          </w:p>
        </w:tc>
        <w:tc>
          <w:tcPr>
            <w:tcW w:w="0" w:type="auto"/>
            <w:shd w:val="clear" w:color="auto" w:fill="D9D9D9" w:themeFill="background1" w:themeFillShade="D9"/>
          </w:tcPr>
          <w:p w14:paraId="543A8560" w14:textId="77777777" w:rsidR="00634C64" w:rsidRPr="009351CB" w:rsidRDefault="00634C64" w:rsidP="009351CB">
            <w:pPr>
              <w:pStyle w:val="ListParagraph"/>
              <w:spacing w:line="360" w:lineRule="auto"/>
              <w:ind w:left="0"/>
              <w:jc w:val="center"/>
              <w:rPr>
                <w:b/>
                <w:color w:val="000000" w:themeColor="text1"/>
              </w:rPr>
            </w:pPr>
            <w:r w:rsidRPr="009351CB">
              <w:rPr>
                <w:b/>
                <w:color w:val="000000" w:themeColor="text1"/>
              </w:rPr>
              <w:t>2017/18</w:t>
            </w:r>
          </w:p>
        </w:tc>
        <w:tc>
          <w:tcPr>
            <w:tcW w:w="0" w:type="auto"/>
            <w:shd w:val="clear" w:color="auto" w:fill="D9D9D9" w:themeFill="background1" w:themeFillShade="D9"/>
          </w:tcPr>
          <w:p w14:paraId="641B98CD" w14:textId="77777777" w:rsidR="00634C64" w:rsidRPr="009351CB" w:rsidRDefault="00634C64" w:rsidP="009351CB">
            <w:pPr>
              <w:pStyle w:val="ListParagraph"/>
              <w:spacing w:line="360" w:lineRule="auto"/>
              <w:ind w:left="0"/>
              <w:jc w:val="center"/>
              <w:rPr>
                <w:b/>
                <w:color w:val="000000" w:themeColor="text1"/>
              </w:rPr>
            </w:pPr>
            <w:r w:rsidRPr="009351CB">
              <w:rPr>
                <w:b/>
                <w:color w:val="000000" w:themeColor="text1"/>
              </w:rPr>
              <w:t>2018/19</w:t>
            </w:r>
          </w:p>
        </w:tc>
      </w:tr>
      <w:tr w:rsidR="004525E3" w:rsidRPr="009351CB" w14:paraId="1B615630" w14:textId="77777777" w:rsidTr="00F259CA">
        <w:tc>
          <w:tcPr>
            <w:tcW w:w="0" w:type="auto"/>
            <w:gridSpan w:val="3"/>
          </w:tcPr>
          <w:p w14:paraId="56552460" w14:textId="77777777" w:rsidR="004525E3" w:rsidRPr="009351CB" w:rsidRDefault="004525E3" w:rsidP="009351CB">
            <w:pPr>
              <w:autoSpaceDE w:val="0"/>
              <w:autoSpaceDN w:val="0"/>
              <w:adjustRightInd w:val="0"/>
              <w:spacing w:line="360" w:lineRule="auto"/>
              <w:jc w:val="center"/>
              <w:rPr>
                <w:b/>
                <w:color w:val="000000"/>
              </w:rPr>
            </w:pPr>
            <w:r w:rsidRPr="009351CB">
              <w:rPr>
                <w:b/>
                <w:color w:val="000000"/>
              </w:rPr>
              <w:t>Strategic</w:t>
            </w:r>
            <w:r w:rsidR="006C23C8" w:rsidRPr="009351CB">
              <w:rPr>
                <w:b/>
                <w:color w:val="000000"/>
              </w:rPr>
              <w:t xml:space="preserve"> O</w:t>
            </w:r>
            <w:r w:rsidRPr="009351CB">
              <w:rPr>
                <w:b/>
                <w:color w:val="000000"/>
              </w:rPr>
              <w:t>bjective 1: Improve the effectiveness and efficiency of the Commission to support delivery on the mandate</w:t>
            </w:r>
          </w:p>
        </w:tc>
      </w:tr>
      <w:tr w:rsidR="004525E3" w:rsidRPr="009351CB" w14:paraId="286FEDB6" w14:textId="77777777" w:rsidTr="00F259CA">
        <w:tc>
          <w:tcPr>
            <w:tcW w:w="0" w:type="auto"/>
          </w:tcPr>
          <w:p w14:paraId="003424B7" w14:textId="77777777" w:rsidR="004525E3" w:rsidRPr="009351CB" w:rsidRDefault="004525E3" w:rsidP="009351CB">
            <w:pPr>
              <w:pStyle w:val="ListParagraph"/>
              <w:spacing w:line="360" w:lineRule="auto"/>
              <w:ind w:left="0"/>
              <w:jc w:val="both"/>
              <w:rPr>
                <w:color w:val="000000"/>
              </w:rPr>
            </w:pPr>
            <w:r w:rsidRPr="009351CB">
              <w:rPr>
                <w:color w:val="000000"/>
              </w:rPr>
              <w:t>Percentage implementation of the risk management plans</w:t>
            </w:r>
          </w:p>
        </w:tc>
        <w:tc>
          <w:tcPr>
            <w:tcW w:w="0" w:type="auto"/>
          </w:tcPr>
          <w:p w14:paraId="6B713993" w14:textId="77777777" w:rsidR="004525E3" w:rsidRPr="009351CB" w:rsidRDefault="004525E3" w:rsidP="009351CB">
            <w:pPr>
              <w:autoSpaceDE w:val="0"/>
              <w:autoSpaceDN w:val="0"/>
              <w:adjustRightInd w:val="0"/>
              <w:spacing w:line="360" w:lineRule="auto"/>
              <w:jc w:val="center"/>
              <w:rPr>
                <w:color w:val="000000"/>
              </w:rPr>
            </w:pPr>
            <w:r w:rsidRPr="009351CB">
              <w:rPr>
                <w:color w:val="000000"/>
              </w:rPr>
              <w:t>100%</w:t>
            </w:r>
          </w:p>
        </w:tc>
        <w:tc>
          <w:tcPr>
            <w:tcW w:w="0" w:type="auto"/>
          </w:tcPr>
          <w:p w14:paraId="71BAA5FA" w14:textId="77777777" w:rsidR="004525E3" w:rsidRPr="009351CB" w:rsidRDefault="004525E3" w:rsidP="009351CB">
            <w:pPr>
              <w:autoSpaceDE w:val="0"/>
              <w:autoSpaceDN w:val="0"/>
              <w:adjustRightInd w:val="0"/>
              <w:spacing w:line="360" w:lineRule="auto"/>
              <w:jc w:val="center"/>
              <w:rPr>
                <w:color w:val="000000"/>
              </w:rPr>
            </w:pPr>
            <w:r w:rsidRPr="009351CB">
              <w:rPr>
                <w:color w:val="000000"/>
              </w:rPr>
              <w:t>95%</w:t>
            </w:r>
          </w:p>
          <w:p w14:paraId="207E4D80" w14:textId="77777777" w:rsidR="004525E3" w:rsidRPr="009351CB" w:rsidRDefault="004525E3" w:rsidP="009351CB">
            <w:pPr>
              <w:autoSpaceDE w:val="0"/>
              <w:autoSpaceDN w:val="0"/>
              <w:adjustRightInd w:val="0"/>
              <w:spacing w:line="360" w:lineRule="auto"/>
              <w:jc w:val="center"/>
              <w:rPr>
                <w:color w:val="000000"/>
              </w:rPr>
            </w:pPr>
            <w:r w:rsidRPr="009351CB">
              <w:rPr>
                <w:color w:val="000000"/>
              </w:rPr>
              <w:t>(Target 100%)</w:t>
            </w:r>
          </w:p>
        </w:tc>
      </w:tr>
      <w:tr w:rsidR="004525E3" w:rsidRPr="009351CB" w14:paraId="75829D22" w14:textId="77777777" w:rsidTr="00F259CA">
        <w:tc>
          <w:tcPr>
            <w:tcW w:w="0" w:type="auto"/>
          </w:tcPr>
          <w:p w14:paraId="68FF1A29" w14:textId="77777777" w:rsidR="004525E3" w:rsidRPr="009351CB" w:rsidRDefault="004525E3" w:rsidP="009351CB">
            <w:pPr>
              <w:pStyle w:val="ListParagraph"/>
              <w:spacing w:line="360" w:lineRule="auto"/>
              <w:ind w:left="0"/>
              <w:jc w:val="both"/>
              <w:rPr>
                <w:color w:val="000000"/>
              </w:rPr>
            </w:pPr>
            <w:r w:rsidRPr="009351CB">
              <w:rPr>
                <w:color w:val="000000"/>
              </w:rPr>
              <w:t>100% resolution of audit findings</w:t>
            </w:r>
          </w:p>
        </w:tc>
        <w:tc>
          <w:tcPr>
            <w:tcW w:w="0" w:type="auto"/>
          </w:tcPr>
          <w:p w14:paraId="1D9B75D5" w14:textId="77777777" w:rsidR="004525E3" w:rsidRPr="009351CB" w:rsidRDefault="004525E3" w:rsidP="009351CB">
            <w:pPr>
              <w:autoSpaceDE w:val="0"/>
              <w:autoSpaceDN w:val="0"/>
              <w:adjustRightInd w:val="0"/>
              <w:spacing w:line="360" w:lineRule="auto"/>
              <w:jc w:val="center"/>
              <w:rPr>
                <w:color w:val="000000"/>
              </w:rPr>
            </w:pPr>
            <w:r w:rsidRPr="009351CB">
              <w:rPr>
                <w:color w:val="000000"/>
              </w:rPr>
              <w:t>91%</w:t>
            </w:r>
          </w:p>
        </w:tc>
        <w:tc>
          <w:tcPr>
            <w:tcW w:w="0" w:type="auto"/>
          </w:tcPr>
          <w:p w14:paraId="7004252C" w14:textId="77777777" w:rsidR="004525E3" w:rsidRPr="009351CB" w:rsidRDefault="004525E3" w:rsidP="009351CB">
            <w:pPr>
              <w:autoSpaceDE w:val="0"/>
              <w:autoSpaceDN w:val="0"/>
              <w:adjustRightInd w:val="0"/>
              <w:spacing w:line="360" w:lineRule="auto"/>
              <w:jc w:val="center"/>
              <w:rPr>
                <w:color w:val="000000"/>
              </w:rPr>
            </w:pPr>
            <w:r w:rsidRPr="009351CB">
              <w:rPr>
                <w:color w:val="000000"/>
              </w:rPr>
              <w:t>81%</w:t>
            </w:r>
          </w:p>
          <w:p w14:paraId="6A12FD0C" w14:textId="77777777" w:rsidR="004525E3" w:rsidRPr="009351CB" w:rsidRDefault="004525E3" w:rsidP="009351CB">
            <w:pPr>
              <w:autoSpaceDE w:val="0"/>
              <w:autoSpaceDN w:val="0"/>
              <w:adjustRightInd w:val="0"/>
              <w:spacing w:line="360" w:lineRule="auto"/>
              <w:jc w:val="center"/>
              <w:rPr>
                <w:color w:val="000000"/>
              </w:rPr>
            </w:pPr>
            <w:r w:rsidRPr="009351CB">
              <w:rPr>
                <w:color w:val="000000"/>
              </w:rPr>
              <w:t>(Target 100%)</w:t>
            </w:r>
          </w:p>
        </w:tc>
      </w:tr>
      <w:tr w:rsidR="006C23C8" w:rsidRPr="009351CB" w14:paraId="72459294" w14:textId="77777777" w:rsidTr="00F259CA">
        <w:tc>
          <w:tcPr>
            <w:tcW w:w="0" w:type="auto"/>
            <w:gridSpan w:val="3"/>
          </w:tcPr>
          <w:p w14:paraId="2ED31125" w14:textId="77777777" w:rsidR="006C23C8" w:rsidRPr="009351CB" w:rsidRDefault="006C23C8" w:rsidP="009351CB">
            <w:pPr>
              <w:autoSpaceDE w:val="0"/>
              <w:autoSpaceDN w:val="0"/>
              <w:adjustRightInd w:val="0"/>
              <w:spacing w:line="360" w:lineRule="auto"/>
              <w:jc w:val="center"/>
              <w:rPr>
                <w:b/>
                <w:color w:val="000000"/>
              </w:rPr>
            </w:pPr>
            <w:r w:rsidRPr="009351CB">
              <w:rPr>
                <w:b/>
                <w:color w:val="000000"/>
              </w:rPr>
              <w:t>Strategic Objective 2: Deepen the understanding of human rights to entrench a human rights culture</w:t>
            </w:r>
          </w:p>
        </w:tc>
      </w:tr>
      <w:tr w:rsidR="006C23C8" w:rsidRPr="009351CB" w14:paraId="0A995796" w14:textId="77777777" w:rsidTr="00F259CA">
        <w:tc>
          <w:tcPr>
            <w:tcW w:w="0" w:type="auto"/>
          </w:tcPr>
          <w:p w14:paraId="7215254F" w14:textId="77777777" w:rsidR="006C23C8" w:rsidRPr="009351CB" w:rsidRDefault="00D558BF" w:rsidP="009351CB">
            <w:pPr>
              <w:pStyle w:val="ListParagraph"/>
              <w:spacing w:line="360" w:lineRule="auto"/>
              <w:ind w:left="0"/>
              <w:jc w:val="both"/>
              <w:rPr>
                <w:color w:val="000000"/>
              </w:rPr>
            </w:pPr>
            <w:r w:rsidRPr="009351CB">
              <w:rPr>
                <w:color w:val="000000"/>
              </w:rPr>
              <w:t>778 outreach and key stakeholder engagements</w:t>
            </w:r>
          </w:p>
        </w:tc>
        <w:tc>
          <w:tcPr>
            <w:tcW w:w="0" w:type="auto"/>
          </w:tcPr>
          <w:p w14:paraId="3045371E" w14:textId="77777777" w:rsidR="006C23C8"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6A6057A2" w14:textId="77777777" w:rsidR="006C23C8" w:rsidRPr="009351CB" w:rsidRDefault="00CC5B5C" w:rsidP="009351CB">
            <w:pPr>
              <w:autoSpaceDE w:val="0"/>
              <w:autoSpaceDN w:val="0"/>
              <w:adjustRightInd w:val="0"/>
              <w:spacing w:line="360" w:lineRule="auto"/>
              <w:jc w:val="center"/>
              <w:rPr>
                <w:color w:val="000000"/>
              </w:rPr>
            </w:pPr>
            <w:r w:rsidRPr="009351CB">
              <w:rPr>
                <w:color w:val="000000"/>
              </w:rPr>
              <w:t>EXCEEDED</w:t>
            </w:r>
          </w:p>
          <w:p w14:paraId="0D0EC49C"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1 132</w:t>
            </w:r>
          </w:p>
        </w:tc>
      </w:tr>
      <w:tr w:rsidR="006C23C8" w:rsidRPr="009351CB" w14:paraId="305D7EEA" w14:textId="77777777" w:rsidTr="00F259CA">
        <w:tc>
          <w:tcPr>
            <w:tcW w:w="0" w:type="auto"/>
          </w:tcPr>
          <w:p w14:paraId="37C1D0D6" w14:textId="77777777" w:rsidR="006C23C8" w:rsidRPr="009351CB" w:rsidRDefault="00D558BF" w:rsidP="009351CB">
            <w:pPr>
              <w:pStyle w:val="ListParagraph"/>
              <w:spacing w:line="360" w:lineRule="auto"/>
              <w:ind w:left="0"/>
              <w:jc w:val="both"/>
              <w:rPr>
                <w:color w:val="000000"/>
              </w:rPr>
            </w:pPr>
            <w:r w:rsidRPr="009351CB">
              <w:rPr>
                <w:color w:val="000000"/>
              </w:rPr>
              <w:t>403 media and communication activities</w:t>
            </w:r>
          </w:p>
        </w:tc>
        <w:tc>
          <w:tcPr>
            <w:tcW w:w="0" w:type="auto"/>
          </w:tcPr>
          <w:p w14:paraId="21757630" w14:textId="77777777" w:rsidR="006C23C8"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3243DE1D" w14:textId="77777777" w:rsidR="006C23C8" w:rsidRPr="009351CB" w:rsidRDefault="00CC5B5C" w:rsidP="009351CB">
            <w:pPr>
              <w:autoSpaceDE w:val="0"/>
              <w:autoSpaceDN w:val="0"/>
              <w:adjustRightInd w:val="0"/>
              <w:spacing w:line="360" w:lineRule="auto"/>
              <w:jc w:val="center"/>
              <w:rPr>
                <w:color w:val="000000"/>
              </w:rPr>
            </w:pPr>
            <w:r w:rsidRPr="009351CB">
              <w:rPr>
                <w:color w:val="000000"/>
              </w:rPr>
              <w:t>EXCEEDED</w:t>
            </w:r>
          </w:p>
          <w:p w14:paraId="70ACCDBB"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3 847</w:t>
            </w:r>
          </w:p>
        </w:tc>
      </w:tr>
      <w:tr w:rsidR="006C23C8" w:rsidRPr="009351CB" w14:paraId="40DF93B0" w14:textId="77777777" w:rsidTr="00F259CA">
        <w:tc>
          <w:tcPr>
            <w:tcW w:w="0" w:type="auto"/>
          </w:tcPr>
          <w:p w14:paraId="0DDA93C7" w14:textId="77777777" w:rsidR="006C23C8" w:rsidRPr="009351CB" w:rsidRDefault="00D558BF" w:rsidP="009351CB">
            <w:pPr>
              <w:pStyle w:val="ListParagraph"/>
              <w:spacing w:line="360" w:lineRule="auto"/>
              <w:ind w:left="0"/>
              <w:jc w:val="both"/>
              <w:rPr>
                <w:color w:val="000000"/>
              </w:rPr>
            </w:pPr>
            <w:r w:rsidRPr="009351CB">
              <w:rPr>
                <w:color w:val="000000"/>
              </w:rPr>
              <w:t>100% implementation of the annual Know Your Constitution campaign</w:t>
            </w:r>
          </w:p>
        </w:tc>
        <w:tc>
          <w:tcPr>
            <w:tcW w:w="0" w:type="auto"/>
          </w:tcPr>
          <w:p w14:paraId="1563F8AF" w14:textId="77777777" w:rsidR="006C23C8"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37481EAD" w14:textId="77777777" w:rsidR="006C23C8" w:rsidRPr="009351CB" w:rsidRDefault="00CC5B5C" w:rsidP="009351CB">
            <w:pPr>
              <w:autoSpaceDE w:val="0"/>
              <w:autoSpaceDN w:val="0"/>
              <w:adjustRightInd w:val="0"/>
              <w:spacing w:line="360" w:lineRule="auto"/>
              <w:jc w:val="center"/>
              <w:rPr>
                <w:color w:val="000000"/>
              </w:rPr>
            </w:pPr>
            <w:r w:rsidRPr="009351CB">
              <w:rPr>
                <w:color w:val="000000"/>
              </w:rPr>
              <w:t>ACHIEVED</w:t>
            </w:r>
          </w:p>
          <w:p w14:paraId="64CDA92A"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100%</w:t>
            </w:r>
          </w:p>
        </w:tc>
      </w:tr>
      <w:tr w:rsidR="00CC5B5C" w:rsidRPr="009351CB" w14:paraId="77286181" w14:textId="77777777" w:rsidTr="00F259CA">
        <w:tc>
          <w:tcPr>
            <w:tcW w:w="0" w:type="auto"/>
            <w:gridSpan w:val="3"/>
          </w:tcPr>
          <w:p w14:paraId="5C31A233" w14:textId="77777777" w:rsidR="00CC5B5C" w:rsidRPr="009351CB" w:rsidRDefault="00CC5B5C" w:rsidP="009351CB">
            <w:pPr>
              <w:autoSpaceDE w:val="0"/>
              <w:autoSpaceDN w:val="0"/>
              <w:adjustRightInd w:val="0"/>
              <w:spacing w:line="360" w:lineRule="auto"/>
              <w:jc w:val="center"/>
              <w:rPr>
                <w:b/>
                <w:color w:val="000000"/>
              </w:rPr>
            </w:pPr>
            <w:r w:rsidRPr="009351CB">
              <w:rPr>
                <w:b/>
                <w:color w:val="000000"/>
              </w:rPr>
              <w:t>Strategic Objective 3: T</w:t>
            </w:r>
            <w:r w:rsidRPr="009351CB">
              <w:rPr>
                <w:b/>
                <w:color w:val="000000" w:themeColor="text1"/>
              </w:rPr>
              <w:t>ake steps to secure appropriate redress where human rights have been violated</w:t>
            </w:r>
          </w:p>
        </w:tc>
      </w:tr>
      <w:tr w:rsidR="00634C64" w:rsidRPr="009351CB" w14:paraId="3D406E6E" w14:textId="77777777" w:rsidTr="00F259CA">
        <w:tc>
          <w:tcPr>
            <w:tcW w:w="0" w:type="auto"/>
          </w:tcPr>
          <w:p w14:paraId="6331900A" w14:textId="77777777" w:rsidR="00634C64" w:rsidRPr="009351CB" w:rsidRDefault="00CC5B5C" w:rsidP="009351CB">
            <w:pPr>
              <w:pStyle w:val="ListParagraph"/>
              <w:spacing w:line="360" w:lineRule="auto"/>
              <w:ind w:left="0"/>
              <w:jc w:val="both"/>
              <w:rPr>
                <w:color w:val="000000" w:themeColor="text1"/>
              </w:rPr>
            </w:pPr>
            <w:r w:rsidRPr="009351CB">
              <w:rPr>
                <w:color w:val="000000" w:themeColor="text1"/>
              </w:rPr>
              <w:t>Finalisation of complaints and enquiries</w:t>
            </w:r>
          </w:p>
        </w:tc>
        <w:tc>
          <w:tcPr>
            <w:tcW w:w="0" w:type="auto"/>
          </w:tcPr>
          <w:p w14:paraId="7F6FCB56" w14:textId="77777777" w:rsidR="00634C64" w:rsidRPr="009351CB" w:rsidRDefault="00CC5B5C" w:rsidP="009351CB">
            <w:pPr>
              <w:autoSpaceDE w:val="0"/>
              <w:autoSpaceDN w:val="0"/>
              <w:adjustRightInd w:val="0"/>
              <w:spacing w:line="360" w:lineRule="auto"/>
              <w:jc w:val="center"/>
              <w:rPr>
                <w:color w:val="000000"/>
              </w:rPr>
            </w:pPr>
            <w:r w:rsidRPr="009351CB">
              <w:rPr>
                <w:color w:val="000000"/>
              </w:rPr>
              <w:t>NOT ACHIEVED</w:t>
            </w:r>
          </w:p>
        </w:tc>
        <w:tc>
          <w:tcPr>
            <w:tcW w:w="0" w:type="auto"/>
          </w:tcPr>
          <w:p w14:paraId="7ED89E2C" w14:textId="77777777" w:rsidR="00634C64" w:rsidRPr="009351CB" w:rsidRDefault="00CC5B5C" w:rsidP="009351CB">
            <w:pPr>
              <w:autoSpaceDE w:val="0"/>
              <w:autoSpaceDN w:val="0"/>
              <w:adjustRightInd w:val="0"/>
              <w:spacing w:line="360" w:lineRule="auto"/>
              <w:jc w:val="center"/>
              <w:rPr>
                <w:color w:val="000000"/>
              </w:rPr>
            </w:pPr>
            <w:r w:rsidRPr="009351CB">
              <w:rPr>
                <w:color w:val="000000"/>
              </w:rPr>
              <w:t>EXCEEDED</w:t>
            </w:r>
          </w:p>
          <w:p w14:paraId="5738E89B"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8 491 against a target of 8 229</w:t>
            </w:r>
          </w:p>
        </w:tc>
      </w:tr>
      <w:tr w:rsidR="004525E3" w:rsidRPr="009351CB" w14:paraId="0D2F5B40" w14:textId="77777777" w:rsidTr="00F259CA">
        <w:tc>
          <w:tcPr>
            <w:tcW w:w="0" w:type="auto"/>
          </w:tcPr>
          <w:p w14:paraId="6BD94FEB" w14:textId="77777777" w:rsidR="004525E3" w:rsidRPr="009351CB" w:rsidRDefault="00CC5B5C" w:rsidP="009351CB">
            <w:pPr>
              <w:pStyle w:val="ListParagraph"/>
              <w:spacing w:line="360" w:lineRule="auto"/>
              <w:ind w:left="0"/>
              <w:jc w:val="both"/>
              <w:rPr>
                <w:color w:val="000000"/>
              </w:rPr>
            </w:pPr>
            <w:r w:rsidRPr="009351CB">
              <w:rPr>
                <w:color w:val="000000"/>
              </w:rPr>
              <w:t>No. of strategic impact matters</w:t>
            </w:r>
          </w:p>
        </w:tc>
        <w:tc>
          <w:tcPr>
            <w:tcW w:w="0" w:type="auto"/>
          </w:tcPr>
          <w:p w14:paraId="0ADBE209" w14:textId="77777777" w:rsidR="004525E3"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307B29E5" w14:textId="77777777" w:rsidR="004525E3" w:rsidRPr="009351CB" w:rsidRDefault="00CC5B5C" w:rsidP="009351CB">
            <w:pPr>
              <w:autoSpaceDE w:val="0"/>
              <w:autoSpaceDN w:val="0"/>
              <w:adjustRightInd w:val="0"/>
              <w:spacing w:line="360" w:lineRule="auto"/>
              <w:jc w:val="center"/>
              <w:rPr>
                <w:color w:val="000000"/>
              </w:rPr>
            </w:pPr>
            <w:r w:rsidRPr="009351CB">
              <w:rPr>
                <w:color w:val="000000"/>
              </w:rPr>
              <w:t>EXCEEDED</w:t>
            </w:r>
          </w:p>
          <w:p w14:paraId="0002F9A2"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4 against a target of 2</w:t>
            </w:r>
          </w:p>
        </w:tc>
      </w:tr>
      <w:tr w:rsidR="00634C64" w:rsidRPr="009351CB" w14:paraId="6D7B7ECD" w14:textId="77777777" w:rsidTr="00F259CA">
        <w:tc>
          <w:tcPr>
            <w:tcW w:w="0" w:type="auto"/>
          </w:tcPr>
          <w:p w14:paraId="6CCC5DD9" w14:textId="77777777" w:rsidR="00634C64" w:rsidRPr="009351CB" w:rsidRDefault="00CC5B5C" w:rsidP="009351CB">
            <w:pPr>
              <w:autoSpaceDE w:val="0"/>
              <w:autoSpaceDN w:val="0"/>
              <w:adjustRightInd w:val="0"/>
              <w:spacing w:line="360" w:lineRule="auto"/>
              <w:rPr>
                <w:color w:val="000000"/>
              </w:rPr>
            </w:pPr>
            <w:r w:rsidRPr="009351CB">
              <w:rPr>
                <w:color w:val="000000"/>
              </w:rPr>
              <w:t>Completion of previous hearing reports</w:t>
            </w:r>
          </w:p>
        </w:tc>
        <w:tc>
          <w:tcPr>
            <w:tcW w:w="0" w:type="auto"/>
          </w:tcPr>
          <w:p w14:paraId="77392CF6" w14:textId="77777777" w:rsidR="00634C64"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677EC616" w14:textId="77777777" w:rsidR="00634C64" w:rsidRPr="009351CB" w:rsidRDefault="00CC5B5C" w:rsidP="009351CB">
            <w:pPr>
              <w:autoSpaceDE w:val="0"/>
              <w:autoSpaceDN w:val="0"/>
              <w:adjustRightInd w:val="0"/>
              <w:spacing w:line="360" w:lineRule="auto"/>
              <w:jc w:val="center"/>
              <w:rPr>
                <w:color w:val="000000"/>
              </w:rPr>
            </w:pPr>
            <w:r w:rsidRPr="009351CB">
              <w:rPr>
                <w:color w:val="000000"/>
              </w:rPr>
              <w:t>NOT ACHIEVED</w:t>
            </w:r>
          </w:p>
          <w:p w14:paraId="0582296A"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3 reports against a target of 5</w:t>
            </w:r>
          </w:p>
        </w:tc>
      </w:tr>
      <w:tr w:rsidR="00CC5B5C" w:rsidRPr="009351CB" w14:paraId="1B9F413C" w14:textId="77777777" w:rsidTr="00F259CA">
        <w:tc>
          <w:tcPr>
            <w:tcW w:w="0" w:type="auto"/>
            <w:gridSpan w:val="3"/>
          </w:tcPr>
          <w:p w14:paraId="35BC80A0" w14:textId="77777777" w:rsidR="00CC5B5C" w:rsidRPr="009351CB" w:rsidRDefault="00CC5B5C" w:rsidP="009351CB">
            <w:pPr>
              <w:autoSpaceDE w:val="0"/>
              <w:autoSpaceDN w:val="0"/>
              <w:adjustRightInd w:val="0"/>
              <w:spacing w:line="360" w:lineRule="auto"/>
              <w:jc w:val="center"/>
              <w:rPr>
                <w:b/>
                <w:color w:val="000000"/>
              </w:rPr>
            </w:pPr>
            <w:r w:rsidRPr="009351CB">
              <w:rPr>
                <w:b/>
                <w:color w:val="000000"/>
              </w:rPr>
              <w:t xml:space="preserve">Strategic Objective 4: </w:t>
            </w:r>
            <w:r w:rsidRPr="009351CB">
              <w:rPr>
                <w:b/>
                <w:color w:val="000000" w:themeColor="text1"/>
              </w:rPr>
              <w:t>Conduct research to monitor and assess and report on the observance of human rights</w:t>
            </w:r>
          </w:p>
        </w:tc>
      </w:tr>
      <w:tr w:rsidR="00634C64" w:rsidRPr="009351CB" w14:paraId="06907DCF" w14:textId="77777777" w:rsidTr="00F259CA">
        <w:tc>
          <w:tcPr>
            <w:tcW w:w="0" w:type="auto"/>
          </w:tcPr>
          <w:p w14:paraId="47965CBC" w14:textId="77777777" w:rsidR="00634C64" w:rsidRPr="009351CB" w:rsidRDefault="00CC5B5C" w:rsidP="009351CB">
            <w:pPr>
              <w:autoSpaceDE w:val="0"/>
              <w:autoSpaceDN w:val="0"/>
              <w:adjustRightInd w:val="0"/>
              <w:spacing w:line="360" w:lineRule="auto"/>
              <w:rPr>
                <w:color w:val="000000"/>
              </w:rPr>
            </w:pPr>
            <w:r w:rsidRPr="009351CB">
              <w:rPr>
                <w:color w:val="000000"/>
              </w:rPr>
              <w:t>Completion of state of human rights in South Africa report</w:t>
            </w:r>
          </w:p>
        </w:tc>
        <w:tc>
          <w:tcPr>
            <w:tcW w:w="0" w:type="auto"/>
          </w:tcPr>
          <w:p w14:paraId="6E706C24" w14:textId="77777777" w:rsidR="00634C64" w:rsidRPr="009351CB" w:rsidRDefault="00CC5B5C" w:rsidP="009351CB">
            <w:pPr>
              <w:autoSpaceDE w:val="0"/>
              <w:autoSpaceDN w:val="0"/>
              <w:adjustRightInd w:val="0"/>
              <w:spacing w:line="360" w:lineRule="auto"/>
              <w:jc w:val="center"/>
              <w:rPr>
                <w:color w:val="000000"/>
              </w:rPr>
            </w:pPr>
            <w:r w:rsidRPr="009351CB">
              <w:rPr>
                <w:color w:val="000000"/>
              </w:rPr>
              <w:t>1</w:t>
            </w:r>
          </w:p>
        </w:tc>
        <w:tc>
          <w:tcPr>
            <w:tcW w:w="0" w:type="auto"/>
          </w:tcPr>
          <w:p w14:paraId="69F184BB" w14:textId="77777777" w:rsidR="00634C64" w:rsidRPr="009351CB" w:rsidRDefault="00CC5B5C" w:rsidP="009351CB">
            <w:pPr>
              <w:autoSpaceDE w:val="0"/>
              <w:autoSpaceDN w:val="0"/>
              <w:adjustRightInd w:val="0"/>
              <w:spacing w:line="360" w:lineRule="auto"/>
              <w:jc w:val="center"/>
              <w:rPr>
                <w:color w:val="000000"/>
              </w:rPr>
            </w:pPr>
            <w:r w:rsidRPr="009351CB">
              <w:rPr>
                <w:color w:val="000000"/>
              </w:rPr>
              <w:t>ACHIEVED</w:t>
            </w:r>
          </w:p>
          <w:p w14:paraId="717DEA40"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Report completed</w:t>
            </w:r>
          </w:p>
        </w:tc>
      </w:tr>
      <w:tr w:rsidR="00CC5B5C" w:rsidRPr="009351CB" w14:paraId="712B4796" w14:textId="77777777" w:rsidTr="00F259CA">
        <w:tc>
          <w:tcPr>
            <w:tcW w:w="0" w:type="auto"/>
          </w:tcPr>
          <w:p w14:paraId="703718AE" w14:textId="77777777" w:rsidR="00CC5B5C" w:rsidRPr="009351CB" w:rsidRDefault="00CC5B5C" w:rsidP="009351CB">
            <w:pPr>
              <w:autoSpaceDE w:val="0"/>
              <w:autoSpaceDN w:val="0"/>
              <w:adjustRightInd w:val="0"/>
              <w:spacing w:line="360" w:lineRule="auto"/>
              <w:rPr>
                <w:color w:val="000000"/>
              </w:rPr>
            </w:pPr>
            <w:r w:rsidRPr="009351CB">
              <w:rPr>
                <w:color w:val="000000"/>
              </w:rPr>
              <w:t>Completion of SAHRC section 184(3) economic and social rights briefs</w:t>
            </w:r>
          </w:p>
        </w:tc>
        <w:tc>
          <w:tcPr>
            <w:tcW w:w="0" w:type="auto"/>
          </w:tcPr>
          <w:p w14:paraId="0CBACB0B"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750C13F9"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ACHIEVED</w:t>
            </w:r>
          </w:p>
          <w:p w14:paraId="6B673363"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3 research briefs completed</w:t>
            </w:r>
          </w:p>
        </w:tc>
      </w:tr>
      <w:tr w:rsidR="00CC5B5C" w:rsidRPr="009351CB" w14:paraId="500E6C25" w14:textId="77777777" w:rsidTr="00F259CA">
        <w:tc>
          <w:tcPr>
            <w:tcW w:w="0" w:type="auto"/>
          </w:tcPr>
          <w:p w14:paraId="2466319E" w14:textId="77777777" w:rsidR="00CC5B5C" w:rsidRPr="009351CB" w:rsidRDefault="00CC5B5C" w:rsidP="009351CB">
            <w:pPr>
              <w:autoSpaceDE w:val="0"/>
              <w:autoSpaceDN w:val="0"/>
              <w:adjustRightInd w:val="0"/>
              <w:spacing w:line="360" w:lineRule="auto"/>
              <w:rPr>
                <w:color w:val="000000"/>
              </w:rPr>
            </w:pPr>
            <w:r w:rsidRPr="009351CB">
              <w:rPr>
                <w:color w:val="000000"/>
              </w:rPr>
              <w:t>Host 4 seminars</w:t>
            </w:r>
          </w:p>
        </w:tc>
        <w:tc>
          <w:tcPr>
            <w:tcW w:w="0" w:type="auto"/>
          </w:tcPr>
          <w:p w14:paraId="7F8A3211"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73AFB4CD"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NT ACHIEVED</w:t>
            </w:r>
          </w:p>
          <w:p w14:paraId="36B81BC7"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3 seminars held</w:t>
            </w:r>
          </w:p>
        </w:tc>
      </w:tr>
      <w:tr w:rsidR="00CC5B5C" w:rsidRPr="009351CB" w14:paraId="6068A631" w14:textId="77777777" w:rsidTr="00F259CA">
        <w:tc>
          <w:tcPr>
            <w:tcW w:w="0" w:type="auto"/>
          </w:tcPr>
          <w:p w14:paraId="5457B2E3" w14:textId="77777777" w:rsidR="00CC5B5C" w:rsidRPr="009351CB" w:rsidRDefault="00CC5B5C" w:rsidP="009351CB">
            <w:pPr>
              <w:autoSpaceDE w:val="0"/>
              <w:autoSpaceDN w:val="0"/>
              <w:adjustRightInd w:val="0"/>
              <w:spacing w:line="360" w:lineRule="auto"/>
              <w:rPr>
                <w:color w:val="000000"/>
              </w:rPr>
            </w:pPr>
            <w:r w:rsidRPr="009351CB">
              <w:rPr>
                <w:color w:val="000000"/>
              </w:rPr>
              <w:t>Percentage submissions of NHRI reports to supranational bodies</w:t>
            </w:r>
          </w:p>
        </w:tc>
        <w:tc>
          <w:tcPr>
            <w:tcW w:w="0" w:type="auto"/>
          </w:tcPr>
          <w:p w14:paraId="43769A70"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ACHIEVED</w:t>
            </w:r>
          </w:p>
        </w:tc>
        <w:tc>
          <w:tcPr>
            <w:tcW w:w="0" w:type="auto"/>
          </w:tcPr>
          <w:p w14:paraId="380F8AB6"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ACHIEVED</w:t>
            </w:r>
          </w:p>
          <w:p w14:paraId="474941A8"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100%/14 submissions</w:t>
            </w:r>
          </w:p>
        </w:tc>
      </w:tr>
      <w:tr w:rsidR="00CC5B5C" w:rsidRPr="009351CB" w14:paraId="3B87888E" w14:textId="77777777" w:rsidTr="00F259CA">
        <w:tc>
          <w:tcPr>
            <w:tcW w:w="0" w:type="auto"/>
          </w:tcPr>
          <w:p w14:paraId="29BC8FAD" w14:textId="77777777" w:rsidR="00CC5B5C" w:rsidRPr="009351CB" w:rsidRDefault="00CC5B5C" w:rsidP="009351CB">
            <w:pPr>
              <w:autoSpaceDE w:val="0"/>
              <w:autoSpaceDN w:val="0"/>
              <w:adjustRightInd w:val="0"/>
              <w:spacing w:line="360" w:lineRule="auto"/>
              <w:rPr>
                <w:color w:val="000000"/>
              </w:rPr>
            </w:pPr>
            <w:r w:rsidRPr="009351CB">
              <w:rPr>
                <w:color w:val="000000"/>
              </w:rPr>
              <w:t>Monitoring the implementation of report recommendations</w:t>
            </w:r>
          </w:p>
        </w:tc>
        <w:tc>
          <w:tcPr>
            <w:tcW w:w="0" w:type="auto"/>
          </w:tcPr>
          <w:p w14:paraId="41E0AC93"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w:t>
            </w:r>
          </w:p>
        </w:tc>
        <w:tc>
          <w:tcPr>
            <w:tcW w:w="0" w:type="auto"/>
          </w:tcPr>
          <w:p w14:paraId="63495D3D"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ACHIEVED</w:t>
            </w:r>
          </w:p>
          <w:p w14:paraId="108AE533" w14:textId="77777777" w:rsidR="00CC5B5C" w:rsidRPr="009351CB" w:rsidRDefault="00CC5B5C" w:rsidP="009351CB">
            <w:pPr>
              <w:autoSpaceDE w:val="0"/>
              <w:autoSpaceDN w:val="0"/>
              <w:adjustRightInd w:val="0"/>
              <w:spacing w:line="360" w:lineRule="auto"/>
              <w:jc w:val="center"/>
              <w:rPr>
                <w:color w:val="000000"/>
              </w:rPr>
            </w:pPr>
            <w:r w:rsidRPr="009351CB">
              <w:rPr>
                <w:color w:val="000000"/>
              </w:rPr>
              <w:t>1 report completed</w:t>
            </w:r>
          </w:p>
        </w:tc>
      </w:tr>
    </w:tbl>
    <w:p w14:paraId="598E7DCF" w14:textId="77777777" w:rsidR="004908DA" w:rsidRPr="009351CB" w:rsidRDefault="004908DA" w:rsidP="009351CB">
      <w:pPr>
        <w:pStyle w:val="ListParagraph"/>
        <w:spacing w:line="360" w:lineRule="auto"/>
        <w:jc w:val="both"/>
        <w:rPr>
          <w:color w:val="000000" w:themeColor="text1"/>
        </w:rPr>
      </w:pPr>
    </w:p>
    <w:p w14:paraId="4A7D6051" w14:textId="77777777" w:rsidR="00106280" w:rsidRPr="009351CB" w:rsidRDefault="00106280" w:rsidP="004F6019">
      <w:pPr>
        <w:pStyle w:val="ListParagraph"/>
        <w:numPr>
          <w:ilvl w:val="2"/>
          <w:numId w:val="28"/>
        </w:numPr>
        <w:spacing w:line="360" w:lineRule="auto"/>
        <w:jc w:val="both"/>
      </w:pPr>
      <w:r w:rsidRPr="009351CB">
        <w:t xml:space="preserve">Key </w:t>
      </w:r>
      <w:r w:rsidR="002624A6" w:rsidRPr="009351CB">
        <w:t xml:space="preserve">reported </w:t>
      </w:r>
      <w:r w:rsidRPr="009351CB">
        <w:t>achi</w:t>
      </w:r>
      <w:r w:rsidR="001A6FAC" w:rsidRPr="009351CB">
        <w:t>e</w:t>
      </w:r>
      <w:r w:rsidRPr="009351CB">
        <w:t>vements</w:t>
      </w:r>
      <w:r w:rsidR="00E867F6" w:rsidRPr="009351CB">
        <w:t xml:space="preserve"> </w:t>
      </w:r>
      <w:r w:rsidRPr="009351CB">
        <w:t>for 201</w:t>
      </w:r>
      <w:r w:rsidR="0004291B" w:rsidRPr="009351CB">
        <w:t>8/19</w:t>
      </w:r>
      <w:r w:rsidRPr="009351CB">
        <w:t xml:space="preserve"> include:</w:t>
      </w:r>
    </w:p>
    <w:p w14:paraId="46E4CF67" w14:textId="77777777" w:rsidR="00106280" w:rsidRPr="009351CB" w:rsidRDefault="004908DA" w:rsidP="004F6019">
      <w:pPr>
        <w:numPr>
          <w:ilvl w:val="0"/>
          <w:numId w:val="4"/>
        </w:numPr>
        <w:spacing w:line="360" w:lineRule="auto"/>
        <w:jc w:val="both"/>
        <w:rPr>
          <w:color w:val="000000" w:themeColor="text1"/>
        </w:rPr>
      </w:pPr>
      <w:r w:rsidRPr="009351CB">
        <w:rPr>
          <w:color w:val="000000" w:themeColor="text1"/>
        </w:rPr>
        <w:t>The top five ‘human rights’ complaints lodged with the Commission in remain unchanged from the previous f</w:t>
      </w:r>
      <w:r w:rsidR="0004291B" w:rsidRPr="009351CB">
        <w:rPr>
          <w:color w:val="000000" w:themeColor="text1"/>
        </w:rPr>
        <w:t xml:space="preserve">inancial year namely: equality (particularly racism); health care, food, water and </w:t>
      </w:r>
      <w:r w:rsidRPr="009351CB">
        <w:rPr>
          <w:color w:val="000000" w:themeColor="text1"/>
        </w:rPr>
        <w:t>social security</w:t>
      </w:r>
      <w:r w:rsidR="0004291B" w:rsidRPr="009351CB">
        <w:rPr>
          <w:color w:val="000000" w:themeColor="text1"/>
        </w:rPr>
        <w:t>;</w:t>
      </w:r>
      <w:r w:rsidRPr="009351CB">
        <w:rPr>
          <w:color w:val="000000" w:themeColor="text1"/>
        </w:rPr>
        <w:t xml:space="preserve"> </w:t>
      </w:r>
      <w:r w:rsidR="0004291B" w:rsidRPr="009351CB">
        <w:rPr>
          <w:color w:val="000000" w:themeColor="text1"/>
        </w:rPr>
        <w:t xml:space="preserve">human dignity; labour relations; and </w:t>
      </w:r>
      <w:r w:rsidRPr="009351CB">
        <w:rPr>
          <w:color w:val="000000" w:themeColor="text1"/>
        </w:rPr>
        <w:t xml:space="preserve">just </w:t>
      </w:r>
      <w:r w:rsidR="001A6FAC" w:rsidRPr="009351CB">
        <w:rPr>
          <w:color w:val="000000" w:themeColor="text1"/>
        </w:rPr>
        <w:t>administrative action</w:t>
      </w:r>
      <w:r w:rsidRPr="009351CB">
        <w:rPr>
          <w:color w:val="000000" w:themeColor="text1"/>
        </w:rPr>
        <w:t xml:space="preserve">. </w:t>
      </w:r>
    </w:p>
    <w:p w14:paraId="52F5834D" w14:textId="77777777" w:rsidR="0004291B" w:rsidRPr="009351CB" w:rsidRDefault="0004291B" w:rsidP="004F6019">
      <w:pPr>
        <w:numPr>
          <w:ilvl w:val="0"/>
          <w:numId w:val="4"/>
        </w:numPr>
        <w:spacing w:line="360" w:lineRule="auto"/>
        <w:jc w:val="both"/>
        <w:rPr>
          <w:color w:val="000000" w:themeColor="text1"/>
        </w:rPr>
      </w:pPr>
      <w:r w:rsidRPr="009351CB">
        <w:rPr>
          <w:color w:val="000000" w:themeColor="text1"/>
        </w:rPr>
        <w:t>A total of 8 491 of 10 448 complaints and enquires received were finalised.</w:t>
      </w:r>
    </w:p>
    <w:p w14:paraId="2FBAF57E" w14:textId="77777777" w:rsidR="00B72F85" w:rsidRPr="009351CB" w:rsidRDefault="00B72F85" w:rsidP="004F6019">
      <w:pPr>
        <w:numPr>
          <w:ilvl w:val="0"/>
          <w:numId w:val="4"/>
        </w:numPr>
        <w:spacing w:line="360" w:lineRule="auto"/>
        <w:jc w:val="both"/>
        <w:rPr>
          <w:i/>
          <w:iCs/>
        </w:rPr>
      </w:pPr>
      <w:r w:rsidRPr="009351CB">
        <w:rPr>
          <w:color w:val="000000" w:themeColor="text1"/>
        </w:rPr>
        <w:t>A total of 72 cases were instituted in the Equality Courts.</w:t>
      </w:r>
    </w:p>
    <w:p w14:paraId="3268B86B" w14:textId="040A2A22" w:rsidR="004908DA" w:rsidRPr="009351CB" w:rsidRDefault="00B72F85" w:rsidP="004F6019">
      <w:pPr>
        <w:numPr>
          <w:ilvl w:val="0"/>
          <w:numId w:val="4"/>
        </w:numPr>
        <w:spacing w:line="360" w:lineRule="auto"/>
        <w:jc w:val="both"/>
        <w:rPr>
          <w:i/>
          <w:iCs/>
        </w:rPr>
      </w:pPr>
      <w:r w:rsidRPr="009351CB">
        <w:rPr>
          <w:color w:val="000000" w:themeColor="text1"/>
        </w:rPr>
        <w:t xml:space="preserve">Research briefs were completed on </w:t>
      </w:r>
      <w:r w:rsidR="009D28E2" w:rsidRPr="009351CB">
        <w:rPr>
          <w:color w:val="000000" w:themeColor="text1"/>
        </w:rPr>
        <w:t xml:space="preserve">the following: </w:t>
      </w:r>
      <w:r w:rsidRPr="009351CB">
        <w:rPr>
          <w:color w:val="000000" w:themeColor="text1"/>
        </w:rPr>
        <w:t>Land, gender and socio-economic rights; Equitable access to land; Structural violence a</w:t>
      </w:r>
      <w:r w:rsidR="009D28E2" w:rsidRPr="009351CB">
        <w:rPr>
          <w:color w:val="000000" w:themeColor="text1"/>
        </w:rPr>
        <w:t>n</w:t>
      </w:r>
      <w:r w:rsidRPr="009351CB">
        <w:rPr>
          <w:color w:val="000000" w:themeColor="text1"/>
        </w:rPr>
        <w:t xml:space="preserve">d exclusion: Interrogating the issue of urban land occupation in South Africa; and Sustainable Development Goals and the role of National Human Rights Institutions. </w:t>
      </w:r>
    </w:p>
    <w:p w14:paraId="7677ABF2" w14:textId="77777777" w:rsidR="004908DA" w:rsidRPr="009351CB" w:rsidRDefault="0004291B" w:rsidP="004F6019">
      <w:pPr>
        <w:numPr>
          <w:ilvl w:val="0"/>
          <w:numId w:val="4"/>
        </w:numPr>
        <w:spacing w:line="360" w:lineRule="auto"/>
        <w:jc w:val="both"/>
        <w:rPr>
          <w:color w:val="000000" w:themeColor="text1"/>
        </w:rPr>
      </w:pPr>
      <w:r w:rsidRPr="009351CB">
        <w:rPr>
          <w:color w:val="000000" w:themeColor="text1"/>
        </w:rPr>
        <w:t>Three</w:t>
      </w:r>
      <w:r w:rsidR="004908DA" w:rsidRPr="009351CB">
        <w:rPr>
          <w:color w:val="000000" w:themeColor="text1"/>
        </w:rPr>
        <w:t xml:space="preserve"> investigative hearings </w:t>
      </w:r>
      <w:r w:rsidRPr="009351CB">
        <w:rPr>
          <w:color w:val="000000" w:themeColor="text1"/>
        </w:rPr>
        <w:t>reports were completed: the status of mental healthcare in South Africa; the lack of safety and security measures in schools for children with disabilities; and land.</w:t>
      </w:r>
    </w:p>
    <w:p w14:paraId="680C6344" w14:textId="763865CC" w:rsidR="00B72F85" w:rsidRPr="009351CB" w:rsidRDefault="00B72F85" w:rsidP="009351CB">
      <w:pPr>
        <w:spacing w:line="360" w:lineRule="auto"/>
        <w:ind w:left="928"/>
        <w:jc w:val="both"/>
      </w:pPr>
    </w:p>
    <w:p w14:paraId="12AD3915" w14:textId="77777777" w:rsidR="00B72F85" w:rsidRPr="009351CB" w:rsidRDefault="00E37205" w:rsidP="004F6019">
      <w:pPr>
        <w:numPr>
          <w:ilvl w:val="1"/>
          <w:numId w:val="28"/>
        </w:numPr>
        <w:spacing w:line="360" w:lineRule="auto"/>
        <w:jc w:val="both"/>
        <w:rPr>
          <w:b/>
        </w:rPr>
      </w:pPr>
      <w:r w:rsidRPr="009351CB">
        <w:rPr>
          <w:b/>
        </w:rPr>
        <w:t>Budget 2019/20</w:t>
      </w:r>
    </w:p>
    <w:p w14:paraId="1A73A57C" w14:textId="77777777" w:rsidR="00847D8F" w:rsidRPr="009351CB" w:rsidRDefault="00847D8F" w:rsidP="009351CB">
      <w:pPr>
        <w:pStyle w:val="Default"/>
        <w:spacing w:line="360" w:lineRule="auto"/>
        <w:rPr>
          <w:rFonts w:ascii="Times New Roman" w:hAnsi="Times New Roman" w:cs="Times New Roman"/>
        </w:rPr>
      </w:pPr>
    </w:p>
    <w:p w14:paraId="61A04B21" w14:textId="77777777" w:rsidR="00847D8F" w:rsidRPr="009351CB" w:rsidRDefault="00847D8F" w:rsidP="004F6019">
      <w:pPr>
        <w:pStyle w:val="ListParagraph"/>
        <w:numPr>
          <w:ilvl w:val="2"/>
          <w:numId w:val="28"/>
        </w:numPr>
        <w:spacing w:line="360" w:lineRule="auto"/>
        <w:jc w:val="both"/>
        <w:rPr>
          <w:bCs/>
        </w:rPr>
      </w:pPr>
      <w:r w:rsidRPr="009351CB">
        <w:t>The</w:t>
      </w:r>
      <w:r w:rsidRPr="009351CB">
        <w:rPr>
          <w:bCs/>
        </w:rPr>
        <w:t xml:space="preserve"> Commission has a total budget of R189.7</w:t>
      </w:r>
      <w:r w:rsidR="00E37205" w:rsidRPr="009351CB">
        <w:rPr>
          <w:bCs/>
        </w:rPr>
        <w:t xml:space="preserve"> </w:t>
      </w:r>
      <w:r w:rsidRPr="009351CB">
        <w:rPr>
          <w:bCs/>
        </w:rPr>
        <w:t>m</w:t>
      </w:r>
      <w:r w:rsidR="00E37205" w:rsidRPr="009351CB">
        <w:rPr>
          <w:bCs/>
        </w:rPr>
        <w:t>illion</w:t>
      </w:r>
      <w:r w:rsidRPr="009351CB">
        <w:rPr>
          <w:bCs/>
        </w:rPr>
        <w:t xml:space="preserve"> for 2019/20. A significant portion (69% or R130.9m) of the budget is allocated to cover personnel costs, reduced from 72% last year. A total of R45.6 million or 24% of the budget for 2019/20 is allocated to Corporate Support Committed Costs and only 7% or R13.2m of the budget is allocated to the Commission’s core operations. </w:t>
      </w:r>
      <w:r w:rsidRPr="009351CB">
        <w:t>The greatest part of the allocation for operation/corporate costs is already committed, including accommodation and municipal charges; supply chain; IT related costs; human resource related costs and auditing fees.</w:t>
      </w:r>
    </w:p>
    <w:p w14:paraId="5D6F1CF5" w14:textId="77777777" w:rsidR="00E37205" w:rsidRPr="009351CB" w:rsidRDefault="00E37205" w:rsidP="009351CB">
      <w:pPr>
        <w:pStyle w:val="ListParagraph"/>
        <w:spacing w:line="360" w:lineRule="auto"/>
        <w:jc w:val="both"/>
        <w:rPr>
          <w:bCs/>
        </w:rPr>
      </w:pPr>
    </w:p>
    <w:p w14:paraId="0AB6D965" w14:textId="77777777" w:rsidR="00E37205" w:rsidRPr="009351CB" w:rsidRDefault="00E37205" w:rsidP="009351CB">
      <w:pPr>
        <w:pStyle w:val="BodySingle"/>
        <w:spacing w:line="360" w:lineRule="auto"/>
        <w:ind w:left="540"/>
        <w:rPr>
          <w:rFonts w:ascii="Times New Roman" w:hAnsi="Times New Roman"/>
          <w:i w:val="0"/>
          <w:sz w:val="24"/>
          <w:szCs w:val="24"/>
        </w:rPr>
      </w:pPr>
    </w:p>
    <w:p w14:paraId="23BEAADF" w14:textId="77777777" w:rsidR="00106280" w:rsidRPr="009351CB" w:rsidRDefault="00106280" w:rsidP="004F6019">
      <w:pPr>
        <w:pStyle w:val="BodySingle"/>
        <w:numPr>
          <w:ilvl w:val="0"/>
          <w:numId w:val="28"/>
        </w:numPr>
        <w:spacing w:line="360" w:lineRule="auto"/>
        <w:rPr>
          <w:rFonts w:ascii="Times New Roman" w:hAnsi="Times New Roman"/>
          <w:i w:val="0"/>
          <w:sz w:val="24"/>
          <w:szCs w:val="24"/>
        </w:rPr>
      </w:pPr>
      <w:r w:rsidRPr="009351CB">
        <w:rPr>
          <w:rFonts w:ascii="Times New Roman" w:hAnsi="Times New Roman"/>
          <w:b/>
          <w:i w:val="0"/>
          <w:sz w:val="24"/>
          <w:szCs w:val="24"/>
          <w:lang w:val="en-ZA"/>
        </w:rPr>
        <w:t xml:space="preserve">Public Protector South Africa </w:t>
      </w:r>
      <w:r w:rsidR="00E867F6" w:rsidRPr="009351CB">
        <w:rPr>
          <w:rFonts w:ascii="Times New Roman" w:hAnsi="Times New Roman"/>
          <w:b/>
          <w:i w:val="0"/>
          <w:sz w:val="24"/>
          <w:szCs w:val="24"/>
          <w:lang w:val="en-ZA"/>
        </w:rPr>
        <w:t xml:space="preserve">(PPSA) </w:t>
      </w:r>
    </w:p>
    <w:p w14:paraId="64ADE2CF" w14:textId="77777777" w:rsidR="00106280" w:rsidRPr="009351CB" w:rsidRDefault="00106280" w:rsidP="009351CB">
      <w:pPr>
        <w:spacing w:line="360" w:lineRule="auto"/>
        <w:jc w:val="both"/>
      </w:pPr>
    </w:p>
    <w:p w14:paraId="7DE30912" w14:textId="734E069C" w:rsidR="00860821" w:rsidRPr="009351CB" w:rsidRDefault="00860821" w:rsidP="004F6019">
      <w:pPr>
        <w:pStyle w:val="ListParagraph"/>
        <w:numPr>
          <w:ilvl w:val="1"/>
          <w:numId w:val="29"/>
        </w:numPr>
        <w:spacing w:line="360" w:lineRule="auto"/>
        <w:ind w:left="709" w:hanging="709"/>
        <w:jc w:val="both"/>
      </w:pPr>
      <w:r w:rsidRPr="00E20A8C">
        <w:rPr>
          <w:bCs/>
        </w:rPr>
        <w:t xml:space="preserve">The Public Protector </w:t>
      </w:r>
      <w:r w:rsidRPr="009351CB">
        <w:t xml:space="preserve">is an </w:t>
      </w:r>
      <w:r w:rsidRPr="00E20A8C">
        <w:rPr>
          <w:bCs/>
        </w:rPr>
        <w:t>independent constitutional institution whose mandate</w:t>
      </w:r>
      <w:r w:rsidRPr="009351CB">
        <w:t>, broadly, is to support and strengthen constitutional democracy by investigating maladministration or improper conduct in state affairs or the public administration in any sphere of government and to take appropriate remedial action. The Constitution also states that the Public Protector must be accessible to all persons and communities.</w:t>
      </w:r>
    </w:p>
    <w:p w14:paraId="09DFEAA2" w14:textId="77777777" w:rsidR="00E867F6" w:rsidRPr="009351CB" w:rsidRDefault="00E867F6" w:rsidP="009351CB">
      <w:pPr>
        <w:spacing w:line="360" w:lineRule="auto"/>
        <w:ind w:left="720"/>
        <w:jc w:val="both"/>
      </w:pPr>
    </w:p>
    <w:p w14:paraId="6E38FC53" w14:textId="77777777" w:rsidR="008432C1" w:rsidRPr="009351CB" w:rsidRDefault="00E867F6" w:rsidP="004F6019">
      <w:pPr>
        <w:pStyle w:val="ListParagraph"/>
        <w:numPr>
          <w:ilvl w:val="1"/>
          <w:numId w:val="29"/>
        </w:numPr>
        <w:spacing w:line="360" w:lineRule="auto"/>
        <w:ind w:left="709" w:hanging="709"/>
        <w:jc w:val="both"/>
      </w:pPr>
      <w:r w:rsidRPr="00E20A8C">
        <w:rPr>
          <w:b/>
          <w:bCs/>
        </w:rPr>
        <w:t>Huma</w:t>
      </w:r>
      <w:r w:rsidRPr="00E20A8C">
        <w:rPr>
          <w:bCs/>
        </w:rPr>
        <w:t>n</w:t>
      </w:r>
      <w:r w:rsidRPr="009351CB">
        <w:rPr>
          <w:b/>
        </w:rPr>
        <w:t xml:space="preserve"> resources</w:t>
      </w:r>
      <w:r w:rsidR="00EE2DD7" w:rsidRPr="009351CB">
        <w:rPr>
          <w:b/>
        </w:rPr>
        <w:t xml:space="preserve">. </w:t>
      </w:r>
      <w:r w:rsidR="001D62B7" w:rsidRPr="009351CB">
        <w:t xml:space="preserve">In </w:t>
      </w:r>
      <w:r w:rsidR="008D1B0B" w:rsidRPr="009351CB">
        <w:t xml:space="preserve">2018/19, at year end, the PPSA had 346 employees of 365 approved posts with a 5.2% vacancy rate (19 vacancies) (in comparison with </w:t>
      </w:r>
      <w:r w:rsidR="001D62B7" w:rsidRPr="009351CB">
        <w:t>201</w:t>
      </w:r>
      <w:r w:rsidR="008432C1" w:rsidRPr="009351CB">
        <w:t>7</w:t>
      </w:r>
      <w:r w:rsidR="001D62B7" w:rsidRPr="009351CB">
        <w:t>/18</w:t>
      </w:r>
      <w:r w:rsidR="008432C1" w:rsidRPr="009351CB">
        <w:t>,</w:t>
      </w:r>
      <w:r w:rsidR="008D1B0B" w:rsidRPr="009351CB">
        <w:t xml:space="preserve"> when at year-end</w:t>
      </w:r>
      <w:r w:rsidR="008432C1" w:rsidRPr="009351CB">
        <w:t xml:space="preserve"> the PPSA had </w:t>
      </w:r>
      <w:r w:rsidR="001D62B7" w:rsidRPr="009351CB">
        <w:t xml:space="preserve">361 employees </w:t>
      </w:r>
      <w:r w:rsidR="008D1B0B" w:rsidRPr="009351CB">
        <w:t>of 389 approved posts</w:t>
      </w:r>
      <w:r w:rsidR="001D62B7" w:rsidRPr="009351CB">
        <w:t xml:space="preserve"> </w:t>
      </w:r>
      <w:r w:rsidR="008432C1" w:rsidRPr="009351CB">
        <w:t xml:space="preserve">with a vacancy rate of </w:t>
      </w:r>
      <w:r w:rsidR="001D62B7" w:rsidRPr="009351CB">
        <w:t>7</w:t>
      </w:r>
      <w:r w:rsidR="008432C1" w:rsidRPr="009351CB">
        <w:t>% (</w:t>
      </w:r>
      <w:r w:rsidR="001D62B7" w:rsidRPr="009351CB">
        <w:t>28</w:t>
      </w:r>
      <w:r w:rsidR="008432C1" w:rsidRPr="009351CB">
        <w:t xml:space="preserve"> vacancies)</w:t>
      </w:r>
      <w:r w:rsidR="008D1B0B" w:rsidRPr="009351CB">
        <w:t>)</w:t>
      </w:r>
      <w:r w:rsidR="008432C1" w:rsidRPr="009351CB">
        <w:t xml:space="preserve">. </w:t>
      </w:r>
      <w:r w:rsidR="007A74D9" w:rsidRPr="009351CB">
        <w:t xml:space="preserve">The PPSA </w:t>
      </w:r>
      <w:r w:rsidR="0014372C" w:rsidRPr="009351CB">
        <w:t>did not report its turnover rate.</w:t>
      </w:r>
    </w:p>
    <w:p w14:paraId="1B34F431" w14:textId="77777777" w:rsidR="00860821" w:rsidRPr="009351CB" w:rsidRDefault="00860821" w:rsidP="009351CB">
      <w:pPr>
        <w:autoSpaceDE w:val="0"/>
        <w:autoSpaceDN w:val="0"/>
        <w:adjustRightInd w:val="0"/>
        <w:spacing w:line="360" w:lineRule="auto"/>
        <w:ind w:left="720"/>
      </w:pPr>
    </w:p>
    <w:p w14:paraId="5988AEFA" w14:textId="77777777" w:rsidR="008432C1" w:rsidRPr="009351CB" w:rsidRDefault="008432C1" w:rsidP="004F6019">
      <w:pPr>
        <w:pStyle w:val="ListParagraph"/>
        <w:numPr>
          <w:ilvl w:val="1"/>
          <w:numId w:val="29"/>
        </w:numPr>
        <w:spacing w:line="360" w:lineRule="auto"/>
        <w:ind w:left="709" w:hanging="709"/>
        <w:jc w:val="both"/>
        <w:rPr>
          <w:b/>
        </w:rPr>
      </w:pPr>
      <w:r w:rsidRPr="009351CB">
        <w:rPr>
          <w:b/>
        </w:rPr>
        <w:t>Audit outcome</w:t>
      </w:r>
    </w:p>
    <w:p w14:paraId="6BAD88FB" w14:textId="77777777" w:rsidR="008432C1" w:rsidRPr="009351CB" w:rsidRDefault="008432C1" w:rsidP="009351CB">
      <w:pPr>
        <w:spacing w:line="360" w:lineRule="auto"/>
        <w:ind w:left="720"/>
        <w:jc w:val="both"/>
        <w:rPr>
          <w:b/>
        </w:rPr>
      </w:pPr>
    </w:p>
    <w:p w14:paraId="7B6CEF0E" w14:textId="1C3A7718" w:rsidR="007A74D9" w:rsidRPr="00E20A8C" w:rsidRDefault="007A74D9" w:rsidP="004F6019">
      <w:pPr>
        <w:pStyle w:val="ListParagraph"/>
        <w:numPr>
          <w:ilvl w:val="2"/>
          <w:numId w:val="29"/>
        </w:numPr>
        <w:spacing w:line="360" w:lineRule="auto"/>
        <w:jc w:val="both"/>
        <w:rPr>
          <w:color w:val="000000" w:themeColor="text1"/>
        </w:rPr>
      </w:pPr>
      <w:r w:rsidRPr="00E20A8C">
        <w:rPr>
          <w:color w:val="000000" w:themeColor="text1"/>
        </w:rPr>
        <w:t>T</w:t>
      </w:r>
      <w:r w:rsidR="00E867F6" w:rsidRPr="00E20A8C">
        <w:rPr>
          <w:color w:val="000000" w:themeColor="text1"/>
        </w:rPr>
        <w:t>he PPSA achieved an unqualified audit opinion with findings</w:t>
      </w:r>
      <w:r w:rsidRPr="00E20A8C">
        <w:rPr>
          <w:color w:val="000000" w:themeColor="text1"/>
        </w:rPr>
        <w:t xml:space="preserve"> in </w:t>
      </w:r>
      <w:r w:rsidR="0014372C" w:rsidRPr="00E20A8C">
        <w:rPr>
          <w:color w:val="000000" w:themeColor="text1"/>
        </w:rPr>
        <w:t xml:space="preserve">2018/19 </w:t>
      </w:r>
      <w:r w:rsidR="002A0F7C" w:rsidRPr="00E20A8C">
        <w:rPr>
          <w:color w:val="000000" w:themeColor="text1"/>
        </w:rPr>
        <w:t>(</w:t>
      </w:r>
      <w:r w:rsidR="009D28E2" w:rsidRPr="00E20A8C">
        <w:rPr>
          <w:color w:val="000000" w:themeColor="text1"/>
        </w:rPr>
        <w:t>as in</w:t>
      </w:r>
      <w:r w:rsidR="0014372C" w:rsidRPr="00E20A8C">
        <w:rPr>
          <w:color w:val="000000" w:themeColor="text1"/>
        </w:rPr>
        <w:t xml:space="preserve"> </w:t>
      </w:r>
      <w:r w:rsidRPr="00E20A8C">
        <w:rPr>
          <w:color w:val="000000" w:themeColor="text1"/>
        </w:rPr>
        <w:t>2017/18</w:t>
      </w:r>
      <w:r w:rsidR="009D28E2" w:rsidRPr="00E20A8C">
        <w:rPr>
          <w:color w:val="000000" w:themeColor="text1"/>
        </w:rPr>
        <w:t>)</w:t>
      </w:r>
      <w:r w:rsidRPr="00E20A8C">
        <w:rPr>
          <w:color w:val="000000" w:themeColor="text1"/>
        </w:rPr>
        <w:t xml:space="preserve">: </w:t>
      </w:r>
    </w:p>
    <w:p w14:paraId="1D1BDF41" w14:textId="77777777" w:rsidR="008432C1" w:rsidRPr="009351CB" w:rsidRDefault="008432C1" w:rsidP="004F6019">
      <w:pPr>
        <w:numPr>
          <w:ilvl w:val="0"/>
          <w:numId w:val="4"/>
        </w:numPr>
        <w:spacing w:line="360" w:lineRule="auto"/>
        <w:jc w:val="both"/>
        <w:rPr>
          <w:color w:val="000000" w:themeColor="text1"/>
        </w:rPr>
      </w:pPr>
      <w:r w:rsidRPr="009351CB">
        <w:rPr>
          <w:color w:val="000000" w:themeColor="text1"/>
        </w:rPr>
        <w:t xml:space="preserve">Performance </w:t>
      </w:r>
      <w:r w:rsidR="00E867F6" w:rsidRPr="009351CB">
        <w:rPr>
          <w:color w:val="000000" w:themeColor="text1"/>
        </w:rPr>
        <w:t>m</w:t>
      </w:r>
      <w:r w:rsidRPr="009351CB">
        <w:rPr>
          <w:color w:val="000000" w:themeColor="text1"/>
        </w:rPr>
        <w:t xml:space="preserve">anagement: There were </w:t>
      </w:r>
      <w:r w:rsidR="0014372C" w:rsidRPr="009351CB">
        <w:rPr>
          <w:color w:val="000000" w:themeColor="text1"/>
        </w:rPr>
        <w:t xml:space="preserve">no </w:t>
      </w:r>
      <w:r w:rsidRPr="009351CB">
        <w:rPr>
          <w:color w:val="000000" w:themeColor="text1"/>
        </w:rPr>
        <w:t xml:space="preserve">material </w:t>
      </w:r>
      <w:r w:rsidR="0014372C" w:rsidRPr="009351CB">
        <w:rPr>
          <w:color w:val="000000" w:themeColor="text1"/>
        </w:rPr>
        <w:t>findings on the usefulness and reliability of the performance information but attention was drawn to the achievement of planned targets and the explanations provided.</w:t>
      </w:r>
    </w:p>
    <w:p w14:paraId="51507B22" w14:textId="77777777" w:rsidR="008432C1" w:rsidRPr="009351CB" w:rsidRDefault="008432C1" w:rsidP="004F6019">
      <w:pPr>
        <w:numPr>
          <w:ilvl w:val="0"/>
          <w:numId w:val="4"/>
        </w:numPr>
        <w:spacing w:line="360" w:lineRule="auto"/>
        <w:jc w:val="both"/>
        <w:rPr>
          <w:color w:val="000000" w:themeColor="text1"/>
        </w:rPr>
      </w:pPr>
      <w:r w:rsidRPr="009351CB">
        <w:rPr>
          <w:color w:val="000000" w:themeColor="text1"/>
        </w:rPr>
        <w:t xml:space="preserve">Payments of invoices within 30 days: The Auditor General found that </w:t>
      </w:r>
      <w:r w:rsidR="00E867F6" w:rsidRPr="009351CB">
        <w:rPr>
          <w:color w:val="000000" w:themeColor="text1"/>
        </w:rPr>
        <w:t xml:space="preserve">some </w:t>
      </w:r>
      <w:r w:rsidRPr="009351CB">
        <w:rPr>
          <w:color w:val="000000" w:themeColor="text1"/>
        </w:rPr>
        <w:t>contractual obligations and monies owed were not settled within 30 days.</w:t>
      </w:r>
      <w:r w:rsidR="0014372C" w:rsidRPr="009351CB">
        <w:rPr>
          <w:color w:val="000000" w:themeColor="text1"/>
        </w:rPr>
        <w:t xml:space="preserve"> Internal controls to ensure that all payments were made to suppliers within 30 days were only effectively monitored from the last quarter of the financial year, which resulted in some payments not made in 30 days in the preceding three quarters of the year.</w:t>
      </w:r>
    </w:p>
    <w:p w14:paraId="17909BE0" w14:textId="77777777" w:rsidR="008432C1" w:rsidRPr="009351CB" w:rsidRDefault="008432C1" w:rsidP="004F6019">
      <w:pPr>
        <w:numPr>
          <w:ilvl w:val="0"/>
          <w:numId w:val="4"/>
        </w:numPr>
        <w:spacing w:line="360" w:lineRule="auto"/>
        <w:jc w:val="both"/>
      </w:pPr>
      <w:r w:rsidRPr="009351CB">
        <w:rPr>
          <w:color w:val="000000" w:themeColor="text1"/>
        </w:rPr>
        <w:t xml:space="preserve">The Annual Financial Statements were not prepared in accordance with </w:t>
      </w:r>
      <w:r w:rsidR="00C83E8D" w:rsidRPr="009351CB">
        <w:rPr>
          <w:color w:val="000000" w:themeColor="text1"/>
        </w:rPr>
        <w:t>the prescribed</w:t>
      </w:r>
      <w:r w:rsidRPr="009351CB">
        <w:rPr>
          <w:color w:val="000000" w:themeColor="text1"/>
        </w:rPr>
        <w:t xml:space="preserve"> financial reporting framework (PFMA) and material misstatements had to</w:t>
      </w:r>
      <w:r w:rsidRPr="009351CB">
        <w:t xml:space="preserve"> be corrected</w:t>
      </w:r>
      <w:r w:rsidR="00E867F6" w:rsidRPr="009351CB">
        <w:t>.</w:t>
      </w:r>
      <w:r w:rsidRPr="009351CB">
        <w:t xml:space="preserve"> </w:t>
      </w:r>
    </w:p>
    <w:p w14:paraId="21B88FA8" w14:textId="77777777" w:rsidR="008432C1" w:rsidRPr="009351CB" w:rsidRDefault="008432C1" w:rsidP="009351CB">
      <w:pPr>
        <w:pStyle w:val="ListParagraph"/>
        <w:spacing w:line="360" w:lineRule="auto"/>
        <w:ind w:left="1074"/>
        <w:jc w:val="both"/>
      </w:pPr>
    </w:p>
    <w:p w14:paraId="406BEB1C" w14:textId="77777777" w:rsidR="00C662B4" w:rsidRPr="009351CB" w:rsidRDefault="008432C1" w:rsidP="004F6019">
      <w:pPr>
        <w:pStyle w:val="ListParagraph"/>
        <w:numPr>
          <w:ilvl w:val="1"/>
          <w:numId w:val="29"/>
        </w:numPr>
        <w:spacing w:line="360" w:lineRule="auto"/>
        <w:ind w:left="709" w:hanging="709"/>
        <w:jc w:val="both"/>
      </w:pPr>
      <w:r w:rsidRPr="009351CB">
        <w:rPr>
          <w:b/>
        </w:rPr>
        <w:t xml:space="preserve">Financial performance </w:t>
      </w:r>
    </w:p>
    <w:p w14:paraId="07276B2A" w14:textId="77777777" w:rsidR="008432C1" w:rsidRPr="009351CB" w:rsidRDefault="008432C1" w:rsidP="009351CB">
      <w:pPr>
        <w:pStyle w:val="ListParagraph"/>
        <w:spacing w:line="360" w:lineRule="auto"/>
      </w:pPr>
    </w:p>
    <w:p w14:paraId="0E46E382" w14:textId="1CAA3FC4" w:rsidR="00760BAB" w:rsidRPr="009351CB" w:rsidRDefault="00760BAB" w:rsidP="004F6019">
      <w:pPr>
        <w:pStyle w:val="ListParagraph"/>
        <w:numPr>
          <w:ilvl w:val="2"/>
          <w:numId w:val="29"/>
        </w:numPr>
        <w:spacing w:line="360" w:lineRule="auto"/>
        <w:ind w:left="709" w:hanging="709"/>
        <w:jc w:val="both"/>
        <w:rPr>
          <w:lang w:eastAsia="en-US"/>
        </w:rPr>
      </w:pPr>
      <w:r w:rsidRPr="009351CB">
        <w:t xml:space="preserve">In </w:t>
      </w:r>
      <w:r w:rsidR="0063761F" w:rsidRPr="009351CB">
        <w:t>2018/19, the Public Protector received a revised budget of R341.7 million Total actual expenditure was R322.5 million with under-spending of R19.3 million. (Underspending occurred mostly under the Administration programme, which spent R129.4 million of the revised budget of R147.3 million for the programme. The surpl</w:t>
      </w:r>
      <w:r w:rsidR="009D28E2" w:rsidRPr="009351CB">
        <w:t>us under Administration was R17 m</w:t>
      </w:r>
      <w:r w:rsidR="0063761F" w:rsidRPr="009351CB">
        <w:t xml:space="preserve">illion. However, </w:t>
      </w:r>
      <w:r w:rsidR="009D28E2" w:rsidRPr="009351CB">
        <w:t xml:space="preserve">as </w:t>
      </w:r>
      <w:r w:rsidR="0063761F" w:rsidRPr="009351CB">
        <w:t>the PPSA ha</w:t>
      </w:r>
      <w:r w:rsidR="009D28E2" w:rsidRPr="009351CB">
        <w:t>d</w:t>
      </w:r>
      <w:r w:rsidR="0063761F" w:rsidRPr="009351CB">
        <w:t xml:space="preserve"> an accumulated deficit of R22.8 million at the end of 2017/18</w:t>
      </w:r>
      <w:r w:rsidR="009D28E2" w:rsidRPr="009351CB">
        <w:t xml:space="preserve">, the surplus reduced the </w:t>
      </w:r>
      <w:r w:rsidR="0063761F" w:rsidRPr="009351CB">
        <w:t xml:space="preserve">deficit </w:t>
      </w:r>
      <w:r w:rsidR="005305CD" w:rsidRPr="009351CB">
        <w:t xml:space="preserve">at the end of 2018/19 </w:t>
      </w:r>
      <w:r w:rsidR="0063761F" w:rsidRPr="009351CB">
        <w:t>to R3.5 million.</w:t>
      </w:r>
    </w:p>
    <w:p w14:paraId="50929D03" w14:textId="77777777" w:rsidR="00760BAB" w:rsidRPr="009351CB" w:rsidRDefault="00760BAB" w:rsidP="009351CB">
      <w:pPr>
        <w:pStyle w:val="ListParagraph"/>
        <w:spacing w:line="360" w:lineRule="auto"/>
        <w:jc w:val="both"/>
        <w:rPr>
          <w:lang w:eastAsia="en-US"/>
        </w:rPr>
      </w:pPr>
    </w:p>
    <w:p w14:paraId="239E4B11" w14:textId="77777777" w:rsidR="00860821" w:rsidRPr="009351CB" w:rsidRDefault="0010701A" w:rsidP="004F6019">
      <w:pPr>
        <w:pStyle w:val="ListParagraph"/>
        <w:numPr>
          <w:ilvl w:val="1"/>
          <w:numId w:val="29"/>
        </w:numPr>
        <w:spacing w:line="360" w:lineRule="auto"/>
        <w:ind w:left="709" w:hanging="709"/>
        <w:jc w:val="both"/>
        <w:rPr>
          <w:b/>
        </w:rPr>
      </w:pPr>
      <w:r w:rsidRPr="009351CB">
        <w:rPr>
          <w:b/>
        </w:rPr>
        <w:t>P</w:t>
      </w:r>
      <w:r w:rsidR="00602F6F" w:rsidRPr="009351CB">
        <w:rPr>
          <w:b/>
        </w:rPr>
        <w:t>erformance</w:t>
      </w:r>
      <w:r w:rsidR="00760B7F" w:rsidRPr="009351CB">
        <w:rPr>
          <w:b/>
        </w:rPr>
        <w:t xml:space="preserve"> 2018/19</w:t>
      </w:r>
    </w:p>
    <w:p w14:paraId="0AB28FE3" w14:textId="77777777" w:rsidR="00F50FBB" w:rsidRPr="009351CB" w:rsidRDefault="00F50FBB" w:rsidP="009351CB">
      <w:pPr>
        <w:pStyle w:val="ListParagraph"/>
        <w:spacing w:line="360" w:lineRule="auto"/>
        <w:jc w:val="both"/>
      </w:pPr>
    </w:p>
    <w:p w14:paraId="7F46C097" w14:textId="77777777" w:rsidR="00C05247" w:rsidRPr="009351CB" w:rsidRDefault="00C05247" w:rsidP="004F6019">
      <w:pPr>
        <w:pStyle w:val="ListParagraph"/>
        <w:numPr>
          <w:ilvl w:val="2"/>
          <w:numId w:val="29"/>
        </w:numPr>
        <w:spacing w:line="360" w:lineRule="auto"/>
        <w:ind w:left="709" w:hanging="709"/>
        <w:jc w:val="both"/>
      </w:pPr>
      <w:r w:rsidRPr="009351CB">
        <w:t>In 2017/18, the PPSA embarked on a restructuring process to align its operations with the new vision, which prioritise</w:t>
      </w:r>
      <w:r w:rsidR="005305CD" w:rsidRPr="009351CB">
        <w:t>d</w:t>
      </w:r>
      <w:r w:rsidRPr="009351CB">
        <w:t xml:space="preserve"> the following over the medium term: </w:t>
      </w:r>
    </w:p>
    <w:p w14:paraId="58576BD9" w14:textId="77777777" w:rsidR="00C05247" w:rsidRPr="009351CB" w:rsidRDefault="00C05247" w:rsidP="004F6019">
      <w:pPr>
        <w:numPr>
          <w:ilvl w:val="0"/>
          <w:numId w:val="4"/>
        </w:numPr>
        <w:spacing w:line="360" w:lineRule="auto"/>
        <w:jc w:val="both"/>
        <w:rPr>
          <w:color w:val="000000" w:themeColor="text1"/>
        </w:rPr>
      </w:pPr>
      <w:r w:rsidRPr="009351CB">
        <w:rPr>
          <w:color w:val="000000" w:themeColor="text1"/>
        </w:rPr>
        <w:t>Broadening access by taking services to the doorstep of communities located at the grassroots in the margins of society.</w:t>
      </w:r>
    </w:p>
    <w:p w14:paraId="2CD13B93" w14:textId="77777777" w:rsidR="00C05247" w:rsidRPr="009351CB" w:rsidRDefault="00C05247" w:rsidP="004F6019">
      <w:pPr>
        <w:numPr>
          <w:ilvl w:val="0"/>
          <w:numId w:val="4"/>
        </w:numPr>
        <w:spacing w:line="360" w:lineRule="auto"/>
        <w:jc w:val="both"/>
        <w:rPr>
          <w:color w:val="000000" w:themeColor="text1"/>
        </w:rPr>
      </w:pPr>
      <w:r w:rsidRPr="009351CB">
        <w:rPr>
          <w:color w:val="000000" w:themeColor="text1"/>
        </w:rPr>
        <w:t>Interacting with communities in their own languages for effective communication.</w:t>
      </w:r>
    </w:p>
    <w:p w14:paraId="71E744C6" w14:textId="77777777" w:rsidR="00C05247" w:rsidRPr="009351CB" w:rsidRDefault="00C05247" w:rsidP="004F6019">
      <w:pPr>
        <w:numPr>
          <w:ilvl w:val="0"/>
          <w:numId w:val="4"/>
        </w:numPr>
        <w:spacing w:line="360" w:lineRule="auto"/>
        <w:jc w:val="both"/>
        <w:rPr>
          <w:color w:val="000000" w:themeColor="text1"/>
        </w:rPr>
      </w:pPr>
      <w:r w:rsidRPr="009351CB">
        <w:rPr>
          <w:color w:val="000000" w:themeColor="text1"/>
        </w:rPr>
        <w:t>Reaching people with traditional leaders and councils.</w:t>
      </w:r>
    </w:p>
    <w:p w14:paraId="50465FFB" w14:textId="77777777" w:rsidR="00C05247" w:rsidRPr="009351CB" w:rsidRDefault="00C05247" w:rsidP="004F6019">
      <w:pPr>
        <w:numPr>
          <w:ilvl w:val="0"/>
          <w:numId w:val="4"/>
        </w:numPr>
        <w:spacing w:line="360" w:lineRule="auto"/>
        <w:jc w:val="both"/>
        <w:rPr>
          <w:color w:val="000000" w:themeColor="text1"/>
        </w:rPr>
      </w:pPr>
      <w:r w:rsidRPr="009351CB">
        <w:rPr>
          <w:color w:val="000000" w:themeColor="text1"/>
        </w:rPr>
        <w:t>Taking stock of all the Memoranda of Understanding between the Public Protector and other key stakeholders such as government departments.</w:t>
      </w:r>
    </w:p>
    <w:p w14:paraId="36DD0A5C" w14:textId="77777777" w:rsidR="00C05247" w:rsidRPr="009351CB" w:rsidRDefault="00C05247" w:rsidP="004F6019">
      <w:pPr>
        <w:numPr>
          <w:ilvl w:val="0"/>
          <w:numId w:val="4"/>
        </w:numPr>
        <w:spacing w:line="360" w:lineRule="auto"/>
        <w:jc w:val="both"/>
        <w:rPr>
          <w:color w:val="000000" w:themeColor="text1"/>
        </w:rPr>
      </w:pPr>
      <w:r w:rsidRPr="009351CB">
        <w:rPr>
          <w:color w:val="000000" w:themeColor="text1"/>
        </w:rPr>
        <w:t>Becoming a stronghold for the poor and marginalised.</w:t>
      </w:r>
    </w:p>
    <w:p w14:paraId="58E32DA8" w14:textId="77777777" w:rsidR="00C05247" w:rsidRPr="009351CB" w:rsidRDefault="00C05247" w:rsidP="004F6019">
      <w:pPr>
        <w:numPr>
          <w:ilvl w:val="0"/>
          <w:numId w:val="4"/>
        </w:numPr>
        <w:spacing w:line="360" w:lineRule="auto"/>
        <w:jc w:val="both"/>
        <w:rPr>
          <w:color w:val="000000" w:themeColor="text1"/>
        </w:rPr>
      </w:pPr>
      <w:r w:rsidRPr="009351CB">
        <w:rPr>
          <w:color w:val="000000" w:themeColor="text1"/>
        </w:rPr>
        <w:t>Empowering the people of South Africa to be able to enforce their rights before approaching the Public Protector.</w:t>
      </w:r>
    </w:p>
    <w:p w14:paraId="1E5B75C0" w14:textId="77777777" w:rsidR="00C05247" w:rsidRPr="009351CB" w:rsidRDefault="00C05247" w:rsidP="004F6019">
      <w:pPr>
        <w:numPr>
          <w:ilvl w:val="0"/>
          <w:numId w:val="4"/>
        </w:numPr>
        <w:spacing w:line="360" w:lineRule="auto"/>
        <w:jc w:val="both"/>
      </w:pPr>
      <w:r w:rsidRPr="009351CB">
        <w:rPr>
          <w:color w:val="000000" w:themeColor="text1"/>
        </w:rPr>
        <w:t>Encouraging organs of state to establish their own effective complaints resolution units or sector specific ombudsman institutions such as Health</w:t>
      </w:r>
      <w:r w:rsidRPr="009351CB">
        <w:t>, Tax and Military Ombudsman.</w:t>
      </w:r>
    </w:p>
    <w:p w14:paraId="35C119EC" w14:textId="77777777" w:rsidR="00C05247" w:rsidRPr="009351CB" w:rsidRDefault="00C05247" w:rsidP="009351CB">
      <w:pPr>
        <w:autoSpaceDE w:val="0"/>
        <w:autoSpaceDN w:val="0"/>
        <w:adjustRightInd w:val="0"/>
        <w:spacing w:line="360" w:lineRule="auto"/>
        <w:ind w:left="928"/>
        <w:jc w:val="both"/>
      </w:pPr>
    </w:p>
    <w:p w14:paraId="4C0C3E09" w14:textId="77777777" w:rsidR="00626897" w:rsidRPr="009351CB" w:rsidRDefault="00536C65" w:rsidP="004F6019">
      <w:pPr>
        <w:pStyle w:val="ListParagraph"/>
        <w:numPr>
          <w:ilvl w:val="2"/>
          <w:numId w:val="29"/>
        </w:numPr>
        <w:spacing w:line="360" w:lineRule="auto"/>
        <w:ind w:left="709" w:hanging="709"/>
        <w:jc w:val="both"/>
      </w:pPr>
      <w:r w:rsidRPr="009351CB">
        <w:t>The PPSA made substantial changes in the 2017/18 APP, removing 31 performance targets</w:t>
      </w:r>
      <w:r w:rsidR="00717949" w:rsidRPr="009351CB">
        <w:t xml:space="preserve"> but in 2018/19 increased the number of targets to 18</w:t>
      </w:r>
      <w:r w:rsidRPr="009351CB">
        <w:t>.</w:t>
      </w:r>
      <w:r w:rsidR="00717949" w:rsidRPr="009351CB">
        <w:t xml:space="preserve"> There has been an improvement in reported performance from 50% of planned targets in 2017/18 to 72% of planned targets in 2018/19</w:t>
      </w:r>
      <w:r w:rsidR="00626897" w:rsidRPr="009351CB">
        <w:t xml:space="preserve"> </w:t>
      </w:r>
    </w:p>
    <w:p w14:paraId="0CB4CE2B" w14:textId="77777777" w:rsidR="008432C1" w:rsidRPr="009351CB" w:rsidRDefault="008432C1" w:rsidP="009351CB">
      <w:pPr>
        <w:pStyle w:val="ListParagraph"/>
        <w:spacing w:line="360" w:lineRule="auto"/>
        <w:jc w:val="both"/>
      </w:pPr>
    </w:p>
    <w:p w14:paraId="0F55F482" w14:textId="77777777" w:rsidR="00626897" w:rsidRPr="009351CB" w:rsidRDefault="00074C0F" w:rsidP="009351CB">
      <w:pPr>
        <w:pStyle w:val="BodySingle"/>
        <w:spacing w:line="360" w:lineRule="auto"/>
        <w:ind w:left="142"/>
        <w:rPr>
          <w:rFonts w:ascii="Times New Roman" w:hAnsi="Times New Roman"/>
          <w:b/>
          <w:i w:val="0"/>
          <w:sz w:val="24"/>
          <w:szCs w:val="24"/>
        </w:rPr>
      </w:pPr>
      <w:r w:rsidRPr="009351CB">
        <w:rPr>
          <w:rFonts w:ascii="Times New Roman" w:hAnsi="Times New Roman"/>
          <w:b/>
          <w:i w:val="0"/>
          <w:sz w:val="24"/>
          <w:szCs w:val="24"/>
        </w:rPr>
        <w:t>Table 12</w:t>
      </w:r>
      <w:r w:rsidR="008432C1" w:rsidRPr="009351CB">
        <w:rPr>
          <w:rFonts w:ascii="Times New Roman" w:hAnsi="Times New Roman"/>
          <w:b/>
          <w:i w:val="0"/>
          <w:sz w:val="24"/>
          <w:szCs w:val="24"/>
        </w:rPr>
        <w:t>: PPSA</w:t>
      </w:r>
      <w:r w:rsidR="00A14C41" w:rsidRPr="009351CB">
        <w:rPr>
          <w:rFonts w:ascii="Times New Roman" w:hAnsi="Times New Roman"/>
          <w:b/>
          <w:i w:val="0"/>
          <w:sz w:val="24"/>
          <w:szCs w:val="24"/>
        </w:rPr>
        <w:t xml:space="preserve"> </w:t>
      </w:r>
      <w:r w:rsidR="00717949" w:rsidRPr="009351CB">
        <w:rPr>
          <w:rFonts w:ascii="Times New Roman" w:hAnsi="Times New Roman"/>
          <w:b/>
          <w:i w:val="0"/>
          <w:sz w:val="24"/>
          <w:szCs w:val="24"/>
        </w:rPr>
        <w:t xml:space="preserve">overview of perfromance </w:t>
      </w:r>
      <w:r w:rsidR="00A14C41" w:rsidRPr="009351CB">
        <w:rPr>
          <w:rFonts w:ascii="Times New Roman" w:hAnsi="Times New Roman"/>
          <w:b/>
          <w:i w:val="0"/>
          <w:sz w:val="24"/>
          <w:szCs w:val="24"/>
        </w:rPr>
        <w:t>s</w:t>
      </w:r>
      <w:r w:rsidR="008432C1" w:rsidRPr="009351CB">
        <w:rPr>
          <w:rFonts w:ascii="Times New Roman" w:hAnsi="Times New Roman"/>
          <w:b/>
          <w:i w:val="0"/>
          <w:sz w:val="24"/>
          <w:szCs w:val="24"/>
        </w:rPr>
        <w:t>elected indicators and targets</w:t>
      </w:r>
      <w:r w:rsidR="00717949" w:rsidRPr="009351CB">
        <w:rPr>
          <w:rFonts w:ascii="Times New Roman" w:hAnsi="Times New Roman"/>
          <w:b/>
          <w:i w:val="0"/>
          <w:sz w:val="24"/>
          <w:szCs w:val="24"/>
        </w:rPr>
        <w:t xml:space="preserve"> 2015/16 – 2018/19</w:t>
      </w:r>
    </w:p>
    <w:tbl>
      <w:tblPr>
        <w:tblStyle w:val="TableGrid"/>
        <w:tblW w:w="5000" w:type="pct"/>
        <w:tblLook w:val="04A0" w:firstRow="1" w:lastRow="0" w:firstColumn="1" w:lastColumn="0" w:noHBand="0" w:noVBand="1"/>
      </w:tblPr>
      <w:tblGrid>
        <w:gridCol w:w="2979"/>
        <w:gridCol w:w="1364"/>
        <w:gridCol w:w="1363"/>
        <w:gridCol w:w="1363"/>
        <w:gridCol w:w="1363"/>
      </w:tblGrid>
      <w:tr w:rsidR="00717949" w:rsidRPr="009351CB" w14:paraId="1B64204D" w14:textId="77777777" w:rsidTr="00717949">
        <w:trPr>
          <w:trHeight w:val="262"/>
          <w:tblHeader/>
        </w:trPr>
        <w:tc>
          <w:tcPr>
            <w:tcW w:w="1766" w:type="pct"/>
            <w:shd w:val="clear" w:color="auto" w:fill="D9D9D9" w:themeFill="background1" w:themeFillShade="D9"/>
          </w:tcPr>
          <w:p w14:paraId="6F91CB22" w14:textId="77777777" w:rsidR="00717949" w:rsidRPr="009351CB" w:rsidRDefault="00717949" w:rsidP="009351CB">
            <w:pPr>
              <w:autoSpaceDE w:val="0"/>
              <w:autoSpaceDN w:val="0"/>
              <w:adjustRightInd w:val="0"/>
              <w:spacing w:line="360" w:lineRule="auto"/>
              <w:rPr>
                <w:rFonts w:eastAsiaTheme="minorHAnsi"/>
                <w:color w:val="000000"/>
                <w:lang w:val="en-ZA" w:eastAsia="en-US"/>
              </w:rPr>
            </w:pPr>
            <w:r w:rsidRPr="009351CB">
              <w:rPr>
                <w:rFonts w:eastAsiaTheme="minorHAnsi"/>
                <w:b/>
                <w:bCs/>
                <w:color w:val="000000"/>
                <w:lang w:val="en-ZA" w:eastAsia="en-US"/>
              </w:rPr>
              <w:t xml:space="preserve">PERFORMANCE TARGETS </w:t>
            </w:r>
          </w:p>
        </w:tc>
        <w:tc>
          <w:tcPr>
            <w:tcW w:w="809" w:type="pct"/>
            <w:shd w:val="clear" w:color="auto" w:fill="D9D9D9" w:themeFill="background1" w:themeFillShade="D9"/>
          </w:tcPr>
          <w:p w14:paraId="472AC220"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b/>
                <w:bCs/>
                <w:color w:val="000000"/>
                <w:lang w:val="en-ZA" w:eastAsia="en-US"/>
              </w:rPr>
              <w:t>2015/16</w:t>
            </w:r>
          </w:p>
        </w:tc>
        <w:tc>
          <w:tcPr>
            <w:tcW w:w="808" w:type="pct"/>
            <w:shd w:val="clear" w:color="auto" w:fill="D9D9D9" w:themeFill="background1" w:themeFillShade="D9"/>
          </w:tcPr>
          <w:p w14:paraId="4E661952" w14:textId="77777777" w:rsidR="00717949" w:rsidRPr="009351CB" w:rsidRDefault="00717949" w:rsidP="009351CB">
            <w:pPr>
              <w:autoSpaceDE w:val="0"/>
              <w:autoSpaceDN w:val="0"/>
              <w:adjustRightInd w:val="0"/>
              <w:spacing w:line="360" w:lineRule="auto"/>
              <w:jc w:val="center"/>
              <w:rPr>
                <w:rFonts w:eastAsiaTheme="minorHAnsi"/>
                <w:b/>
                <w:bCs/>
                <w:color w:val="000000"/>
                <w:lang w:val="en-ZA" w:eastAsia="en-US"/>
              </w:rPr>
            </w:pPr>
            <w:r w:rsidRPr="009351CB">
              <w:rPr>
                <w:rFonts w:eastAsiaTheme="minorHAnsi"/>
                <w:b/>
                <w:bCs/>
                <w:color w:val="000000"/>
                <w:lang w:val="en-ZA" w:eastAsia="en-US"/>
              </w:rPr>
              <w:t>2016/17</w:t>
            </w:r>
          </w:p>
        </w:tc>
        <w:tc>
          <w:tcPr>
            <w:tcW w:w="808" w:type="pct"/>
            <w:shd w:val="clear" w:color="auto" w:fill="D9D9D9" w:themeFill="background1" w:themeFillShade="D9"/>
          </w:tcPr>
          <w:p w14:paraId="3DE63482" w14:textId="77777777" w:rsidR="00717949" w:rsidRPr="009351CB" w:rsidRDefault="00717949" w:rsidP="009351CB">
            <w:pPr>
              <w:autoSpaceDE w:val="0"/>
              <w:autoSpaceDN w:val="0"/>
              <w:adjustRightInd w:val="0"/>
              <w:spacing w:line="360" w:lineRule="auto"/>
              <w:jc w:val="center"/>
              <w:rPr>
                <w:rFonts w:eastAsiaTheme="minorHAnsi"/>
                <w:b/>
                <w:bCs/>
                <w:color w:val="000000"/>
                <w:lang w:eastAsia="en-US"/>
              </w:rPr>
            </w:pPr>
            <w:r w:rsidRPr="009351CB">
              <w:rPr>
                <w:rFonts w:eastAsiaTheme="minorHAnsi"/>
                <w:b/>
                <w:bCs/>
                <w:color w:val="000000"/>
                <w:lang w:eastAsia="en-US"/>
              </w:rPr>
              <w:t>2017/18</w:t>
            </w:r>
          </w:p>
        </w:tc>
        <w:tc>
          <w:tcPr>
            <w:tcW w:w="808" w:type="pct"/>
            <w:shd w:val="clear" w:color="auto" w:fill="D9D9D9" w:themeFill="background1" w:themeFillShade="D9"/>
          </w:tcPr>
          <w:p w14:paraId="43793146" w14:textId="77777777" w:rsidR="00717949" w:rsidRPr="009351CB" w:rsidRDefault="00717949" w:rsidP="009351CB">
            <w:pPr>
              <w:autoSpaceDE w:val="0"/>
              <w:autoSpaceDN w:val="0"/>
              <w:adjustRightInd w:val="0"/>
              <w:spacing w:line="360" w:lineRule="auto"/>
              <w:jc w:val="center"/>
              <w:rPr>
                <w:rFonts w:eastAsiaTheme="minorHAnsi"/>
                <w:b/>
                <w:bCs/>
                <w:color w:val="000000"/>
                <w:lang w:eastAsia="en-US"/>
              </w:rPr>
            </w:pPr>
            <w:r w:rsidRPr="009351CB">
              <w:rPr>
                <w:rFonts w:eastAsiaTheme="minorHAnsi"/>
                <w:b/>
                <w:bCs/>
                <w:color w:val="000000"/>
                <w:lang w:eastAsia="en-US"/>
              </w:rPr>
              <w:t>2018/19</w:t>
            </w:r>
          </w:p>
        </w:tc>
      </w:tr>
      <w:tr w:rsidR="00717949" w:rsidRPr="009351CB" w14:paraId="0E9FDACD" w14:textId="77777777" w:rsidTr="00717949">
        <w:trPr>
          <w:trHeight w:val="243"/>
        </w:trPr>
        <w:tc>
          <w:tcPr>
            <w:tcW w:w="1766" w:type="pct"/>
          </w:tcPr>
          <w:p w14:paraId="6B37E397" w14:textId="77777777" w:rsidR="00717949" w:rsidRPr="009351CB" w:rsidRDefault="00717949" w:rsidP="009351CB">
            <w:pPr>
              <w:autoSpaceDE w:val="0"/>
              <w:autoSpaceDN w:val="0"/>
              <w:adjustRightInd w:val="0"/>
              <w:spacing w:line="360" w:lineRule="auto"/>
              <w:rPr>
                <w:rFonts w:eastAsiaTheme="minorHAnsi"/>
                <w:b/>
                <w:color w:val="000000"/>
                <w:lang w:val="en-ZA" w:eastAsia="en-US"/>
              </w:rPr>
            </w:pPr>
            <w:r w:rsidRPr="009351CB">
              <w:rPr>
                <w:rFonts w:eastAsiaTheme="minorHAnsi"/>
                <w:b/>
                <w:color w:val="000000"/>
                <w:lang w:val="en-ZA" w:eastAsia="en-US"/>
              </w:rPr>
              <w:t xml:space="preserve">Number of planned targets during the financial year </w:t>
            </w:r>
          </w:p>
        </w:tc>
        <w:tc>
          <w:tcPr>
            <w:tcW w:w="809" w:type="pct"/>
          </w:tcPr>
          <w:p w14:paraId="5A230BD8"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color w:val="000000"/>
                <w:lang w:val="en-ZA" w:eastAsia="en-US"/>
              </w:rPr>
              <w:t>21</w:t>
            </w:r>
          </w:p>
        </w:tc>
        <w:tc>
          <w:tcPr>
            <w:tcW w:w="808" w:type="pct"/>
          </w:tcPr>
          <w:p w14:paraId="0D8A3E34"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color w:val="000000"/>
                <w:lang w:val="en-ZA" w:eastAsia="en-US"/>
              </w:rPr>
              <w:t>45</w:t>
            </w:r>
          </w:p>
        </w:tc>
        <w:tc>
          <w:tcPr>
            <w:tcW w:w="808" w:type="pct"/>
          </w:tcPr>
          <w:p w14:paraId="0B81177A" w14:textId="77777777" w:rsidR="00717949" w:rsidRPr="009351CB" w:rsidRDefault="00717949" w:rsidP="009351CB">
            <w:pPr>
              <w:autoSpaceDE w:val="0"/>
              <w:autoSpaceDN w:val="0"/>
              <w:adjustRightInd w:val="0"/>
              <w:spacing w:line="360" w:lineRule="auto"/>
              <w:jc w:val="center"/>
              <w:rPr>
                <w:rFonts w:eastAsiaTheme="minorHAnsi"/>
                <w:color w:val="000000"/>
                <w:lang w:eastAsia="en-US"/>
              </w:rPr>
            </w:pPr>
            <w:r w:rsidRPr="009351CB">
              <w:rPr>
                <w:rFonts w:eastAsiaTheme="minorHAnsi"/>
                <w:color w:val="000000"/>
                <w:lang w:eastAsia="en-US"/>
              </w:rPr>
              <w:t>14</w:t>
            </w:r>
          </w:p>
        </w:tc>
        <w:tc>
          <w:tcPr>
            <w:tcW w:w="808" w:type="pct"/>
          </w:tcPr>
          <w:p w14:paraId="726E5AD7" w14:textId="77777777" w:rsidR="00717949" w:rsidRPr="009351CB" w:rsidRDefault="00717949" w:rsidP="009351CB">
            <w:pPr>
              <w:autoSpaceDE w:val="0"/>
              <w:autoSpaceDN w:val="0"/>
              <w:adjustRightInd w:val="0"/>
              <w:spacing w:line="360" w:lineRule="auto"/>
              <w:jc w:val="center"/>
              <w:rPr>
                <w:rFonts w:eastAsiaTheme="minorHAnsi"/>
                <w:color w:val="000000"/>
                <w:lang w:eastAsia="en-US"/>
              </w:rPr>
            </w:pPr>
            <w:r w:rsidRPr="009351CB">
              <w:rPr>
                <w:rFonts w:eastAsiaTheme="minorHAnsi"/>
                <w:color w:val="000000"/>
                <w:lang w:eastAsia="en-US"/>
              </w:rPr>
              <w:t>18</w:t>
            </w:r>
          </w:p>
        </w:tc>
      </w:tr>
      <w:tr w:rsidR="00717949" w:rsidRPr="009351CB" w14:paraId="3114B9FD" w14:textId="77777777" w:rsidTr="00717949">
        <w:trPr>
          <w:trHeight w:val="93"/>
        </w:trPr>
        <w:tc>
          <w:tcPr>
            <w:tcW w:w="1766" w:type="pct"/>
          </w:tcPr>
          <w:p w14:paraId="2599A525" w14:textId="77777777" w:rsidR="00717949" w:rsidRPr="009351CB" w:rsidRDefault="00717949" w:rsidP="009351CB">
            <w:pPr>
              <w:autoSpaceDE w:val="0"/>
              <w:autoSpaceDN w:val="0"/>
              <w:adjustRightInd w:val="0"/>
              <w:spacing w:line="360" w:lineRule="auto"/>
              <w:rPr>
                <w:rFonts w:eastAsiaTheme="minorHAnsi"/>
                <w:b/>
                <w:color w:val="000000"/>
                <w:lang w:val="en-ZA" w:eastAsia="en-US"/>
              </w:rPr>
            </w:pPr>
            <w:r w:rsidRPr="009351CB">
              <w:rPr>
                <w:rFonts w:eastAsiaTheme="minorHAnsi"/>
                <w:b/>
                <w:color w:val="000000"/>
                <w:lang w:val="en-ZA" w:eastAsia="en-US"/>
              </w:rPr>
              <w:t xml:space="preserve">Number of targets achieved </w:t>
            </w:r>
          </w:p>
        </w:tc>
        <w:tc>
          <w:tcPr>
            <w:tcW w:w="809" w:type="pct"/>
          </w:tcPr>
          <w:p w14:paraId="12613889"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color w:val="000000"/>
                <w:lang w:val="en-ZA" w:eastAsia="en-US"/>
              </w:rPr>
              <w:t>13</w:t>
            </w:r>
          </w:p>
        </w:tc>
        <w:tc>
          <w:tcPr>
            <w:tcW w:w="808" w:type="pct"/>
          </w:tcPr>
          <w:p w14:paraId="36C2AD2C"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color w:val="000000"/>
                <w:lang w:val="en-ZA" w:eastAsia="en-US"/>
              </w:rPr>
              <w:t>24</w:t>
            </w:r>
          </w:p>
        </w:tc>
        <w:tc>
          <w:tcPr>
            <w:tcW w:w="808" w:type="pct"/>
          </w:tcPr>
          <w:p w14:paraId="657A3CCF" w14:textId="77777777" w:rsidR="00717949" w:rsidRPr="009351CB" w:rsidRDefault="00717949" w:rsidP="009351CB">
            <w:pPr>
              <w:autoSpaceDE w:val="0"/>
              <w:autoSpaceDN w:val="0"/>
              <w:adjustRightInd w:val="0"/>
              <w:spacing w:line="360" w:lineRule="auto"/>
              <w:jc w:val="center"/>
              <w:rPr>
                <w:rFonts w:eastAsiaTheme="minorHAnsi"/>
                <w:color w:val="000000"/>
                <w:lang w:eastAsia="en-US"/>
              </w:rPr>
            </w:pPr>
            <w:r w:rsidRPr="009351CB">
              <w:rPr>
                <w:rFonts w:eastAsiaTheme="minorHAnsi"/>
                <w:color w:val="000000"/>
                <w:lang w:eastAsia="en-US"/>
              </w:rPr>
              <w:t>7</w:t>
            </w:r>
          </w:p>
        </w:tc>
        <w:tc>
          <w:tcPr>
            <w:tcW w:w="808" w:type="pct"/>
          </w:tcPr>
          <w:p w14:paraId="1D7BCA83" w14:textId="77777777" w:rsidR="00717949" w:rsidRPr="009351CB" w:rsidRDefault="00717949" w:rsidP="009351CB">
            <w:pPr>
              <w:autoSpaceDE w:val="0"/>
              <w:autoSpaceDN w:val="0"/>
              <w:adjustRightInd w:val="0"/>
              <w:spacing w:line="360" w:lineRule="auto"/>
              <w:jc w:val="center"/>
              <w:rPr>
                <w:rFonts w:eastAsiaTheme="minorHAnsi"/>
                <w:color w:val="000000"/>
                <w:lang w:eastAsia="en-US"/>
              </w:rPr>
            </w:pPr>
            <w:r w:rsidRPr="009351CB">
              <w:rPr>
                <w:rFonts w:eastAsiaTheme="minorHAnsi"/>
                <w:color w:val="000000"/>
                <w:lang w:eastAsia="en-US"/>
              </w:rPr>
              <w:t>13</w:t>
            </w:r>
          </w:p>
        </w:tc>
      </w:tr>
      <w:tr w:rsidR="00717949" w:rsidRPr="009351CB" w14:paraId="7205FB5C" w14:textId="77777777" w:rsidTr="00717949">
        <w:trPr>
          <w:trHeight w:val="93"/>
        </w:trPr>
        <w:tc>
          <w:tcPr>
            <w:tcW w:w="1766" w:type="pct"/>
          </w:tcPr>
          <w:p w14:paraId="032FF3CF" w14:textId="77777777" w:rsidR="00717949" w:rsidRPr="009351CB" w:rsidRDefault="00717949" w:rsidP="009351CB">
            <w:pPr>
              <w:autoSpaceDE w:val="0"/>
              <w:autoSpaceDN w:val="0"/>
              <w:adjustRightInd w:val="0"/>
              <w:spacing w:line="360" w:lineRule="auto"/>
              <w:rPr>
                <w:rFonts w:eastAsiaTheme="minorHAnsi"/>
                <w:b/>
                <w:color w:val="000000"/>
                <w:lang w:val="en-ZA" w:eastAsia="en-US"/>
              </w:rPr>
            </w:pPr>
            <w:r w:rsidRPr="009351CB">
              <w:rPr>
                <w:rFonts w:eastAsiaTheme="minorHAnsi"/>
                <w:b/>
                <w:color w:val="000000"/>
                <w:lang w:val="en-ZA" w:eastAsia="en-US"/>
              </w:rPr>
              <w:t xml:space="preserve">Number of target not achieved </w:t>
            </w:r>
          </w:p>
        </w:tc>
        <w:tc>
          <w:tcPr>
            <w:tcW w:w="809" w:type="pct"/>
          </w:tcPr>
          <w:p w14:paraId="61A8F7F5"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color w:val="000000"/>
                <w:lang w:val="en-ZA" w:eastAsia="en-US"/>
              </w:rPr>
              <w:t>8</w:t>
            </w:r>
          </w:p>
        </w:tc>
        <w:tc>
          <w:tcPr>
            <w:tcW w:w="808" w:type="pct"/>
          </w:tcPr>
          <w:p w14:paraId="2A3D4ED8"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color w:val="000000"/>
                <w:lang w:val="en-ZA" w:eastAsia="en-US"/>
              </w:rPr>
              <w:t>21</w:t>
            </w:r>
          </w:p>
        </w:tc>
        <w:tc>
          <w:tcPr>
            <w:tcW w:w="808" w:type="pct"/>
          </w:tcPr>
          <w:p w14:paraId="0D0680F9" w14:textId="77777777" w:rsidR="00717949" w:rsidRPr="009351CB" w:rsidRDefault="00717949" w:rsidP="009351CB">
            <w:pPr>
              <w:autoSpaceDE w:val="0"/>
              <w:autoSpaceDN w:val="0"/>
              <w:adjustRightInd w:val="0"/>
              <w:spacing w:line="360" w:lineRule="auto"/>
              <w:jc w:val="center"/>
              <w:rPr>
                <w:rFonts w:eastAsiaTheme="minorHAnsi"/>
                <w:color w:val="000000"/>
                <w:lang w:eastAsia="en-US"/>
              </w:rPr>
            </w:pPr>
            <w:r w:rsidRPr="009351CB">
              <w:rPr>
                <w:rFonts w:eastAsiaTheme="minorHAnsi"/>
                <w:color w:val="000000"/>
                <w:lang w:eastAsia="en-US"/>
              </w:rPr>
              <w:t>7</w:t>
            </w:r>
          </w:p>
        </w:tc>
        <w:tc>
          <w:tcPr>
            <w:tcW w:w="808" w:type="pct"/>
          </w:tcPr>
          <w:p w14:paraId="4D8E9564" w14:textId="77777777" w:rsidR="00717949" w:rsidRPr="009351CB" w:rsidRDefault="00717949" w:rsidP="009351CB">
            <w:pPr>
              <w:autoSpaceDE w:val="0"/>
              <w:autoSpaceDN w:val="0"/>
              <w:adjustRightInd w:val="0"/>
              <w:spacing w:line="360" w:lineRule="auto"/>
              <w:jc w:val="center"/>
              <w:rPr>
                <w:rFonts w:eastAsiaTheme="minorHAnsi"/>
                <w:color w:val="000000"/>
                <w:lang w:eastAsia="en-US"/>
              </w:rPr>
            </w:pPr>
            <w:r w:rsidRPr="009351CB">
              <w:rPr>
                <w:rFonts w:eastAsiaTheme="minorHAnsi"/>
                <w:color w:val="000000"/>
                <w:lang w:eastAsia="en-US"/>
              </w:rPr>
              <w:t>5</w:t>
            </w:r>
          </w:p>
        </w:tc>
      </w:tr>
      <w:tr w:rsidR="00717949" w:rsidRPr="009351CB" w14:paraId="4E5DD2D5" w14:textId="77777777" w:rsidTr="00717949">
        <w:trPr>
          <w:trHeight w:val="243"/>
        </w:trPr>
        <w:tc>
          <w:tcPr>
            <w:tcW w:w="1766" w:type="pct"/>
          </w:tcPr>
          <w:p w14:paraId="6A88F70C" w14:textId="77777777" w:rsidR="00717949" w:rsidRPr="009351CB" w:rsidRDefault="00717949" w:rsidP="009351CB">
            <w:pPr>
              <w:autoSpaceDE w:val="0"/>
              <w:autoSpaceDN w:val="0"/>
              <w:adjustRightInd w:val="0"/>
              <w:spacing w:line="360" w:lineRule="auto"/>
              <w:rPr>
                <w:rFonts w:eastAsiaTheme="minorHAnsi"/>
                <w:b/>
                <w:color w:val="000000"/>
                <w:lang w:val="en-ZA" w:eastAsia="en-US"/>
              </w:rPr>
            </w:pPr>
            <w:r w:rsidRPr="009351CB">
              <w:rPr>
                <w:rFonts w:eastAsiaTheme="minorHAnsi"/>
                <w:b/>
                <w:color w:val="000000"/>
                <w:lang w:val="en-ZA" w:eastAsia="en-US"/>
              </w:rPr>
              <w:t xml:space="preserve">Percentage level of performance </w:t>
            </w:r>
          </w:p>
        </w:tc>
        <w:tc>
          <w:tcPr>
            <w:tcW w:w="809" w:type="pct"/>
          </w:tcPr>
          <w:p w14:paraId="237A86AA" w14:textId="77777777" w:rsidR="00717949" w:rsidRPr="009351CB" w:rsidRDefault="00717949" w:rsidP="009351CB">
            <w:pPr>
              <w:autoSpaceDE w:val="0"/>
              <w:autoSpaceDN w:val="0"/>
              <w:adjustRightInd w:val="0"/>
              <w:spacing w:line="360" w:lineRule="auto"/>
              <w:jc w:val="center"/>
              <w:rPr>
                <w:rFonts w:eastAsiaTheme="minorHAnsi"/>
                <w:color w:val="000000"/>
                <w:lang w:val="en-ZA" w:eastAsia="en-US"/>
              </w:rPr>
            </w:pPr>
            <w:r w:rsidRPr="009351CB">
              <w:rPr>
                <w:rFonts w:eastAsiaTheme="minorHAnsi"/>
                <w:bCs/>
                <w:color w:val="000000"/>
                <w:lang w:val="en-ZA" w:eastAsia="en-US"/>
              </w:rPr>
              <w:t>62%</w:t>
            </w:r>
          </w:p>
        </w:tc>
        <w:tc>
          <w:tcPr>
            <w:tcW w:w="808" w:type="pct"/>
          </w:tcPr>
          <w:p w14:paraId="2E8CF28A" w14:textId="77777777" w:rsidR="00717949" w:rsidRPr="009351CB" w:rsidRDefault="00717949" w:rsidP="009351CB">
            <w:pPr>
              <w:autoSpaceDE w:val="0"/>
              <w:autoSpaceDN w:val="0"/>
              <w:adjustRightInd w:val="0"/>
              <w:spacing w:line="360" w:lineRule="auto"/>
              <w:jc w:val="center"/>
              <w:rPr>
                <w:rFonts w:eastAsiaTheme="minorHAnsi"/>
                <w:bCs/>
                <w:color w:val="000000"/>
                <w:lang w:val="en-ZA" w:eastAsia="en-US"/>
              </w:rPr>
            </w:pPr>
            <w:r w:rsidRPr="009351CB">
              <w:rPr>
                <w:rFonts w:eastAsiaTheme="minorHAnsi"/>
                <w:bCs/>
                <w:color w:val="000000"/>
                <w:lang w:val="en-ZA" w:eastAsia="en-US"/>
              </w:rPr>
              <w:t>53%</w:t>
            </w:r>
          </w:p>
        </w:tc>
        <w:tc>
          <w:tcPr>
            <w:tcW w:w="808" w:type="pct"/>
          </w:tcPr>
          <w:p w14:paraId="7041563F" w14:textId="77777777" w:rsidR="00717949" w:rsidRPr="009351CB" w:rsidRDefault="00717949" w:rsidP="009351CB">
            <w:pPr>
              <w:autoSpaceDE w:val="0"/>
              <w:autoSpaceDN w:val="0"/>
              <w:adjustRightInd w:val="0"/>
              <w:spacing w:line="360" w:lineRule="auto"/>
              <w:jc w:val="center"/>
              <w:rPr>
                <w:rFonts w:eastAsiaTheme="minorHAnsi"/>
                <w:bCs/>
                <w:color w:val="000000"/>
                <w:lang w:eastAsia="en-US"/>
              </w:rPr>
            </w:pPr>
            <w:r w:rsidRPr="009351CB">
              <w:rPr>
                <w:rFonts w:eastAsiaTheme="minorHAnsi"/>
                <w:bCs/>
                <w:color w:val="000000"/>
                <w:lang w:eastAsia="en-US"/>
              </w:rPr>
              <w:t>50%</w:t>
            </w:r>
          </w:p>
        </w:tc>
        <w:tc>
          <w:tcPr>
            <w:tcW w:w="808" w:type="pct"/>
          </w:tcPr>
          <w:p w14:paraId="15969EFB" w14:textId="77777777" w:rsidR="00717949" w:rsidRPr="009351CB" w:rsidRDefault="00717949" w:rsidP="009351CB">
            <w:pPr>
              <w:autoSpaceDE w:val="0"/>
              <w:autoSpaceDN w:val="0"/>
              <w:adjustRightInd w:val="0"/>
              <w:spacing w:line="360" w:lineRule="auto"/>
              <w:jc w:val="center"/>
              <w:rPr>
                <w:rFonts w:eastAsiaTheme="minorHAnsi"/>
                <w:bCs/>
                <w:color w:val="000000"/>
                <w:lang w:eastAsia="en-US"/>
              </w:rPr>
            </w:pPr>
            <w:r w:rsidRPr="009351CB">
              <w:rPr>
                <w:rFonts w:eastAsiaTheme="minorHAnsi"/>
                <w:bCs/>
                <w:color w:val="000000"/>
                <w:lang w:eastAsia="en-US"/>
              </w:rPr>
              <w:t>72%</w:t>
            </w:r>
          </w:p>
        </w:tc>
      </w:tr>
    </w:tbl>
    <w:p w14:paraId="006E1272" w14:textId="77777777" w:rsidR="00626897" w:rsidRPr="009351CB" w:rsidRDefault="00626897" w:rsidP="009351CB">
      <w:pPr>
        <w:pStyle w:val="BodySingle"/>
        <w:spacing w:line="360" w:lineRule="auto"/>
        <w:rPr>
          <w:rFonts w:ascii="Times New Roman" w:hAnsi="Times New Roman"/>
          <w:i w:val="0"/>
          <w:sz w:val="24"/>
          <w:szCs w:val="24"/>
        </w:rPr>
      </w:pPr>
    </w:p>
    <w:p w14:paraId="19C64375" w14:textId="77777777" w:rsidR="00626897" w:rsidRPr="009351CB" w:rsidRDefault="00626897" w:rsidP="004F6019">
      <w:pPr>
        <w:pStyle w:val="ListParagraph"/>
        <w:numPr>
          <w:ilvl w:val="2"/>
          <w:numId w:val="29"/>
        </w:numPr>
        <w:autoSpaceDE w:val="0"/>
        <w:autoSpaceDN w:val="0"/>
        <w:adjustRightInd w:val="0"/>
        <w:spacing w:line="360" w:lineRule="auto"/>
        <w:ind w:left="709" w:hanging="709"/>
        <w:jc w:val="both"/>
      </w:pPr>
      <w:r w:rsidRPr="009351CB">
        <w:t>In 201</w:t>
      </w:r>
      <w:r w:rsidR="005305CD" w:rsidRPr="009351CB">
        <w:t>8/19</w:t>
      </w:r>
      <w:r w:rsidRPr="009351CB">
        <w:t>, the PPSA reports its case management was as follows:</w:t>
      </w:r>
    </w:p>
    <w:p w14:paraId="6616A124" w14:textId="77777777" w:rsidR="008432C1" w:rsidRPr="009351CB" w:rsidRDefault="008432C1" w:rsidP="009351CB">
      <w:pPr>
        <w:pStyle w:val="ListParagraph"/>
        <w:spacing w:line="360" w:lineRule="auto"/>
        <w:jc w:val="both"/>
      </w:pPr>
    </w:p>
    <w:p w14:paraId="0D30CBEB" w14:textId="77777777" w:rsidR="00626897" w:rsidRPr="009351CB" w:rsidRDefault="008432C1" w:rsidP="009351CB">
      <w:pPr>
        <w:tabs>
          <w:tab w:val="left" w:pos="851"/>
        </w:tabs>
        <w:spacing w:line="360" w:lineRule="auto"/>
        <w:jc w:val="both"/>
        <w:rPr>
          <w:b/>
        </w:rPr>
      </w:pPr>
      <w:r w:rsidRPr="009351CB">
        <w:rPr>
          <w:b/>
        </w:rPr>
        <w:t>Table 1</w:t>
      </w:r>
      <w:r w:rsidR="00074C0F" w:rsidRPr="009351CB">
        <w:rPr>
          <w:b/>
        </w:rPr>
        <w:t>2</w:t>
      </w:r>
      <w:r w:rsidR="00E36AA1" w:rsidRPr="009351CB">
        <w:rPr>
          <w:b/>
        </w:rPr>
        <w:t xml:space="preserve">: PPSA </w:t>
      </w:r>
      <w:r w:rsidR="00A14C41" w:rsidRPr="009351CB">
        <w:rPr>
          <w:b/>
        </w:rPr>
        <w:t>c</w:t>
      </w:r>
      <w:r w:rsidR="00E36AA1" w:rsidRPr="009351CB">
        <w:rPr>
          <w:b/>
        </w:rPr>
        <w:t>asel</w:t>
      </w:r>
      <w:r w:rsidRPr="009351CB">
        <w:rPr>
          <w:b/>
        </w:rPr>
        <w:t>oad</w:t>
      </w:r>
      <w:r w:rsidR="00A14C41" w:rsidRPr="009351CB">
        <w:rPr>
          <w:b/>
        </w:rPr>
        <w:t xml:space="preserve"> management</w:t>
      </w:r>
      <w:r w:rsidR="00536C65" w:rsidRPr="009351CB">
        <w:rPr>
          <w:b/>
        </w:rPr>
        <w:t xml:space="preserve"> 201</w:t>
      </w:r>
      <w:r w:rsidR="005305CD" w:rsidRPr="009351CB">
        <w:rPr>
          <w:b/>
        </w:rPr>
        <w:t>5/16</w:t>
      </w:r>
      <w:r w:rsidR="00536C65" w:rsidRPr="009351CB">
        <w:rPr>
          <w:b/>
        </w:rPr>
        <w:t xml:space="preserve"> – 2018/19</w:t>
      </w:r>
    </w:p>
    <w:tbl>
      <w:tblPr>
        <w:tblStyle w:val="TableGrid"/>
        <w:tblW w:w="5000" w:type="pct"/>
        <w:jc w:val="center"/>
        <w:tblLook w:val="04A0" w:firstRow="1" w:lastRow="0" w:firstColumn="1" w:lastColumn="0" w:noHBand="0" w:noVBand="1"/>
      </w:tblPr>
      <w:tblGrid>
        <w:gridCol w:w="1414"/>
        <w:gridCol w:w="1406"/>
        <w:gridCol w:w="1405"/>
        <w:gridCol w:w="1403"/>
        <w:gridCol w:w="1403"/>
        <w:gridCol w:w="1401"/>
      </w:tblGrid>
      <w:tr w:rsidR="005305CD" w:rsidRPr="009351CB" w14:paraId="288A33D8" w14:textId="77777777" w:rsidTr="00074C0F">
        <w:trPr>
          <w:trHeight w:val="379"/>
          <w:tblHeader/>
          <w:jc w:val="center"/>
        </w:trPr>
        <w:tc>
          <w:tcPr>
            <w:tcW w:w="838" w:type="pct"/>
            <w:shd w:val="clear" w:color="auto" w:fill="D9D9D9" w:themeFill="background1" w:themeFillShade="D9"/>
          </w:tcPr>
          <w:p w14:paraId="240BAC79" w14:textId="77777777" w:rsidR="005305CD" w:rsidRPr="009351CB" w:rsidRDefault="005305CD" w:rsidP="009351CB">
            <w:pPr>
              <w:tabs>
                <w:tab w:val="left" w:pos="851"/>
              </w:tabs>
              <w:spacing w:line="360" w:lineRule="auto"/>
              <w:jc w:val="center"/>
            </w:pPr>
            <w:r w:rsidRPr="009351CB">
              <w:rPr>
                <w:b/>
                <w:bCs/>
              </w:rPr>
              <w:t>CASE LOAD</w:t>
            </w:r>
          </w:p>
        </w:tc>
        <w:tc>
          <w:tcPr>
            <w:tcW w:w="834" w:type="pct"/>
            <w:shd w:val="clear" w:color="auto" w:fill="D9D9D9" w:themeFill="background1" w:themeFillShade="D9"/>
          </w:tcPr>
          <w:p w14:paraId="6EE456FA" w14:textId="77777777" w:rsidR="005305CD" w:rsidRPr="009351CB" w:rsidRDefault="005305CD" w:rsidP="009351CB">
            <w:pPr>
              <w:tabs>
                <w:tab w:val="left" w:pos="851"/>
              </w:tabs>
              <w:spacing w:line="360" w:lineRule="auto"/>
              <w:jc w:val="center"/>
            </w:pPr>
            <w:r w:rsidRPr="009351CB">
              <w:rPr>
                <w:b/>
                <w:bCs/>
              </w:rPr>
              <w:t>2015/16</w:t>
            </w:r>
          </w:p>
        </w:tc>
        <w:tc>
          <w:tcPr>
            <w:tcW w:w="833" w:type="pct"/>
            <w:shd w:val="clear" w:color="auto" w:fill="D9D9D9" w:themeFill="background1" w:themeFillShade="D9"/>
          </w:tcPr>
          <w:p w14:paraId="48E9976D" w14:textId="77777777" w:rsidR="005305CD" w:rsidRPr="009351CB" w:rsidRDefault="005305CD" w:rsidP="009351CB">
            <w:pPr>
              <w:tabs>
                <w:tab w:val="left" w:pos="851"/>
              </w:tabs>
              <w:spacing w:line="360" w:lineRule="auto"/>
              <w:jc w:val="center"/>
            </w:pPr>
            <w:r w:rsidRPr="009351CB">
              <w:rPr>
                <w:b/>
                <w:bCs/>
              </w:rPr>
              <w:t>2016/17</w:t>
            </w:r>
          </w:p>
        </w:tc>
        <w:tc>
          <w:tcPr>
            <w:tcW w:w="832" w:type="pct"/>
            <w:shd w:val="clear" w:color="auto" w:fill="D9D9D9" w:themeFill="background1" w:themeFillShade="D9"/>
          </w:tcPr>
          <w:p w14:paraId="44630BEF" w14:textId="77777777" w:rsidR="005305CD" w:rsidRPr="009351CB" w:rsidRDefault="005305CD" w:rsidP="009351CB">
            <w:pPr>
              <w:tabs>
                <w:tab w:val="left" w:pos="851"/>
              </w:tabs>
              <w:spacing w:line="360" w:lineRule="auto"/>
              <w:jc w:val="center"/>
              <w:rPr>
                <w:b/>
                <w:bCs/>
              </w:rPr>
            </w:pPr>
            <w:r w:rsidRPr="009351CB">
              <w:rPr>
                <w:b/>
                <w:bCs/>
              </w:rPr>
              <w:t>2017/18</w:t>
            </w:r>
          </w:p>
        </w:tc>
        <w:tc>
          <w:tcPr>
            <w:tcW w:w="832" w:type="pct"/>
            <w:shd w:val="clear" w:color="auto" w:fill="D9D9D9" w:themeFill="background1" w:themeFillShade="D9"/>
          </w:tcPr>
          <w:p w14:paraId="26CDB9C6" w14:textId="77777777" w:rsidR="005305CD" w:rsidRPr="009351CB" w:rsidRDefault="005305CD" w:rsidP="009351CB">
            <w:pPr>
              <w:tabs>
                <w:tab w:val="left" w:pos="851"/>
              </w:tabs>
              <w:spacing w:line="360" w:lineRule="auto"/>
              <w:jc w:val="center"/>
              <w:rPr>
                <w:b/>
                <w:bCs/>
              </w:rPr>
            </w:pPr>
            <w:r w:rsidRPr="009351CB">
              <w:rPr>
                <w:b/>
                <w:bCs/>
              </w:rPr>
              <w:t>2018/19</w:t>
            </w:r>
          </w:p>
        </w:tc>
        <w:tc>
          <w:tcPr>
            <w:tcW w:w="832" w:type="pct"/>
            <w:shd w:val="clear" w:color="auto" w:fill="D9D9D9" w:themeFill="background1" w:themeFillShade="D9"/>
          </w:tcPr>
          <w:p w14:paraId="3D5CB4A0" w14:textId="77777777" w:rsidR="005305CD" w:rsidRPr="009351CB" w:rsidRDefault="005305CD" w:rsidP="009351CB">
            <w:pPr>
              <w:tabs>
                <w:tab w:val="left" w:pos="851"/>
              </w:tabs>
              <w:spacing w:line="360" w:lineRule="auto"/>
              <w:jc w:val="center"/>
              <w:rPr>
                <w:b/>
                <w:bCs/>
              </w:rPr>
            </w:pPr>
            <w:r w:rsidRPr="009351CB">
              <w:rPr>
                <w:b/>
                <w:bCs/>
              </w:rPr>
              <w:t>2019/20</w:t>
            </w:r>
          </w:p>
        </w:tc>
      </w:tr>
      <w:tr w:rsidR="005305CD" w:rsidRPr="009351CB" w14:paraId="3EADD6E6" w14:textId="77777777" w:rsidTr="00074C0F">
        <w:trPr>
          <w:jc w:val="center"/>
        </w:trPr>
        <w:tc>
          <w:tcPr>
            <w:tcW w:w="838" w:type="pct"/>
          </w:tcPr>
          <w:p w14:paraId="58F3B784" w14:textId="77777777" w:rsidR="005305CD" w:rsidRPr="009351CB" w:rsidRDefault="005305CD" w:rsidP="009351CB">
            <w:pPr>
              <w:tabs>
                <w:tab w:val="left" w:pos="851"/>
              </w:tabs>
              <w:spacing w:line="360" w:lineRule="auto"/>
              <w:jc w:val="both"/>
              <w:rPr>
                <w:b/>
              </w:rPr>
            </w:pPr>
            <w:r w:rsidRPr="009351CB">
              <w:rPr>
                <w:b/>
              </w:rPr>
              <w:t xml:space="preserve">Cases carried over </w:t>
            </w:r>
          </w:p>
        </w:tc>
        <w:tc>
          <w:tcPr>
            <w:tcW w:w="834" w:type="pct"/>
          </w:tcPr>
          <w:p w14:paraId="18D418D3" w14:textId="77777777" w:rsidR="005305CD" w:rsidRPr="009351CB" w:rsidRDefault="005305CD" w:rsidP="009351CB">
            <w:pPr>
              <w:tabs>
                <w:tab w:val="left" w:pos="851"/>
              </w:tabs>
              <w:spacing w:line="360" w:lineRule="auto"/>
              <w:jc w:val="both"/>
            </w:pPr>
            <w:r w:rsidRPr="009351CB">
              <w:t>5 331</w:t>
            </w:r>
          </w:p>
        </w:tc>
        <w:tc>
          <w:tcPr>
            <w:tcW w:w="833" w:type="pct"/>
          </w:tcPr>
          <w:p w14:paraId="1BC91046" w14:textId="77777777" w:rsidR="005305CD" w:rsidRPr="009351CB" w:rsidRDefault="005305CD" w:rsidP="009351CB">
            <w:pPr>
              <w:tabs>
                <w:tab w:val="left" w:pos="851"/>
              </w:tabs>
              <w:spacing w:line="360" w:lineRule="auto"/>
              <w:jc w:val="both"/>
            </w:pPr>
            <w:r w:rsidRPr="009351CB">
              <w:t>4 254</w:t>
            </w:r>
          </w:p>
        </w:tc>
        <w:tc>
          <w:tcPr>
            <w:tcW w:w="832" w:type="pct"/>
          </w:tcPr>
          <w:p w14:paraId="0B821B0F" w14:textId="77777777" w:rsidR="005305CD" w:rsidRPr="009351CB" w:rsidRDefault="005305CD" w:rsidP="009351CB">
            <w:pPr>
              <w:tabs>
                <w:tab w:val="left" w:pos="851"/>
              </w:tabs>
              <w:spacing w:line="360" w:lineRule="auto"/>
              <w:jc w:val="both"/>
            </w:pPr>
            <w:r w:rsidRPr="009351CB">
              <w:t>5 255</w:t>
            </w:r>
          </w:p>
        </w:tc>
        <w:tc>
          <w:tcPr>
            <w:tcW w:w="832" w:type="pct"/>
          </w:tcPr>
          <w:p w14:paraId="1954C8D2" w14:textId="77777777" w:rsidR="005305CD" w:rsidRPr="009351CB" w:rsidRDefault="005305CD" w:rsidP="009351CB">
            <w:pPr>
              <w:tabs>
                <w:tab w:val="left" w:pos="851"/>
              </w:tabs>
              <w:spacing w:line="360" w:lineRule="auto"/>
              <w:jc w:val="both"/>
            </w:pPr>
            <w:r w:rsidRPr="009351CB">
              <w:t>4 390</w:t>
            </w:r>
          </w:p>
        </w:tc>
        <w:tc>
          <w:tcPr>
            <w:tcW w:w="832" w:type="pct"/>
          </w:tcPr>
          <w:p w14:paraId="64A8E6DF" w14:textId="77777777" w:rsidR="005305CD" w:rsidRPr="009351CB" w:rsidRDefault="005305CD" w:rsidP="009351CB">
            <w:pPr>
              <w:tabs>
                <w:tab w:val="left" w:pos="851"/>
              </w:tabs>
              <w:spacing w:line="360" w:lineRule="auto"/>
              <w:jc w:val="both"/>
            </w:pPr>
            <w:r w:rsidRPr="009351CB">
              <w:t>4 006</w:t>
            </w:r>
          </w:p>
        </w:tc>
      </w:tr>
      <w:tr w:rsidR="005305CD" w:rsidRPr="009351CB" w14:paraId="4E923936" w14:textId="77777777" w:rsidTr="00074C0F">
        <w:trPr>
          <w:jc w:val="center"/>
        </w:trPr>
        <w:tc>
          <w:tcPr>
            <w:tcW w:w="838" w:type="pct"/>
          </w:tcPr>
          <w:p w14:paraId="2E19FFE3" w14:textId="77777777" w:rsidR="005305CD" w:rsidRPr="009351CB" w:rsidRDefault="005305CD" w:rsidP="009351CB">
            <w:pPr>
              <w:tabs>
                <w:tab w:val="left" w:pos="851"/>
              </w:tabs>
              <w:spacing w:line="360" w:lineRule="auto"/>
              <w:jc w:val="both"/>
              <w:rPr>
                <w:b/>
              </w:rPr>
            </w:pPr>
            <w:r w:rsidRPr="009351CB">
              <w:rPr>
                <w:b/>
              </w:rPr>
              <w:t>Total received</w:t>
            </w:r>
          </w:p>
        </w:tc>
        <w:tc>
          <w:tcPr>
            <w:tcW w:w="834" w:type="pct"/>
          </w:tcPr>
          <w:p w14:paraId="367A6222" w14:textId="77777777" w:rsidR="005305CD" w:rsidRPr="009351CB" w:rsidRDefault="005305CD" w:rsidP="009351CB">
            <w:pPr>
              <w:tabs>
                <w:tab w:val="left" w:pos="851"/>
              </w:tabs>
              <w:spacing w:line="360" w:lineRule="auto"/>
              <w:jc w:val="both"/>
            </w:pPr>
            <w:r w:rsidRPr="009351CB">
              <w:t xml:space="preserve">11 372 </w:t>
            </w:r>
          </w:p>
        </w:tc>
        <w:tc>
          <w:tcPr>
            <w:tcW w:w="833" w:type="pct"/>
          </w:tcPr>
          <w:p w14:paraId="101394D0" w14:textId="77777777" w:rsidR="005305CD" w:rsidRPr="009351CB" w:rsidRDefault="005305CD" w:rsidP="009351CB">
            <w:pPr>
              <w:tabs>
                <w:tab w:val="left" w:pos="851"/>
              </w:tabs>
              <w:spacing w:line="360" w:lineRule="auto"/>
              <w:jc w:val="both"/>
            </w:pPr>
            <w:r w:rsidRPr="009351CB">
              <w:t>9 563</w:t>
            </w:r>
          </w:p>
        </w:tc>
        <w:tc>
          <w:tcPr>
            <w:tcW w:w="832" w:type="pct"/>
          </w:tcPr>
          <w:p w14:paraId="5A409699" w14:textId="77777777" w:rsidR="005305CD" w:rsidRPr="009351CB" w:rsidRDefault="005305CD" w:rsidP="009351CB">
            <w:pPr>
              <w:tabs>
                <w:tab w:val="left" w:pos="851"/>
              </w:tabs>
              <w:spacing w:line="360" w:lineRule="auto"/>
              <w:jc w:val="both"/>
            </w:pPr>
            <w:r w:rsidRPr="009351CB">
              <w:t>11 943</w:t>
            </w:r>
          </w:p>
        </w:tc>
        <w:tc>
          <w:tcPr>
            <w:tcW w:w="832" w:type="pct"/>
          </w:tcPr>
          <w:p w14:paraId="7ADE5DC5" w14:textId="77777777" w:rsidR="005305CD" w:rsidRPr="009351CB" w:rsidRDefault="005305CD" w:rsidP="009351CB">
            <w:pPr>
              <w:tabs>
                <w:tab w:val="left" w:pos="851"/>
              </w:tabs>
              <w:spacing w:line="360" w:lineRule="auto"/>
              <w:jc w:val="both"/>
            </w:pPr>
            <w:r w:rsidRPr="009351CB">
              <w:t>8 717</w:t>
            </w:r>
          </w:p>
        </w:tc>
        <w:tc>
          <w:tcPr>
            <w:tcW w:w="832" w:type="pct"/>
          </w:tcPr>
          <w:p w14:paraId="3FC047E0" w14:textId="77777777" w:rsidR="005305CD" w:rsidRPr="009351CB" w:rsidRDefault="005305CD" w:rsidP="009351CB">
            <w:pPr>
              <w:tabs>
                <w:tab w:val="left" w:pos="851"/>
              </w:tabs>
              <w:spacing w:line="360" w:lineRule="auto"/>
              <w:jc w:val="both"/>
            </w:pPr>
            <w:r w:rsidRPr="009351CB">
              <w:t>-</w:t>
            </w:r>
          </w:p>
        </w:tc>
      </w:tr>
      <w:tr w:rsidR="005305CD" w:rsidRPr="009351CB" w14:paraId="0F9C9DD8" w14:textId="77777777" w:rsidTr="00074C0F">
        <w:trPr>
          <w:jc w:val="center"/>
        </w:trPr>
        <w:tc>
          <w:tcPr>
            <w:tcW w:w="838" w:type="pct"/>
          </w:tcPr>
          <w:p w14:paraId="5AA9A87A" w14:textId="77777777" w:rsidR="005305CD" w:rsidRPr="009351CB" w:rsidRDefault="005305CD" w:rsidP="009351CB">
            <w:pPr>
              <w:tabs>
                <w:tab w:val="left" w:pos="851"/>
              </w:tabs>
              <w:spacing w:line="360" w:lineRule="auto"/>
              <w:jc w:val="both"/>
              <w:rPr>
                <w:b/>
              </w:rPr>
            </w:pPr>
            <w:r w:rsidRPr="009351CB">
              <w:rPr>
                <w:b/>
              </w:rPr>
              <w:t xml:space="preserve">Finalized cases </w:t>
            </w:r>
          </w:p>
        </w:tc>
        <w:tc>
          <w:tcPr>
            <w:tcW w:w="834" w:type="pct"/>
          </w:tcPr>
          <w:p w14:paraId="39B144AF" w14:textId="77777777" w:rsidR="005305CD" w:rsidRPr="009351CB" w:rsidRDefault="005305CD" w:rsidP="009351CB">
            <w:pPr>
              <w:tabs>
                <w:tab w:val="left" w:pos="851"/>
              </w:tabs>
              <w:spacing w:line="360" w:lineRule="auto"/>
              <w:jc w:val="both"/>
            </w:pPr>
            <w:r w:rsidRPr="009351CB">
              <w:t xml:space="preserve">12 735 </w:t>
            </w:r>
          </w:p>
        </w:tc>
        <w:tc>
          <w:tcPr>
            <w:tcW w:w="833" w:type="pct"/>
          </w:tcPr>
          <w:p w14:paraId="60A4CAC9" w14:textId="77777777" w:rsidR="005305CD" w:rsidRPr="009351CB" w:rsidRDefault="005305CD" w:rsidP="009351CB">
            <w:pPr>
              <w:tabs>
                <w:tab w:val="left" w:pos="851"/>
              </w:tabs>
              <w:spacing w:line="360" w:lineRule="auto"/>
              <w:jc w:val="both"/>
            </w:pPr>
            <w:r w:rsidRPr="009351CB">
              <w:t>10 787</w:t>
            </w:r>
          </w:p>
        </w:tc>
        <w:tc>
          <w:tcPr>
            <w:tcW w:w="832" w:type="pct"/>
          </w:tcPr>
          <w:p w14:paraId="2D04595D" w14:textId="77777777" w:rsidR="005305CD" w:rsidRPr="009351CB" w:rsidRDefault="005305CD" w:rsidP="009351CB">
            <w:pPr>
              <w:tabs>
                <w:tab w:val="left" w:pos="851"/>
              </w:tabs>
              <w:spacing w:line="360" w:lineRule="auto"/>
              <w:jc w:val="both"/>
            </w:pPr>
            <w:r w:rsidRPr="009351CB">
              <w:t>13 572</w:t>
            </w:r>
          </w:p>
        </w:tc>
        <w:tc>
          <w:tcPr>
            <w:tcW w:w="832" w:type="pct"/>
          </w:tcPr>
          <w:p w14:paraId="1AE4FE2F" w14:textId="77777777" w:rsidR="005305CD" w:rsidRPr="009351CB" w:rsidRDefault="005305CD" w:rsidP="009351CB">
            <w:pPr>
              <w:tabs>
                <w:tab w:val="left" w:pos="851"/>
              </w:tabs>
              <w:spacing w:line="360" w:lineRule="auto"/>
              <w:jc w:val="both"/>
            </w:pPr>
            <w:r w:rsidRPr="009351CB">
              <w:t>9 912</w:t>
            </w:r>
          </w:p>
        </w:tc>
        <w:tc>
          <w:tcPr>
            <w:tcW w:w="832" w:type="pct"/>
          </w:tcPr>
          <w:p w14:paraId="5DF809CB" w14:textId="77777777" w:rsidR="005305CD" w:rsidRPr="009351CB" w:rsidRDefault="005305CD" w:rsidP="009351CB">
            <w:pPr>
              <w:tabs>
                <w:tab w:val="left" w:pos="851"/>
              </w:tabs>
              <w:spacing w:line="360" w:lineRule="auto"/>
              <w:jc w:val="both"/>
            </w:pPr>
            <w:r w:rsidRPr="009351CB">
              <w:t>-</w:t>
            </w:r>
          </w:p>
        </w:tc>
      </w:tr>
      <w:tr w:rsidR="005305CD" w:rsidRPr="009351CB" w14:paraId="1FBAE73F" w14:textId="77777777" w:rsidTr="00074C0F">
        <w:trPr>
          <w:jc w:val="center"/>
        </w:trPr>
        <w:tc>
          <w:tcPr>
            <w:tcW w:w="838" w:type="pct"/>
          </w:tcPr>
          <w:p w14:paraId="06602CEE" w14:textId="77777777" w:rsidR="005305CD" w:rsidRPr="009351CB" w:rsidRDefault="005305CD" w:rsidP="009351CB">
            <w:pPr>
              <w:tabs>
                <w:tab w:val="left" w:pos="851"/>
              </w:tabs>
              <w:spacing w:line="360" w:lineRule="auto"/>
              <w:jc w:val="both"/>
              <w:rPr>
                <w:b/>
              </w:rPr>
            </w:pPr>
            <w:r w:rsidRPr="009351CB">
              <w:rPr>
                <w:b/>
              </w:rPr>
              <w:t xml:space="preserve">Cases referred </w:t>
            </w:r>
          </w:p>
        </w:tc>
        <w:tc>
          <w:tcPr>
            <w:tcW w:w="834" w:type="pct"/>
          </w:tcPr>
          <w:p w14:paraId="32A8688D" w14:textId="77777777" w:rsidR="005305CD" w:rsidRPr="009351CB" w:rsidRDefault="005305CD" w:rsidP="009351CB">
            <w:pPr>
              <w:tabs>
                <w:tab w:val="left" w:pos="851"/>
              </w:tabs>
              <w:spacing w:line="360" w:lineRule="auto"/>
              <w:jc w:val="both"/>
            </w:pPr>
            <w:r w:rsidRPr="009351CB">
              <w:t xml:space="preserve">1 159 </w:t>
            </w:r>
          </w:p>
        </w:tc>
        <w:tc>
          <w:tcPr>
            <w:tcW w:w="833" w:type="pct"/>
          </w:tcPr>
          <w:p w14:paraId="01BFA4A5" w14:textId="77777777" w:rsidR="005305CD" w:rsidRPr="009351CB" w:rsidRDefault="005305CD" w:rsidP="009351CB">
            <w:pPr>
              <w:tabs>
                <w:tab w:val="left" w:pos="851"/>
              </w:tabs>
              <w:spacing w:line="360" w:lineRule="auto"/>
              <w:jc w:val="both"/>
            </w:pPr>
            <w:r w:rsidRPr="009351CB">
              <w:t>929</w:t>
            </w:r>
          </w:p>
        </w:tc>
        <w:tc>
          <w:tcPr>
            <w:tcW w:w="832" w:type="pct"/>
          </w:tcPr>
          <w:p w14:paraId="301C02FE" w14:textId="77777777" w:rsidR="005305CD" w:rsidRPr="009351CB" w:rsidRDefault="005305CD" w:rsidP="009351CB">
            <w:pPr>
              <w:tabs>
                <w:tab w:val="left" w:pos="851"/>
              </w:tabs>
              <w:spacing w:line="360" w:lineRule="auto"/>
              <w:jc w:val="both"/>
            </w:pPr>
            <w:r w:rsidRPr="009351CB">
              <w:t>1 746</w:t>
            </w:r>
          </w:p>
        </w:tc>
        <w:tc>
          <w:tcPr>
            <w:tcW w:w="832" w:type="pct"/>
          </w:tcPr>
          <w:p w14:paraId="3DAB94D4" w14:textId="77777777" w:rsidR="005305CD" w:rsidRPr="009351CB" w:rsidRDefault="005305CD" w:rsidP="009351CB">
            <w:pPr>
              <w:tabs>
                <w:tab w:val="left" w:pos="851"/>
              </w:tabs>
              <w:spacing w:line="360" w:lineRule="auto"/>
              <w:jc w:val="both"/>
            </w:pPr>
            <w:r w:rsidRPr="009351CB">
              <w:t>1 100</w:t>
            </w:r>
          </w:p>
        </w:tc>
        <w:tc>
          <w:tcPr>
            <w:tcW w:w="832" w:type="pct"/>
          </w:tcPr>
          <w:p w14:paraId="7A796F97" w14:textId="77777777" w:rsidR="005305CD" w:rsidRPr="009351CB" w:rsidRDefault="005305CD" w:rsidP="009351CB">
            <w:pPr>
              <w:tabs>
                <w:tab w:val="left" w:pos="851"/>
              </w:tabs>
              <w:spacing w:line="360" w:lineRule="auto"/>
              <w:jc w:val="both"/>
            </w:pPr>
            <w:r w:rsidRPr="009351CB">
              <w:t>-</w:t>
            </w:r>
          </w:p>
        </w:tc>
      </w:tr>
    </w:tbl>
    <w:p w14:paraId="60462B3C" w14:textId="77777777" w:rsidR="00626897" w:rsidRPr="009351CB" w:rsidRDefault="00626897" w:rsidP="009351CB">
      <w:pPr>
        <w:tabs>
          <w:tab w:val="left" w:pos="851"/>
        </w:tabs>
        <w:spacing w:line="360" w:lineRule="auto"/>
        <w:jc w:val="both"/>
      </w:pPr>
    </w:p>
    <w:p w14:paraId="7EF58458" w14:textId="77777777" w:rsidR="00F50FBB" w:rsidRPr="009351CB" w:rsidRDefault="00F50FBB" w:rsidP="004F6019">
      <w:pPr>
        <w:pStyle w:val="ListParagraph"/>
        <w:numPr>
          <w:ilvl w:val="2"/>
          <w:numId w:val="29"/>
        </w:numPr>
        <w:autoSpaceDE w:val="0"/>
        <w:autoSpaceDN w:val="0"/>
        <w:adjustRightInd w:val="0"/>
        <w:spacing w:line="360" w:lineRule="auto"/>
        <w:ind w:left="709" w:hanging="709"/>
        <w:jc w:val="both"/>
      </w:pPr>
      <w:r w:rsidRPr="009351CB">
        <w:t xml:space="preserve">In </w:t>
      </w:r>
      <w:r w:rsidR="005305CD" w:rsidRPr="009351CB">
        <w:t xml:space="preserve">2018/19, </w:t>
      </w:r>
      <w:r w:rsidRPr="009351CB">
        <w:t xml:space="preserve">Administration achieved </w:t>
      </w:r>
      <w:r w:rsidR="00F5538B" w:rsidRPr="009351CB">
        <w:t xml:space="preserve">three (or 75%) of four </w:t>
      </w:r>
      <w:r w:rsidRPr="009351CB">
        <w:t>planned targets, spending R</w:t>
      </w:r>
      <w:r w:rsidR="00C05247" w:rsidRPr="009351CB">
        <w:t>1</w:t>
      </w:r>
      <w:r w:rsidR="00F5538B" w:rsidRPr="009351CB">
        <w:t>29.5</w:t>
      </w:r>
      <w:r w:rsidR="00C05247" w:rsidRPr="009351CB">
        <w:t xml:space="preserve"> million against the allocated budget of R</w:t>
      </w:r>
      <w:r w:rsidRPr="009351CB">
        <w:t>1</w:t>
      </w:r>
      <w:r w:rsidR="00F5538B" w:rsidRPr="009351CB">
        <w:t>32.9</w:t>
      </w:r>
      <w:r w:rsidRPr="009351CB">
        <w:t xml:space="preserve"> million. </w:t>
      </w:r>
    </w:p>
    <w:p w14:paraId="2BE32539" w14:textId="77777777" w:rsidR="00F50FBB" w:rsidRPr="009351CB" w:rsidRDefault="00F50FBB" w:rsidP="009351CB">
      <w:pPr>
        <w:pStyle w:val="ListParagraph"/>
        <w:spacing w:line="360" w:lineRule="auto"/>
      </w:pPr>
    </w:p>
    <w:p w14:paraId="4417BBEC" w14:textId="082BE95C" w:rsidR="00F50FBB" w:rsidRPr="009351CB" w:rsidRDefault="00F50FBB" w:rsidP="004F6019">
      <w:pPr>
        <w:pStyle w:val="ListParagraph"/>
        <w:numPr>
          <w:ilvl w:val="2"/>
          <w:numId w:val="29"/>
        </w:numPr>
        <w:autoSpaceDE w:val="0"/>
        <w:autoSpaceDN w:val="0"/>
        <w:adjustRightInd w:val="0"/>
        <w:spacing w:line="360" w:lineRule="auto"/>
        <w:ind w:left="709" w:hanging="709"/>
        <w:jc w:val="both"/>
      </w:pPr>
      <w:r w:rsidRPr="009351CB">
        <w:t>The Investigations programme achieved</w:t>
      </w:r>
      <w:r w:rsidR="00C05247" w:rsidRPr="009351CB">
        <w:t xml:space="preserve"> three</w:t>
      </w:r>
      <w:r w:rsidR="007007F5" w:rsidRPr="009351CB">
        <w:t xml:space="preserve"> </w:t>
      </w:r>
      <w:r w:rsidR="00F5538B" w:rsidRPr="009351CB">
        <w:t>or 5</w:t>
      </w:r>
      <w:r w:rsidR="00C05247" w:rsidRPr="009351CB">
        <w:t xml:space="preserve">0% of the </w:t>
      </w:r>
      <w:r w:rsidR="00F5538B" w:rsidRPr="009351CB">
        <w:t>six planned targets for 2018</w:t>
      </w:r>
      <w:r w:rsidR="00C05247" w:rsidRPr="009351CB">
        <w:t>/1</w:t>
      </w:r>
      <w:r w:rsidR="00F5538B" w:rsidRPr="009351CB">
        <w:t>91</w:t>
      </w:r>
      <w:r w:rsidRPr="009351CB">
        <w:t>. Performance is linked to the follow</w:t>
      </w:r>
      <w:r w:rsidR="008432C1" w:rsidRPr="009351CB">
        <w:t xml:space="preserve">ing four strategic objectives: </w:t>
      </w:r>
      <w:r w:rsidR="00F5538B" w:rsidRPr="009351CB">
        <w:t>investigate and finalise reports promptly</w:t>
      </w:r>
      <w:r w:rsidRPr="009351CB">
        <w:t xml:space="preserve">; </w:t>
      </w:r>
      <w:r w:rsidR="00C05247" w:rsidRPr="009351CB">
        <w:t xml:space="preserve">promote a culture of good governance; </w:t>
      </w:r>
      <w:r w:rsidRPr="009351CB">
        <w:t xml:space="preserve">and implementation of remedial action. </w:t>
      </w:r>
      <w:r w:rsidR="00536C65" w:rsidRPr="009351CB">
        <w:t>The programme had a budget of R</w:t>
      </w:r>
      <w:r w:rsidR="00F5538B" w:rsidRPr="009351CB">
        <w:t xml:space="preserve">181.8 million </w:t>
      </w:r>
      <w:r w:rsidR="00536C65" w:rsidRPr="009351CB">
        <w:t>in 201</w:t>
      </w:r>
      <w:r w:rsidR="009D28E2" w:rsidRPr="009351CB">
        <w:t>8/19</w:t>
      </w:r>
      <w:r w:rsidRPr="009351CB">
        <w:t>, and spent R1</w:t>
      </w:r>
      <w:r w:rsidR="00F5538B" w:rsidRPr="009351CB">
        <w:t>80.9</w:t>
      </w:r>
      <w:r w:rsidR="00536C65" w:rsidRPr="009351CB">
        <w:t xml:space="preserve"> </w:t>
      </w:r>
      <w:r w:rsidRPr="009351CB">
        <w:t>million, o</w:t>
      </w:r>
      <w:r w:rsidR="00536C65" w:rsidRPr="009351CB">
        <w:t>verspending by R8</w:t>
      </w:r>
      <w:r w:rsidR="00F5538B" w:rsidRPr="009351CB">
        <w:t>76 000</w:t>
      </w:r>
      <w:r w:rsidRPr="009351CB">
        <w:t>.</w:t>
      </w:r>
    </w:p>
    <w:p w14:paraId="5D9119C2" w14:textId="77777777" w:rsidR="00F50FBB" w:rsidRPr="009351CB" w:rsidRDefault="00F50FBB" w:rsidP="009351CB">
      <w:pPr>
        <w:spacing w:line="360" w:lineRule="auto"/>
        <w:jc w:val="both"/>
      </w:pPr>
    </w:p>
    <w:p w14:paraId="22961D31" w14:textId="77777777" w:rsidR="00F50FBB" w:rsidRPr="009351CB" w:rsidRDefault="00F50FBB" w:rsidP="004F6019">
      <w:pPr>
        <w:pStyle w:val="ListParagraph"/>
        <w:numPr>
          <w:ilvl w:val="2"/>
          <w:numId w:val="29"/>
        </w:numPr>
        <w:autoSpaceDE w:val="0"/>
        <w:autoSpaceDN w:val="0"/>
        <w:adjustRightInd w:val="0"/>
        <w:spacing w:line="360" w:lineRule="auto"/>
        <w:ind w:left="709" w:hanging="709"/>
        <w:jc w:val="both"/>
      </w:pPr>
      <w:r w:rsidRPr="009351CB">
        <w:t xml:space="preserve">The Stakeholder Management programme achieved </w:t>
      </w:r>
      <w:r w:rsidR="00F5538B" w:rsidRPr="009351CB">
        <w:t xml:space="preserve">seven </w:t>
      </w:r>
      <w:r w:rsidR="00536C65" w:rsidRPr="009351CB">
        <w:t xml:space="preserve">or </w:t>
      </w:r>
      <w:r w:rsidR="00F5538B" w:rsidRPr="009351CB">
        <w:t>87.5</w:t>
      </w:r>
      <w:r w:rsidRPr="009351CB">
        <w:t xml:space="preserve">% of </w:t>
      </w:r>
      <w:r w:rsidR="00F5538B" w:rsidRPr="009351CB">
        <w:t xml:space="preserve">eight </w:t>
      </w:r>
      <w:r w:rsidR="00536C65" w:rsidRPr="009351CB">
        <w:t>performance targets in 201</w:t>
      </w:r>
      <w:r w:rsidR="00F5538B" w:rsidRPr="009351CB">
        <w:t>8/19</w:t>
      </w:r>
      <w:r w:rsidRPr="009351CB">
        <w:t>. The programme had a budget of R</w:t>
      </w:r>
      <w:r w:rsidR="00536C65" w:rsidRPr="009351CB">
        <w:t>1</w:t>
      </w:r>
      <w:r w:rsidR="00F5538B" w:rsidRPr="009351CB">
        <w:t>2.7 million</w:t>
      </w:r>
      <w:r w:rsidR="00536C65" w:rsidRPr="009351CB">
        <w:t xml:space="preserve"> and spent R1</w:t>
      </w:r>
      <w:r w:rsidR="00F5538B" w:rsidRPr="009351CB">
        <w:t xml:space="preserve">2.1 </w:t>
      </w:r>
      <w:r w:rsidR="008432C1" w:rsidRPr="009351CB">
        <w:t>million, resulting in under-</w:t>
      </w:r>
      <w:r w:rsidRPr="009351CB">
        <w:t>expenditure of R</w:t>
      </w:r>
      <w:r w:rsidR="00F5538B" w:rsidRPr="009351CB">
        <w:t>599 000</w:t>
      </w:r>
      <w:r w:rsidR="00536C65" w:rsidRPr="009351CB">
        <w:t>.</w:t>
      </w:r>
      <w:r w:rsidRPr="009351CB">
        <w:t xml:space="preserve"> </w:t>
      </w:r>
    </w:p>
    <w:p w14:paraId="73EAA1FC" w14:textId="77777777" w:rsidR="00F50FBB" w:rsidRPr="009351CB" w:rsidRDefault="00F50FBB" w:rsidP="009351CB">
      <w:pPr>
        <w:autoSpaceDE w:val="0"/>
        <w:autoSpaceDN w:val="0"/>
        <w:adjustRightInd w:val="0"/>
        <w:spacing w:line="360" w:lineRule="auto"/>
        <w:jc w:val="both"/>
      </w:pPr>
    </w:p>
    <w:p w14:paraId="0B5541CD" w14:textId="77777777" w:rsidR="00760B7F" w:rsidRPr="009351CB" w:rsidRDefault="00760B7F" w:rsidP="004F6019">
      <w:pPr>
        <w:pStyle w:val="ListParagraph"/>
        <w:numPr>
          <w:ilvl w:val="1"/>
          <w:numId w:val="29"/>
        </w:numPr>
        <w:spacing w:line="360" w:lineRule="auto"/>
        <w:ind w:left="709" w:hanging="709"/>
        <w:jc w:val="both"/>
        <w:rPr>
          <w:b/>
          <w:lang w:eastAsia="en-US"/>
        </w:rPr>
      </w:pPr>
      <w:r w:rsidRPr="009351CB">
        <w:rPr>
          <w:b/>
        </w:rPr>
        <w:t xml:space="preserve">Budget 2019/20 </w:t>
      </w:r>
    </w:p>
    <w:p w14:paraId="60CA15AF" w14:textId="77777777" w:rsidR="00760B7F" w:rsidRPr="009351CB" w:rsidRDefault="00760B7F" w:rsidP="009351CB">
      <w:pPr>
        <w:pStyle w:val="ListParagraph"/>
        <w:spacing w:line="360" w:lineRule="auto"/>
      </w:pPr>
    </w:p>
    <w:p w14:paraId="43AECDF7" w14:textId="73D49FCE" w:rsidR="00760B7F" w:rsidRPr="009351CB" w:rsidRDefault="00760B7F" w:rsidP="004F6019">
      <w:pPr>
        <w:pStyle w:val="ListParagraph"/>
        <w:numPr>
          <w:ilvl w:val="2"/>
          <w:numId w:val="29"/>
        </w:numPr>
        <w:autoSpaceDE w:val="0"/>
        <w:autoSpaceDN w:val="0"/>
        <w:adjustRightInd w:val="0"/>
        <w:spacing w:line="360" w:lineRule="auto"/>
        <w:ind w:left="709" w:hanging="709"/>
        <w:jc w:val="both"/>
        <w:rPr>
          <w:lang w:eastAsia="en-US"/>
        </w:rPr>
      </w:pPr>
      <w:r w:rsidRPr="009351CB">
        <w:rPr>
          <w:bCs/>
        </w:rPr>
        <w:t>In</w:t>
      </w:r>
      <w:r w:rsidRPr="009351CB">
        <w:t xml:space="preserve"> 2019/20, the PP is allocated R322.6 million, compared to R311 million in 2018/19. Following a baseline cut in the 2018 Budget of R36.2 million over the MTEF, the 2019 Budget includes further cuts over the medium term. A total of 80% or R257.1 million is for compensation of employees, while the goods and services budget is R62.5 million. </w:t>
      </w:r>
    </w:p>
    <w:p w14:paraId="24204C15" w14:textId="77777777" w:rsidR="00760B7F" w:rsidRPr="009351CB" w:rsidRDefault="00760B7F" w:rsidP="009351CB">
      <w:pPr>
        <w:pStyle w:val="ListParagraph"/>
        <w:spacing w:line="360" w:lineRule="auto"/>
        <w:jc w:val="both"/>
        <w:rPr>
          <w:lang w:eastAsia="en-US"/>
        </w:rPr>
      </w:pPr>
    </w:p>
    <w:p w14:paraId="061382D2" w14:textId="77777777" w:rsidR="00760B7F" w:rsidRPr="009351CB" w:rsidRDefault="00760B7F" w:rsidP="004F6019">
      <w:pPr>
        <w:pStyle w:val="ListParagraph"/>
        <w:numPr>
          <w:ilvl w:val="2"/>
          <w:numId w:val="29"/>
        </w:numPr>
        <w:autoSpaceDE w:val="0"/>
        <w:autoSpaceDN w:val="0"/>
        <w:adjustRightInd w:val="0"/>
        <w:spacing w:line="360" w:lineRule="auto"/>
        <w:ind w:left="709" w:hanging="709"/>
        <w:jc w:val="both"/>
        <w:rPr>
          <w:lang w:eastAsia="en-US"/>
        </w:rPr>
      </w:pPr>
      <w:r w:rsidRPr="009351CB">
        <w:t>For some time now, the Public Protector has indicated that the institution is underfunded. The main areas of need are as follows:</w:t>
      </w:r>
    </w:p>
    <w:p w14:paraId="358E66D1" w14:textId="77777777" w:rsidR="00760B7F" w:rsidRPr="009351CB" w:rsidRDefault="00760B7F" w:rsidP="009351CB">
      <w:pPr>
        <w:autoSpaceDE w:val="0"/>
        <w:autoSpaceDN w:val="0"/>
        <w:adjustRightInd w:val="0"/>
        <w:spacing w:line="360" w:lineRule="auto"/>
        <w:ind w:left="720"/>
        <w:rPr>
          <w:lang w:eastAsia="en-US"/>
        </w:rPr>
      </w:pPr>
    </w:p>
    <w:p w14:paraId="330B2011" w14:textId="77777777" w:rsidR="00760B7F" w:rsidRPr="009351CB" w:rsidRDefault="00074C0F" w:rsidP="009351CB">
      <w:pPr>
        <w:autoSpaceDE w:val="0"/>
        <w:autoSpaceDN w:val="0"/>
        <w:adjustRightInd w:val="0"/>
        <w:spacing w:line="360" w:lineRule="auto"/>
        <w:rPr>
          <w:b/>
          <w:lang w:eastAsia="en-US"/>
        </w:rPr>
      </w:pPr>
      <w:r w:rsidRPr="009351CB">
        <w:rPr>
          <w:b/>
        </w:rPr>
        <w:t>Table 13</w:t>
      </w:r>
      <w:r w:rsidR="00760B7F" w:rsidRPr="009351CB">
        <w:rPr>
          <w:b/>
        </w:rPr>
        <w:t>: Public Protector - Additional Funding Requested 2019 MTEF</w:t>
      </w:r>
    </w:p>
    <w:tbl>
      <w:tblPr>
        <w:tblStyle w:val="TableGrid"/>
        <w:tblW w:w="5000" w:type="pct"/>
        <w:tblLook w:val="04A0" w:firstRow="1" w:lastRow="0" w:firstColumn="1" w:lastColumn="0" w:noHBand="0" w:noVBand="1"/>
      </w:tblPr>
      <w:tblGrid>
        <w:gridCol w:w="1781"/>
        <w:gridCol w:w="1680"/>
        <w:gridCol w:w="1681"/>
        <w:gridCol w:w="1681"/>
        <w:gridCol w:w="1609"/>
      </w:tblGrid>
      <w:tr w:rsidR="00760B7F" w:rsidRPr="009351CB" w14:paraId="56A6C71F" w14:textId="77777777" w:rsidTr="00074C0F">
        <w:trPr>
          <w:tblHeader/>
        </w:trPr>
        <w:tc>
          <w:tcPr>
            <w:tcW w:w="1056" w:type="pct"/>
            <w:shd w:val="clear" w:color="auto" w:fill="D9D9D9" w:themeFill="background1" w:themeFillShade="D9"/>
          </w:tcPr>
          <w:p w14:paraId="4CD9F23C" w14:textId="77777777" w:rsidR="00760B7F" w:rsidRPr="009351CB" w:rsidRDefault="00760B7F" w:rsidP="009351CB">
            <w:pPr>
              <w:autoSpaceDE w:val="0"/>
              <w:autoSpaceDN w:val="0"/>
              <w:adjustRightInd w:val="0"/>
              <w:spacing w:line="360" w:lineRule="auto"/>
              <w:jc w:val="center"/>
              <w:rPr>
                <w:b/>
                <w:lang w:val="en-ZA" w:eastAsia="en-US"/>
              </w:rPr>
            </w:pPr>
            <w:r w:rsidRPr="009351CB">
              <w:rPr>
                <w:b/>
                <w:lang w:val="en-ZA" w:eastAsia="en-US"/>
              </w:rPr>
              <w:t>Description</w:t>
            </w:r>
          </w:p>
        </w:tc>
        <w:tc>
          <w:tcPr>
            <w:tcW w:w="996" w:type="pct"/>
            <w:shd w:val="clear" w:color="auto" w:fill="D9D9D9" w:themeFill="background1" w:themeFillShade="D9"/>
          </w:tcPr>
          <w:p w14:paraId="602EBB44" w14:textId="77777777" w:rsidR="00760B7F" w:rsidRPr="009351CB" w:rsidRDefault="00760B7F" w:rsidP="009351CB">
            <w:pPr>
              <w:autoSpaceDE w:val="0"/>
              <w:autoSpaceDN w:val="0"/>
              <w:adjustRightInd w:val="0"/>
              <w:spacing w:line="360" w:lineRule="auto"/>
              <w:jc w:val="center"/>
              <w:rPr>
                <w:b/>
                <w:lang w:val="en-ZA" w:eastAsia="en-US"/>
              </w:rPr>
            </w:pPr>
            <w:r w:rsidRPr="009351CB">
              <w:rPr>
                <w:b/>
                <w:lang w:val="en-ZA" w:eastAsia="en-US"/>
              </w:rPr>
              <w:t>2019/20</w:t>
            </w:r>
          </w:p>
          <w:p w14:paraId="7BD306E0" w14:textId="77777777" w:rsidR="00074C0F" w:rsidRPr="009351CB" w:rsidRDefault="00074C0F" w:rsidP="009351CB">
            <w:pPr>
              <w:autoSpaceDE w:val="0"/>
              <w:autoSpaceDN w:val="0"/>
              <w:adjustRightInd w:val="0"/>
              <w:spacing w:line="360" w:lineRule="auto"/>
              <w:jc w:val="center"/>
              <w:rPr>
                <w:b/>
                <w:lang w:val="en-ZA" w:eastAsia="en-US"/>
              </w:rPr>
            </w:pPr>
            <w:r w:rsidRPr="009351CB">
              <w:rPr>
                <w:b/>
                <w:lang w:val="en-ZA" w:eastAsia="en-US"/>
              </w:rPr>
              <w:t>R’000</w:t>
            </w:r>
          </w:p>
        </w:tc>
        <w:tc>
          <w:tcPr>
            <w:tcW w:w="997" w:type="pct"/>
            <w:shd w:val="clear" w:color="auto" w:fill="D9D9D9" w:themeFill="background1" w:themeFillShade="D9"/>
          </w:tcPr>
          <w:p w14:paraId="69BBC425" w14:textId="77777777" w:rsidR="00760B7F" w:rsidRPr="009351CB" w:rsidRDefault="00760B7F" w:rsidP="009351CB">
            <w:pPr>
              <w:autoSpaceDE w:val="0"/>
              <w:autoSpaceDN w:val="0"/>
              <w:adjustRightInd w:val="0"/>
              <w:spacing w:line="360" w:lineRule="auto"/>
              <w:jc w:val="center"/>
              <w:rPr>
                <w:b/>
                <w:lang w:val="en-ZA" w:eastAsia="en-US"/>
              </w:rPr>
            </w:pPr>
            <w:r w:rsidRPr="009351CB">
              <w:rPr>
                <w:b/>
                <w:lang w:val="en-ZA" w:eastAsia="en-US"/>
              </w:rPr>
              <w:t>2020/21</w:t>
            </w:r>
          </w:p>
          <w:p w14:paraId="6360BA8C" w14:textId="77777777" w:rsidR="00074C0F" w:rsidRPr="009351CB" w:rsidRDefault="00074C0F" w:rsidP="009351CB">
            <w:pPr>
              <w:autoSpaceDE w:val="0"/>
              <w:autoSpaceDN w:val="0"/>
              <w:adjustRightInd w:val="0"/>
              <w:spacing w:line="360" w:lineRule="auto"/>
              <w:jc w:val="center"/>
              <w:rPr>
                <w:b/>
                <w:lang w:val="en-ZA" w:eastAsia="en-US"/>
              </w:rPr>
            </w:pPr>
            <w:r w:rsidRPr="009351CB">
              <w:rPr>
                <w:b/>
                <w:lang w:val="en-ZA" w:eastAsia="en-US"/>
              </w:rPr>
              <w:t>R’000</w:t>
            </w:r>
          </w:p>
        </w:tc>
        <w:tc>
          <w:tcPr>
            <w:tcW w:w="997" w:type="pct"/>
            <w:shd w:val="clear" w:color="auto" w:fill="D9D9D9" w:themeFill="background1" w:themeFillShade="D9"/>
          </w:tcPr>
          <w:p w14:paraId="10E17769" w14:textId="77777777" w:rsidR="00760B7F" w:rsidRPr="009351CB" w:rsidRDefault="00760B7F" w:rsidP="009351CB">
            <w:pPr>
              <w:autoSpaceDE w:val="0"/>
              <w:autoSpaceDN w:val="0"/>
              <w:adjustRightInd w:val="0"/>
              <w:spacing w:line="360" w:lineRule="auto"/>
              <w:jc w:val="center"/>
              <w:rPr>
                <w:b/>
                <w:lang w:val="en-ZA" w:eastAsia="en-US"/>
              </w:rPr>
            </w:pPr>
            <w:r w:rsidRPr="009351CB">
              <w:rPr>
                <w:b/>
                <w:lang w:val="en-ZA" w:eastAsia="en-US"/>
              </w:rPr>
              <w:t>2021/22</w:t>
            </w:r>
          </w:p>
          <w:p w14:paraId="34AEB5DC" w14:textId="77777777" w:rsidR="00074C0F" w:rsidRPr="009351CB" w:rsidRDefault="00074C0F" w:rsidP="009351CB">
            <w:pPr>
              <w:autoSpaceDE w:val="0"/>
              <w:autoSpaceDN w:val="0"/>
              <w:adjustRightInd w:val="0"/>
              <w:spacing w:line="360" w:lineRule="auto"/>
              <w:jc w:val="center"/>
              <w:rPr>
                <w:b/>
                <w:lang w:val="en-ZA" w:eastAsia="en-US"/>
              </w:rPr>
            </w:pPr>
            <w:r w:rsidRPr="009351CB">
              <w:rPr>
                <w:b/>
                <w:lang w:val="en-ZA" w:eastAsia="en-US"/>
              </w:rPr>
              <w:t>R’000</w:t>
            </w:r>
          </w:p>
        </w:tc>
        <w:tc>
          <w:tcPr>
            <w:tcW w:w="954" w:type="pct"/>
            <w:shd w:val="clear" w:color="auto" w:fill="D9D9D9" w:themeFill="background1" w:themeFillShade="D9"/>
          </w:tcPr>
          <w:p w14:paraId="2D839409" w14:textId="77777777" w:rsidR="00760B7F" w:rsidRPr="009351CB" w:rsidRDefault="00760B7F" w:rsidP="009351CB">
            <w:pPr>
              <w:autoSpaceDE w:val="0"/>
              <w:autoSpaceDN w:val="0"/>
              <w:adjustRightInd w:val="0"/>
              <w:spacing w:line="360" w:lineRule="auto"/>
              <w:jc w:val="center"/>
              <w:rPr>
                <w:b/>
                <w:lang w:val="en-ZA" w:eastAsia="en-US"/>
              </w:rPr>
            </w:pPr>
            <w:r w:rsidRPr="009351CB">
              <w:rPr>
                <w:b/>
                <w:lang w:val="en-ZA" w:eastAsia="en-US"/>
              </w:rPr>
              <w:t>Total</w:t>
            </w:r>
          </w:p>
          <w:p w14:paraId="2BD2F251" w14:textId="77777777" w:rsidR="00074C0F" w:rsidRPr="009351CB" w:rsidRDefault="00074C0F" w:rsidP="009351CB">
            <w:pPr>
              <w:autoSpaceDE w:val="0"/>
              <w:autoSpaceDN w:val="0"/>
              <w:adjustRightInd w:val="0"/>
              <w:spacing w:line="360" w:lineRule="auto"/>
              <w:jc w:val="center"/>
              <w:rPr>
                <w:b/>
                <w:lang w:val="en-ZA" w:eastAsia="en-US"/>
              </w:rPr>
            </w:pPr>
            <w:r w:rsidRPr="009351CB">
              <w:rPr>
                <w:b/>
                <w:lang w:val="en-ZA" w:eastAsia="en-US"/>
              </w:rPr>
              <w:t>R’000</w:t>
            </w:r>
          </w:p>
        </w:tc>
      </w:tr>
      <w:tr w:rsidR="00760B7F" w:rsidRPr="009351CB" w14:paraId="5294DBA0" w14:textId="77777777" w:rsidTr="00074C0F">
        <w:tc>
          <w:tcPr>
            <w:tcW w:w="1056" w:type="pct"/>
          </w:tcPr>
          <w:p w14:paraId="5731C4DB" w14:textId="77777777" w:rsidR="00760B7F" w:rsidRPr="009351CB" w:rsidRDefault="00760B7F" w:rsidP="009351CB">
            <w:pPr>
              <w:autoSpaceDE w:val="0"/>
              <w:autoSpaceDN w:val="0"/>
              <w:adjustRightInd w:val="0"/>
              <w:spacing w:line="360" w:lineRule="auto"/>
              <w:rPr>
                <w:b/>
                <w:lang w:val="en-ZA" w:eastAsia="en-US"/>
              </w:rPr>
            </w:pPr>
            <w:r w:rsidRPr="009351CB">
              <w:rPr>
                <w:b/>
                <w:lang w:val="en-ZA" w:eastAsia="en-US"/>
              </w:rPr>
              <w:t>Funding of critical positions</w:t>
            </w:r>
          </w:p>
        </w:tc>
        <w:tc>
          <w:tcPr>
            <w:tcW w:w="996" w:type="pct"/>
          </w:tcPr>
          <w:p w14:paraId="2B59E22C" w14:textId="77777777" w:rsidR="00760B7F" w:rsidRPr="009351CB" w:rsidRDefault="00074C0F" w:rsidP="009351CB">
            <w:pPr>
              <w:autoSpaceDE w:val="0"/>
              <w:autoSpaceDN w:val="0"/>
              <w:adjustRightInd w:val="0"/>
              <w:spacing w:line="360" w:lineRule="auto"/>
              <w:rPr>
                <w:lang w:val="en-ZA" w:eastAsia="en-US"/>
              </w:rPr>
            </w:pPr>
            <w:r w:rsidRPr="009351CB">
              <w:rPr>
                <w:lang w:val="en-ZA" w:eastAsia="en-US"/>
              </w:rPr>
              <w:t>15 613</w:t>
            </w:r>
          </w:p>
        </w:tc>
        <w:tc>
          <w:tcPr>
            <w:tcW w:w="997" w:type="pct"/>
          </w:tcPr>
          <w:p w14:paraId="324678F1" w14:textId="77777777" w:rsidR="00760B7F" w:rsidRPr="009351CB" w:rsidRDefault="00074C0F" w:rsidP="009351CB">
            <w:pPr>
              <w:autoSpaceDE w:val="0"/>
              <w:autoSpaceDN w:val="0"/>
              <w:adjustRightInd w:val="0"/>
              <w:spacing w:line="360" w:lineRule="auto"/>
              <w:rPr>
                <w:lang w:val="en-ZA" w:eastAsia="en-US"/>
              </w:rPr>
            </w:pPr>
            <w:r w:rsidRPr="009351CB">
              <w:rPr>
                <w:lang w:val="en-ZA" w:eastAsia="en-US"/>
              </w:rPr>
              <w:t>16 564</w:t>
            </w:r>
          </w:p>
        </w:tc>
        <w:tc>
          <w:tcPr>
            <w:tcW w:w="997" w:type="pct"/>
          </w:tcPr>
          <w:p w14:paraId="549A8FEA" w14:textId="77777777" w:rsidR="00760B7F" w:rsidRPr="009351CB" w:rsidRDefault="00074C0F" w:rsidP="009351CB">
            <w:pPr>
              <w:autoSpaceDE w:val="0"/>
              <w:autoSpaceDN w:val="0"/>
              <w:adjustRightInd w:val="0"/>
              <w:spacing w:line="360" w:lineRule="auto"/>
              <w:rPr>
                <w:lang w:val="en-ZA" w:eastAsia="en-US"/>
              </w:rPr>
            </w:pPr>
            <w:r w:rsidRPr="009351CB">
              <w:rPr>
                <w:lang w:val="en-ZA" w:eastAsia="en-US"/>
              </w:rPr>
              <w:t>17 573</w:t>
            </w:r>
          </w:p>
        </w:tc>
        <w:tc>
          <w:tcPr>
            <w:tcW w:w="954" w:type="pct"/>
          </w:tcPr>
          <w:p w14:paraId="488FE018"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4</w:t>
            </w:r>
            <w:r w:rsidR="00074C0F" w:rsidRPr="009351CB">
              <w:rPr>
                <w:lang w:val="en-ZA" w:eastAsia="en-US"/>
              </w:rPr>
              <w:t>9 750</w:t>
            </w:r>
          </w:p>
        </w:tc>
      </w:tr>
      <w:tr w:rsidR="00760B7F" w:rsidRPr="009351CB" w14:paraId="36084FD5" w14:textId="77777777" w:rsidTr="00074C0F">
        <w:tc>
          <w:tcPr>
            <w:tcW w:w="1056" w:type="pct"/>
          </w:tcPr>
          <w:p w14:paraId="33BA59F9" w14:textId="77777777" w:rsidR="00760B7F" w:rsidRPr="009351CB" w:rsidRDefault="00760B7F" w:rsidP="009351CB">
            <w:pPr>
              <w:autoSpaceDE w:val="0"/>
              <w:autoSpaceDN w:val="0"/>
              <w:adjustRightInd w:val="0"/>
              <w:spacing w:line="360" w:lineRule="auto"/>
              <w:rPr>
                <w:b/>
                <w:lang w:val="en-ZA" w:eastAsia="en-US"/>
              </w:rPr>
            </w:pPr>
            <w:r w:rsidRPr="009351CB">
              <w:rPr>
                <w:b/>
                <w:lang w:val="en-ZA" w:eastAsia="en-US"/>
              </w:rPr>
              <w:t>Professional fees</w:t>
            </w:r>
          </w:p>
          <w:p w14:paraId="0F1A7EED" w14:textId="77777777" w:rsidR="00074C0F" w:rsidRPr="009351CB" w:rsidRDefault="00074C0F" w:rsidP="009351CB">
            <w:pPr>
              <w:autoSpaceDE w:val="0"/>
              <w:autoSpaceDN w:val="0"/>
              <w:adjustRightInd w:val="0"/>
              <w:spacing w:line="360" w:lineRule="auto"/>
              <w:rPr>
                <w:b/>
                <w:lang w:val="en-ZA" w:eastAsia="en-US"/>
              </w:rPr>
            </w:pPr>
            <w:r w:rsidRPr="009351CB">
              <w:rPr>
                <w:b/>
                <w:lang w:val="en-ZA" w:eastAsia="en-US"/>
              </w:rPr>
              <w:t>(experts and specialists)</w:t>
            </w:r>
          </w:p>
        </w:tc>
        <w:tc>
          <w:tcPr>
            <w:tcW w:w="996" w:type="pct"/>
          </w:tcPr>
          <w:p w14:paraId="0683F8EF"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13 110</w:t>
            </w:r>
          </w:p>
        </w:tc>
        <w:tc>
          <w:tcPr>
            <w:tcW w:w="997" w:type="pct"/>
          </w:tcPr>
          <w:p w14:paraId="0FF18A18"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13 896</w:t>
            </w:r>
          </w:p>
        </w:tc>
        <w:tc>
          <w:tcPr>
            <w:tcW w:w="997" w:type="pct"/>
          </w:tcPr>
          <w:p w14:paraId="404B8712" w14:textId="77777777" w:rsidR="00760B7F" w:rsidRPr="009351CB" w:rsidRDefault="00074C0F" w:rsidP="009351CB">
            <w:pPr>
              <w:autoSpaceDE w:val="0"/>
              <w:autoSpaceDN w:val="0"/>
              <w:adjustRightInd w:val="0"/>
              <w:spacing w:line="360" w:lineRule="auto"/>
              <w:rPr>
                <w:lang w:val="en-ZA" w:eastAsia="en-US"/>
              </w:rPr>
            </w:pPr>
            <w:r w:rsidRPr="009351CB">
              <w:rPr>
                <w:lang w:val="en-ZA" w:eastAsia="en-US"/>
              </w:rPr>
              <w:t>14 730</w:t>
            </w:r>
          </w:p>
        </w:tc>
        <w:tc>
          <w:tcPr>
            <w:tcW w:w="954" w:type="pct"/>
          </w:tcPr>
          <w:p w14:paraId="2C899AE7"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41 736</w:t>
            </w:r>
          </w:p>
        </w:tc>
      </w:tr>
      <w:tr w:rsidR="00760B7F" w:rsidRPr="009351CB" w14:paraId="7B9D9706" w14:textId="77777777" w:rsidTr="00074C0F">
        <w:tc>
          <w:tcPr>
            <w:tcW w:w="1056" w:type="pct"/>
          </w:tcPr>
          <w:p w14:paraId="77EB75E4" w14:textId="77777777" w:rsidR="00760B7F" w:rsidRPr="009351CB" w:rsidRDefault="00760B7F" w:rsidP="009351CB">
            <w:pPr>
              <w:autoSpaceDE w:val="0"/>
              <w:autoSpaceDN w:val="0"/>
              <w:adjustRightInd w:val="0"/>
              <w:spacing w:line="360" w:lineRule="auto"/>
              <w:rPr>
                <w:b/>
                <w:lang w:val="en-ZA" w:eastAsia="en-US"/>
              </w:rPr>
            </w:pPr>
            <w:r w:rsidRPr="009351CB">
              <w:rPr>
                <w:b/>
                <w:lang w:val="en-ZA" w:eastAsia="en-US"/>
              </w:rPr>
              <w:t>Security</w:t>
            </w:r>
          </w:p>
        </w:tc>
        <w:tc>
          <w:tcPr>
            <w:tcW w:w="996" w:type="pct"/>
          </w:tcPr>
          <w:p w14:paraId="1F16B207"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6 127</w:t>
            </w:r>
          </w:p>
        </w:tc>
        <w:tc>
          <w:tcPr>
            <w:tcW w:w="997" w:type="pct"/>
          </w:tcPr>
          <w:p w14:paraId="44B8764F"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6</w:t>
            </w:r>
            <w:r w:rsidR="00074C0F" w:rsidRPr="009351CB">
              <w:rPr>
                <w:lang w:val="en-ZA" w:eastAsia="en-US"/>
              </w:rPr>
              <w:t> 464</w:t>
            </w:r>
          </w:p>
        </w:tc>
        <w:tc>
          <w:tcPr>
            <w:tcW w:w="997" w:type="pct"/>
          </w:tcPr>
          <w:p w14:paraId="739F7E47"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6</w:t>
            </w:r>
            <w:r w:rsidR="00074C0F" w:rsidRPr="009351CB">
              <w:rPr>
                <w:lang w:val="en-ZA" w:eastAsia="en-US"/>
              </w:rPr>
              <w:t> 819</w:t>
            </w:r>
          </w:p>
        </w:tc>
        <w:tc>
          <w:tcPr>
            <w:tcW w:w="954" w:type="pct"/>
          </w:tcPr>
          <w:p w14:paraId="48BC51DE" w14:textId="77777777" w:rsidR="00760B7F" w:rsidRPr="009351CB" w:rsidRDefault="00760B7F" w:rsidP="009351CB">
            <w:pPr>
              <w:autoSpaceDE w:val="0"/>
              <w:autoSpaceDN w:val="0"/>
              <w:adjustRightInd w:val="0"/>
              <w:spacing w:line="360" w:lineRule="auto"/>
              <w:rPr>
                <w:lang w:val="en-ZA" w:eastAsia="en-US"/>
              </w:rPr>
            </w:pPr>
            <w:r w:rsidRPr="009351CB">
              <w:rPr>
                <w:lang w:val="en-ZA" w:eastAsia="en-US"/>
              </w:rPr>
              <w:t>19 410</w:t>
            </w:r>
          </w:p>
        </w:tc>
      </w:tr>
      <w:tr w:rsidR="00760B7F" w:rsidRPr="009351CB" w14:paraId="5DF7CF3D" w14:textId="77777777" w:rsidTr="00074C0F">
        <w:tc>
          <w:tcPr>
            <w:tcW w:w="1056" w:type="pct"/>
          </w:tcPr>
          <w:p w14:paraId="67B7B82A" w14:textId="77777777" w:rsidR="00760B7F" w:rsidRPr="009351CB" w:rsidRDefault="00760B7F" w:rsidP="009351CB">
            <w:pPr>
              <w:autoSpaceDE w:val="0"/>
              <w:autoSpaceDN w:val="0"/>
              <w:adjustRightInd w:val="0"/>
              <w:spacing w:line="360" w:lineRule="auto"/>
              <w:rPr>
                <w:b/>
                <w:lang w:val="en-ZA" w:eastAsia="en-US"/>
              </w:rPr>
            </w:pPr>
            <w:r w:rsidRPr="009351CB">
              <w:rPr>
                <w:b/>
                <w:lang w:val="en-ZA" w:eastAsia="en-US"/>
              </w:rPr>
              <w:t>Total</w:t>
            </w:r>
          </w:p>
        </w:tc>
        <w:tc>
          <w:tcPr>
            <w:tcW w:w="996" w:type="pct"/>
          </w:tcPr>
          <w:p w14:paraId="0E210E2F" w14:textId="77777777" w:rsidR="00760B7F" w:rsidRPr="009351CB" w:rsidRDefault="00074C0F" w:rsidP="009351CB">
            <w:pPr>
              <w:autoSpaceDE w:val="0"/>
              <w:autoSpaceDN w:val="0"/>
              <w:adjustRightInd w:val="0"/>
              <w:spacing w:line="360" w:lineRule="auto"/>
              <w:rPr>
                <w:b/>
                <w:lang w:val="en-ZA" w:eastAsia="en-US"/>
              </w:rPr>
            </w:pPr>
            <w:r w:rsidRPr="009351CB">
              <w:rPr>
                <w:b/>
                <w:lang w:val="en-ZA" w:eastAsia="en-US"/>
              </w:rPr>
              <w:t>34 850</w:t>
            </w:r>
          </w:p>
        </w:tc>
        <w:tc>
          <w:tcPr>
            <w:tcW w:w="997" w:type="pct"/>
          </w:tcPr>
          <w:p w14:paraId="2529DC45" w14:textId="77777777" w:rsidR="00760B7F" w:rsidRPr="009351CB" w:rsidRDefault="00074C0F" w:rsidP="009351CB">
            <w:pPr>
              <w:autoSpaceDE w:val="0"/>
              <w:autoSpaceDN w:val="0"/>
              <w:adjustRightInd w:val="0"/>
              <w:spacing w:line="360" w:lineRule="auto"/>
              <w:rPr>
                <w:b/>
                <w:lang w:val="en-ZA" w:eastAsia="en-US"/>
              </w:rPr>
            </w:pPr>
            <w:r w:rsidRPr="009351CB">
              <w:rPr>
                <w:b/>
                <w:lang w:val="en-ZA" w:eastAsia="en-US"/>
              </w:rPr>
              <w:t>36 924</w:t>
            </w:r>
          </w:p>
        </w:tc>
        <w:tc>
          <w:tcPr>
            <w:tcW w:w="997" w:type="pct"/>
          </w:tcPr>
          <w:p w14:paraId="51F40993" w14:textId="77777777" w:rsidR="00760B7F" w:rsidRPr="009351CB" w:rsidRDefault="00074C0F" w:rsidP="009351CB">
            <w:pPr>
              <w:autoSpaceDE w:val="0"/>
              <w:autoSpaceDN w:val="0"/>
              <w:adjustRightInd w:val="0"/>
              <w:spacing w:line="360" w:lineRule="auto"/>
              <w:rPr>
                <w:b/>
                <w:lang w:val="en-ZA" w:eastAsia="en-US"/>
              </w:rPr>
            </w:pPr>
            <w:r w:rsidRPr="009351CB">
              <w:rPr>
                <w:b/>
                <w:lang w:val="en-ZA" w:eastAsia="en-US"/>
              </w:rPr>
              <w:t>39 123</w:t>
            </w:r>
          </w:p>
        </w:tc>
        <w:tc>
          <w:tcPr>
            <w:tcW w:w="954" w:type="pct"/>
          </w:tcPr>
          <w:p w14:paraId="1A202352" w14:textId="77777777" w:rsidR="00760B7F" w:rsidRPr="009351CB" w:rsidRDefault="00074C0F" w:rsidP="009351CB">
            <w:pPr>
              <w:autoSpaceDE w:val="0"/>
              <w:autoSpaceDN w:val="0"/>
              <w:adjustRightInd w:val="0"/>
              <w:spacing w:line="360" w:lineRule="auto"/>
              <w:rPr>
                <w:b/>
                <w:lang w:val="en-ZA" w:eastAsia="en-US"/>
              </w:rPr>
            </w:pPr>
            <w:r w:rsidRPr="009351CB">
              <w:rPr>
                <w:b/>
                <w:lang w:val="en-ZA" w:eastAsia="en-US"/>
              </w:rPr>
              <w:t>110 898</w:t>
            </w:r>
          </w:p>
        </w:tc>
      </w:tr>
    </w:tbl>
    <w:p w14:paraId="06D637D2" w14:textId="77777777" w:rsidR="00760B7F" w:rsidRPr="009351CB" w:rsidRDefault="00760B7F" w:rsidP="009351CB">
      <w:pPr>
        <w:spacing w:line="360" w:lineRule="auto"/>
      </w:pPr>
    </w:p>
    <w:p w14:paraId="632832E7" w14:textId="77777777" w:rsidR="00760B7F" w:rsidRPr="009351CB" w:rsidRDefault="00760B7F" w:rsidP="004F6019">
      <w:pPr>
        <w:numPr>
          <w:ilvl w:val="1"/>
          <w:numId w:val="29"/>
        </w:numPr>
        <w:autoSpaceDE w:val="0"/>
        <w:autoSpaceDN w:val="0"/>
        <w:adjustRightInd w:val="0"/>
        <w:spacing w:line="360" w:lineRule="auto"/>
        <w:ind w:left="709" w:hanging="709"/>
        <w:jc w:val="both"/>
      </w:pPr>
      <w:r w:rsidRPr="009351CB">
        <w:t>During 2019/20 Budget hearings, the Public Protector identified the following strategic challenges and interventions:</w:t>
      </w:r>
    </w:p>
    <w:p w14:paraId="1835A9ED" w14:textId="77777777" w:rsidR="00760B7F" w:rsidRPr="009351CB" w:rsidRDefault="00760B7F" w:rsidP="009351CB">
      <w:pPr>
        <w:autoSpaceDE w:val="0"/>
        <w:autoSpaceDN w:val="0"/>
        <w:adjustRightInd w:val="0"/>
        <w:spacing w:line="360" w:lineRule="auto"/>
        <w:ind w:left="720"/>
      </w:pPr>
    </w:p>
    <w:p w14:paraId="5DC4B30D" w14:textId="0A99AF60" w:rsidR="00760B7F" w:rsidRPr="009351CB" w:rsidRDefault="00760B7F" w:rsidP="009351CB">
      <w:pPr>
        <w:autoSpaceDE w:val="0"/>
        <w:autoSpaceDN w:val="0"/>
        <w:adjustRightInd w:val="0"/>
        <w:spacing w:line="360" w:lineRule="auto"/>
        <w:rPr>
          <w:b/>
        </w:rPr>
      </w:pPr>
      <w:r w:rsidRPr="009351CB">
        <w:rPr>
          <w:b/>
        </w:rPr>
        <w:t>Table 1</w:t>
      </w:r>
      <w:r w:rsidR="008D0F17" w:rsidRPr="009351CB">
        <w:rPr>
          <w:b/>
        </w:rPr>
        <w:t>4</w:t>
      </w:r>
      <w:r w:rsidRPr="009351CB">
        <w:rPr>
          <w:b/>
        </w:rPr>
        <w:t>: P</w:t>
      </w:r>
      <w:r w:rsidR="008D0F17" w:rsidRPr="009351CB">
        <w:rPr>
          <w:b/>
        </w:rPr>
        <w:t>ublic Protector SA – Strategic challenges and i</w:t>
      </w:r>
      <w:r w:rsidRPr="009351CB">
        <w:rPr>
          <w:b/>
        </w:rPr>
        <w:t>nterventions</w:t>
      </w:r>
    </w:p>
    <w:tbl>
      <w:tblPr>
        <w:tblStyle w:val="TableGrid"/>
        <w:tblW w:w="0" w:type="auto"/>
        <w:tblLook w:val="04A0" w:firstRow="1" w:lastRow="0" w:firstColumn="1" w:lastColumn="0" w:noHBand="0" w:noVBand="1"/>
      </w:tblPr>
      <w:tblGrid>
        <w:gridCol w:w="4178"/>
        <w:gridCol w:w="4254"/>
      </w:tblGrid>
      <w:tr w:rsidR="00760B7F" w:rsidRPr="009351CB" w14:paraId="13EE1F4E" w14:textId="77777777" w:rsidTr="00F259CA">
        <w:trPr>
          <w:tblHeader/>
        </w:trPr>
        <w:tc>
          <w:tcPr>
            <w:tcW w:w="4508" w:type="dxa"/>
            <w:shd w:val="clear" w:color="auto" w:fill="D9D9D9" w:themeFill="background1" w:themeFillShade="D9"/>
          </w:tcPr>
          <w:p w14:paraId="5E15DE46" w14:textId="77777777" w:rsidR="00760B7F" w:rsidRPr="009351CB" w:rsidRDefault="00760B7F" w:rsidP="009351CB">
            <w:pPr>
              <w:spacing w:line="360" w:lineRule="auto"/>
              <w:rPr>
                <w:b/>
              </w:rPr>
            </w:pPr>
            <w:r w:rsidRPr="009351CB">
              <w:rPr>
                <w:b/>
              </w:rPr>
              <w:t xml:space="preserve">Challenges </w:t>
            </w:r>
          </w:p>
        </w:tc>
        <w:tc>
          <w:tcPr>
            <w:tcW w:w="4508" w:type="dxa"/>
            <w:shd w:val="clear" w:color="auto" w:fill="D9D9D9" w:themeFill="background1" w:themeFillShade="D9"/>
          </w:tcPr>
          <w:p w14:paraId="07FD1A7F" w14:textId="77777777" w:rsidR="00760B7F" w:rsidRPr="009351CB" w:rsidRDefault="00760B7F" w:rsidP="009351CB">
            <w:pPr>
              <w:spacing w:line="360" w:lineRule="auto"/>
              <w:rPr>
                <w:b/>
              </w:rPr>
            </w:pPr>
            <w:r w:rsidRPr="009351CB">
              <w:rPr>
                <w:b/>
              </w:rPr>
              <w:t xml:space="preserve">Interventions </w:t>
            </w:r>
          </w:p>
        </w:tc>
      </w:tr>
      <w:tr w:rsidR="00760B7F" w:rsidRPr="009351CB" w14:paraId="4BEDF0F0" w14:textId="77777777" w:rsidTr="00F259CA">
        <w:tc>
          <w:tcPr>
            <w:tcW w:w="4508" w:type="dxa"/>
          </w:tcPr>
          <w:p w14:paraId="3133AA69" w14:textId="77777777" w:rsidR="00760B7F" w:rsidRPr="009351CB" w:rsidRDefault="00760B7F" w:rsidP="009351CB">
            <w:pPr>
              <w:spacing w:line="360" w:lineRule="auto"/>
            </w:pPr>
            <w:r w:rsidRPr="009351CB">
              <w:t>Insufficient funding for 2019/20 financial year</w:t>
            </w:r>
          </w:p>
        </w:tc>
        <w:tc>
          <w:tcPr>
            <w:tcW w:w="4508" w:type="dxa"/>
          </w:tcPr>
          <w:p w14:paraId="261D4507" w14:textId="77777777" w:rsidR="00760B7F" w:rsidRPr="009351CB" w:rsidRDefault="00760B7F" w:rsidP="009351CB">
            <w:pPr>
              <w:spacing w:line="360" w:lineRule="auto"/>
            </w:pPr>
            <w:r w:rsidRPr="009351CB">
              <w:t xml:space="preserve">Value Proposition (Budget Bid) was formulated and presented to National Treasury </w:t>
            </w:r>
          </w:p>
        </w:tc>
      </w:tr>
      <w:tr w:rsidR="00760B7F" w:rsidRPr="009351CB" w14:paraId="1D3AAF15" w14:textId="77777777" w:rsidTr="00F259CA">
        <w:tc>
          <w:tcPr>
            <w:tcW w:w="4508" w:type="dxa"/>
          </w:tcPr>
          <w:p w14:paraId="02410766" w14:textId="77777777" w:rsidR="00760B7F" w:rsidRPr="009351CB" w:rsidRDefault="00760B7F" w:rsidP="009351CB">
            <w:pPr>
              <w:spacing w:line="360" w:lineRule="auto"/>
            </w:pPr>
            <w:r w:rsidRPr="009351CB">
              <w:t>Capacity shortages (few investigators, diverse skills such as forensic, actuarial, engineering, quantity surveying, etc. are lacking)</w:t>
            </w:r>
          </w:p>
        </w:tc>
        <w:tc>
          <w:tcPr>
            <w:tcW w:w="4508" w:type="dxa"/>
          </w:tcPr>
          <w:p w14:paraId="13C5903A" w14:textId="77777777" w:rsidR="00760B7F" w:rsidRPr="009351CB" w:rsidRDefault="00760B7F" w:rsidP="009351CB">
            <w:pPr>
              <w:spacing w:line="360" w:lineRule="auto"/>
            </w:pPr>
            <w:r w:rsidRPr="009351CB">
              <w:t>Outsourcing/MOU’s and SLA’s with other state institutions to leverage on synergies and innovations such as assisting organs of State to establish internal complaints handling mechanisms.</w:t>
            </w:r>
          </w:p>
        </w:tc>
      </w:tr>
      <w:tr w:rsidR="00760B7F" w:rsidRPr="009351CB" w14:paraId="240FAD2E" w14:textId="77777777" w:rsidTr="00F259CA">
        <w:tc>
          <w:tcPr>
            <w:tcW w:w="4508" w:type="dxa"/>
          </w:tcPr>
          <w:p w14:paraId="6F5B70F9" w14:textId="77777777" w:rsidR="00760B7F" w:rsidRPr="009351CB" w:rsidRDefault="00760B7F" w:rsidP="009351CB">
            <w:pPr>
              <w:spacing w:line="360" w:lineRule="auto"/>
            </w:pPr>
            <w:r w:rsidRPr="009351CB">
              <w:t>Security (lack of security measures in provincial and regional offices)</w:t>
            </w:r>
          </w:p>
          <w:p w14:paraId="2209F114" w14:textId="77777777" w:rsidR="00760B7F" w:rsidRPr="009351CB" w:rsidRDefault="00760B7F" w:rsidP="009351CB">
            <w:pPr>
              <w:spacing w:line="360" w:lineRule="auto"/>
            </w:pPr>
          </w:p>
        </w:tc>
        <w:tc>
          <w:tcPr>
            <w:tcW w:w="4508" w:type="dxa"/>
          </w:tcPr>
          <w:p w14:paraId="7272400A" w14:textId="77777777" w:rsidR="00760B7F" w:rsidRPr="009351CB" w:rsidRDefault="00760B7F" w:rsidP="009351CB">
            <w:pPr>
              <w:spacing w:line="360" w:lineRule="auto"/>
            </w:pPr>
            <w:r w:rsidRPr="009351CB">
              <w:t xml:space="preserve">Leverage state resources by attempting to secure office accommodation (specifically DoJ) in order to utilise the same physical security services </w:t>
            </w:r>
          </w:p>
        </w:tc>
      </w:tr>
    </w:tbl>
    <w:p w14:paraId="087386C5" w14:textId="77777777" w:rsidR="00036D9D" w:rsidRPr="009351CB" w:rsidRDefault="00036D9D" w:rsidP="009351CB">
      <w:pPr>
        <w:spacing w:line="360" w:lineRule="auto"/>
        <w:jc w:val="both"/>
        <w:rPr>
          <w:lang w:eastAsia="en-US"/>
        </w:rPr>
      </w:pPr>
    </w:p>
    <w:p w14:paraId="5305EADD" w14:textId="77777777" w:rsidR="00760B7F" w:rsidRPr="009351CB" w:rsidRDefault="00760B7F" w:rsidP="009351CB">
      <w:pPr>
        <w:spacing w:line="360" w:lineRule="auto"/>
        <w:jc w:val="both"/>
        <w:rPr>
          <w:lang w:eastAsia="en-US"/>
        </w:rPr>
      </w:pPr>
    </w:p>
    <w:p w14:paraId="250FFC13" w14:textId="42778409" w:rsidR="00106280" w:rsidRPr="009351CB" w:rsidRDefault="00106280" w:rsidP="009351CB">
      <w:pPr>
        <w:tabs>
          <w:tab w:val="left" w:pos="3780"/>
        </w:tabs>
        <w:spacing w:line="360" w:lineRule="auto"/>
        <w:jc w:val="center"/>
        <w:rPr>
          <w:b/>
        </w:rPr>
      </w:pPr>
      <w:r w:rsidRPr="009351CB">
        <w:rPr>
          <w:b/>
        </w:rPr>
        <w:t>Part</w:t>
      </w:r>
      <w:r w:rsidR="008D0F17" w:rsidRPr="009351CB">
        <w:rPr>
          <w:b/>
        </w:rPr>
        <w:t xml:space="preserve"> 4:</w:t>
      </w:r>
    </w:p>
    <w:p w14:paraId="7D620007" w14:textId="4D644591" w:rsidR="008D0F17" w:rsidRPr="009351CB" w:rsidRDefault="008D0F17" w:rsidP="009351CB">
      <w:pPr>
        <w:tabs>
          <w:tab w:val="left" w:pos="3780"/>
        </w:tabs>
        <w:spacing w:line="360" w:lineRule="auto"/>
        <w:jc w:val="center"/>
        <w:rPr>
          <w:b/>
        </w:rPr>
      </w:pPr>
      <w:r w:rsidRPr="009351CB">
        <w:rPr>
          <w:b/>
        </w:rPr>
        <w:t>Committee Observations</w:t>
      </w:r>
    </w:p>
    <w:p w14:paraId="71462BEF" w14:textId="77777777" w:rsidR="00106280" w:rsidRPr="009351CB" w:rsidRDefault="00106280" w:rsidP="009351CB">
      <w:pPr>
        <w:tabs>
          <w:tab w:val="left" w:pos="3780"/>
        </w:tabs>
        <w:spacing w:line="360" w:lineRule="auto"/>
        <w:jc w:val="both"/>
      </w:pPr>
    </w:p>
    <w:p w14:paraId="2C105128" w14:textId="77777777" w:rsidR="00106280" w:rsidRPr="009351CB" w:rsidRDefault="00106280" w:rsidP="004F6019">
      <w:pPr>
        <w:pStyle w:val="BodySingle"/>
        <w:numPr>
          <w:ilvl w:val="0"/>
          <w:numId w:val="29"/>
        </w:numPr>
        <w:spacing w:line="360" w:lineRule="auto"/>
        <w:ind w:left="851" w:hanging="851"/>
        <w:rPr>
          <w:rFonts w:ascii="Times New Roman" w:hAnsi="Times New Roman"/>
          <w:b/>
          <w:i w:val="0"/>
          <w:sz w:val="24"/>
          <w:szCs w:val="24"/>
        </w:rPr>
      </w:pPr>
      <w:r w:rsidRPr="009351CB">
        <w:rPr>
          <w:rFonts w:ascii="Times New Roman" w:hAnsi="Times New Roman"/>
          <w:b/>
          <w:i w:val="0"/>
          <w:sz w:val="24"/>
          <w:szCs w:val="24"/>
        </w:rPr>
        <w:t>Committee’s observations</w:t>
      </w:r>
    </w:p>
    <w:p w14:paraId="09064393" w14:textId="77777777" w:rsidR="00106280" w:rsidRPr="009351CB" w:rsidRDefault="00106280" w:rsidP="009351CB">
      <w:pPr>
        <w:spacing w:line="360" w:lineRule="auto"/>
        <w:jc w:val="both"/>
      </w:pPr>
    </w:p>
    <w:p w14:paraId="505B2249" w14:textId="77777777" w:rsidR="00106280" w:rsidRPr="009351CB" w:rsidRDefault="00106280" w:rsidP="009351CB">
      <w:pPr>
        <w:pStyle w:val="BodySingle"/>
        <w:spacing w:line="360" w:lineRule="auto"/>
        <w:ind w:left="0"/>
        <w:rPr>
          <w:rFonts w:ascii="Times New Roman" w:hAnsi="Times New Roman"/>
          <w:b/>
          <w:i w:val="0"/>
          <w:sz w:val="24"/>
          <w:szCs w:val="24"/>
          <w:lang w:val="en-ZA"/>
        </w:rPr>
      </w:pPr>
      <w:r w:rsidRPr="009351CB">
        <w:rPr>
          <w:rFonts w:ascii="Times New Roman" w:hAnsi="Times New Roman"/>
          <w:i w:val="0"/>
          <w:sz w:val="24"/>
          <w:szCs w:val="24"/>
        </w:rPr>
        <w:t xml:space="preserve">The Committee makes the following observations: </w:t>
      </w:r>
    </w:p>
    <w:p w14:paraId="533F3A16" w14:textId="77777777" w:rsidR="00106280" w:rsidRPr="009351CB" w:rsidRDefault="00106280" w:rsidP="002C3BE7">
      <w:pPr>
        <w:pStyle w:val="BodySingle"/>
        <w:spacing w:line="360" w:lineRule="auto"/>
        <w:ind w:left="851"/>
        <w:rPr>
          <w:rFonts w:ascii="Times New Roman" w:hAnsi="Times New Roman"/>
          <w:b/>
          <w:i w:val="0"/>
          <w:sz w:val="24"/>
          <w:szCs w:val="24"/>
          <w:lang w:val="en-ZA"/>
        </w:rPr>
      </w:pPr>
    </w:p>
    <w:p w14:paraId="3BA44997" w14:textId="4AB0CF66" w:rsidR="00F259CA" w:rsidRPr="009351CB" w:rsidRDefault="00106280" w:rsidP="004F6019">
      <w:pPr>
        <w:pStyle w:val="ListParagraph"/>
        <w:numPr>
          <w:ilvl w:val="1"/>
          <w:numId w:val="29"/>
        </w:numPr>
        <w:spacing w:line="360" w:lineRule="auto"/>
        <w:ind w:left="851" w:hanging="851"/>
        <w:jc w:val="both"/>
      </w:pPr>
      <w:r w:rsidRPr="009351CB">
        <w:rPr>
          <w:b/>
          <w:i/>
        </w:rPr>
        <w:t>BRRR process</w:t>
      </w:r>
      <w:r w:rsidRPr="009351CB">
        <w:t>:</w:t>
      </w:r>
      <w:r w:rsidR="0040195C" w:rsidRPr="009351CB">
        <w:t xml:space="preserve"> </w:t>
      </w:r>
      <w:r w:rsidR="00F259CA" w:rsidRPr="009351CB">
        <w:t>The</w:t>
      </w:r>
      <w:r w:rsidR="00F259CA" w:rsidRPr="009351CB">
        <w:rPr>
          <w:b/>
        </w:rPr>
        <w:t xml:space="preserve"> </w:t>
      </w:r>
      <w:r w:rsidRPr="009351CB">
        <w:t xml:space="preserve">Committee </w:t>
      </w:r>
      <w:r w:rsidR="00F259CA" w:rsidRPr="009351CB">
        <w:t>is not satisfied that the timeframes associated wit</w:t>
      </w:r>
      <w:r w:rsidR="00825895" w:rsidRPr="009351CB">
        <w:t>h the BRRR process truly permit</w:t>
      </w:r>
      <w:r w:rsidR="00F259CA" w:rsidRPr="009351CB">
        <w:t xml:space="preserve"> it to engage meaningfully with the </w:t>
      </w:r>
      <w:r w:rsidR="00825895" w:rsidRPr="009351CB">
        <w:t>task at hand</w:t>
      </w:r>
      <w:r w:rsidRPr="009351CB">
        <w:t xml:space="preserve">. Although committees consider performance and spending on a quarterly basis in-year, this information is unaudited. The process of </w:t>
      </w:r>
      <w:r w:rsidR="007F167A" w:rsidRPr="009351CB">
        <w:t>compiling Budgetary Re</w:t>
      </w:r>
      <w:r w:rsidR="008D0F17" w:rsidRPr="009351CB">
        <w:t xml:space="preserve">view and Recommendation reports, which </w:t>
      </w:r>
      <w:r w:rsidR="007F167A" w:rsidRPr="009351CB">
        <w:t>include</w:t>
      </w:r>
      <w:r w:rsidR="00F259CA" w:rsidRPr="009351CB">
        <w:t>s</w:t>
      </w:r>
      <w:r w:rsidR="007F167A" w:rsidRPr="009351CB">
        <w:t xml:space="preserve"> the evaluation of </w:t>
      </w:r>
      <w:r w:rsidRPr="009351CB">
        <w:t>the audited annual performance reports</w:t>
      </w:r>
      <w:r w:rsidR="008D0F17" w:rsidRPr="009351CB">
        <w:t xml:space="preserve"> that </w:t>
      </w:r>
      <w:r w:rsidR="007F167A" w:rsidRPr="009351CB">
        <w:t xml:space="preserve">in terms of the PFMA must </w:t>
      </w:r>
      <w:r w:rsidR="003E3683" w:rsidRPr="009351CB">
        <w:t>only be tabled b</w:t>
      </w:r>
      <w:r w:rsidR="00F259CA" w:rsidRPr="009351CB">
        <w:t>y</w:t>
      </w:r>
      <w:r w:rsidR="003E3683" w:rsidRPr="009351CB">
        <w:t xml:space="preserve"> 31 September of each year, </w:t>
      </w:r>
      <w:r w:rsidR="00075823" w:rsidRPr="009351CB">
        <w:t xml:space="preserve">requires a great deal </w:t>
      </w:r>
      <w:r w:rsidRPr="009351CB">
        <w:t xml:space="preserve">more time than </w:t>
      </w:r>
      <w:r w:rsidR="003E3683" w:rsidRPr="009351CB">
        <w:t>is</w:t>
      </w:r>
      <w:r w:rsidR="00F259CA" w:rsidRPr="009351CB">
        <w:t xml:space="preserve"> allocated in terms of </w:t>
      </w:r>
      <w:r w:rsidR="003E3683" w:rsidRPr="009351CB">
        <w:t>the Money Bills Amendment Procedure and Related Matters Act.</w:t>
      </w:r>
      <w:r w:rsidR="00957C46" w:rsidRPr="009351CB">
        <w:t xml:space="preserve"> The situation is especially</w:t>
      </w:r>
      <w:r w:rsidR="00075823" w:rsidRPr="009351CB">
        <w:t xml:space="preserve"> </w:t>
      </w:r>
      <w:r w:rsidRPr="009351CB">
        <w:t>difficult for c</w:t>
      </w:r>
      <w:r w:rsidR="00075823" w:rsidRPr="009351CB">
        <w:t>ommittees, such as this, that</w:t>
      </w:r>
      <w:r w:rsidRPr="009351CB">
        <w:t xml:space="preserve"> oversee more than one department, in addition to </w:t>
      </w:r>
      <w:r w:rsidR="007F167A" w:rsidRPr="009351CB">
        <w:t xml:space="preserve">associated </w:t>
      </w:r>
      <w:r w:rsidRPr="009351CB">
        <w:t xml:space="preserve">entities and institutions. </w:t>
      </w:r>
    </w:p>
    <w:p w14:paraId="28A7F967" w14:textId="77777777" w:rsidR="00F259CA" w:rsidRPr="009351CB" w:rsidRDefault="00F259CA" w:rsidP="002C3BE7">
      <w:pPr>
        <w:spacing w:line="360" w:lineRule="auto"/>
        <w:ind w:left="851"/>
        <w:jc w:val="both"/>
      </w:pPr>
    </w:p>
    <w:p w14:paraId="4F17AC33" w14:textId="77777777" w:rsidR="00825895" w:rsidRPr="009351CB" w:rsidRDefault="00834944" w:rsidP="002C3BE7">
      <w:pPr>
        <w:spacing w:line="360" w:lineRule="auto"/>
        <w:ind w:left="851"/>
        <w:jc w:val="both"/>
      </w:pPr>
      <w:r w:rsidRPr="009351CB">
        <w:t>T</w:t>
      </w:r>
      <w:r w:rsidR="00957C46" w:rsidRPr="009351CB">
        <w:t xml:space="preserve">he </w:t>
      </w:r>
      <w:r w:rsidRPr="009351CB">
        <w:t xml:space="preserve">limited time available also </w:t>
      </w:r>
      <w:r w:rsidR="00957C46" w:rsidRPr="009351CB">
        <w:t>severely limit</w:t>
      </w:r>
      <w:r w:rsidRPr="009351CB">
        <w:t>s</w:t>
      </w:r>
      <w:r w:rsidR="00957C46" w:rsidRPr="009351CB">
        <w:t xml:space="preserve"> any </w:t>
      </w:r>
      <w:r w:rsidR="00106280" w:rsidRPr="009351CB">
        <w:t>opportunity</w:t>
      </w:r>
      <w:r w:rsidR="00957C46" w:rsidRPr="009351CB">
        <w:t xml:space="preserve"> for interaction </w:t>
      </w:r>
      <w:r w:rsidR="00106280" w:rsidRPr="009351CB">
        <w:t xml:space="preserve">with the public on its assessment of the relevant sector. </w:t>
      </w:r>
      <w:r w:rsidR="00825895" w:rsidRPr="009351CB">
        <w:t>Such engagement is very important for a Committee to gauge impact, among others.</w:t>
      </w:r>
    </w:p>
    <w:p w14:paraId="5A35FAD1" w14:textId="77777777" w:rsidR="00825895" w:rsidRPr="009351CB" w:rsidRDefault="00825895" w:rsidP="002C3BE7">
      <w:pPr>
        <w:spacing w:line="360" w:lineRule="auto"/>
        <w:ind w:left="851"/>
        <w:jc w:val="both"/>
      </w:pPr>
    </w:p>
    <w:p w14:paraId="63E3F90B" w14:textId="77777777" w:rsidR="00106280" w:rsidRPr="009351CB" w:rsidRDefault="00106280" w:rsidP="002C3BE7">
      <w:pPr>
        <w:spacing w:line="360" w:lineRule="auto"/>
        <w:ind w:left="851"/>
        <w:jc w:val="both"/>
      </w:pPr>
      <w:r w:rsidRPr="009351CB">
        <w:t>The Committee</w:t>
      </w:r>
      <w:r w:rsidR="00957C46" w:rsidRPr="009351CB">
        <w:t xml:space="preserve"> understands that </w:t>
      </w:r>
      <w:r w:rsidR="00F259CA" w:rsidRPr="009351CB">
        <w:t xml:space="preserve">in the Fifth Parliament </w:t>
      </w:r>
      <w:r w:rsidR="00957C46" w:rsidRPr="009351CB">
        <w:t xml:space="preserve">there </w:t>
      </w:r>
      <w:r w:rsidR="00834944" w:rsidRPr="009351CB">
        <w:t xml:space="preserve">was </w:t>
      </w:r>
      <w:r w:rsidR="00957C46" w:rsidRPr="009351CB">
        <w:t xml:space="preserve">a </w:t>
      </w:r>
      <w:r w:rsidR="002A3CA5" w:rsidRPr="009351CB">
        <w:t xml:space="preserve">parliamentary </w:t>
      </w:r>
      <w:r w:rsidR="00957C46" w:rsidRPr="009351CB">
        <w:t xml:space="preserve">process underway to </w:t>
      </w:r>
      <w:r w:rsidRPr="009351CB">
        <w:t xml:space="preserve">review the provisions of the Money Bills Procedures </w:t>
      </w:r>
      <w:r w:rsidR="003E3683" w:rsidRPr="009351CB">
        <w:t xml:space="preserve">Amendment and Related Matters </w:t>
      </w:r>
      <w:r w:rsidRPr="009351CB">
        <w:t xml:space="preserve">Act </w:t>
      </w:r>
      <w:r w:rsidR="00752A81" w:rsidRPr="009351CB">
        <w:t>to address</w:t>
      </w:r>
      <w:r w:rsidR="00F259CA" w:rsidRPr="009351CB">
        <w:t xml:space="preserve"> these and other</w:t>
      </w:r>
      <w:r w:rsidR="00752A81" w:rsidRPr="009351CB">
        <w:t xml:space="preserve"> challenges relating to the BRRR process and </w:t>
      </w:r>
      <w:r w:rsidR="00575D54" w:rsidRPr="009351CB">
        <w:t xml:space="preserve">urges </w:t>
      </w:r>
      <w:r w:rsidR="002A3CA5" w:rsidRPr="009351CB">
        <w:t xml:space="preserve">that this process </w:t>
      </w:r>
      <w:r w:rsidR="00F259CA" w:rsidRPr="009351CB">
        <w:t>be</w:t>
      </w:r>
      <w:r w:rsidR="00752A81" w:rsidRPr="009351CB">
        <w:t xml:space="preserve"> revi</w:t>
      </w:r>
      <w:r w:rsidR="00F259CA" w:rsidRPr="009351CB">
        <w:t>ved</w:t>
      </w:r>
      <w:r w:rsidR="002A3CA5" w:rsidRPr="009351CB">
        <w:t>.</w:t>
      </w:r>
      <w:r w:rsidRPr="009351CB">
        <w:rPr>
          <w:i/>
        </w:rPr>
        <w:t xml:space="preserve"> </w:t>
      </w:r>
    </w:p>
    <w:p w14:paraId="3BD60206" w14:textId="77777777" w:rsidR="00106280" w:rsidRPr="009351CB" w:rsidRDefault="00106280" w:rsidP="002C3BE7">
      <w:pPr>
        <w:pStyle w:val="BodySingle"/>
        <w:spacing w:line="360" w:lineRule="auto"/>
        <w:ind w:left="851"/>
        <w:rPr>
          <w:rFonts w:ascii="Times New Roman" w:hAnsi="Times New Roman"/>
          <w:b/>
          <w:i w:val="0"/>
          <w:sz w:val="24"/>
          <w:szCs w:val="24"/>
        </w:rPr>
      </w:pPr>
    </w:p>
    <w:p w14:paraId="1C1870A8" w14:textId="77777777" w:rsidR="00282574" w:rsidRPr="009351CB" w:rsidRDefault="00F65100" w:rsidP="004F6019">
      <w:pPr>
        <w:pStyle w:val="ListParagraph"/>
        <w:numPr>
          <w:ilvl w:val="1"/>
          <w:numId w:val="29"/>
        </w:numPr>
        <w:spacing w:line="360" w:lineRule="auto"/>
        <w:ind w:left="851" w:hanging="851"/>
        <w:jc w:val="both"/>
        <w:rPr>
          <w:i/>
        </w:rPr>
      </w:pPr>
      <w:r w:rsidRPr="009351CB">
        <w:rPr>
          <w:b/>
          <w:i/>
        </w:rPr>
        <w:t>Budget reductions</w:t>
      </w:r>
    </w:p>
    <w:p w14:paraId="70A693A7" w14:textId="77777777" w:rsidR="00282574" w:rsidRPr="009351CB" w:rsidRDefault="00282574" w:rsidP="002C3BE7">
      <w:pPr>
        <w:pStyle w:val="ListParagraph"/>
        <w:spacing w:line="360" w:lineRule="auto"/>
        <w:ind w:left="851" w:hanging="851"/>
        <w:rPr>
          <w:noProof/>
          <w:lang w:val="en-US" w:eastAsia="en-US"/>
        </w:rPr>
      </w:pPr>
    </w:p>
    <w:p w14:paraId="6910E1EA" w14:textId="0342DBCE" w:rsidR="008D0F17" w:rsidRPr="009351CB" w:rsidRDefault="00282574"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T</w:t>
      </w:r>
      <w:r w:rsidR="00A83EDE" w:rsidRPr="009351CB">
        <w:rPr>
          <w:rFonts w:ascii="Times New Roman" w:hAnsi="Times New Roman"/>
          <w:i w:val="0"/>
          <w:sz w:val="24"/>
          <w:szCs w:val="24"/>
        </w:rPr>
        <w:t xml:space="preserve">he </w:t>
      </w:r>
      <w:r w:rsidR="00E43D15" w:rsidRPr="009351CB">
        <w:rPr>
          <w:rFonts w:ascii="Times New Roman" w:hAnsi="Times New Roman"/>
          <w:i w:val="0"/>
          <w:sz w:val="24"/>
          <w:szCs w:val="24"/>
        </w:rPr>
        <w:t xml:space="preserve">Committee is </w:t>
      </w:r>
      <w:r w:rsidR="00110E80" w:rsidRPr="009351CB">
        <w:rPr>
          <w:rFonts w:ascii="Times New Roman" w:hAnsi="Times New Roman"/>
          <w:i w:val="0"/>
          <w:sz w:val="24"/>
          <w:szCs w:val="24"/>
        </w:rPr>
        <w:t xml:space="preserve">acutely </w:t>
      </w:r>
      <w:r w:rsidR="00E43D15" w:rsidRPr="009351CB">
        <w:rPr>
          <w:rFonts w:ascii="Times New Roman" w:hAnsi="Times New Roman"/>
          <w:i w:val="0"/>
          <w:sz w:val="24"/>
          <w:szCs w:val="24"/>
        </w:rPr>
        <w:t xml:space="preserve">aware of the </w:t>
      </w:r>
      <w:r w:rsidR="00110E80" w:rsidRPr="009351CB">
        <w:rPr>
          <w:rFonts w:ascii="Times New Roman" w:hAnsi="Times New Roman"/>
          <w:i w:val="0"/>
          <w:sz w:val="24"/>
          <w:szCs w:val="24"/>
        </w:rPr>
        <w:t>constrained fiscal environment,</w:t>
      </w:r>
      <w:r w:rsidR="00964372" w:rsidRPr="009351CB">
        <w:rPr>
          <w:rFonts w:ascii="Times New Roman" w:hAnsi="Times New Roman"/>
          <w:i w:val="0"/>
          <w:sz w:val="24"/>
          <w:szCs w:val="24"/>
        </w:rPr>
        <w:t xml:space="preserve"> which, among others, requires d</w:t>
      </w:r>
      <w:r w:rsidR="00110E80" w:rsidRPr="009351CB">
        <w:rPr>
          <w:rFonts w:ascii="Times New Roman" w:hAnsi="Times New Roman"/>
          <w:i w:val="0"/>
          <w:sz w:val="24"/>
          <w:szCs w:val="24"/>
        </w:rPr>
        <w:t xml:space="preserve">epartments </w:t>
      </w:r>
      <w:r w:rsidR="00964372" w:rsidRPr="009351CB">
        <w:rPr>
          <w:rFonts w:ascii="Times New Roman" w:hAnsi="Times New Roman"/>
          <w:i w:val="0"/>
          <w:sz w:val="24"/>
          <w:szCs w:val="24"/>
        </w:rPr>
        <w:t xml:space="preserve">to operate within their compensation of employees’ expenditure ceilings by containing costs and improving efficiency through the undertaking of appropriate operational changes. Further, </w:t>
      </w:r>
      <w:r w:rsidR="007541E8" w:rsidRPr="009351CB">
        <w:rPr>
          <w:rFonts w:ascii="Times New Roman" w:hAnsi="Times New Roman"/>
          <w:i w:val="0"/>
          <w:sz w:val="24"/>
          <w:szCs w:val="24"/>
        </w:rPr>
        <w:t xml:space="preserve">the annual salary </w:t>
      </w:r>
      <w:r w:rsidR="00964372" w:rsidRPr="009351CB">
        <w:rPr>
          <w:rFonts w:ascii="Times New Roman" w:hAnsi="Times New Roman"/>
          <w:i w:val="0"/>
          <w:sz w:val="24"/>
          <w:szCs w:val="24"/>
        </w:rPr>
        <w:t xml:space="preserve">adjustments must </w:t>
      </w:r>
      <w:r w:rsidR="007541E8" w:rsidRPr="009351CB">
        <w:rPr>
          <w:rFonts w:ascii="Times New Roman" w:hAnsi="Times New Roman"/>
          <w:i w:val="0"/>
          <w:sz w:val="24"/>
          <w:szCs w:val="24"/>
        </w:rPr>
        <w:t xml:space="preserve">also </w:t>
      </w:r>
      <w:r w:rsidR="00964372" w:rsidRPr="009351CB">
        <w:rPr>
          <w:rFonts w:ascii="Times New Roman" w:hAnsi="Times New Roman"/>
          <w:i w:val="0"/>
          <w:sz w:val="24"/>
          <w:szCs w:val="24"/>
        </w:rPr>
        <w:t xml:space="preserve">be made within </w:t>
      </w:r>
      <w:r w:rsidR="007541E8" w:rsidRPr="009351CB">
        <w:rPr>
          <w:rFonts w:ascii="Times New Roman" w:hAnsi="Times New Roman"/>
          <w:i w:val="0"/>
          <w:sz w:val="24"/>
          <w:szCs w:val="24"/>
        </w:rPr>
        <w:t xml:space="preserve">the </w:t>
      </w:r>
      <w:r w:rsidR="00964372" w:rsidRPr="009351CB">
        <w:rPr>
          <w:rFonts w:ascii="Times New Roman" w:hAnsi="Times New Roman"/>
          <w:i w:val="0"/>
          <w:sz w:val="24"/>
          <w:szCs w:val="24"/>
        </w:rPr>
        <w:t>compensation of employees’ expenditure ceilings.</w:t>
      </w:r>
      <w:r w:rsidR="007541E8" w:rsidRPr="009351CB">
        <w:rPr>
          <w:rFonts w:ascii="Times New Roman" w:hAnsi="Times New Roman"/>
          <w:i w:val="0"/>
          <w:sz w:val="24"/>
          <w:szCs w:val="24"/>
        </w:rPr>
        <w:t xml:space="preserve"> </w:t>
      </w:r>
      <w:r w:rsidR="00964372" w:rsidRPr="009351CB">
        <w:rPr>
          <w:rFonts w:ascii="Times New Roman" w:hAnsi="Times New Roman"/>
          <w:i w:val="0"/>
          <w:sz w:val="24"/>
          <w:szCs w:val="24"/>
        </w:rPr>
        <w:t>Although headcounts have decreased through a combination of natural attrition and the freezing of</w:t>
      </w:r>
      <w:r w:rsidR="007541E8" w:rsidRPr="009351CB">
        <w:rPr>
          <w:rFonts w:ascii="Times New Roman" w:hAnsi="Times New Roman"/>
          <w:i w:val="0"/>
          <w:sz w:val="24"/>
          <w:szCs w:val="24"/>
        </w:rPr>
        <w:t xml:space="preserve"> vacant posts, this directive has placed</w:t>
      </w:r>
      <w:r w:rsidR="00964372" w:rsidRPr="009351CB">
        <w:rPr>
          <w:rFonts w:ascii="Times New Roman" w:hAnsi="Times New Roman"/>
          <w:i w:val="0"/>
          <w:sz w:val="24"/>
          <w:szCs w:val="24"/>
        </w:rPr>
        <w:t xml:space="preserve"> labour intensive departments under a great deal of pressure. </w:t>
      </w:r>
    </w:p>
    <w:p w14:paraId="0FEDDB4D" w14:textId="77777777" w:rsidR="008D0F17" w:rsidRPr="009351CB" w:rsidRDefault="008D0F17" w:rsidP="009351CB">
      <w:pPr>
        <w:pStyle w:val="BodySingle"/>
        <w:spacing w:line="360" w:lineRule="auto"/>
        <w:ind w:left="851"/>
        <w:rPr>
          <w:rFonts w:ascii="Times New Roman" w:hAnsi="Times New Roman"/>
          <w:i w:val="0"/>
          <w:sz w:val="24"/>
          <w:szCs w:val="24"/>
        </w:rPr>
      </w:pPr>
    </w:p>
    <w:p w14:paraId="0447A9C3" w14:textId="4513BCD1" w:rsidR="008D0F17" w:rsidRPr="009351CB" w:rsidRDefault="008D0F17"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The general lack of funds is exacerbated by emerging priorities such as a renewed fight against corruption and the drive to eradicate gender-based violence, which both require the allocation of significant resources that must be found within the resources that are already available.</w:t>
      </w:r>
    </w:p>
    <w:p w14:paraId="4C48549D" w14:textId="77777777" w:rsidR="008D0F17" w:rsidRPr="009351CB" w:rsidRDefault="008D0F17" w:rsidP="009351CB">
      <w:pPr>
        <w:spacing w:line="360" w:lineRule="auto"/>
        <w:ind w:left="851"/>
        <w:jc w:val="both"/>
      </w:pPr>
    </w:p>
    <w:p w14:paraId="67FEC6A7" w14:textId="77777777" w:rsidR="00FD6EA0" w:rsidRPr="009351CB" w:rsidRDefault="000606AB"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The delivery of justice services is</w:t>
      </w:r>
      <w:r w:rsidR="00964372" w:rsidRPr="009351CB">
        <w:rPr>
          <w:rFonts w:ascii="Times New Roman" w:hAnsi="Times New Roman"/>
          <w:i w:val="0"/>
          <w:sz w:val="24"/>
          <w:szCs w:val="24"/>
        </w:rPr>
        <w:t xml:space="preserve"> </w:t>
      </w:r>
      <w:r w:rsidR="007541E8" w:rsidRPr="009351CB">
        <w:rPr>
          <w:rFonts w:ascii="Times New Roman" w:hAnsi="Times New Roman"/>
          <w:i w:val="0"/>
          <w:sz w:val="24"/>
          <w:szCs w:val="24"/>
        </w:rPr>
        <w:t xml:space="preserve">very </w:t>
      </w:r>
      <w:r w:rsidR="00A83EDE" w:rsidRPr="009351CB">
        <w:rPr>
          <w:rFonts w:ascii="Times New Roman" w:hAnsi="Times New Roman"/>
          <w:i w:val="0"/>
          <w:sz w:val="24"/>
          <w:szCs w:val="24"/>
        </w:rPr>
        <w:t>labour in</w:t>
      </w:r>
      <w:r w:rsidR="00FD6EA0" w:rsidRPr="009351CB">
        <w:rPr>
          <w:rFonts w:ascii="Times New Roman" w:hAnsi="Times New Roman"/>
          <w:i w:val="0"/>
          <w:sz w:val="24"/>
          <w:szCs w:val="24"/>
        </w:rPr>
        <w:t xml:space="preserve">tensive: warm bodies are needed, for example, </w:t>
      </w:r>
      <w:r w:rsidR="00A83EDE" w:rsidRPr="009351CB">
        <w:rPr>
          <w:rFonts w:ascii="Times New Roman" w:hAnsi="Times New Roman"/>
          <w:i w:val="0"/>
          <w:sz w:val="24"/>
          <w:szCs w:val="24"/>
        </w:rPr>
        <w:t xml:space="preserve">to argue on behalf of the State in criminal matters; </w:t>
      </w:r>
      <w:r w:rsidR="00282574" w:rsidRPr="009351CB">
        <w:rPr>
          <w:rFonts w:ascii="Times New Roman" w:hAnsi="Times New Roman"/>
          <w:i w:val="0"/>
          <w:sz w:val="24"/>
          <w:szCs w:val="24"/>
        </w:rPr>
        <w:t xml:space="preserve">to </w:t>
      </w:r>
      <w:r w:rsidR="00A83EDE" w:rsidRPr="009351CB">
        <w:rPr>
          <w:rFonts w:ascii="Times New Roman" w:hAnsi="Times New Roman"/>
          <w:i w:val="0"/>
          <w:sz w:val="24"/>
          <w:szCs w:val="24"/>
        </w:rPr>
        <w:t xml:space="preserve">defend accused to ensure their right to a fair trial; </w:t>
      </w:r>
      <w:r w:rsidR="00282574" w:rsidRPr="009351CB">
        <w:rPr>
          <w:rFonts w:ascii="Times New Roman" w:hAnsi="Times New Roman"/>
          <w:i w:val="0"/>
          <w:sz w:val="24"/>
          <w:szCs w:val="24"/>
        </w:rPr>
        <w:t xml:space="preserve">to </w:t>
      </w:r>
      <w:r w:rsidRPr="009351CB">
        <w:rPr>
          <w:rFonts w:ascii="Times New Roman" w:hAnsi="Times New Roman"/>
          <w:i w:val="0"/>
          <w:sz w:val="24"/>
          <w:szCs w:val="24"/>
        </w:rPr>
        <w:t xml:space="preserve">interview witnesses; </w:t>
      </w:r>
      <w:r w:rsidR="00282574" w:rsidRPr="009351CB">
        <w:rPr>
          <w:rFonts w:ascii="Times New Roman" w:hAnsi="Times New Roman"/>
          <w:i w:val="0"/>
          <w:sz w:val="24"/>
          <w:szCs w:val="24"/>
        </w:rPr>
        <w:t xml:space="preserve">to </w:t>
      </w:r>
      <w:r w:rsidRPr="009351CB">
        <w:rPr>
          <w:rFonts w:ascii="Times New Roman" w:hAnsi="Times New Roman"/>
          <w:i w:val="0"/>
          <w:sz w:val="24"/>
          <w:szCs w:val="24"/>
        </w:rPr>
        <w:t xml:space="preserve">issue default judgements in undefended civil matters; </w:t>
      </w:r>
      <w:r w:rsidR="00282574" w:rsidRPr="009351CB">
        <w:rPr>
          <w:rFonts w:ascii="Times New Roman" w:hAnsi="Times New Roman"/>
          <w:i w:val="0"/>
          <w:sz w:val="24"/>
          <w:szCs w:val="24"/>
        </w:rPr>
        <w:t xml:space="preserve">to </w:t>
      </w:r>
      <w:r w:rsidRPr="009351CB">
        <w:rPr>
          <w:rFonts w:ascii="Times New Roman" w:hAnsi="Times New Roman"/>
          <w:i w:val="0"/>
          <w:sz w:val="24"/>
          <w:szCs w:val="24"/>
        </w:rPr>
        <w:t xml:space="preserve">assist the public </w:t>
      </w:r>
      <w:r w:rsidRPr="009351CB">
        <w:rPr>
          <w:rFonts w:ascii="Times New Roman" w:hAnsi="Times New Roman"/>
          <w:i w:val="0"/>
          <w:color w:val="000000" w:themeColor="text1"/>
          <w:sz w:val="24"/>
          <w:szCs w:val="24"/>
        </w:rPr>
        <w:t xml:space="preserve">natigate </w:t>
      </w:r>
      <w:r w:rsidRPr="009351CB">
        <w:rPr>
          <w:rFonts w:ascii="Times New Roman" w:hAnsi="Times New Roman"/>
          <w:i w:val="0"/>
          <w:sz w:val="24"/>
          <w:szCs w:val="24"/>
        </w:rPr>
        <w:t xml:space="preserve">the complexities of legal processes; </w:t>
      </w:r>
      <w:r w:rsidR="00A83EDE" w:rsidRPr="009351CB">
        <w:rPr>
          <w:rFonts w:ascii="Times New Roman" w:hAnsi="Times New Roman"/>
          <w:i w:val="0"/>
          <w:sz w:val="24"/>
          <w:szCs w:val="24"/>
        </w:rPr>
        <w:t>and so on.</w:t>
      </w:r>
      <w:r w:rsidR="00FD6EA0" w:rsidRPr="009351CB">
        <w:rPr>
          <w:rFonts w:ascii="Times New Roman" w:hAnsi="Times New Roman"/>
          <w:i w:val="0"/>
          <w:sz w:val="24"/>
          <w:szCs w:val="24"/>
        </w:rPr>
        <w:t xml:space="preserve"> </w:t>
      </w:r>
      <w:r w:rsidR="00E0444B" w:rsidRPr="009351CB">
        <w:rPr>
          <w:rFonts w:ascii="Times New Roman" w:hAnsi="Times New Roman"/>
          <w:i w:val="0"/>
          <w:sz w:val="24"/>
          <w:szCs w:val="24"/>
        </w:rPr>
        <w:t xml:space="preserve">Of course, a great deal can be done to work smarter by, for example, introducing measures to promote the modernisation and digitisation of court processes and ensuring that human capital is </w:t>
      </w:r>
      <w:r w:rsidR="007541E8" w:rsidRPr="009351CB">
        <w:rPr>
          <w:rFonts w:ascii="Times New Roman" w:hAnsi="Times New Roman"/>
          <w:i w:val="0"/>
          <w:sz w:val="24"/>
          <w:szCs w:val="24"/>
        </w:rPr>
        <w:t>allocated more efficiently</w:t>
      </w:r>
      <w:r w:rsidR="00E0444B" w:rsidRPr="009351CB">
        <w:rPr>
          <w:rFonts w:ascii="Times New Roman" w:hAnsi="Times New Roman"/>
          <w:i w:val="0"/>
          <w:sz w:val="24"/>
          <w:szCs w:val="24"/>
        </w:rPr>
        <w:t>.</w:t>
      </w:r>
    </w:p>
    <w:p w14:paraId="3417EC54" w14:textId="77777777" w:rsidR="00E0444B" w:rsidRPr="009351CB" w:rsidRDefault="00E0444B" w:rsidP="009351CB">
      <w:pPr>
        <w:pStyle w:val="BodySingle"/>
        <w:spacing w:line="360" w:lineRule="auto"/>
        <w:ind w:left="851"/>
        <w:rPr>
          <w:rFonts w:ascii="Times New Roman" w:hAnsi="Times New Roman"/>
          <w:i w:val="0"/>
          <w:sz w:val="24"/>
          <w:szCs w:val="24"/>
        </w:rPr>
      </w:pPr>
    </w:p>
    <w:p w14:paraId="61C484D7" w14:textId="77777777" w:rsidR="0021339E" w:rsidRPr="009351CB" w:rsidRDefault="00E0444B" w:rsidP="009351CB">
      <w:pPr>
        <w:spacing w:line="360" w:lineRule="auto"/>
        <w:ind w:left="851"/>
        <w:jc w:val="both"/>
      </w:pPr>
      <w:r w:rsidRPr="009351CB">
        <w:t xml:space="preserve">However, it is a fine line that must be trodden as a </w:t>
      </w:r>
      <w:r w:rsidR="005B7A17" w:rsidRPr="009351CB">
        <w:t xml:space="preserve">too lean </w:t>
      </w:r>
      <w:r w:rsidRPr="009351CB">
        <w:t>s</w:t>
      </w:r>
      <w:r w:rsidR="00A92808" w:rsidRPr="009351CB">
        <w:t xml:space="preserve">taff </w:t>
      </w:r>
      <w:r w:rsidRPr="009351CB">
        <w:t xml:space="preserve">establishment </w:t>
      </w:r>
      <w:r w:rsidR="00A92808" w:rsidRPr="009351CB">
        <w:t xml:space="preserve">slow matters down, undermining the work that </w:t>
      </w:r>
      <w:r w:rsidRPr="009351CB">
        <w:t xml:space="preserve">must be </w:t>
      </w:r>
      <w:r w:rsidR="00A92808" w:rsidRPr="009351CB">
        <w:t xml:space="preserve">put into creating a transformed and responsive justice system. The Committee cannot help but wonder whether the reduced performance </w:t>
      </w:r>
      <w:r w:rsidR="00A60563" w:rsidRPr="009351CB">
        <w:t xml:space="preserve">and poor audit outcomes </w:t>
      </w:r>
      <w:r w:rsidR="0040195C" w:rsidRPr="009351CB">
        <w:t xml:space="preserve">that it has </w:t>
      </w:r>
      <w:r w:rsidR="00A92808" w:rsidRPr="009351CB">
        <w:t xml:space="preserve">observed in some instances cannot be attributed in some </w:t>
      </w:r>
      <w:r w:rsidR="0040195C" w:rsidRPr="009351CB">
        <w:t xml:space="preserve">part </w:t>
      </w:r>
      <w:r w:rsidR="00A92808" w:rsidRPr="009351CB">
        <w:t>to vacancies</w:t>
      </w:r>
      <w:r w:rsidR="005B7A17" w:rsidRPr="009351CB">
        <w:t xml:space="preserve">, especially at senior management level and </w:t>
      </w:r>
      <w:r w:rsidR="0021339E" w:rsidRPr="009351CB">
        <w:t xml:space="preserve">for </w:t>
      </w:r>
      <w:r w:rsidR="005B7A17" w:rsidRPr="009351CB">
        <w:t xml:space="preserve">critical </w:t>
      </w:r>
      <w:r w:rsidR="0021339E" w:rsidRPr="009351CB">
        <w:t>occupations such as supply chain management and finance.</w:t>
      </w:r>
    </w:p>
    <w:p w14:paraId="4B2909B1" w14:textId="77777777" w:rsidR="0021339E" w:rsidRPr="009351CB" w:rsidRDefault="0021339E" w:rsidP="009351CB">
      <w:pPr>
        <w:spacing w:line="360" w:lineRule="auto"/>
        <w:ind w:left="851"/>
        <w:jc w:val="both"/>
      </w:pPr>
    </w:p>
    <w:p w14:paraId="0065A020" w14:textId="77777777" w:rsidR="00A92808" w:rsidRPr="009351CB" w:rsidRDefault="00A92808" w:rsidP="009351CB">
      <w:pPr>
        <w:spacing w:line="360" w:lineRule="auto"/>
        <w:ind w:left="851"/>
        <w:jc w:val="both"/>
      </w:pPr>
      <w:r w:rsidRPr="009351CB">
        <w:t xml:space="preserve">Staff reductions can also increase the workload of officials unacceptably, creating high levels of stress, low staff morale, an increased demand for employee wellness services, and loss of key staff to other positions in government or to the private sector. </w:t>
      </w:r>
    </w:p>
    <w:p w14:paraId="55BC906A" w14:textId="77777777" w:rsidR="00A92808" w:rsidRPr="009351CB" w:rsidRDefault="00A92808" w:rsidP="009351CB">
      <w:pPr>
        <w:spacing w:line="360" w:lineRule="auto"/>
        <w:ind w:left="851"/>
      </w:pPr>
    </w:p>
    <w:p w14:paraId="3DFD1378" w14:textId="7D5B8178" w:rsidR="00A92808" w:rsidRPr="009351CB" w:rsidRDefault="00A92808" w:rsidP="009351CB">
      <w:pPr>
        <w:spacing w:line="360" w:lineRule="auto"/>
        <w:ind w:left="851"/>
        <w:jc w:val="both"/>
      </w:pPr>
      <w:r w:rsidRPr="009351CB">
        <w:t>Although the Department has assured the Committee that it will prioritise the filling of identified critical posts and sharing of support services wherever possible so that service delivery is not affected, the Committee remains conc</w:t>
      </w:r>
      <w:r w:rsidR="006C5C1D" w:rsidRPr="009351CB">
        <w:t>erned and asks that it provide a detailed written report on its revised structure</w:t>
      </w:r>
      <w:r w:rsidR="008D0F17" w:rsidRPr="009351CB">
        <w:t>;</w:t>
      </w:r>
      <w:r w:rsidR="006C5C1D" w:rsidRPr="009351CB">
        <w:t xml:space="preserve"> the progress of the court utilisation project; and plans to fill senior management and critical posts with timeframes by 2</w:t>
      </w:r>
      <w:r w:rsidR="00375B2F" w:rsidRPr="009351CB">
        <w:t>2</w:t>
      </w:r>
      <w:r w:rsidR="006C5C1D" w:rsidRPr="009351CB">
        <w:t xml:space="preserve"> November 2019.</w:t>
      </w:r>
    </w:p>
    <w:p w14:paraId="30E0A61B" w14:textId="77777777" w:rsidR="00A92808" w:rsidRPr="009351CB" w:rsidRDefault="00A92808" w:rsidP="009351CB">
      <w:pPr>
        <w:spacing w:line="360" w:lineRule="auto"/>
        <w:ind w:left="851"/>
      </w:pPr>
    </w:p>
    <w:p w14:paraId="35512689" w14:textId="2965EDF7" w:rsidR="0086721F" w:rsidRPr="009351CB" w:rsidRDefault="00312AFC"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bCs/>
          <w:i w:val="0"/>
          <w:sz w:val="24"/>
          <w:szCs w:val="24"/>
        </w:rPr>
        <w:t xml:space="preserve">Legal </w:t>
      </w:r>
      <w:r w:rsidRPr="009351CB">
        <w:rPr>
          <w:rFonts w:ascii="Times New Roman" w:hAnsi="Times New Roman"/>
          <w:i w:val="0"/>
          <w:sz w:val="24"/>
          <w:szCs w:val="24"/>
        </w:rPr>
        <w:t>Aid SA</w:t>
      </w:r>
      <w:r w:rsidR="000B7B73" w:rsidRPr="009351CB">
        <w:rPr>
          <w:rFonts w:ascii="Times New Roman" w:hAnsi="Times New Roman"/>
          <w:i w:val="0"/>
          <w:sz w:val="24"/>
          <w:szCs w:val="24"/>
        </w:rPr>
        <w:t xml:space="preserve">, which is managed </w:t>
      </w:r>
      <w:r w:rsidR="009E6C5A" w:rsidRPr="009351CB">
        <w:rPr>
          <w:rFonts w:ascii="Times New Roman" w:hAnsi="Times New Roman"/>
          <w:i w:val="0"/>
          <w:sz w:val="24"/>
          <w:szCs w:val="24"/>
        </w:rPr>
        <w:t xml:space="preserve">with distinction on a relatively modest budget to </w:t>
      </w:r>
      <w:r w:rsidR="00321FEA" w:rsidRPr="009351CB">
        <w:rPr>
          <w:rFonts w:ascii="Times New Roman" w:hAnsi="Times New Roman"/>
          <w:i w:val="0"/>
          <w:sz w:val="24"/>
          <w:szCs w:val="24"/>
        </w:rPr>
        <w:t>achieve impressive results year-after-</w:t>
      </w:r>
      <w:r w:rsidR="009E6C5A" w:rsidRPr="009351CB">
        <w:rPr>
          <w:rFonts w:ascii="Times New Roman" w:hAnsi="Times New Roman"/>
          <w:i w:val="0"/>
          <w:sz w:val="24"/>
          <w:szCs w:val="24"/>
        </w:rPr>
        <w:t xml:space="preserve">year, can no </w:t>
      </w:r>
      <w:r w:rsidRPr="009351CB">
        <w:rPr>
          <w:rFonts w:ascii="Times New Roman" w:hAnsi="Times New Roman"/>
          <w:i w:val="0"/>
          <w:sz w:val="24"/>
          <w:szCs w:val="24"/>
        </w:rPr>
        <w:t>longer absorb the budget shortfall</w:t>
      </w:r>
      <w:r w:rsidR="009E6C5A" w:rsidRPr="009351CB">
        <w:rPr>
          <w:rFonts w:ascii="Times New Roman" w:hAnsi="Times New Roman"/>
          <w:i w:val="0"/>
          <w:sz w:val="24"/>
          <w:szCs w:val="24"/>
        </w:rPr>
        <w:t>/cuts through further efficiencies a</w:t>
      </w:r>
      <w:r w:rsidR="008D0F17" w:rsidRPr="009351CB">
        <w:rPr>
          <w:rFonts w:ascii="Times New Roman" w:hAnsi="Times New Roman"/>
          <w:i w:val="0"/>
          <w:sz w:val="24"/>
          <w:szCs w:val="24"/>
        </w:rPr>
        <w:t xml:space="preserve">nd costs containment measures. The </w:t>
      </w:r>
      <w:r w:rsidR="00BA0D47" w:rsidRPr="009351CB">
        <w:rPr>
          <w:rFonts w:ascii="Times New Roman" w:hAnsi="Times New Roman"/>
          <w:i w:val="0"/>
          <w:sz w:val="24"/>
          <w:szCs w:val="24"/>
        </w:rPr>
        <w:t xml:space="preserve">only recourse </w:t>
      </w:r>
      <w:r w:rsidR="00502025" w:rsidRPr="009351CB">
        <w:rPr>
          <w:rFonts w:ascii="Times New Roman" w:hAnsi="Times New Roman"/>
          <w:i w:val="0"/>
          <w:sz w:val="24"/>
          <w:szCs w:val="24"/>
        </w:rPr>
        <w:t xml:space="preserve">going forward </w:t>
      </w:r>
      <w:r w:rsidR="00BA0D47" w:rsidRPr="009351CB">
        <w:rPr>
          <w:rFonts w:ascii="Times New Roman" w:hAnsi="Times New Roman"/>
          <w:i w:val="0"/>
          <w:sz w:val="24"/>
          <w:szCs w:val="24"/>
        </w:rPr>
        <w:t xml:space="preserve">is to </w:t>
      </w:r>
      <w:r w:rsidRPr="009351CB">
        <w:rPr>
          <w:rFonts w:ascii="Times New Roman" w:hAnsi="Times New Roman"/>
          <w:i w:val="0"/>
          <w:sz w:val="24"/>
          <w:szCs w:val="24"/>
        </w:rPr>
        <w:t>reduce the staff establishment</w:t>
      </w:r>
      <w:r w:rsidR="0086721F" w:rsidRPr="009351CB">
        <w:rPr>
          <w:rFonts w:ascii="Times New Roman" w:hAnsi="Times New Roman"/>
          <w:i w:val="0"/>
          <w:sz w:val="24"/>
          <w:szCs w:val="24"/>
        </w:rPr>
        <w:t xml:space="preserve"> and retrenchments are a real possiblity</w:t>
      </w:r>
      <w:r w:rsidR="009E6C5A" w:rsidRPr="009351CB">
        <w:rPr>
          <w:rFonts w:ascii="Times New Roman" w:hAnsi="Times New Roman"/>
          <w:i w:val="0"/>
          <w:sz w:val="24"/>
          <w:szCs w:val="24"/>
        </w:rPr>
        <w:t xml:space="preserve">. </w:t>
      </w:r>
      <w:r w:rsidR="003B58FA" w:rsidRPr="009351CB">
        <w:rPr>
          <w:rFonts w:ascii="Times New Roman" w:hAnsi="Times New Roman"/>
          <w:i w:val="0"/>
          <w:sz w:val="24"/>
          <w:szCs w:val="24"/>
        </w:rPr>
        <w:t xml:space="preserve">The </w:t>
      </w:r>
      <w:r w:rsidR="009E6C5A" w:rsidRPr="009351CB">
        <w:rPr>
          <w:rFonts w:ascii="Times New Roman" w:hAnsi="Times New Roman"/>
          <w:i w:val="0"/>
          <w:sz w:val="24"/>
          <w:szCs w:val="24"/>
        </w:rPr>
        <w:t xml:space="preserve">projected </w:t>
      </w:r>
      <w:r w:rsidR="003B58FA" w:rsidRPr="009351CB">
        <w:rPr>
          <w:rFonts w:ascii="Times New Roman" w:hAnsi="Times New Roman"/>
          <w:i w:val="0"/>
          <w:sz w:val="24"/>
          <w:szCs w:val="24"/>
        </w:rPr>
        <w:t xml:space="preserve">reduction in the number of </w:t>
      </w:r>
      <w:r w:rsidR="00502025" w:rsidRPr="009351CB">
        <w:rPr>
          <w:rFonts w:ascii="Times New Roman" w:hAnsi="Times New Roman"/>
          <w:i w:val="0"/>
          <w:sz w:val="24"/>
          <w:szCs w:val="24"/>
        </w:rPr>
        <w:t xml:space="preserve">its legal practitioners </w:t>
      </w:r>
      <w:r w:rsidR="003B58FA" w:rsidRPr="009351CB">
        <w:rPr>
          <w:rFonts w:ascii="Times New Roman" w:hAnsi="Times New Roman"/>
          <w:i w:val="0"/>
          <w:sz w:val="24"/>
          <w:szCs w:val="24"/>
        </w:rPr>
        <w:t xml:space="preserve">is substantial and will significantly </w:t>
      </w:r>
      <w:r w:rsidR="0086721F" w:rsidRPr="009351CB">
        <w:rPr>
          <w:rFonts w:ascii="Times New Roman" w:hAnsi="Times New Roman"/>
          <w:i w:val="0"/>
          <w:sz w:val="24"/>
          <w:szCs w:val="24"/>
        </w:rPr>
        <w:t xml:space="preserve">impact on </w:t>
      </w:r>
      <w:r w:rsidR="003B58FA" w:rsidRPr="009351CB">
        <w:rPr>
          <w:rFonts w:ascii="Times New Roman" w:hAnsi="Times New Roman"/>
          <w:i w:val="0"/>
          <w:sz w:val="24"/>
          <w:szCs w:val="24"/>
        </w:rPr>
        <w:t>service</w:t>
      </w:r>
      <w:r w:rsidR="0086721F" w:rsidRPr="009351CB">
        <w:rPr>
          <w:rFonts w:ascii="Times New Roman" w:hAnsi="Times New Roman"/>
          <w:i w:val="0"/>
          <w:sz w:val="24"/>
          <w:szCs w:val="24"/>
        </w:rPr>
        <w:t xml:space="preserve"> delivery, resulting in an increase in pending matters and case backlogs in criminal courts, a reduction in the number of clients assisted in civil matters and advice matters </w:t>
      </w:r>
      <w:r w:rsidR="0004651A" w:rsidRPr="009351CB">
        <w:rPr>
          <w:rFonts w:ascii="Times New Roman" w:hAnsi="Times New Roman"/>
          <w:i w:val="0"/>
          <w:sz w:val="24"/>
          <w:szCs w:val="24"/>
        </w:rPr>
        <w:t xml:space="preserve">and </w:t>
      </w:r>
      <w:r w:rsidR="0086721F" w:rsidRPr="009351CB">
        <w:rPr>
          <w:rFonts w:ascii="Times New Roman" w:hAnsi="Times New Roman"/>
          <w:i w:val="0"/>
          <w:sz w:val="24"/>
          <w:szCs w:val="24"/>
        </w:rPr>
        <w:t xml:space="preserve">the further </w:t>
      </w:r>
      <w:r w:rsidR="0004651A" w:rsidRPr="009351CB">
        <w:rPr>
          <w:rFonts w:ascii="Times New Roman" w:hAnsi="Times New Roman"/>
          <w:i w:val="0"/>
          <w:sz w:val="24"/>
          <w:szCs w:val="24"/>
        </w:rPr>
        <w:t>effect</w:t>
      </w:r>
      <w:r w:rsidR="0086721F" w:rsidRPr="009351CB">
        <w:rPr>
          <w:rFonts w:ascii="Times New Roman" w:hAnsi="Times New Roman"/>
          <w:i w:val="0"/>
          <w:sz w:val="24"/>
          <w:szCs w:val="24"/>
        </w:rPr>
        <w:t xml:space="preserve"> of compromising the quality of legal services. All of this compromises the cons</w:t>
      </w:r>
      <w:r w:rsidR="0004651A" w:rsidRPr="009351CB">
        <w:rPr>
          <w:rFonts w:ascii="Times New Roman" w:hAnsi="Times New Roman"/>
          <w:i w:val="0"/>
          <w:sz w:val="24"/>
          <w:szCs w:val="24"/>
        </w:rPr>
        <w:t>titutional obligations to make S</w:t>
      </w:r>
      <w:r w:rsidR="0086721F" w:rsidRPr="009351CB">
        <w:rPr>
          <w:rFonts w:ascii="Times New Roman" w:hAnsi="Times New Roman"/>
          <w:i w:val="0"/>
          <w:sz w:val="24"/>
          <w:szCs w:val="24"/>
        </w:rPr>
        <w:t>tate funded legal services available if substantial injustice would otherwise result.</w:t>
      </w:r>
    </w:p>
    <w:p w14:paraId="05402F9D" w14:textId="77777777" w:rsidR="00F35058" w:rsidRPr="009351CB" w:rsidRDefault="00F35058" w:rsidP="009351CB">
      <w:pPr>
        <w:autoSpaceDE w:val="0"/>
        <w:autoSpaceDN w:val="0"/>
        <w:adjustRightInd w:val="0"/>
        <w:spacing w:line="360" w:lineRule="auto"/>
        <w:ind w:left="851"/>
        <w:jc w:val="both"/>
        <w:rPr>
          <w:bCs/>
        </w:rPr>
      </w:pPr>
    </w:p>
    <w:p w14:paraId="0A6F4559" w14:textId="64CD35D6" w:rsidR="00CB2E1C" w:rsidRPr="009351CB" w:rsidRDefault="00F56B8C" w:rsidP="009351CB">
      <w:pPr>
        <w:autoSpaceDE w:val="0"/>
        <w:autoSpaceDN w:val="0"/>
        <w:adjustRightInd w:val="0"/>
        <w:spacing w:line="360" w:lineRule="auto"/>
        <w:ind w:left="851"/>
        <w:jc w:val="both"/>
        <w:rPr>
          <w:bCs/>
        </w:rPr>
      </w:pPr>
      <w:r w:rsidRPr="009351CB">
        <w:rPr>
          <w:bCs/>
        </w:rPr>
        <w:t xml:space="preserve">The Committee, therefore, does not support the implementation of planned budget </w:t>
      </w:r>
      <w:r w:rsidR="0004651A" w:rsidRPr="009351CB">
        <w:rPr>
          <w:bCs/>
        </w:rPr>
        <w:t xml:space="preserve">reductions in the case of Legal Aid SA, which with the budget shortfall, </w:t>
      </w:r>
      <w:r w:rsidR="008D0F17" w:rsidRPr="009351CB">
        <w:rPr>
          <w:bCs/>
        </w:rPr>
        <w:t>will amount</w:t>
      </w:r>
      <w:r w:rsidR="0004651A" w:rsidRPr="009351CB">
        <w:rPr>
          <w:bCs/>
        </w:rPr>
        <w:t xml:space="preserve"> to R451.5 million </w:t>
      </w:r>
      <w:r w:rsidRPr="009351CB">
        <w:rPr>
          <w:bCs/>
        </w:rPr>
        <w:t>over the 20</w:t>
      </w:r>
      <w:r w:rsidR="0004651A" w:rsidRPr="009351CB">
        <w:rPr>
          <w:bCs/>
        </w:rPr>
        <w:t>20</w:t>
      </w:r>
      <w:r w:rsidRPr="009351CB">
        <w:rPr>
          <w:bCs/>
        </w:rPr>
        <w:t xml:space="preserve"> MTEF.</w:t>
      </w:r>
    </w:p>
    <w:p w14:paraId="69C41A5B" w14:textId="77777777" w:rsidR="00CB2E1C" w:rsidRPr="009351CB" w:rsidRDefault="00CB2E1C" w:rsidP="009351CB">
      <w:pPr>
        <w:autoSpaceDE w:val="0"/>
        <w:autoSpaceDN w:val="0"/>
        <w:adjustRightInd w:val="0"/>
        <w:spacing w:line="360" w:lineRule="auto"/>
        <w:ind w:left="851"/>
        <w:rPr>
          <w:bCs/>
        </w:rPr>
      </w:pPr>
    </w:p>
    <w:p w14:paraId="233409A6" w14:textId="1E9D33BF" w:rsidR="003551AB" w:rsidRPr="009351CB" w:rsidRDefault="006C5C1D" w:rsidP="004F6019">
      <w:pPr>
        <w:pStyle w:val="BodySingle"/>
        <w:numPr>
          <w:ilvl w:val="2"/>
          <w:numId w:val="29"/>
        </w:numPr>
        <w:spacing w:line="360" w:lineRule="auto"/>
        <w:ind w:left="851" w:hanging="851"/>
        <w:rPr>
          <w:rFonts w:ascii="Times New Roman" w:hAnsi="Times New Roman"/>
          <w:bCs/>
          <w:i w:val="0"/>
          <w:noProof w:val="0"/>
          <w:sz w:val="24"/>
          <w:szCs w:val="24"/>
          <w:lang w:val="en-ZA" w:eastAsia="en-GB"/>
        </w:rPr>
      </w:pPr>
      <w:r w:rsidRPr="009351CB">
        <w:rPr>
          <w:rFonts w:ascii="Times New Roman" w:hAnsi="Times New Roman"/>
          <w:bCs/>
          <w:i w:val="0"/>
          <w:noProof w:val="0"/>
          <w:sz w:val="24"/>
          <w:szCs w:val="24"/>
          <w:lang w:val="en-ZA" w:eastAsia="en-GB"/>
        </w:rPr>
        <w:t xml:space="preserve">Historically, </w:t>
      </w:r>
      <w:r w:rsidR="00C06ECA" w:rsidRPr="009351CB">
        <w:rPr>
          <w:rFonts w:ascii="Times New Roman" w:hAnsi="Times New Roman"/>
          <w:bCs/>
          <w:i w:val="0"/>
          <w:noProof w:val="0"/>
          <w:sz w:val="24"/>
          <w:szCs w:val="24"/>
          <w:lang w:val="en-ZA" w:eastAsia="en-GB"/>
        </w:rPr>
        <w:t>the Chapter 9 ins</w:t>
      </w:r>
      <w:r w:rsidR="000244D3" w:rsidRPr="009351CB">
        <w:rPr>
          <w:rFonts w:ascii="Times New Roman" w:hAnsi="Times New Roman"/>
          <w:bCs/>
          <w:i w:val="0"/>
          <w:noProof w:val="0"/>
          <w:sz w:val="24"/>
          <w:szCs w:val="24"/>
          <w:lang w:val="en-ZA" w:eastAsia="en-GB"/>
        </w:rPr>
        <w:t xml:space="preserve">titutions </w:t>
      </w:r>
      <w:r w:rsidR="008D0F17" w:rsidRPr="009351CB">
        <w:rPr>
          <w:rFonts w:ascii="Times New Roman" w:hAnsi="Times New Roman"/>
          <w:bCs/>
          <w:i w:val="0"/>
          <w:noProof w:val="0"/>
          <w:sz w:val="24"/>
          <w:szCs w:val="24"/>
          <w:lang w:val="en-ZA" w:eastAsia="en-GB"/>
        </w:rPr>
        <w:t xml:space="preserve">have been </w:t>
      </w:r>
      <w:r w:rsidR="000244D3" w:rsidRPr="009351CB">
        <w:rPr>
          <w:rFonts w:ascii="Times New Roman" w:hAnsi="Times New Roman"/>
          <w:bCs/>
          <w:i w:val="0"/>
          <w:noProof w:val="0"/>
          <w:sz w:val="24"/>
          <w:szCs w:val="24"/>
          <w:lang w:val="en-ZA" w:eastAsia="en-GB"/>
        </w:rPr>
        <w:t>underfunded</w:t>
      </w:r>
      <w:r w:rsidR="00825895" w:rsidRPr="009351CB">
        <w:rPr>
          <w:rFonts w:ascii="Times New Roman" w:hAnsi="Times New Roman"/>
          <w:bCs/>
          <w:i w:val="0"/>
          <w:noProof w:val="0"/>
          <w:sz w:val="24"/>
          <w:szCs w:val="24"/>
          <w:lang w:val="en-ZA" w:eastAsia="en-GB"/>
        </w:rPr>
        <w:t xml:space="preserve">. In some instances, </w:t>
      </w:r>
      <w:r w:rsidR="003551AB" w:rsidRPr="009351CB">
        <w:rPr>
          <w:rFonts w:ascii="Times New Roman" w:hAnsi="Times New Roman"/>
          <w:bCs/>
          <w:i w:val="0"/>
          <w:noProof w:val="0"/>
          <w:sz w:val="24"/>
          <w:szCs w:val="24"/>
          <w:lang w:val="en-ZA" w:eastAsia="en-GB"/>
        </w:rPr>
        <w:t xml:space="preserve">their constitutional and/or statutory mandates are for all intents and purposes unfunded. </w:t>
      </w:r>
      <w:r w:rsidRPr="009351CB">
        <w:rPr>
          <w:rFonts w:ascii="Times New Roman" w:hAnsi="Times New Roman"/>
          <w:bCs/>
          <w:i w:val="0"/>
          <w:noProof w:val="0"/>
          <w:sz w:val="24"/>
          <w:szCs w:val="24"/>
          <w:lang w:val="en-ZA" w:eastAsia="en-GB"/>
        </w:rPr>
        <w:t xml:space="preserve">(The SAHRC, for example, has never received funding for its responsibilities with regard to the Promotion of Access to Information Act (PAIA), 2000). </w:t>
      </w:r>
      <w:r w:rsidR="00825895" w:rsidRPr="009351CB">
        <w:rPr>
          <w:rFonts w:ascii="Times New Roman" w:hAnsi="Times New Roman"/>
          <w:bCs/>
          <w:i w:val="0"/>
          <w:noProof w:val="0"/>
          <w:sz w:val="24"/>
          <w:szCs w:val="24"/>
          <w:lang w:val="en-ZA" w:eastAsia="en-GB"/>
        </w:rPr>
        <w:t xml:space="preserve">This </w:t>
      </w:r>
      <w:r w:rsidR="004B761C" w:rsidRPr="009351CB">
        <w:rPr>
          <w:rFonts w:ascii="Times New Roman" w:hAnsi="Times New Roman"/>
          <w:bCs/>
          <w:i w:val="0"/>
          <w:noProof w:val="0"/>
          <w:sz w:val="24"/>
          <w:szCs w:val="24"/>
          <w:lang w:val="en-ZA" w:eastAsia="en-GB"/>
        </w:rPr>
        <w:t xml:space="preserve">has had </w:t>
      </w:r>
      <w:r w:rsidR="00AF7F9A" w:rsidRPr="009351CB">
        <w:rPr>
          <w:rFonts w:ascii="Times New Roman" w:hAnsi="Times New Roman"/>
          <w:bCs/>
          <w:i w:val="0"/>
          <w:noProof w:val="0"/>
          <w:sz w:val="24"/>
          <w:szCs w:val="24"/>
          <w:lang w:val="en-ZA" w:eastAsia="en-GB"/>
        </w:rPr>
        <w:t xml:space="preserve">adverse </w:t>
      </w:r>
      <w:r w:rsidR="004B761C" w:rsidRPr="009351CB">
        <w:rPr>
          <w:rFonts w:ascii="Times New Roman" w:hAnsi="Times New Roman"/>
          <w:bCs/>
          <w:i w:val="0"/>
          <w:noProof w:val="0"/>
          <w:sz w:val="24"/>
          <w:szCs w:val="24"/>
          <w:lang w:val="en-ZA" w:eastAsia="en-GB"/>
        </w:rPr>
        <w:t xml:space="preserve">consequences for their </w:t>
      </w:r>
      <w:r w:rsidR="00140B0E" w:rsidRPr="009351CB">
        <w:rPr>
          <w:rFonts w:ascii="Times New Roman" w:hAnsi="Times New Roman"/>
          <w:bCs/>
          <w:i w:val="0"/>
          <w:noProof w:val="0"/>
          <w:sz w:val="24"/>
          <w:szCs w:val="24"/>
          <w:lang w:val="en-ZA" w:eastAsia="en-GB"/>
        </w:rPr>
        <w:t xml:space="preserve">structure and </w:t>
      </w:r>
      <w:r w:rsidR="003551AB" w:rsidRPr="009351CB">
        <w:rPr>
          <w:rFonts w:ascii="Times New Roman" w:hAnsi="Times New Roman"/>
          <w:bCs/>
          <w:i w:val="0"/>
          <w:noProof w:val="0"/>
          <w:sz w:val="24"/>
          <w:szCs w:val="24"/>
          <w:lang w:val="en-ZA" w:eastAsia="en-GB"/>
        </w:rPr>
        <w:t>operations and, arguably, restricted their impact.</w:t>
      </w:r>
      <w:r w:rsidR="000244D3" w:rsidRPr="009351CB">
        <w:rPr>
          <w:rFonts w:ascii="Times New Roman" w:hAnsi="Times New Roman"/>
          <w:bCs/>
          <w:i w:val="0"/>
          <w:noProof w:val="0"/>
          <w:sz w:val="24"/>
          <w:szCs w:val="24"/>
          <w:lang w:val="en-ZA" w:eastAsia="en-GB"/>
        </w:rPr>
        <w:t xml:space="preserve"> </w:t>
      </w:r>
    </w:p>
    <w:p w14:paraId="1E62F10F" w14:textId="77777777" w:rsidR="003551AB" w:rsidRPr="009351CB" w:rsidRDefault="003551AB" w:rsidP="002C3BE7">
      <w:pPr>
        <w:pStyle w:val="BodySingle"/>
        <w:spacing w:line="360" w:lineRule="auto"/>
        <w:ind w:left="851"/>
        <w:rPr>
          <w:rFonts w:ascii="Times New Roman" w:hAnsi="Times New Roman"/>
          <w:bCs/>
          <w:i w:val="0"/>
          <w:noProof w:val="0"/>
          <w:sz w:val="24"/>
          <w:szCs w:val="24"/>
          <w:lang w:val="en-ZA" w:eastAsia="en-GB"/>
        </w:rPr>
      </w:pPr>
    </w:p>
    <w:p w14:paraId="54C6986D" w14:textId="75F3E033" w:rsidR="00AE5AE2" w:rsidRPr="009351CB" w:rsidRDefault="003551AB" w:rsidP="002C3BE7">
      <w:pPr>
        <w:pStyle w:val="BodySingle"/>
        <w:spacing w:line="360" w:lineRule="auto"/>
        <w:ind w:left="851"/>
        <w:rPr>
          <w:rFonts w:ascii="Times New Roman" w:hAnsi="Times New Roman"/>
          <w:bCs/>
          <w:i w:val="0"/>
          <w:noProof w:val="0"/>
          <w:sz w:val="24"/>
          <w:szCs w:val="24"/>
          <w:lang w:val="en-ZA" w:eastAsia="en-GB"/>
        </w:rPr>
      </w:pPr>
      <w:r w:rsidRPr="009351CB">
        <w:rPr>
          <w:rFonts w:ascii="Times New Roman" w:hAnsi="Times New Roman"/>
          <w:bCs/>
          <w:i w:val="0"/>
          <w:noProof w:val="0"/>
          <w:sz w:val="24"/>
          <w:szCs w:val="24"/>
          <w:lang w:val="en-ZA" w:eastAsia="en-GB"/>
        </w:rPr>
        <w:t>T</w:t>
      </w:r>
      <w:r w:rsidR="002D1439" w:rsidRPr="009351CB">
        <w:rPr>
          <w:rFonts w:ascii="Times New Roman" w:hAnsi="Times New Roman"/>
          <w:bCs/>
          <w:i w:val="0"/>
          <w:noProof w:val="0"/>
          <w:sz w:val="24"/>
          <w:szCs w:val="24"/>
          <w:lang w:val="en-ZA" w:eastAsia="en-GB"/>
        </w:rPr>
        <w:t>hese institutions feel budget cuts</w:t>
      </w:r>
      <w:r w:rsidR="006C5C1D" w:rsidRPr="009351CB">
        <w:rPr>
          <w:rFonts w:ascii="Times New Roman" w:hAnsi="Times New Roman"/>
          <w:bCs/>
          <w:i w:val="0"/>
          <w:noProof w:val="0"/>
          <w:sz w:val="24"/>
          <w:szCs w:val="24"/>
          <w:lang w:val="en-ZA" w:eastAsia="en-GB"/>
        </w:rPr>
        <w:t>/reductions</w:t>
      </w:r>
      <w:r w:rsidR="002D1439" w:rsidRPr="009351CB">
        <w:rPr>
          <w:rFonts w:ascii="Times New Roman" w:hAnsi="Times New Roman"/>
          <w:bCs/>
          <w:i w:val="0"/>
          <w:noProof w:val="0"/>
          <w:sz w:val="24"/>
          <w:szCs w:val="24"/>
          <w:lang w:val="en-ZA" w:eastAsia="en-GB"/>
        </w:rPr>
        <w:t xml:space="preserve"> especially severely. </w:t>
      </w:r>
      <w:r w:rsidRPr="009351CB">
        <w:rPr>
          <w:rFonts w:ascii="Times New Roman" w:hAnsi="Times New Roman"/>
          <w:bCs/>
          <w:i w:val="0"/>
          <w:noProof w:val="0"/>
          <w:sz w:val="24"/>
          <w:szCs w:val="24"/>
          <w:lang w:val="en-ZA" w:eastAsia="en-GB"/>
        </w:rPr>
        <w:t>In the case of the S</w:t>
      </w:r>
      <w:r w:rsidR="008D0F17" w:rsidRPr="009351CB">
        <w:rPr>
          <w:rFonts w:ascii="Times New Roman" w:hAnsi="Times New Roman"/>
          <w:bCs/>
          <w:i w:val="0"/>
          <w:noProof w:val="0"/>
          <w:sz w:val="24"/>
          <w:szCs w:val="24"/>
          <w:lang w:val="en-ZA" w:eastAsia="en-GB"/>
        </w:rPr>
        <w:t>AHRC</w:t>
      </w:r>
      <w:r w:rsidR="00A60563" w:rsidRPr="009351CB">
        <w:rPr>
          <w:rFonts w:ascii="Times New Roman" w:hAnsi="Times New Roman"/>
          <w:bCs/>
          <w:i w:val="0"/>
          <w:noProof w:val="0"/>
          <w:sz w:val="24"/>
          <w:szCs w:val="24"/>
          <w:lang w:val="en-ZA" w:eastAsia="en-GB"/>
        </w:rPr>
        <w:t xml:space="preserve"> </w:t>
      </w:r>
      <w:r w:rsidRPr="009351CB">
        <w:rPr>
          <w:rFonts w:ascii="Times New Roman" w:hAnsi="Times New Roman"/>
          <w:bCs/>
          <w:i w:val="0"/>
          <w:noProof w:val="0"/>
          <w:sz w:val="24"/>
          <w:szCs w:val="24"/>
          <w:lang w:val="en-ZA" w:eastAsia="en-GB"/>
        </w:rPr>
        <w:t xml:space="preserve">the application of baseline cuts </w:t>
      </w:r>
      <w:r w:rsidR="006C5C1D" w:rsidRPr="009351CB">
        <w:rPr>
          <w:rFonts w:ascii="Times New Roman" w:hAnsi="Times New Roman"/>
          <w:bCs/>
          <w:i w:val="0"/>
          <w:noProof w:val="0"/>
          <w:sz w:val="24"/>
          <w:szCs w:val="24"/>
          <w:lang w:val="en-ZA" w:eastAsia="en-GB"/>
        </w:rPr>
        <w:t xml:space="preserve">in 2020/21 will </w:t>
      </w:r>
      <w:r w:rsidRPr="009351CB">
        <w:rPr>
          <w:rFonts w:ascii="Times New Roman" w:hAnsi="Times New Roman"/>
          <w:bCs/>
          <w:i w:val="0"/>
          <w:noProof w:val="0"/>
          <w:sz w:val="24"/>
          <w:szCs w:val="24"/>
          <w:lang w:val="en-ZA" w:eastAsia="en-GB"/>
        </w:rPr>
        <w:t xml:space="preserve">remove R10 million from its allocation </w:t>
      </w:r>
      <w:r w:rsidR="00A60563" w:rsidRPr="009351CB">
        <w:rPr>
          <w:rFonts w:ascii="Times New Roman" w:hAnsi="Times New Roman"/>
          <w:bCs/>
          <w:i w:val="0"/>
          <w:noProof w:val="0"/>
          <w:sz w:val="24"/>
          <w:szCs w:val="24"/>
          <w:lang w:val="en-ZA" w:eastAsia="en-GB"/>
        </w:rPr>
        <w:t xml:space="preserve">and </w:t>
      </w:r>
      <w:r w:rsidRPr="009351CB">
        <w:rPr>
          <w:rFonts w:ascii="Times New Roman" w:hAnsi="Times New Roman"/>
          <w:bCs/>
          <w:i w:val="0"/>
          <w:noProof w:val="0"/>
          <w:sz w:val="24"/>
          <w:szCs w:val="24"/>
          <w:lang w:val="en-ZA" w:eastAsia="en-GB"/>
        </w:rPr>
        <w:t>will require staff retrenchments</w:t>
      </w:r>
      <w:r w:rsidR="00A60563" w:rsidRPr="009351CB">
        <w:rPr>
          <w:rFonts w:ascii="Times New Roman" w:hAnsi="Times New Roman"/>
          <w:bCs/>
          <w:i w:val="0"/>
          <w:noProof w:val="0"/>
          <w:sz w:val="24"/>
          <w:szCs w:val="24"/>
          <w:lang w:val="en-ZA" w:eastAsia="en-GB"/>
        </w:rPr>
        <w:t xml:space="preserve">. The budget reduction also </w:t>
      </w:r>
      <w:r w:rsidRPr="009351CB">
        <w:rPr>
          <w:rFonts w:ascii="Times New Roman" w:hAnsi="Times New Roman"/>
          <w:bCs/>
          <w:i w:val="0"/>
          <w:noProof w:val="0"/>
          <w:sz w:val="24"/>
          <w:szCs w:val="24"/>
          <w:lang w:val="en-ZA" w:eastAsia="en-GB"/>
        </w:rPr>
        <w:t>threatens the Moot Court competition</w:t>
      </w:r>
      <w:r w:rsidR="006C5C1D" w:rsidRPr="009351CB">
        <w:rPr>
          <w:rFonts w:ascii="Times New Roman" w:hAnsi="Times New Roman"/>
          <w:bCs/>
          <w:i w:val="0"/>
          <w:noProof w:val="0"/>
          <w:sz w:val="24"/>
          <w:szCs w:val="24"/>
          <w:lang w:val="en-ZA" w:eastAsia="en-GB"/>
        </w:rPr>
        <w:t>,</w:t>
      </w:r>
      <w:r w:rsidRPr="009351CB">
        <w:rPr>
          <w:rFonts w:ascii="Times New Roman" w:hAnsi="Times New Roman"/>
          <w:bCs/>
          <w:i w:val="0"/>
          <w:noProof w:val="0"/>
          <w:sz w:val="24"/>
          <w:szCs w:val="24"/>
          <w:lang w:val="en-ZA" w:eastAsia="en-GB"/>
        </w:rPr>
        <w:t xml:space="preserve"> which is</w:t>
      </w:r>
      <w:r w:rsidR="00A60563" w:rsidRPr="009351CB">
        <w:rPr>
          <w:rFonts w:ascii="Times New Roman" w:hAnsi="Times New Roman"/>
          <w:bCs/>
          <w:i w:val="0"/>
          <w:noProof w:val="0"/>
          <w:sz w:val="24"/>
          <w:szCs w:val="24"/>
          <w:lang w:val="en-ZA" w:eastAsia="en-GB"/>
        </w:rPr>
        <w:t xml:space="preserve"> an initiative to raise awareness of human rights aimed at </w:t>
      </w:r>
      <w:r w:rsidRPr="009351CB">
        <w:rPr>
          <w:rFonts w:ascii="Times New Roman" w:hAnsi="Times New Roman"/>
          <w:bCs/>
          <w:i w:val="0"/>
          <w:noProof w:val="0"/>
          <w:sz w:val="24"/>
          <w:szCs w:val="24"/>
          <w:lang w:val="en-ZA" w:eastAsia="en-GB"/>
        </w:rPr>
        <w:t xml:space="preserve">Grade 10 and 11 students at all public schools in the </w:t>
      </w:r>
      <w:r w:rsidR="00A60563" w:rsidRPr="009351CB">
        <w:rPr>
          <w:rFonts w:ascii="Times New Roman" w:hAnsi="Times New Roman"/>
          <w:bCs/>
          <w:i w:val="0"/>
          <w:noProof w:val="0"/>
          <w:sz w:val="24"/>
          <w:szCs w:val="24"/>
          <w:lang w:val="en-ZA" w:eastAsia="en-GB"/>
        </w:rPr>
        <w:t>country</w:t>
      </w:r>
      <w:r w:rsidRPr="009351CB">
        <w:rPr>
          <w:rFonts w:ascii="Times New Roman" w:hAnsi="Times New Roman"/>
          <w:bCs/>
          <w:i w:val="0"/>
          <w:noProof w:val="0"/>
          <w:sz w:val="24"/>
          <w:szCs w:val="24"/>
          <w:lang w:val="en-ZA" w:eastAsia="en-GB"/>
        </w:rPr>
        <w:t xml:space="preserve">. </w:t>
      </w:r>
    </w:p>
    <w:p w14:paraId="61D26E7A" w14:textId="022AC735" w:rsidR="00074C0F" w:rsidRPr="009351CB" w:rsidRDefault="00074C0F" w:rsidP="002C3BE7">
      <w:pPr>
        <w:pStyle w:val="BodySingle"/>
        <w:spacing w:line="360" w:lineRule="auto"/>
        <w:ind w:left="851"/>
        <w:rPr>
          <w:rFonts w:ascii="Times New Roman" w:hAnsi="Times New Roman"/>
          <w:bCs/>
          <w:i w:val="0"/>
          <w:noProof w:val="0"/>
          <w:sz w:val="24"/>
          <w:szCs w:val="24"/>
          <w:lang w:val="en-ZA" w:eastAsia="en-GB"/>
        </w:rPr>
      </w:pPr>
    </w:p>
    <w:p w14:paraId="3E28E132" w14:textId="74DBDA38" w:rsidR="006C20C1" w:rsidRPr="009351CB" w:rsidRDefault="006C20C1" w:rsidP="002C3BE7">
      <w:pPr>
        <w:pStyle w:val="BodySingle"/>
        <w:spacing w:line="360" w:lineRule="auto"/>
        <w:ind w:left="851"/>
        <w:rPr>
          <w:rFonts w:ascii="Times New Roman" w:hAnsi="Times New Roman"/>
          <w:bCs/>
          <w:i w:val="0"/>
          <w:noProof w:val="0"/>
          <w:sz w:val="24"/>
          <w:szCs w:val="24"/>
          <w:lang w:val="en-ZA" w:eastAsia="en-GB"/>
        </w:rPr>
      </w:pPr>
      <w:r w:rsidRPr="009351CB">
        <w:rPr>
          <w:rFonts w:ascii="Times New Roman" w:hAnsi="Times New Roman"/>
          <w:bCs/>
          <w:i w:val="0"/>
          <w:noProof w:val="0"/>
          <w:sz w:val="24"/>
          <w:szCs w:val="24"/>
          <w:lang w:val="en-ZA" w:eastAsia="en-GB"/>
        </w:rPr>
        <w:t>The Committee notes as well that the PPSA has asked for funding for critical posts, professional fees for subject matter specialists and security.</w:t>
      </w:r>
    </w:p>
    <w:p w14:paraId="314F88B0" w14:textId="77777777" w:rsidR="006C20C1" w:rsidRPr="009351CB" w:rsidRDefault="006C20C1" w:rsidP="002C3BE7">
      <w:pPr>
        <w:pStyle w:val="BodySingle"/>
        <w:spacing w:line="360" w:lineRule="auto"/>
        <w:ind w:left="851"/>
        <w:rPr>
          <w:rFonts w:ascii="Times New Roman" w:hAnsi="Times New Roman"/>
          <w:bCs/>
          <w:i w:val="0"/>
          <w:noProof w:val="0"/>
          <w:sz w:val="24"/>
          <w:szCs w:val="24"/>
          <w:lang w:val="en-ZA" w:eastAsia="en-GB"/>
        </w:rPr>
      </w:pPr>
    </w:p>
    <w:p w14:paraId="60E53933" w14:textId="06306A3F" w:rsidR="00A60563" w:rsidRPr="009351CB" w:rsidRDefault="003551AB" w:rsidP="002C3BE7">
      <w:pPr>
        <w:pStyle w:val="BodySingle"/>
        <w:spacing w:line="360" w:lineRule="auto"/>
        <w:ind w:left="851"/>
        <w:rPr>
          <w:rFonts w:ascii="Times New Roman" w:hAnsi="Times New Roman"/>
          <w:bCs/>
          <w:i w:val="0"/>
          <w:noProof w:val="0"/>
          <w:sz w:val="24"/>
          <w:szCs w:val="24"/>
          <w:lang w:val="en-ZA" w:eastAsia="en-GB"/>
        </w:rPr>
      </w:pPr>
      <w:r w:rsidRPr="009351CB">
        <w:rPr>
          <w:rFonts w:ascii="Times New Roman" w:hAnsi="Times New Roman"/>
          <w:bCs/>
          <w:i w:val="0"/>
          <w:noProof w:val="0"/>
          <w:sz w:val="24"/>
          <w:szCs w:val="24"/>
          <w:lang w:val="en-ZA" w:eastAsia="en-GB"/>
        </w:rPr>
        <w:t>A</w:t>
      </w:r>
      <w:r w:rsidR="00AE5AE2" w:rsidRPr="009351CB">
        <w:rPr>
          <w:rFonts w:ascii="Times New Roman" w:hAnsi="Times New Roman"/>
          <w:bCs/>
          <w:i w:val="0"/>
          <w:noProof w:val="0"/>
          <w:sz w:val="24"/>
          <w:szCs w:val="24"/>
          <w:lang w:val="en-ZA" w:eastAsia="en-GB"/>
        </w:rPr>
        <w:t>ny</w:t>
      </w:r>
      <w:r w:rsidR="00082DB3" w:rsidRPr="009351CB">
        <w:rPr>
          <w:rFonts w:ascii="Times New Roman" w:hAnsi="Times New Roman"/>
          <w:bCs/>
          <w:i w:val="0"/>
          <w:noProof w:val="0"/>
          <w:sz w:val="24"/>
          <w:szCs w:val="24"/>
          <w:lang w:val="en-ZA" w:eastAsia="en-GB"/>
        </w:rPr>
        <w:t xml:space="preserve"> </w:t>
      </w:r>
      <w:r w:rsidR="004B761C" w:rsidRPr="009351CB">
        <w:rPr>
          <w:rFonts w:ascii="Times New Roman" w:hAnsi="Times New Roman"/>
          <w:bCs/>
          <w:i w:val="0"/>
          <w:noProof w:val="0"/>
          <w:sz w:val="24"/>
          <w:szCs w:val="24"/>
          <w:lang w:val="en-ZA" w:eastAsia="en-GB"/>
        </w:rPr>
        <w:t xml:space="preserve">decision to </w:t>
      </w:r>
      <w:r w:rsidR="00082DB3" w:rsidRPr="009351CB">
        <w:rPr>
          <w:rFonts w:ascii="Times New Roman" w:hAnsi="Times New Roman"/>
          <w:bCs/>
          <w:i w:val="0"/>
          <w:noProof w:val="0"/>
          <w:sz w:val="24"/>
          <w:szCs w:val="24"/>
          <w:lang w:val="en-ZA" w:eastAsia="en-GB"/>
        </w:rPr>
        <w:t xml:space="preserve">apply the budget </w:t>
      </w:r>
      <w:r w:rsidR="004B761C" w:rsidRPr="009351CB">
        <w:rPr>
          <w:rFonts w:ascii="Times New Roman" w:hAnsi="Times New Roman"/>
          <w:bCs/>
          <w:i w:val="0"/>
          <w:noProof w:val="0"/>
          <w:sz w:val="24"/>
          <w:szCs w:val="24"/>
          <w:lang w:val="en-ZA" w:eastAsia="en-GB"/>
        </w:rPr>
        <w:t>cut</w:t>
      </w:r>
      <w:r w:rsidR="00082DB3" w:rsidRPr="009351CB">
        <w:rPr>
          <w:rFonts w:ascii="Times New Roman" w:hAnsi="Times New Roman"/>
          <w:bCs/>
          <w:i w:val="0"/>
          <w:noProof w:val="0"/>
          <w:sz w:val="24"/>
          <w:szCs w:val="24"/>
          <w:lang w:val="en-ZA" w:eastAsia="en-GB"/>
        </w:rPr>
        <w:t>s</w:t>
      </w:r>
      <w:r w:rsidR="004B761C" w:rsidRPr="009351CB">
        <w:rPr>
          <w:rFonts w:ascii="Times New Roman" w:hAnsi="Times New Roman"/>
          <w:bCs/>
          <w:i w:val="0"/>
          <w:noProof w:val="0"/>
          <w:sz w:val="24"/>
          <w:szCs w:val="24"/>
          <w:lang w:val="en-ZA" w:eastAsia="en-GB"/>
        </w:rPr>
        <w:t xml:space="preserve"> </w:t>
      </w:r>
      <w:r w:rsidR="00082DB3" w:rsidRPr="009351CB">
        <w:rPr>
          <w:rFonts w:ascii="Times New Roman" w:hAnsi="Times New Roman"/>
          <w:bCs/>
          <w:i w:val="0"/>
          <w:noProof w:val="0"/>
          <w:sz w:val="24"/>
          <w:szCs w:val="24"/>
          <w:lang w:val="en-ZA" w:eastAsia="en-GB"/>
        </w:rPr>
        <w:t xml:space="preserve">to </w:t>
      </w:r>
      <w:r w:rsidR="004B761C" w:rsidRPr="009351CB">
        <w:rPr>
          <w:rFonts w:ascii="Times New Roman" w:hAnsi="Times New Roman"/>
          <w:bCs/>
          <w:i w:val="0"/>
          <w:noProof w:val="0"/>
          <w:sz w:val="24"/>
          <w:szCs w:val="24"/>
          <w:lang w:val="en-ZA" w:eastAsia="en-GB"/>
        </w:rPr>
        <w:t>the baseline allocation of a Chapter 9 institutions should carefully consider the</w:t>
      </w:r>
      <w:r w:rsidRPr="009351CB">
        <w:rPr>
          <w:rFonts w:ascii="Times New Roman" w:hAnsi="Times New Roman"/>
          <w:bCs/>
          <w:i w:val="0"/>
          <w:noProof w:val="0"/>
          <w:sz w:val="24"/>
          <w:szCs w:val="24"/>
          <w:lang w:val="en-ZA" w:eastAsia="en-GB"/>
        </w:rPr>
        <w:t>ir</w:t>
      </w:r>
      <w:r w:rsidR="004B761C" w:rsidRPr="009351CB">
        <w:rPr>
          <w:rFonts w:ascii="Times New Roman" w:hAnsi="Times New Roman"/>
          <w:bCs/>
          <w:i w:val="0"/>
          <w:noProof w:val="0"/>
          <w:sz w:val="24"/>
          <w:szCs w:val="24"/>
          <w:lang w:val="en-ZA" w:eastAsia="en-GB"/>
        </w:rPr>
        <w:t xml:space="preserve"> unique contribution </w:t>
      </w:r>
      <w:r w:rsidR="00AF7F9A" w:rsidRPr="009351CB">
        <w:rPr>
          <w:rFonts w:ascii="Times New Roman" w:hAnsi="Times New Roman"/>
          <w:bCs/>
          <w:i w:val="0"/>
          <w:noProof w:val="0"/>
          <w:sz w:val="24"/>
          <w:szCs w:val="24"/>
          <w:lang w:val="en-ZA" w:eastAsia="en-GB"/>
        </w:rPr>
        <w:t>towards strengthening our constitutional democracy,</w:t>
      </w:r>
      <w:r w:rsidR="00082DB3" w:rsidRPr="009351CB">
        <w:rPr>
          <w:rFonts w:ascii="Times New Roman" w:hAnsi="Times New Roman"/>
          <w:bCs/>
          <w:i w:val="0"/>
          <w:noProof w:val="0"/>
          <w:sz w:val="24"/>
          <w:szCs w:val="24"/>
          <w:lang w:val="en-ZA" w:eastAsia="en-GB"/>
        </w:rPr>
        <w:t xml:space="preserve"> as well as the duty </w:t>
      </w:r>
      <w:r w:rsidR="009603CD" w:rsidRPr="009351CB">
        <w:rPr>
          <w:rFonts w:ascii="Times New Roman" w:hAnsi="Times New Roman"/>
          <w:bCs/>
          <w:i w:val="0"/>
          <w:noProof w:val="0"/>
          <w:sz w:val="24"/>
          <w:szCs w:val="24"/>
          <w:lang w:val="en-ZA" w:eastAsia="en-GB"/>
        </w:rPr>
        <w:t xml:space="preserve">placed </w:t>
      </w:r>
      <w:r w:rsidR="00082DB3" w:rsidRPr="009351CB">
        <w:rPr>
          <w:rFonts w:ascii="Times New Roman" w:hAnsi="Times New Roman"/>
          <w:bCs/>
          <w:i w:val="0"/>
          <w:noProof w:val="0"/>
          <w:sz w:val="24"/>
          <w:szCs w:val="24"/>
          <w:lang w:val="en-ZA" w:eastAsia="en-GB"/>
        </w:rPr>
        <w:t xml:space="preserve">on other state institutions to assist these institutions. </w:t>
      </w:r>
      <w:r w:rsidR="00AE5AE2" w:rsidRPr="009351CB">
        <w:rPr>
          <w:rFonts w:ascii="Times New Roman" w:hAnsi="Times New Roman"/>
          <w:bCs/>
          <w:i w:val="0"/>
          <w:noProof w:val="0"/>
          <w:sz w:val="24"/>
          <w:szCs w:val="24"/>
          <w:lang w:val="en-ZA" w:eastAsia="en-GB"/>
        </w:rPr>
        <w:t>The Committee, therefore, does not support the application of baseline reductions in the case of the S</w:t>
      </w:r>
      <w:r w:rsidR="008D0F17" w:rsidRPr="009351CB">
        <w:rPr>
          <w:rFonts w:ascii="Times New Roman" w:hAnsi="Times New Roman"/>
          <w:bCs/>
          <w:i w:val="0"/>
          <w:noProof w:val="0"/>
          <w:sz w:val="24"/>
          <w:szCs w:val="24"/>
          <w:lang w:val="en-ZA" w:eastAsia="en-GB"/>
        </w:rPr>
        <w:t>AHRC and PPSA</w:t>
      </w:r>
      <w:r w:rsidR="00AE5AE2" w:rsidRPr="009351CB">
        <w:rPr>
          <w:rFonts w:ascii="Times New Roman" w:hAnsi="Times New Roman"/>
          <w:bCs/>
          <w:i w:val="0"/>
          <w:noProof w:val="0"/>
          <w:sz w:val="24"/>
          <w:szCs w:val="24"/>
          <w:lang w:val="en-ZA" w:eastAsia="en-GB"/>
        </w:rPr>
        <w:t>.</w:t>
      </w:r>
    </w:p>
    <w:p w14:paraId="54D05588" w14:textId="77777777" w:rsidR="00A60563" w:rsidRPr="009351CB" w:rsidRDefault="00A60563" w:rsidP="002C3BE7">
      <w:pPr>
        <w:pStyle w:val="BodySingle"/>
        <w:spacing w:line="360" w:lineRule="auto"/>
        <w:ind w:left="851"/>
        <w:rPr>
          <w:rFonts w:ascii="Times New Roman" w:hAnsi="Times New Roman"/>
          <w:bCs/>
          <w:i w:val="0"/>
          <w:noProof w:val="0"/>
          <w:sz w:val="24"/>
          <w:szCs w:val="24"/>
          <w:lang w:val="en-ZA" w:eastAsia="en-GB"/>
        </w:rPr>
      </w:pPr>
    </w:p>
    <w:p w14:paraId="576E33D9" w14:textId="77777777" w:rsidR="00AE5AE2" w:rsidRPr="009351CB" w:rsidRDefault="00082DB3" w:rsidP="002C3BE7">
      <w:pPr>
        <w:pStyle w:val="BodySingle"/>
        <w:spacing w:line="360" w:lineRule="auto"/>
        <w:ind w:left="851"/>
        <w:rPr>
          <w:rFonts w:ascii="Times New Roman" w:hAnsi="Times New Roman"/>
          <w:bCs/>
          <w:i w:val="0"/>
          <w:noProof w:val="0"/>
          <w:sz w:val="24"/>
          <w:szCs w:val="24"/>
          <w:lang w:val="en-ZA" w:eastAsia="en-GB"/>
        </w:rPr>
      </w:pPr>
      <w:r w:rsidRPr="009351CB">
        <w:rPr>
          <w:rFonts w:ascii="Times New Roman" w:hAnsi="Times New Roman"/>
          <w:bCs/>
          <w:i w:val="0"/>
          <w:noProof w:val="0"/>
          <w:sz w:val="24"/>
          <w:szCs w:val="24"/>
          <w:lang w:val="en-ZA" w:eastAsia="en-GB"/>
        </w:rPr>
        <w:t xml:space="preserve">The </w:t>
      </w:r>
      <w:r w:rsidR="00AF7F9A" w:rsidRPr="009351CB">
        <w:rPr>
          <w:rFonts w:ascii="Times New Roman" w:hAnsi="Times New Roman"/>
          <w:bCs/>
          <w:i w:val="0"/>
          <w:noProof w:val="0"/>
          <w:sz w:val="24"/>
          <w:szCs w:val="24"/>
          <w:lang w:val="en-ZA" w:eastAsia="en-GB"/>
        </w:rPr>
        <w:t xml:space="preserve">matter of </w:t>
      </w:r>
      <w:r w:rsidRPr="009351CB">
        <w:rPr>
          <w:rFonts w:ascii="Times New Roman" w:hAnsi="Times New Roman"/>
          <w:bCs/>
          <w:i w:val="0"/>
          <w:noProof w:val="0"/>
          <w:sz w:val="24"/>
          <w:szCs w:val="24"/>
          <w:lang w:val="en-ZA" w:eastAsia="en-GB"/>
        </w:rPr>
        <w:t xml:space="preserve">an appropriate funding model for the Chapter 9 institutions </w:t>
      </w:r>
      <w:r w:rsidR="00E10445" w:rsidRPr="009351CB">
        <w:rPr>
          <w:rFonts w:ascii="Times New Roman" w:hAnsi="Times New Roman"/>
          <w:bCs/>
          <w:i w:val="0"/>
          <w:noProof w:val="0"/>
          <w:sz w:val="24"/>
          <w:szCs w:val="24"/>
          <w:lang w:val="en-ZA" w:eastAsia="en-GB"/>
        </w:rPr>
        <w:t>w</w:t>
      </w:r>
      <w:r w:rsidRPr="009351CB">
        <w:rPr>
          <w:rFonts w:ascii="Times New Roman" w:hAnsi="Times New Roman"/>
          <w:bCs/>
          <w:i w:val="0"/>
          <w:noProof w:val="0"/>
          <w:sz w:val="24"/>
          <w:szCs w:val="24"/>
          <w:lang w:val="en-ZA" w:eastAsia="en-GB"/>
        </w:rPr>
        <w:t xml:space="preserve">as </w:t>
      </w:r>
      <w:r w:rsidR="009603CD" w:rsidRPr="009351CB">
        <w:rPr>
          <w:rFonts w:ascii="Times New Roman" w:hAnsi="Times New Roman"/>
          <w:bCs/>
          <w:i w:val="0"/>
          <w:noProof w:val="0"/>
          <w:sz w:val="24"/>
          <w:szCs w:val="24"/>
          <w:lang w:val="en-ZA" w:eastAsia="en-GB"/>
        </w:rPr>
        <w:t xml:space="preserve">mooted </w:t>
      </w:r>
      <w:r w:rsidR="00E10445" w:rsidRPr="009351CB">
        <w:rPr>
          <w:rFonts w:ascii="Times New Roman" w:hAnsi="Times New Roman"/>
          <w:bCs/>
          <w:i w:val="0"/>
          <w:noProof w:val="0"/>
          <w:sz w:val="24"/>
          <w:szCs w:val="24"/>
          <w:lang w:val="en-ZA" w:eastAsia="en-GB"/>
        </w:rPr>
        <w:t>more than a decade ago when the</w:t>
      </w:r>
      <w:r w:rsidR="00E10445" w:rsidRPr="009351CB">
        <w:rPr>
          <w:rFonts w:ascii="Times New Roman" w:hAnsi="Times New Roman"/>
          <w:bCs/>
          <w:noProof w:val="0"/>
          <w:sz w:val="24"/>
          <w:szCs w:val="24"/>
          <w:lang w:val="en-ZA" w:eastAsia="en-GB"/>
        </w:rPr>
        <w:t xml:space="preserve"> ad hoc</w:t>
      </w:r>
      <w:r w:rsidR="00E10445" w:rsidRPr="009351CB">
        <w:rPr>
          <w:rFonts w:ascii="Times New Roman" w:hAnsi="Times New Roman"/>
          <w:bCs/>
          <w:i w:val="0"/>
          <w:noProof w:val="0"/>
          <w:sz w:val="24"/>
          <w:szCs w:val="24"/>
          <w:lang w:val="en-ZA" w:eastAsia="en-GB"/>
        </w:rPr>
        <w:t xml:space="preserve"> Committee on the Review of Chapter 9 and Associated Institutions (2007) recommended that the budgets for the constitutional institutions supporting democracy be contained in a separate programme in Parliament’s Budget Vote</w:t>
      </w:r>
      <w:r w:rsidRPr="009351CB">
        <w:rPr>
          <w:rFonts w:ascii="Times New Roman" w:hAnsi="Times New Roman"/>
          <w:bCs/>
          <w:i w:val="0"/>
          <w:noProof w:val="0"/>
          <w:sz w:val="24"/>
          <w:szCs w:val="24"/>
          <w:lang w:val="en-ZA" w:eastAsia="en-GB"/>
        </w:rPr>
        <w:t xml:space="preserve">. </w:t>
      </w:r>
    </w:p>
    <w:p w14:paraId="39C7E5D2" w14:textId="77777777" w:rsidR="00AE5AE2" w:rsidRPr="009351CB" w:rsidRDefault="00AE5AE2" w:rsidP="002C3BE7">
      <w:pPr>
        <w:pStyle w:val="BodySingle"/>
        <w:spacing w:line="360" w:lineRule="auto"/>
        <w:ind w:left="851"/>
        <w:rPr>
          <w:rFonts w:ascii="Times New Roman" w:hAnsi="Times New Roman"/>
          <w:bCs/>
          <w:i w:val="0"/>
          <w:noProof w:val="0"/>
          <w:sz w:val="24"/>
          <w:szCs w:val="24"/>
          <w:lang w:val="en-ZA" w:eastAsia="en-GB"/>
        </w:rPr>
      </w:pPr>
    </w:p>
    <w:p w14:paraId="44C888E6" w14:textId="77777777" w:rsidR="00B645E2" w:rsidRPr="009351CB" w:rsidRDefault="00E10445" w:rsidP="002C3BE7">
      <w:pPr>
        <w:pStyle w:val="BodySingle"/>
        <w:spacing w:line="360" w:lineRule="auto"/>
        <w:ind w:left="851"/>
        <w:rPr>
          <w:rFonts w:ascii="Times New Roman" w:hAnsi="Times New Roman"/>
          <w:bCs/>
          <w:i w:val="0"/>
          <w:noProof w:val="0"/>
          <w:sz w:val="24"/>
          <w:szCs w:val="24"/>
          <w:lang w:val="en-ZA" w:eastAsia="en-GB"/>
        </w:rPr>
      </w:pPr>
      <w:r w:rsidRPr="009351CB">
        <w:rPr>
          <w:rFonts w:ascii="Times New Roman" w:hAnsi="Times New Roman"/>
          <w:bCs/>
          <w:i w:val="0"/>
          <w:noProof w:val="0"/>
          <w:sz w:val="24"/>
          <w:szCs w:val="24"/>
          <w:lang w:val="en-ZA" w:eastAsia="en-GB"/>
        </w:rPr>
        <w:t xml:space="preserve">Furthermore, </w:t>
      </w:r>
      <w:r w:rsidR="00082DB3" w:rsidRPr="009351CB">
        <w:rPr>
          <w:rFonts w:ascii="Times New Roman" w:hAnsi="Times New Roman"/>
          <w:bCs/>
          <w:i w:val="0"/>
          <w:noProof w:val="0"/>
          <w:sz w:val="24"/>
          <w:szCs w:val="24"/>
          <w:lang w:val="en-ZA" w:eastAsia="en-GB"/>
        </w:rPr>
        <w:t>the Committees wishes to draw</w:t>
      </w:r>
      <w:r w:rsidR="00B645E2" w:rsidRPr="009351CB">
        <w:rPr>
          <w:rFonts w:ascii="Times New Roman" w:hAnsi="Times New Roman"/>
          <w:bCs/>
          <w:i w:val="0"/>
          <w:noProof w:val="0"/>
          <w:sz w:val="24"/>
          <w:szCs w:val="24"/>
          <w:lang w:val="en-ZA" w:eastAsia="en-GB"/>
        </w:rPr>
        <w:t xml:space="preserve"> attention to the resolution of the National Assembly </w:t>
      </w:r>
      <w:r w:rsidR="00082DB3" w:rsidRPr="009351CB">
        <w:rPr>
          <w:rFonts w:ascii="Times New Roman" w:hAnsi="Times New Roman"/>
          <w:bCs/>
          <w:i w:val="0"/>
          <w:noProof w:val="0"/>
          <w:sz w:val="24"/>
          <w:szCs w:val="24"/>
          <w:lang w:val="en-ZA" w:eastAsia="en-GB"/>
        </w:rPr>
        <w:t xml:space="preserve">in </w:t>
      </w:r>
      <w:r w:rsidRPr="009351CB">
        <w:rPr>
          <w:rFonts w:ascii="Times New Roman" w:hAnsi="Times New Roman"/>
          <w:bCs/>
          <w:i w:val="0"/>
          <w:noProof w:val="0"/>
          <w:sz w:val="24"/>
          <w:szCs w:val="24"/>
          <w:lang w:val="en-ZA" w:eastAsia="en-GB"/>
        </w:rPr>
        <w:t>Fourth Parliament affirming this recommendation</w:t>
      </w:r>
      <w:r w:rsidR="0082424D" w:rsidRPr="009351CB">
        <w:rPr>
          <w:rFonts w:ascii="Times New Roman" w:hAnsi="Times New Roman"/>
          <w:bCs/>
          <w:i w:val="0"/>
          <w:noProof w:val="0"/>
          <w:sz w:val="24"/>
          <w:szCs w:val="24"/>
          <w:lang w:val="en-ZA" w:eastAsia="en-GB"/>
        </w:rPr>
        <w:t xml:space="preserve"> and </w:t>
      </w:r>
      <w:r w:rsidR="009603CD" w:rsidRPr="009351CB">
        <w:rPr>
          <w:rFonts w:ascii="Times New Roman" w:hAnsi="Times New Roman"/>
          <w:bCs/>
          <w:i w:val="0"/>
          <w:noProof w:val="0"/>
          <w:sz w:val="24"/>
          <w:szCs w:val="24"/>
          <w:lang w:val="en-ZA" w:eastAsia="en-GB"/>
        </w:rPr>
        <w:t xml:space="preserve">urges the </w:t>
      </w:r>
      <w:r w:rsidR="00A60563" w:rsidRPr="009351CB">
        <w:rPr>
          <w:rFonts w:ascii="Times New Roman" w:hAnsi="Times New Roman"/>
          <w:bCs/>
          <w:i w:val="0"/>
          <w:noProof w:val="0"/>
          <w:sz w:val="24"/>
          <w:szCs w:val="24"/>
          <w:lang w:val="en-ZA" w:eastAsia="en-GB"/>
        </w:rPr>
        <w:t>6</w:t>
      </w:r>
      <w:r w:rsidR="00A60563" w:rsidRPr="009351CB">
        <w:rPr>
          <w:rFonts w:ascii="Times New Roman" w:hAnsi="Times New Roman"/>
          <w:bCs/>
          <w:i w:val="0"/>
          <w:noProof w:val="0"/>
          <w:sz w:val="24"/>
          <w:szCs w:val="24"/>
          <w:vertAlign w:val="superscript"/>
          <w:lang w:val="en-ZA" w:eastAsia="en-GB"/>
        </w:rPr>
        <w:t>th</w:t>
      </w:r>
      <w:r w:rsidR="00A60563" w:rsidRPr="009351CB">
        <w:rPr>
          <w:rFonts w:ascii="Times New Roman" w:hAnsi="Times New Roman"/>
          <w:bCs/>
          <w:i w:val="0"/>
          <w:noProof w:val="0"/>
          <w:sz w:val="24"/>
          <w:szCs w:val="24"/>
          <w:lang w:val="en-ZA" w:eastAsia="en-GB"/>
        </w:rPr>
        <w:t xml:space="preserve"> </w:t>
      </w:r>
      <w:r w:rsidR="009603CD" w:rsidRPr="009351CB">
        <w:rPr>
          <w:rFonts w:ascii="Times New Roman" w:hAnsi="Times New Roman"/>
          <w:bCs/>
          <w:i w:val="0"/>
          <w:noProof w:val="0"/>
          <w:sz w:val="24"/>
          <w:szCs w:val="24"/>
          <w:lang w:val="en-ZA" w:eastAsia="en-GB"/>
        </w:rPr>
        <w:t xml:space="preserve">Parliament </w:t>
      </w:r>
      <w:r w:rsidRPr="009351CB">
        <w:rPr>
          <w:rFonts w:ascii="Times New Roman" w:hAnsi="Times New Roman"/>
          <w:bCs/>
          <w:i w:val="0"/>
          <w:noProof w:val="0"/>
          <w:sz w:val="24"/>
          <w:szCs w:val="24"/>
          <w:lang w:val="en-ZA" w:eastAsia="en-GB"/>
        </w:rPr>
        <w:t xml:space="preserve">to </w:t>
      </w:r>
      <w:r w:rsidR="009603CD" w:rsidRPr="009351CB">
        <w:rPr>
          <w:rFonts w:ascii="Times New Roman" w:hAnsi="Times New Roman"/>
          <w:bCs/>
          <w:i w:val="0"/>
          <w:noProof w:val="0"/>
          <w:sz w:val="24"/>
          <w:szCs w:val="24"/>
          <w:lang w:val="en-ZA" w:eastAsia="en-GB"/>
        </w:rPr>
        <w:t xml:space="preserve">consider undertaking a </w:t>
      </w:r>
      <w:r w:rsidRPr="009351CB">
        <w:rPr>
          <w:rFonts w:ascii="Times New Roman" w:hAnsi="Times New Roman"/>
          <w:bCs/>
          <w:i w:val="0"/>
          <w:noProof w:val="0"/>
          <w:sz w:val="24"/>
          <w:szCs w:val="24"/>
          <w:lang w:val="en-ZA" w:eastAsia="en-GB"/>
        </w:rPr>
        <w:t xml:space="preserve">fresh </w:t>
      </w:r>
      <w:r w:rsidR="009603CD" w:rsidRPr="009351CB">
        <w:rPr>
          <w:rFonts w:ascii="Times New Roman" w:hAnsi="Times New Roman"/>
          <w:bCs/>
          <w:i w:val="0"/>
          <w:noProof w:val="0"/>
          <w:sz w:val="24"/>
          <w:szCs w:val="24"/>
          <w:lang w:val="en-ZA" w:eastAsia="en-GB"/>
        </w:rPr>
        <w:t>review of the Chapter 9 institutions</w:t>
      </w:r>
      <w:r w:rsidRPr="009351CB">
        <w:rPr>
          <w:rFonts w:ascii="Times New Roman" w:hAnsi="Times New Roman"/>
          <w:bCs/>
          <w:i w:val="0"/>
          <w:noProof w:val="0"/>
          <w:sz w:val="24"/>
          <w:szCs w:val="24"/>
          <w:lang w:val="en-ZA" w:eastAsia="en-GB"/>
        </w:rPr>
        <w:t xml:space="preserve">, in </w:t>
      </w:r>
      <w:r w:rsidR="009603CD" w:rsidRPr="009351CB">
        <w:rPr>
          <w:rFonts w:ascii="Times New Roman" w:hAnsi="Times New Roman"/>
          <w:bCs/>
          <w:i w:val="0"/>
          <w:noProof w:val="0"/>
          <w:sz w:val="24"/>
          <w:szCs w:val="24"/>
          <w:lang w:val="en-ZA" w:eastAsia="en-GB"/>
        </w:rPr>
        <w:t xml:space="preserve">which </w:t>
      </w:r>
      <w:r w:rsidR="00321FEA" w:rsidRPr="009351CB">
        <w:rPr>
          <w:rFonts w:ascii="Times New Roman" w:hAnsi="Times New Roman"/>
          <w:bCs/>
          <w:i w:val="0"/>
          <w:noProof w:val="0"/>
          <w:sz w:val="24"/>
          <w:szCs w:val="24"/>
          <w:lang w:val="en-ZA" w:eastAsia="en-GB"/>
        </w:rPr>
        <w:t xml:space="preserve">consideration </w:t>
      </w:r>
      <w:r w:rsidRPr="009351CB">
        <w:rPr>
          <w:rFonts w:ascii="Times New Roman" w:hAnsi="Times New Roman"/>
          <w:bCs/>
          <w:i w:val="0"/>
          <w:noProof w:val="0"/>
          <w:sz w:val="24"/>
          <w:szCs w:val="24"/>
          <w:lang w:val="en-ZA" w:eastAsia="en-GB"/>
        </w:rPr>
        <w:t xml:space="preserve">of an appropriate funding model is </w:t>
      </w:r>
      <w:r w:rsidR="00321FEA" w:rsidRPr="009351CB">
        <w:rPr>
          <w:rFonts w:ascii="Times New Roman" w:hAnsi="Times New Roman"/>
          <w:bCs/>
          <w:i w:val="0"/>
          <w:noProof w:val="0"/>
          <w:sz w:val="24"/>
          <w:szCs w:val="24"/>
          <w:lang w:val="en-ZA" w:eastAsia="en-GB"/>
        </w:rPr>
        <w:t>included</w:t>
      </w:r>
      <w:r w:rsidRPr="009351CB">
        <w:rPr>
          <w:rFonts w:ascii="Times New Roman" w:hAnsi="Times New Roman"/>
          <w:bCs/>
          <w:i w:val="0"/>
          <w:noProof w:val="0"/>
          <w:sz w:val="24"/>
          <w:szCs w:val="24"/>
          <w:lang w:val="en-ZA" w:eastAsia="en-GB"/>
        </w:rPr>
        <w:t>.</w:t>
      </w:r>
    </w:p>
    <w:p w14:paraId="05DFB85E" w14:textId="6A1F169E" w:rsidR="00441B39" w:rsidRPr="009351CB" w:rsidRDefault="00441B39" w:rsidP="002C3BE7">
      <w:pPr>
        <w:pStyle w:val="BodySingle"/>
        <w:spacing w:line="360" w:lineRule="auto"/>
        <w:ind w:left="851"/>
        <w:rPr>
          <w:rFonts w:ascii="Times New Roman" w:hAnsi="Times New Roman"/>
          <w:bCs/>
          <w:i w:val="0"/>
          <w:noProof w:val="0"/>
          <w:sz w:val="24"/>
          <w:szCs w:val="24"/>
          <w:lang w:val="en-ZA" w:eastAsia="en-GB"/>
        </w:rPr>
      </w:pPr>
    </w:p>
    <w:p w14:paraId="7FCA6B0C" w14:textId="77777777" w:rsidR="00ED3870" w:rsidRPr="009351CB" w:rsidRDefault="00ED387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lang w:val="en-ZA"/>
        </w:rPr>
        <w:t>Audit outcome: Department of Justice and Consitutional Development</w:t>
      </w:r>
    </w:p>
    <w:p w14:paraId="1379B65B" w14:textId="77777777" w:rsidR="00ED3870" w:rsidRPr="009351CB" w:rsidRDefault="00ED3870" w:rsidP="002C3BE7">
      <w:pPr>
        <w:pStyle w:val="BodySingle"/>
        <w:spacing w:line="360" w:lineRule="auto"/>
        <w:ind w:left="851"/>
        <w:rPr>
          <w:rFonts w:ascii="Times New Roman" w:hAnsi="Times New Roman"/>
          <w:i w:val="0"/>
          <w:sz w:val="24"/>
          <w:szCs w:val="24"/>
        </w:rPr>
      </w:pPr>
    </w:p>
    <w:p w14:paraId="3F557270" w14:textId="77777777" w:rsidR="00F32580" w:rsidRPr="009351CB" w:rsidRDefault="00ED3870" w:rsidP="002C3BE7">
      <w:pPr>
        <w:pStyle w:val="BodySingle"/>
        <w:spacing w:line="360" w:lineRule="auto"/>
        <w:ind w:left="851"/>
        <w:rPr>
          <w:rFonts w:ascii="Times New Roman" w:hAnsi="Times New Roman"/>
          <w:i w:val="0"/>
          <w:sz w:val="24"/>
          <w:szCs w:val="24"/>
          <w:highlight w:val="green"/>
        </w:rPr>
      </w:pPr>
      <w:r w:rsidRPr="009351CB">
        <w:rPr>
          <w:rFonts w:ascii="Times New Roman" w:hAnsi="Times New Roman"/>
          <w:i w:val="0"/>
          <w:sz w:val="24"/>
          <w:szCs w:val="24"/>
          <w:lang w:val="en-ZA"/>
        </w:rPr>
        <w:t xml:space="preserve">The Committee is dismayed that the Department </w:t>
      </w:r>
      <w:r w:rsidR="0082424D" w:rsidRPr="009351CB">
        <w:rPr>
          <w:rFonts w:ascii="Times New Roman" w:hAnsi="Times New Roman"/>
          <w:i w:val="0"/>
          <w:sz w:val="24"/>
          <w:szCs w:val="24"/>
          <w:lang w:val="en-ZA"/>
        </w:rPr>
        <w:t xml:space="preserve">received </w:t>
      </w:r>
      <w:r w:rsidRPr="009351CB">
        <w:rPr>
          <w:rFonts w:ascii="Times New Roman" w:hAnsi="Times New Roman"/>
          <w:i w:val="0"/>
          <w:sz w:val="24"/>
          <w:szCs w:val="24"/>
          <w:lang w:val="en-ZA"/>
        </w:rPr>
        <w:t>a qualified audit outcome</w:t>
      </w:r>
      <w:r w:rsidR="00AE5AE2" w:rsidRPr="009351CB">
        <w:rPr>
          <w:rFonts w:ascii="Times New Roman" w:hAnsi="Times New Roman"/>
          <w:i w:val="0"/>
          <w:sz w:val="24"/>
          <w:szCs w:val="24"/>
          <w:lang w:val="en-ZA"/>
        </w:rPr>
        <w:t xml:space="preserve"> for the </w:t>
      </w:r>
      <w:r w:rsidR="0082424D" w:rsidRPr="009351CB">
        <w:rPr>
          <w:rFonts w:ascii="Times New Roman" w:hAnsi="Times New Roman"/>
          <w:i w:val="0"/>
          <w:sz w:val="24"/>
          <w:szCs w:val="24"/>
          <w:lang w:val="en-ZA"/>
        </w:rPr>
        <w:t xml:space="preserve">third </w:t>
      </w:r>
      <w:r w:rsidR="002E79D4" w:rsidRPr="009351CB">
        <w:rPr>
          <w:rFonts w:ascii="Times New Roman" w:hAnsi="Times New Roman"/>
          <w:i w:val="0"/>
          <w:sz w:val="24"/>
          <w:szCs w:val="24"/>
          <w:lang w:val="en-ZA"/>
        </w:rPr>
        <w:t xml:space="preserve">consecutive year. The Committee notes the findings and </w:t>
      </w:r>
      <w:r w:rsidR="00F32580" w:rsidRPr="009351CB">
        <w:rPr>
          <w:rFonts w:ascii="Times New Roman" w:hAnsi="Times New Roman"/>
          <w:i w:val="0"/>
          <w:sz w:val="24"/>
          <w:szCs w:val="24"/>
          <w:lang w:val="en-ZA"/>
        </w:rPr>
        <w:t>the explanations provided.</w:t>
      </w:r>
    </w:p>
    <w:p w14:paraId="4C140110" w14:textId="77777777" w:rsidR="00F32580" w:rsidRPr="009351CB" w:rsidRDefault="00F32580" w:rsidP="002C3BE7">
      <w:pPr>
        <w:pStyle w:val="BodySingle"/>
        <w:spacing w:line="360" w:lineRule="auto"/>
        <w:ind w:left="851"/>
        <w:rPr>
          <w:rFonts w:ascii="Times New Roman" w:hAnsi="Times New Roman"/>
          <w:i w:val="0"/>
          <w:sz w:val="24"/>
          <w:szCs w:val="24"/>
          <w:highlight w:val="green"/>
        </w:rPr>
      </w:pPr>
    </w:p>
    <w:p w14:paraId="36799C81" w14:textId="77777777" w:rsidR="005917F5" w:rsidRPr="009351CB" w:rsidRDefault="00F32580" w:rsidP="002C3BE7">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lang w:val="en-ZA"/>
        </w:rPr>
        <w:t xml:space="preserve">The Committee acknowledges </w:t>
      </w:r>
      <w:r w:rsidR="00AE5AE2" w:rsidRPr="009351CB">
        <w:rPr>
          <w:rFonts w:ascii="Times New Roman" w:hAnsi="Times New Roman"/>
          <w:i w:val="0"/>
          <w:sz w:val="24"/>
          <w:szCs w:val="24"/>
          <w:lang w:val="en-ZA"/>
        </w:rPr>
        <w:t xml:space="preserve">the role that vacancies in senior management and in the supply chain management and finance may have played in certain unfavourable audit outcomes. </w:t>
      </w:r>
      <w:r w:rsidR="005917F5" w:rsidRPr="009351CB">
        <w:rPr>
          <w:rFonts w:ascii="Times New Roman" w:hAnsi="Times New Roman"/>
          <w:i w:val="0"/>
          <w:sz w:val="24"/>
          <w:szCs w:val="24"/>
          <w:lang w:val="en-ZA"/>
        </w:rPr>
        <w:t>The Department placed a moratorium on filling posts some time ago while an exercise to identify critical posts was undertaken but it is unclear whether this process has been finalised.</w:t>
      </w:r>
      <w:r w:rsidRPr="009351CB">
        <w:rPr>
          <w:rFonts w:ascii="Times New Roman" w:hAnsi="Times New Roman"/>
          <w:i w:val="0"/>
          <w:sz w:val="24"/>
          <w:szCs w:val="24"/>
          <w:lang w:val="en-ZA"/>
        </w:rPr>
        <w:t xml:space="preserve"> The Committee is of the view that these posts must be filled as a matter of urgency. </w:t>
      </w:r>
    </w:p>
    <w:p w14:paraId="7275C499" w14:textId="77777777" w:rsidR="005917F5" w:rsidRPr="009351CB" w:rsidRDefault="005917F5" w:rsidP="002C3BE7">
      <w:pPr>
        <w:pStyle w:val="BodySingle"/>
        <w:spacing w:line="360" w:lineRule="auto"/>
        <w:ind w:left="851"/>
        <w:rPr>
          <w:rFonts w:ascii="Times New Roman" w:hAnsi="Times New Roman"/>
          <w:i w:val="0"/>
          <w:sz w:val="24"/>
          <w:szCs w:val="24"/>
        </w:rPr>
      </w:pPr>
    </w:p>
    <w:p w14:paraId="2B040337" w14:textId="77777777" w:rsidR="00AE5AE2" w:rsidRPr="009351CB" w:rsidRDefault="00AE5AE2" w:rsidP="002C3BE7">
      <w:pPr>
        <w:pStyle w:val="BodySingle"/>
        <w:spacing w:line="360" w:lineRule="auto"/>
        <w:ind w:left="851"/>
        <w:rPr>
          <w:rFonts w:ascii="Times New Roman" w:hAnsi="Times New Roman"/>
          <w:i w:val="0"/>
          <w:sz w:val="24"/>
          <w:szCs w:val="24"/>
          <w:highlight w:val="green"/>
        </w:rPr>
      </w:pPr>
      <w:r w:rsidRPr="009351CB">
        <w:rPr>
          <w:rFonts w:ascii="Times New Roman" w:hAnsi="Times New Roman"/>
          <w:i w:val="0"/>
          <w:sz w:val="24"/>
          <w:szCs w:val="24"/>
          <w:lang w:val="en-ZA"/>
        </w:rPr>
        <w:t xml:space="preserve">The </w:t>
      </w:r>
      <w:r w:rsidR="00F32580" w:rsidRPr="009351CB">
        <w:rPr>
          <w:rFonts w:ascii="Times New Roman" w:hAnsi="Times New Roman"/>
          <w:i w:val="0"/>
          <w:sz w:val="24"/>
          <w:szCs w:val="24"/>
          <w:lang w:val="en-ZA"/>
        </w:rPr>
        <w:t xml:space="preserve">Committee is told that the </w:t>
      </w:r>
      <w:r w:rsidRPr="009351CB">
        <w:rPr>
          <w:rFonts w:ascii="Times New Roman" w:hAnsi="Times New Roman"/>
          <w:i w:val="0"/>
          <w:sz w:val="24"/>
          <w:szCs w:val="24"/>
          <w:lang w:val="en-ZA"/>
        </w:rPr>
        <w:t xml:space="preserve">Department must continue to use the Justice Yellow Pages system, which is </w:t>
      </w:r>
      <w:r w:rsidR="005917F5" w:rsidRPr="009351CB">
        <w:rPr>
          <w:rFonts w:ascii="Times New Roman" w:hAnsi="Times New Roman"/>
          <w:i w:val="0"/>
          <w:sz w:val="24"/>
          <w:szCs w:val="24"/>
          <w:lang w:val="en-ZA"/>
        </w:rPr>
        <w:t>a legacy system</w:t>
      </w:r>
      <w:r w:rsidRPr="009351CB">
        <w:rPr>
          <w:rFonts w:ascii="Times New Roman" w:hAnsi="Times New Roman"/>
          <w:i w:val="0"/>
          <w:sz w:val="24"/>
          <w:szCs w:val="24"/>
          <w:lang w:val="en-ZA"/>
        </w:rPr>
        <w:t xml:space="preserve">. However, </w:t>
      </w:r>
      <w:r w:rsidR="005917F5" w:rsidRPr="009351CB">
        <w:rPr>
          <w:rFonts w:ascii="Times New Roman" w:hAnsi="Times New Roman"/>
          <w:i w:val="0"/>
          <w:sz w:val="24"/>
          <w:szCs w:val="24"/>
          <w:lang w:val="en-ZA"/>
        </w:rPr>
        <w:t xml:space="preserve">it </w:t>
      </w:r>
      <w:r w:rsidRPr="009351CB">
        <w:rPr>
          <w:rFonts w:ascii="Times New Roman" w:hAnsi="Times New Roman"/>
          <w:i w:val="0"/>
          <w:sz w:val="24"/>
          <w:szCs w:val="24"/>
          <w:lang w:val="en-ZA"/>
        </w:rPr>
        <w:t>is unable to replace the</w:t>
      </w:r>
      <w:r w:rsidR="005917F5" w:rsidRPr="009351CB">
        <w:rPr>
          <w:rFonts w:ascii="Times New Roman" w:hAnsi="Times New Roman"/>
          <w:i w:val="0"/>
          <w:sz w:val="24"/>
          <w:szCs w:val="24"/>
          <w:lang w:val="en-ZA"/>
        </w:rPr>
        <w:t xml:space="preserve"> system until the Integrated Financial Management System is in place (National Treasury has placed a moratorium on the acquisition of new systems in the meantime).</w:t>
      </w:r>
      <w:r w:rsidR="00ED3870" w:rsidRPr="009351CB">
        <w:rPr>
          <w:rFonts w:ascii="Times New Roman" w:hAnsi="Times New Roman"/>
          <w:i w:val="0"/>
          <w:sz w:val="24"/>
          <w:szCs w:val="24"/>
          <w:lang w:val="en-ZA"/>
        </w:rPr>
        <w:t xml:space="preserve"> </w:t>
      </w:r>
      <w:r w:rsidR="00F32580" w:rsidRPr="009351CB">
        <w:rPr>
          <w:rFonts w:ascii="Times New Roman" w:hAnsi="Times New Roman"/>
          <w:i w:val="0"/>
          <w:sz w:val="24"/>
          <w:szCs w:val="24"/>
          <w:lang w:val="en-ZA"/>
        </w:rPr>
        <w:t>This will constrain its ability to address the findings relating to asset management.</w:t>
      </w:r>
    </w:p>
    <w:p w14:paraId="53FC2288" w14:textId="77777777" w:rsidR="00AE5AE2" w:rsidRPr="009351CB" w:rsidRDefault="00AE5AE2" w:rsidP="002C3BE7">
      <w:pPr>
        <w:pStyle w:val="BodySingle"/>
        <w:spacing w:line="360" w:lineRule="auto"/>
        <w:ind w:left="851"/>
        <w:rPr>
          <w:rFonts w:ascii="Times New Roman" w:hAnsi="Times New Roman"/>
          <w:i w:val="0"/>
          <w:sz w:val="24"/>
          <w:szCs w:val="24"/>
        </w:rPr>
      </w:pPr>
    </w:p>
    <w:p w14:paraId="0AC5952D" w14:textId="77777777" w:rsidR="005917F5" w:rsidRPr="009351CB" w:rsidRDefault="00F32580" w:rsidP="002C3BE7">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lang w:val="en-ZA"/>
        </w:rPr>
        <w:t xml:space="preserve">The Committee also notes that </w:t>
      </w:r>
      <w:r w:rsidR="00ED3870" w:rsidRPr="009351CB">
        <w:rPr>
          <w:rFonts w:ascii="Times New Roman" w:hAnsi="Times New Roman"/>
          <w:i w:val="0"/>
          <w:sz w:val="24"/>
          <w:szCs w:val="24"/>
          <w:lang w:val="en-ZA"/>
        </w:rPr>
        <w:t xml:space="preserve">the Auditor General pointed to </w:t>
      </w:r>
      <w:r w:rsidR="002E79D4" w:rsidRPr="009351CB">
        <w:rPr>
          <w:rFonts w:ascii="Times New Roman" w:hAnsi="Times New Roman"/>
          <w:i w:val="0"/>
          <w:sz w:val="24"/>
          <w:szCs w:val="24"/>
          <w:lang w:val="en-ZA"/>
        </w:rPr>
        <w:t xml:space="preserve">the </w:t>
      </w:r>
      <w:r w:rsidR="00ED3870" w:rsidRPr="009351CB">
        <w:rPr>
          <w:rFonts w:ascii="Times New Roman" w:hAnsi="Times New Roman"/>
          <w:i w:val="0"/>
          <w:sz w:val="24"/>
          <w:szCs w:val="24"/>
          <w:lang w:val="en-ZA"/>
        </w:rPr>
        <w:t>failure</w:t>
      </w:r>
      <w:r w:rsidR="002E79D4" w:rsidRPr="009351CB">
        <w:rPr>
          <w:rFonts w:ascii="Times New Roman" w:hAnsi="Times New Roman"/>
          <w:i w:val="0"/>
          <w:sz w:val="24"/>
          <w:szCs w:val="24"/>
          <w:lang w:val="en-ZA"/>
        </w:rPr>
        <w:t xml:space="preserve"> </w:t>
      </w:r>
      <w:r w:rsidR="00ED3870" w:rsidRPr="009351CB">
        <w:rPr>
          <w:rFonts w:ascii="Times New Roman" w:hAnsi="Times New Roman"/>
          <w:i w:val="0"/>
          <w:sz w:val="24"/>
          <w:szCs w:val="24"/>
          <w:lang w:val="en-ZA"/>
        </w:rPr>
        <w:t xml:space="preserve">of </w:t>
      </w:r>
      <w:r w:rsidR="005917F5" w:rsidRPr="009351CB">
        <w:rPr>
          <w:rFonts w:ascii="Times New Roman" w:hAnsi="Times New Roman"/>
          <w:i w:val="0"/>
          <w:sz w:val="24"/>
          <w:szCs w:val="24"/>
          <w:lang w:val="en-ZA"/>
        </w:rPr>
        <w:t>the Accounting Officer</w:t>
      </w:r>
      <w:r w:rsidR="002E79D4" w:rsidRPr="009351CB">
        <w:rPr>
          <w:rFonts w:ascii="Times New Roman" w:hAnsi="Times New Roman"/>
          <w:i w:val="0"/>
          <w:sz w:val="24"/>
          <w:szCs w:val="24"/>
          <w:lang w:val="en-ZA"/>
        </w:rPr>
        <w:t xml:space="preserve"> </w:t>
      </w:r>
      <w:r w:rsidR="005917F5" w:rsidRPr="009351CB">
        <w:rPr>
          <w:rFonts w:ascii="Times New Roman" w:hAnsi="Times New Roman"/>
          <w:i w:val="0"/>
          <w:sz w:val="24"/>
          <w:szCs w:val="24"/>
          <w:lang w:val="en-ZA"/>
        </w:rPr>
        <w:t xml:space="preserve">to effectively oversee </w:t>
      </w:r>
      <w:r w:rsidR="002E79D4" w:rsidRPr="009351CB">
        <w:rPr>
          <w:rFonts w:ascii="Times New Roman" w:hAnsi="Times New Roman"/>
          <w:i w:val="0"/>
          <w:sz w:val="24"/>
          <w:szCs w:val="24"/>
          <w:lang w:val="en-ZA"/>
        </w:rPr>
        <w:t xml:space="preserve">and </w:t>
      </w:r>
      <w:r w:rsidR="005917F5" w:rsidRPr="009351CB">
        <w:rPr>
          <w:rFonts w:ascii="Times New Roman" w:hAnsi="Times New Roman"/>
          <w:i w:val="0"/>
          <w:sz w:val="24"/>
          <w:szCs w:val="24"/>
          <w:lang w:val="en-ZA"/>
        </w:rPr>
        <w:t xml:space="preserve">financial and performance reporting and compliance, as well as related internal controls. In addition, </w:t>
      </w:r>
      <w:r w:rsidR="00ED3870" w:rsidRPr="009351CB">
        <w:rPr>
          <w:rFonts w:ascii="Times New Roman" w:hAnsi="Times New Roman"/>
          <w:i w:val="0"/>
          <w:sz w:val="24"/>
          <w:szCs w:val="24"/>
          <w:lang w:val="en-ZA"/>
        </w:rPr>
        <w:t>Management</w:t>
      </w:r>
      <w:r w:rsidRPr="009351CB">
        <w:rPr>
          <w:rFonts w:ascii="Times New Roman" w:hAnsi="Times New Roman"/>
          <w:i w:val="0"/>
          <w:sz w:val="24"/>
          <w:szCs w:val="24"/>
          <w:lang w:val="en-ZA"/>
        </w:rPr>
        <w:t>’s</w:t>
      </w:r>
      <w:r w:rsidR="00ED3870" w:rsidRPr="009351CB">
        <w:rPr>
          <w:rFonts w:ascii="Times New Roman" w:hAnsi="Times New Roman"/>
          <w:i w:val="0"/>
          <w:sz w:val="24"/>
          <w:szCs w:val="24"/>
          <w:lang w:val="en-ZA"/>
        </w:rPr>
        <w:t xml:space="preserve"> </w:t>
      </w:r>
      <w:r w:rsidR="002E79D4" w:rsidRPr="009351CB">
        <w:rPr>
          <w:rFonts w:ascii="Times New Roman" w:hAnsi="Times New Roman"/>
          <w:i w:val="0"/>
          <w:sz w:val="24"/>
          <w:szCs w:val="24"/>
          <w:lang w:val="en-ZA"/>
        </w:rPr>
        <w:t>failure</w:t>
      </w:r>
      <w:r w:rsidR="005917F5" w:rsidRPr="009351CB">
        <w:rPr>
          <w:rFonts w:ascii="Times New Roman" w:hAnsi="Times New Roman"/>
          <w:i w:val="0"/>
          <w:sz w:val="24"/>
          <w:szCs w:val="24"/>
          <w:lang w:val="en-ZA"/>
        </w:rPr>
        <w:t xml:space="preserve"> to adequately monitor </w:t>
      </w:r>
      <w:r w:rsidR="002E79D4" w:rsidRPr="009351CB">
        <w:rPr>
          <w:rFonts w:ascii="Times New Roman" w:hAnsi="Times New Roman"/>
          <w:i w:val="0"/>
          <w:sz w:val="24"/>
          <w:szCs w:val="24"/>
          <w:lang w:val="en-ZA"/>
        </w:rPr>
        <w:t>the implementation of action plans to address internal control deficiencies; implement proper record keeping in support of financial and performance reporting; adequately review and monitor compliance with legislation</w:t>
      </w:r>
      <w:r w:rsidRPr="009351CB">
        <w:rPr>
          <w:rFonts w:ascii="Times New Roman" w:hAnsi="Times New Roman"/>
          <w:i w:val="0"/>
          <w:sz w:val="24"/>
          <w:szCs w:val="24"/>
          <w:lang w:val="en-ZA"/>
        </w:rPr>
        <w:t xml:space="preserve">; </w:t>
      </w:r>
      <w:r w:rsidR="002E79D4" w:rsidRPr="009351CB">
        <w:rPr>
          <w:rFonts w:ascii="Times New Roman" w:hAnsi="Times New Roman"/>
          <w:i w:val="0"/>
          <w:sz w:val="24"/>
          <w:szCs w:val="24"/>
          <w:lang w:val="en-ZA"/>
        </w:rPr>
        <w:t>and design and implement formal controls over IT systems to ens</w:t>
      </w:r>
      <w:r w:rsidRPr="009351CB">
        <w:rPr>
          <w:rFonts w:ascii="Times New Roman" w:hAnsi="Times New Roman"/>
          <w:i w:val="0"/>
          <w:sz w:val="24"/>
          <w:szCs w:val="24"/>
          <w:lang w:val="en-ZA"/>
        </w:rPr>
        <w:t>ure their reliability and the a</w:t>
      </w:r>
      <w:r w:rsidR="002E79D4" w:rsidRPr="009351CB">
        <w:rPr>
          <w:rFonts w:ascii="Times New Roman" w:hAnsi="Times New Roman"/>
          <w:i w:val="0"/>
          <w:sz w:val="24"/>
          <w:szCs w:val="24"/>
          <w:lang w:val="en-ZA"/>
        </w:rPr>
        <w:t xml:space="preserve">vailability, accuracy and security of information was highlighted as </w:t>
      </w:r>
      <w:r w:rsidR="00ED3870" w:rsidRPr="009351CB">
        <w:rPr>
          <w:rFonts w:ascii="Times New Roman" w:hAnsi="Times New Roman"/>
          <w:i w:val="0"/>
          <w:sz w:val="24"/>
          <w:szCs w:val="24"/>
          <w:lang w:val="en-ZA"/>
        </w:rPr>
        <w:t xml:space="preserve">a factor in the poor audit outcome. </w:t>
      </w:r>
    </w:p>
    <w:p w14:paraId="58F883B0" w14:textId="77777777" w:rsidR="005917F5" w:rsidRPr="009351CB" w:rsidRDefault="005917F5" w:rsidP="002C3BE7">
      <w:pPr>
        <w:pStyle w:val="ListParagraph"/>
        <w:spacing w:line="360" w:lineRule="auto"/>
        <w:ind w:left="851"/>
        <w:rPr>
          <w:i/>
          <w:highlight w:val="green"/>
        </w:rPr>
      </w:pPr>
    </w:p>
    <w:p w14:paraId="50E0D473" w14:textId="77777777" w:rsidR="00ED3870" w:rsidRPr="009351CB" w:rsidRDefault="00ED3870"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The Committee, therefore, specifically requests that:</w:t>
      </w:r>
    </w:p>
    <w:p w14:paraId="5C430DA0" w14:textId="77777777" w:rsidR="00ED3870" w:rsidRPr="002C3BE7" w:rsidRDefault="00ED3870" w:rsidP="004F6019">
      <w:pPr>
        <w:numPr>
          <w:ilvl w:val="0"/>
          <w:numId w:val="4"/>
        </w:numPr>
        <w:tabs>
          <w:tab w:val="num" w:pos="1276"/>
        </w:tabs>
        <w:spacing w:line="360" w:lineRule="auto"/>
        <w:jc w:val="both"/>
        <w:rPr>
          <w:color w:val="000000" w:themeColor="text1"/>
        </w:rPr>
      </w:pPr>
      <w:r w:rsidRPr="002C3BE7">
        <w:rPr>
          <w:color w:val="000000" w:themeColor="text1"/>
        </w:rPr>
        <w:t xml:space="preserve">The Director-General provide the Committee with details of the formal commitments made to address the audit findings by </w:t>
      </w:r>
      <w:r w:rsidR="00F32580" w:rsidRPr="002C3BE7">
        <w:rPr>
          <w:color w:val="000000" w:themeColor="text1"/>
        </w:rPr>
        <w:t>2</w:t>
      </w:r>
      <w:r w:rsidR="00375B2F" w:rsidRPr="002C3BE7">
        <w:rPr>
          <w:color w:val="000000" w:themeColor="text1"/>
        </w:rPr>
        <w:t>2</w:t>
      </w:r>
      <w:r w:rsidRPr="002C3BE7">
        <w:rPr>
          <w:color w:val="000000" w:themeColor="text1"/>
        </w:rPr>
        <w:t xml:space="preserve"> November 201</w:t>
      </w:r>
      <w:r w:rsidR="00752A81" w:rsidRPr="002C3BE7">
        <w:rPr>
          <w:color w:val="000000" w:themeColor="text1"/>
        </w:rPr>
        <w:t>9</w:t>
      </w:r>
      <w:r w:rsidRPr="002C3BE7">
        <w:rPr>
          <w:color w:val="000000" w:themeColor="text1"/>
        </w:rPr>
        <w:t>.</w:t>
      </w:r>
    </w:p>
    <w:p w14:paraId="136EA8C4" w14:textId="77777777" w:rsidR="00ED3870" w:rsidRPr="002C3BE7" w:rsidRDefault="00ED3870" w:rsidP="004F6019">
      <w:pPr>
        <w:numPr>
          <w:ilvl w:val="0"/>
          <w:numId w:val="4"/>
        </w:numPr>
        <w:spacing w:line="360" w:lineRule="auto"/>
        <w:jc w:val="both"/>
        <w:rPr>
          <w:color w:val="000000" w:themeColor="text1"/>
        </w:rPr>
      </w:pPr>
      <w:r w:rsidRPr="002C3BE7">
        <w:rPr>
          <w:color w:val="000000" w:themeColor="text1"/>
        </w:rPr>
        <w:t xml:space="preserve">The Department report on the </w:t>
      </w:r>
      <w:r w:rsidR="00F32580" w:rsidRPr="002C3BE7">
        <w:rPr>
          <w:color w:val="000000" w:themeColor="text1"/>
        </w:rPr>
        <w:t>its audit action plan</w:t>
      </w:r>
      <w:r w:rsidRPr="002C3BE7">
        <w:rPr>
          <w:color w:val="000000" w:themeColor="text1"/>
        </w:rPr>
        <w:t xml:space="preserve"> as part of the initia</w:t>
      </w:r>
      <w:r w:rsidR="00F35058" w:rsidRPr="002C3BE7">
        <w:rPr>
          <w:color w:val="000000" w:themeColor="text1"/>
        </w:rPr>
        <w:t xml:space="preserve">l report due on 22 </w:t>
      </w:r>
      <w:r w:rsidR="0082424D" w:rsidRPr="002C3BE7">
        <w:rPr>
          <w:color w:val="000000" w:themeColor="text1"/>
        </w:rPr>
        <w:t>November 2019</w:t>
      </w:r>
      <w:r w:rsidRPr="002C3BE7">
        <w:rPr>
          <w:color w:val="000000" w:themeColor="text1"/>
        </w:rPr>
        <w:t xml:space="preserve">, and continue to </w:t>
      </w:r>
      <w:r w:rsidR="0082424D" w:rsidRPr="002C3BE7">
        <w:rPr>
          <w:color w:val="000000" w:themeColor="text1"/>
        </w:rPr>
        <w:t>update the Committee on progress</w:t>
      </w:r>
      <w:r w:rsidRPr="002C3BE7">
        <w:rPr>
          <w:color w:val="000000" w:themeColor="text1"/>
        </w:rPr>
        <w:t xml:space="preserve"> as part of the quarterly reporting</w:t>
      </w:r>
      <w:r w:rsidR="0082424D" w:rsidRPr="002C3BE7">
        <w:rPr>
          <w:color w:val="000000" w:themeColor="text1"/>
        </w:rPr>
        <w:t xml:space="preserve"> process</w:t>
      </w:r>
      <w:r w:rsidRPr="002C3BE7">
        <w:rPr>
          <w:color w:val="000000" w:themeColor="text1"/>
        </w:rPr>
        <w:t>.</w:t>
      </w:r>
    </w:p>
    <w:p w14:paraId="174D216D" w14:textId="77777777" w:rsidR="00ED3870" w:rsidRPr="002C3BE7" w:rsidRDefault="00ED3870" w:rsidP="004F6019">
      <w:pPr>
        <w:numPr>
          <w:ilvl w:val="0"/>
          <w:numId w:val="4"/>
        </w:numPr>
        <w:spacing w:line="360" w:lineRule="auto"/>
        <w:jc w:val="both"/>
        <w:rPr>
          <w:color w:val="000000" w:themeColor="text1"/>
        </w:rPr>
      </w:pPr>
      <w:r w:rsidRPr="002C3BE7">
        <w:rPr>
          <w:color w:val="000000" w:themeColor="text1"/>
        </w:rPr>
        <w:t>Management confirms that in-year financial and performance reports have been adequately reviewed at the appropriate times.</w:t>
      </w:r>
    </w:p>
    <w:p w14:paraId="05080B3F" w14:textId="77777777" w:rsidR="00ED3870" w:rsidRPr="009351CB" w:rsidRDefault="00ED3870" w:rsidP="004F6019">
      <w:pPr>
        <w:numPr>
          <w:ilvl w:val="0"/>
          <w:numId w:val="4"/>
        </w:numPr>
        <w:spacing w:line="360" w:lineRule="auto"/>
        <w:jc w:val="both"/>
      </w:pPr>
      <w:r w:rsidRPr="002C3BE7">
        <w:rPr>
          <w:color w:val="000000" w:themeColor="text1"/>
        </w:rPr>
        <w:t>At the appropriate time, the Director-General, Chief Financial Officer and Audit Committee all confirm that the annual financial statements have been reviewed</w:t>
      </w:r>
      <w:r w:rsidRPr="009351CB">
        <w:t xml:space="preserve"> prior to submission for auditing.</w:t>
      </w:r>
    </w:p>
    <w:p w14:paraId="20A42FA7" w14:textId="77777777" w:rsidR="00ED3870" w:rsidRPr="009351CB" w:rsidRDefault="00ED3870" w:rsidP="002C3BE7">
      <w:pPr>
        <w:pStyle w:val="ListParagraph"/>
        <w:spacing w:line="360" w:lineRule="auto"/>
        <w:ind w:left="851"/>
      </w:pPr>
    </w:p>
    <w:p w14:paraId="55C4E33F" w14:textId="77777777" w:rsidR="00ED3870" w:rsidRPr="009351CB" w:rsidRDefault="00ED387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Irregular</w:t>
      </w:r>
      <w:r w:rsidRPr="009351CB">
        <w:rPr>
          <w:rFonts w:ascii="Times New Roman" w:hAnsi="Times New Roman"/>
          <w:b/>
          <w:sz w:val="24"/>
          <w:szCs w:val="24"/>
          <w:lang w:val="en-ZA"/>
        </w:rPr>
        <w:t xml:space="preserve"> expenditure and wasteful and fruitless expenditure</w:t>
      </w:r>
      <w:r w:rsidRPr="009351CB">
        <w:rPr>
          <w:rFonts w:ascii="Times New Roman" w:hAnsi="Times New Roman"/>
          <w:i w:val="0"/>
          <w:sz w:val="24"/>
          <w:szCs w:val="24"/>
          <w:lang w:val="en-ZA"/>
        </w:rPr>
        <w:t>.</w:t>
      </w:r>
      <w:r w:rsidRPr="009351CB">
        <w:rPr>
          <w:rFonts w:ascii="Times New Roman" w:hAnsi="Times New Roman"/>
          <w:sz w:val="24"/>
          <w:szCs w:val="24"/>
          <w:lang w:val="en-ZA"/>
        </w:rPr>
        <w:t xml:space="preserve"> </w:t>
      </w:r>
      <w:r w:rsidRPr="009351CB">
        <w:rPr>
          <w:rFonts w:ascii="Times New Roman" w:hAnsi="Times New Roman"/>
          <w:i w:val="0"/>
          <w:sz w:val="24"/>
          <w:szCs w:val="24"/>
          <w:lang w:val="en-ZA"/>
        </w:rPr>
        <w:t xml:space="preserve">The Committee is concerned at the </w:t>
      </w:r>
      <w:r w:rsidR="00752A81" w:rsidRPr="009351CB">
        <w:rPr>
          <w:rFonts w:ascii="Times New Roman" w:hAnsi="Times New Roman"/>
          <w:i w:val="0"/>
          <w:sz w:val="24"/>
          <w:szCs w:val="24"/>
          <w:lang w:val="en-ZA"/>
        </w:rPr>
        <w:t xml:space="preserve">sharp </w:t>
      </w:r>
      <w:r w:rsidRPr="009351CB">
        <w:rPr>
          <w:rFonts w:ascii="Times New Roman" w:hAnsi="Times New Roman"/>
          <w:i w:val="0"/>
          <w:sz w:val="24"/>
          <w:szCs w:val="24"/>
          <w:lang w:val="en-ZA"/>
        </w:rPr>
        <w:t xml:space="preserve">increase in irregular expenditure </w:t>
      </w:r>
      <w:r w:rsidR="00AB6D38" w:rsidRPr="009351CB">
        <w:rPr>
          <w:rFonts w:ascii="Times New Roman" w:hAnsi="Times New Roman"/>
          <w:i w:val="0"/>
          <w:sz w:val="24"/>
          <w:szCs w:val="24"/>
          <w:lang w:val="en-ZA"/>
        </w:rPr>
        <w:t xml:space="preserve">(now at R1.4 billion) </w:t>
      </w:r>
      <w:r w:rsidRPr="009351CB">
        <w:rPr>
          <w:rFonts w:ascii="Times New Roman" w:hAnsi="Times New Roman"/>
          <w:i w:val="0"/>
          <w:sz w:val="24"/>
          <w:szCs w:val="24"/>
          <w:lang w:val="en-ZA"/>
        </w:rPr>
        <w:t xml:space="preserve">and </w:t>
      </w:r>
      <w:r w:rsidR="00AB6D38" w:rsidRPr="009351CB">
        <w:rPr>
          <w:rFonts w:ascii="Times New Roman" w:hAnsi="Times New Roman"/>
          <w:i w:val="0"/>
          <w:sz w:val="24"/>
          <w:szCs w:val="24"/>
          <w:lang w:val="en-ZA"/>
        </w:rPr>
        <w:t xml:space="preserve">in </w:t>
      </w:r>
      <w:r w:rsidRPr="009351CB">
        <w:rPr>
          <w:rFonts w:ascii="Times New Roman" w:hAnsi="Times New Roman"/>
          <w:i w:val="0"/>
          <w:sz w:val="24"/>
          <w:szCs w:val="24"/>
          <w:lang w:val="en-ZA"/>
        </w:rPr>
        <w:t>fruitless an</w:t>
      </w:r>
      <w:r w:rsidR="0082424D" w:rsidRPr="009351CB">
        <w:rPr>
          <w:rFonts w:ascii="Times New Roman" w:hAnsi="Times New Roman"/>
          <w:i w:val="0"/>
          <w:sz w:val="24"/>
          <w:szCs w:val="24"/>
          <w:lang w:val="en-ZA"/>
        </w:rPr>
        <w:t>d wasteful expen</w:t>
      </w:r>
      <w:r w:rsidRPr="009351CB">
        <w:rPr>
          <w:rFonts w:ascii="Times New Roman" w:hAnsi="Times New Roman"/>
          <w:i w:val="0"/>
          <w:sz w:val="24"/>
          <w:szCs w:val="24"/>
          <w:lang w:val="en-ZA"/>
        </w:rPr>
        <w:t xml:space="preserve">diture. </w:t>
      </w:r>
      <w:r w:rsidR="00AB6D38" w:rsidRPr="009351CB">
        <w:rPr>
          <w:rFonts w:ascii="Times New Roman" w:hAnsi="Times New Roman"/>
          <w:i w:val="0"/>
          <w:sz w:val="24"/>
          <w:szCs w:val="24"/>
          <w:lang w:val="en-ZA"/>
        </w:rPr>
        <w:t>Although corruption may not be a factor in the occurrence of</w:t>
      </w:r>
      <w:r w:rsidR="00B82544" w:rsidRPr="009351CB">
        <w:rPr>
          <w:rFonts w:ascii="Times New Roman" w:hAnsi="Times New Roman"/>
          <w:i w:val="0"/>
          <w:sz w:val="24"/>
          <w:szCs w:val="24"/>
          <w:lang w:val="en-ZA"/>
        </w:rPr>
        <w:t xml:space="preserve"> the</w:t>
      </w:r>
      <w:r w:rsidR="00AB6D38" w:rsidRPr="009351CB">
        <w:rPr>
          <w:rFonts w:ascii="Times New Roman" w:hAnsi="Times New Roman"/>
          <w:i w:val="0"/>
          <w:sz w:val="24"/>
          <w:szCs w:val="24"/>
          <w:lang w:val="en-ZA"/>
        </w:rPr>
        <w:t xml:space="preserve"> irregular expenditure, it does </w:t>
      </w:r>
      <w:r w:rsidR="00B82544" w:rsidRPr="009351CB">
        <w:rPr>
          <w:rFonts w:ascii="Times New Roman" w:hAnsi="Times New Roman"/>
          <w:i w:val="0"/>
          <w:sz w:val="24"/>
          <w:szCs w:val="24"/>
          <w:lang w:val="en-ZA"/>
        </w:rPr>
        <w:t xml:space="preserve">indicate a </w:t>
      </w:r>
      <w:r w:rsidR="00AB6D38" w:rsidRPr="009351CB">
        <w:rPr>
          <w:rFonts w:ascii="Times New Roman" w:hAnsi="Times New Roman"/>
          <w:i w:val="0"/>
          <w:sz w:val="24"/>
          <w:szCs w:val="24"/>
          <w:lang w:val="en-ZA"/>
        </w:rPr>
        <w:t>lack of control in the environment</w:t>
      </w:r>
      <w:r w:rsidR="00B82544" w:rsidRPr="009351CB">
        <w:rPr>
          <w:rFonts w:ascii="Times New Roman" w:hAnsi="Times New Roman"/>
          <w:i w:val="0"/>
          <w:sz w:val="24"/>
          <w:szCs w:val="24"/>
          <w:lang w:val="en-ZA"/>
        </w:rPr>
        <w:t xml:space="preserve"> which in itself exposes the Department to deliberate wrongdoing</w:t>
      </w:r>
      <w:r w:rsidR="00AB6D38" w:rsidRPr="009351CB">
        <w:rPr>
          <w:rFonts w:ascii="Times New Roman" w:hAnsi="Times New Roman"/>
          <w:i w:val="0"/>
          <w:sz w:val="24"/>
          <w:szCs w:val="24"/>
          <w:lang w:val="en-ZA"/>
        </w:rPr>
        <w:t xml:space="preserve">. </w:t>
      </w:r>
      <w:r w:rsidR="00B82544" w:rsidRPr="009351CB">
        <w:rPr>
          <w:rFonts w:ascii="Times New Roman" w:hAnsi="Times New Roman"/>
          <w:i w:val="0"/>
          <w:sz w:val="24"/>
          <w:szCs w:val="24"/>
          <w:lang w:val="en-ZA"/>
        </w:rPr>
        <w:t>The Committee notes that m</w:t>
      </w:r>
      <w:r w:rsidR="00AB6D38" w:rsidRPr="009351CB">
        <w:rPr>
          <w:rFonts w:ascii="Times New Roman" w:hAnsi="Times New Roman"/>
          <w:i w:val="0"/>
          <w:sz w:val="24"/>
          <w:szCs w:val="24"/>
          <w:lang w:val="en-ZA"/>
        </w:rPr>
        <w:t>uch of th</w:t>
      </w:r>
      <w:r w:rsidR="00B82544" w:rsidRPr="009351CB">
        <w:rPr>
          <w:rFonts w:ascii="Times New Roman" w:hAnsi="Times New Roman"/>
          <w:i w:val="0"/>
          <w:sz w:val="24"/>
          <w:szCs w:val="24"/>
          <w:lang w:val="en-ZA"/>
        </w:rPr>
        <w:t>e irregular expendure</w:t>
      </w:r>
      <w:r w:rsidR="00AB6D38" w:rsidRPr="009351CB">
        <w:rPr>
          <w:rFonts w:ascii="Times New Roman" w:hAnsi="Times New Roman"/>
          <w:i w:val="0"/>
          <w:sz w:val="24"/>
          <w:szCs w:val="24"/>
          <w:lang w:val="en-ZA"/>
        </w:rPr>
        <w:t xml:space="preserve"> is under investigation by the Department or external investigators. </w:t>
      </w:r>
      <w:r w:rsidRPr="009351CB">
        <w:rPr>
          <w:rFonts w:ascii="Times New Roman" w:hAnsi="Times New Roman"/>
          <w:i w:val="0"/>
          <w:sz w:val="24"/>
          <w:szCs w:val="24"/>
          <w:lang w:val="en-ZA"/>
        </w:rPr>
        <w:t>The Committee requests that the Departme</w:t>
      </w:r>
      <w:r w:rsidR="00F35058" w:rsidRPr="009351CB">
        <w:rPr>
          <w:rFonts w:ascii="Times New Roman" w:hAnsi="Times New Roman"/>
          <w:i w:val="0"/>
          <w:sz w:val="24"/>
          <w:szCs w:val="24"/>
          <w:lang w:val="en-ZA"/>
        </w:rPr>
        <w:t>nt provide a written report by 22</w:t>
      </w:r>
      <w:r w:rsidRPr="009351CB">
        <w:rPr>
          <w:rFonts w:ascii="Times New Roman" w:hAnsi="Times New Roman"/>
          <w:i w:val="0"/>
          <w:sz w:val="24"/>
          <w:szCs w:val="24"/>
          <w:lang w:val="en-ZA"/>
        </w:rPr>
        <w:t xml:space="preserve"> November 201</w:t>
      </w:r>
      <w:r w:rsidR="0082424D" w:rsidRPr="009351CB">
        <w:rPr>
          <w:rFonts w:ascii="Times New Roman" w:hAnsi="Times New Roman"/>
          <w:i w:val="0"/>
          <w:sz w:val="24"/>
          <w:szCs w:val="24"/>
          <w:lang w:val="en-ZA"/>
        </w:rPr>
        <w:t>9</w:t>
      </w:r>
      <w:r w:rsidR="00F32580" w:rsidRPr="009351CB">
        <w:rPr>
          <w:rFonts w:ascii="Times New Roman" w:hAnsi="Times New Roman"/>
          <w:i w:val="0"/>
          <w:sz w:val="24"/>
          <w:szCs w:val="24"/>
          <w:lang w:val="en-ZA"/>
        </w:rPr>
        <w:t xml:space="preserve"> on the underlying causes of the irregular exp</w:t>
      </w:r>
      <w:r w:rsidR="00AB6D38" w:rsidRPr="009351CB">
        <w:rPr>
          <w:rFonts w:ascii="Times New Roman" w:hAnsi="Times New Roman"/>
          <w:i w:val="0"/>
          <w:sz w:val="24"/>
          <w:szCs w:val="24"/>
          <w:lang w:val="en-ZA"/>
        </w:rPr>
        <w:t>e</w:t>
      </w:r>
      <w:r w:rsidR="00F32580" w:rsidRPr="009351CB">
        <w:rPr>
          <w:rFonts w:ascii="Times New Roman" w:hAnsi="Times New Roman"/>
          <w:i w:val="0"/>
          <w:sz w:val="24"/>
          <w:szCs w:val="24"/>
          <w:lang w:val="en-ZA"/>
        </w:rPr>
        <w:t xml:space="preserve">nditure; the </w:t>
      </w:r>
      <w:r w:rsidRPr="009351CB">
        <w:rPr>
          <w:rFonts w:ascii="Times New Roman" w:hAnsi="Times New Roman"/>
          <w:i w:val="0"/>
          <w:sz w:val="24"/>
          <w:szCs w:val="24"/>
          <w:lang w:val="en-ZA"/>
        </w:rPr>
        <w:t>steps that it is taking to prevent re-occurrence</w:t>
      </w:r>
      <w:r w:rsidR="00AB6D38" w:rsidRPr="009351CB">
        <w:rPr>
          <w:rFonts w:ascii="Times New Roman" w:hAnsi="Times New Roman"/>
          <w:i w:val="0"/>
          <w:sz w:val="24"/>
          <w:szCs w:val="24"/>
          <w:lang w:val="en-ZA"/>
        </w:rPr>
        <w:t>s</w:t>
      </w:r>
      <w:r w:rsidRPr="009351CB">
        <w:rPr>
          <w:rFonts w:ascii="Times New Roman" w:hAnsi="Times New Roman"/>
          <w:i w:val="0"/>
          <w:sz w:val="24"/>
          <w:szCs w:val="24"/>
          <w:lang w:val="en-ZA"/>
        </w:rPr>
        <w:t>; the status of investigations into unconfirmed amounts; and the status of disciplinary action taken against the officials responsible for such expenditure, including efforts to reclaim these amounts; and to continue to do so quarterly.</w:t>
      </w:r>
    </w:p>
    <w:p w14:paraId="7D4ECFF5" w14:textId="77777777" w:rsidR="00ED3870" w:rsidRPr="009351CB" w:rsidRDefault="00ED3870" w:rsidP="009351CB">
      <w:pPr>
        <w:pStyle w:val="BodySingle"/>
        <w:spacing w:line="360" w:lineRule="auto"/>
        <w:ind w:left="0"/>
        <w:rPr>
          <w:rFonts w:ascii="Times New Roman" w:hAnsi="Times New Roman"/>
          <w:i w:val="0"/>
          <w:sz w:val="24"/>
          <w:szCs w:val="24"/>
          <w:highlight w:val="green"/>
        </w:rPr>
      </w:pPr>
    </w:p>
    <w:p w14:paraId="538CF5AB" w14:textId="77777777" w:rsidR="00080B22" w:rsidRPr="009351CB" w:rsidRDefault="005435FB" w:rsidP="004F6019">
      <w:pPr>
        <w:pStyle w:val="BodySingle"/>
        <w:numPr>
          <w:ilvl w:val="1"/>
          <w:numId w:val="29"/>
        </w:numPr>
        <w:spacing w:line="360" w:lineRule="auto"/>
        <w:ind w:left="851" w:hanging="851"/>
        <w:rPr>
          <w:rFonts w:ascii="Times New Roman" w:hAnsi="Times New Roman"/>
          <w:sz w:val="24"/>
          <w:szCs w:val="24"/>
        </w:rPr>
      </w:pPr>
      <w:r w:rsidRPr="009351CB">
        <w:rPr>
          <w:rFonts w:ascii="Times New Roman" w:hAnsi="Times New Roman"/>
          <w:b/>
          <w:sz w:val="24"/>
          <w:szCs w:val="24"/>
        </w:rPr>
        <w:t xml:space="preserve">Policy on the design of the judicial </w:t>
      </w:r>
      <w:r w:rsidR="00A60503" w:rsidRPr="009351CB">
        <w:rPr>
          <w:rFonts w:ascii="Times New Roman" w:hAnsi="Times New Roman"/>
          <w:b/>
          <w:sz w:val="24"/>
          <w:szCs w:val="24"/>
        </w:rPr>
        <w:t xml:space="preserve">governance </w:t>
      </w:r>
      <w:r w:rsidRPr="009351CB">
        <w:rPr>
          <w:rFonts w:ascii="Times New Roman" w:hAnsi="Times New Roman"/>
          <w:b/>
          <w:sz w:val="24"/>
          <w:szCs w:val="24"/>
        </w:rPr>
        <w:t>and court administration model</w:t>
      </w:r>
      <w:r w:rsidR="00F35058" w:rsidRPr="009351CB">
        <w:rPr>
          <w:rFonts w:ascii="Times New Roman" w:hAnsi="Times New Roman"/>
          <w:b/>
          <w:sz w:val="24"/>
          <w:szCs w:val="24"/>
        </w:rPr>
        <w:t xml:space="preserve"> and </w:t>
      </w:r>
      <w:r w:rsidR="00080B22" w:rsidRPr="009351CB">
        <w:rPr>
          <w:rFonts w:ascii="Times New Roman" w:hAnsi="Times New Roman"/>
          <w:b/>
          <w:sz w:val="24"/>
          <w:szCs w:val="24"/>
        </w:rPr>
        <w:t xml:space="preserve">Policy on </w:t>
      </w:r>
      <w:r w:rsidR="00F35058" w:rsidRPr="009351CB">
        <w:rPr>
          <w:rFonts w:ascii="Times New Roman" w:hAnsi="Times New Roman"/>
          <w:b/>
          <w:sz w:val="24"/>
          <w:szCs w:val="24"/>
        </w:rPr>
        <w:t xml:space="preserve">Lower Court Reform </w:t>
      </w:r>
    </w:p>
    <w:p w14:paraId="61B99123" w14:textId="77777777" w:rsidR="00F35058" w:rsidRPr="009351CB" w:rsidRDefault="00F35058" w:rsidP="009351CB">
      <w:pPr>
        <w:pStyle w:val="ListParagraph"/>
        <w:spacing w:line="360" w:lineRule="auto"/>
      </w:pPr>
    </w:p>
    <w:p w14:paraId="2701DAC3" w14:textId="6EDD99E3" w:rsidR="002266CD" w:rsidRPr="009351CB" w:rsidRDefault="006A7681"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 xml:space="preserve">The Committee </w:t>
      </w:r>
      <w:r w:rsidR="006C20C1" w:rsidRPr="009351CB">
        <w:rPr>
          <w:rFonts w:ascii="Times New Roman" w:hAnsi="Times New Roman"/>
          <w:i w:val="0"/>
          <w:color w:val="000000" w:themeColor="text1"/>
          <w:sz w:val="24"/>
          <w:szCs w:val="24"/>
        </w:rPr>
        <w:t xml:space="preserve">was informed </w:t>
      </w:r>
      <w:r w:rsidR="00F35058" w:rsidRPr="009351CB">
        <w:rPr>
          <w:rFonts w:ascii="Times New Roman" w:hAnsi="Times New Roman"/>
          <w:i w:val="0"/>
          <w:sz w:val="24"/>
          <w:szCs w:val="24"/>
        </w:rPr>
        <w:t xml:space="preserve">that the </w:t>
      </w:r>
      <w:r w:rsidR="00080B22" w:rsidRPr="009351CB">
        <w:rPr>
          <w:rFonts w:ascii="Times New Roman" w:hAnsi="Times New Roman"/>
          <w:i w:val="0"/>
          <w:sz w:val="24"/>
          <w:szCs w:val="24"/>
        </w:rPr>
        <w:t>Policy on Judicial Governance was submitted to Cabinet in March</w:t>
      </w:r>
      <w:r w:rsidR="002266CD" w:rsidRPr="009351CB">
        <w:rPr>
          <w:rFonts w:ascii="Times New Roman" w:hAnsi="Times New Roman"/>
          <w:i w:val="0"/>
          <w:sz w:val="24"/>
          <w:szCs w:val="24"/>
        </w:rPr>
        <w:t xml:space="preserve"> 2019</w:t>
      </w:r>
      <w:r w:rsidRPr="009351CB">
        <w:rPr>
          <w:rFonts w:ascii="Times New Roman" w:hAnsi="Times New Roman"/>
          <w:i w:val="0"/>
          <w:sz w:val="24"/>
          <w:szCs w:val="24"/>
        </w:rPr>
        <w:t xml:space="preserve">. </w:t>
      </w:r>
      <w:r w:rsidR="002266CD" w:rsidRPr="009351CB">
        <w:rPr>
          <w:rFonts w:ascii="Times New Roman" w:hAnsi="Times New Roman"/>
          <w:i w:val="0"/>
          <w:sz w:val="24"/>
          <w:szCs w:val="24"/>
        </w:rPr>
        <w:t>The Committee notes that during the Budget hearings in July 2019, the Department indicated that it is now ready to present the model. The Committee notes further that this was a matter</w:t>
      </w:r>
      <w:r w:rsidR="006C20C1" w:rsidRPr="009351CB">
        <w:rPr>
          <w:rFonts w:ascii="Times New Roman" w:hAnsi="Times New Roman"/>
          <w:i w:val="0"/>
          <w:sz w:val="24"/>
          <w:szCs w:val="24"/>
        </w:rPr>
        <w:t xml:space="preserve">on which </w:t>
      </w:r>
      <w:r w:rsidR="002266CD" w:rsidRPr="009351CB">
        <w:rPr>
          <w:rFonts w:ascii="Times New Roman" w:hAnsi="Times New Roman"/>
          <w:i w:val="0"/>
          <w:sz w:val="24"/>
          <w:szCs w:val="24"/>
        </w:rPr>
        <w:t xml:space="preserve">the Minister </w:t>
      </w:r>
      <w:r w:rsidR="00215C4C" w:rsidRPr="009351CB">
        <w:rPr>
          <w:rFonts w:ascii="Times New Roman" w:hAnsi="Times New Roman"/>
          <w:i w:val="0"/>
          <w:sz w:val="24"/>
          <w:szCs w:val="24"/>
        </w:rPr>
        <w:t>has expressed the desire to consult</w:t>
      </w:r>
      <w:r w:rsidR="00F35058" w:rsidRPr="009351CB">
        <w:rPr>
          <w:rFonts w:ascii="Times New Roman" w:hAnsi="Times New Roman"/>
          <w:i w:val="0"/>
          <w:sz w:val="24"/>
          <w:szCs w:val="24"/>
        </w:rPr>
        <w:t xml:space="preserve"> with the Chief Justice, after h</w:t>
      </w:r>
      <w:r w:rsidR="00215C4C" w:rsidRPr="009351CB">
        <w:rPr>
          <w:rFonts w:ascii="Times New Roman" w:hAnsi="Times New Roman"/>
          <w:i w:val="0"/>
          <w:sz w:val="24"/>
          <w:szCs w:val="24"/>
        </w:rPr>
        <w:t>e had approached Cabinet, on the short to medium term policy proposals and agree to the framework for the implementation where there is consensus. The Department also reports that it will be important to set realistic tim</w:t>
      </w:r>
      <w:r w:rsidR="006C20C1" w:rsidRPr="009351CB">
        <w:rPr>
          <w:rFonts w:ascii="Times New Roman" w:hAnsi="Times New Roman"/>
          <w:i w:val="0"/>
          <w:sz w:val="24"/>
          <w:szCs w:val="24"/>
        </w:rPr>
        <w:t>e</w:t>
      </w:r>
      <w:r w:rsidR="00215C4C" w:rsidRPr="009351CB">
        <w:rPr>
          <w:rFonts w:ascii="Times New Roman" w:hAnsi="Times New Roman"/>
          <w:i w:val="0"/>
          <w:sz w:val="24"/>
          <w:szCs w:val="24"/>
        </w:rPr>
        <w:t>frames on the long term policy choices that will require legislation to implement.</w:t>
      </w:r>
      <w:r w:rsidR="002266CD" w:rsidRPr="009351CB">
        <w:rPr>
          <w:rFonts w:ascii="Times New Roman" w:hAnsi="Times New Roman"/>
          <w:i w:val="0"/>
          <w:sz w:val="24"/>
          <w:szCs w:val="24"/>
        </w:rPr>
        <w:t xml:space="preserve"> </w:t>
      </w:r>
    </w:p>
    <w:p w14:paraId="0D3225A9" w14:textId="77777777" w:rsidR="002266CD" w:rsidRPr="009351CB" w:rsidRDefault="002266CD" w:rsidP="009351CB">
      <w:pPr>
        <w:pStyle w:val="BodySingle"/>
        <w:spacing w:line="360" w:lineRule="auto"/>
        <w:ind w:left="851"/>
        <w:rPr>
          <w:rFonts w:ascii="Times New Roman" w:hAnsi="Times New Roman"/>
          <w:i w:val="0"/>
          <w:sz w:val="24"/>
          <w:szCs w:val="24"/>
        </w:rPr>
      </w:pPr>
    </w:p>
    <w:p w14:paraId="57DB8E6C" w14:textId="6D22EF0D" w:rsidR="00215C4C" w:rsidRPr="009351CB" w:rsidRDefault="00215C4C"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 xml:space="preserve">The </w:t>
      </w:r>
      <w:r w:rsidR="006C20C1" w:rsidRPr="009351CB">
        <w:rPr>
          <w:rFonts w:ascii="Times New Roman" w:hAnsi="Times New Roman"/>
          <w:i w:val="0"/>
          <w:sz w:val="24"/>
          <w:szCs w:val="24"/>
        </w:rPr>
        <w:t xml:space="preserve">Committee notes that the </w:t>
      </w:r>
      <w:r w:rsidRPr="009351CB">
        <w:rPr>
          <w:rFonts w:ascii="Times New Roman" w:hAnsi="Times New Roman"/>
          <w:i w:val="0"/>
          <w:sz w:val="24"/>
          <w:szCs w:val="24"/>
        </w:rPr>
        <w:t>finalisation of the Policy on Lower Courts Reform form</w:t>
      </w:r>
      <w:r w:rsidR="00F35058" w:rsidRPr="009351CB">
        <w:rPr>
          <w:rFonts w:ascii="Times New Roman" w:hAnsi="Times New Roman"/>
          <w:i w:val="0"/>
          <w:sz w:val="24"/>
          <w:szCs w:val="24"/>
        </w:rPr>
        <w:t>s</w:t>
      </w:r>
      <w:r w:rsidRPr="009351CB">
        <w:rPr>
          <w:rFonts w:ascii="Times New Roman" w:hAnsi="Times New Roman"/>
          <w:i w:val="0"/>
          <w:sz w:val="24"/>
          <w:szCs w:val="24"/>
        </w:rPr>
        <w:t xml:space="preserve"> part of the Department’s annual plan for 2019/20</w:t>
      </w:r>
      <w:r w:rsidR="002266CD" w:rsidRPr="009351CB">
        <w:rPr>
          <w:rFonts w:ascii="Times New Roman" w:hAnsi="Times New Roman"/>
          <w:i w:val="0"/>
          <w:sz w:val="24"/>
          <w:szCs w:val="24"/>
        </w:rPr>
        <w:t xml:space="preserve">. </w:t>
      </w:r>
    </w:p>
    <w:p w14:paraId="1CF3B0C2" w14:textId="77777777" w:rsidR="00215C4C" w:rsidRPr="009351CB" w:rsidRDefault="00215C4C" w:rsidP="009351CB">
      <w:pPr>
        <w:pStyle w:val="BodySingle"/>
        <w:spacing w:line="360" w:lineRule="auto"/>
        <w:ind w:left="851"/>
        <w:rPr>
          <w:rFonts w:ascii="Times New Roman" w:hAnsi="Times New Roman"/>
          <w:i w:val="0"/>
          <w:sz w:val="24"/>
          <w:szCs w:val="24"/>
        </w:rPr>
      </w:pPr>
    </w:p>
    <w:p w14:paraId="4BD0CF0E" w14:textId="32A8BD29" w:rsidR="00E03B23" w:rsidRPr="009351CB" w:rsidRDefault="002266CD"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 xml:space="preserve">As </w:t>
      </w:r>
      <w:r w:rsidR="006C20C1" w:rsidRPr="009351CB">
        <w:rPr>
          <w:rFonts w:ascii="Times New Roman" w:hAnsi="Times New Roman"/>
          <w:i w:val="0"/>
          <w:sz w:val="24"/>
          <w:szCs w:val="24"/>
        </w:rPr>
        <w:t>both p</w:t>
      </w:r>
      <w:r w:rsidRPr="009351CB">
        <w:rPr>
          <w:rFonts w:ascii="Times New Roman" w:hAnsi="Times New Roman"/>
          <w:i w:val="0"/>
          <w:sz w:val="24"/>
          <w:szCs w:val="24"/>
        </w:rPr>
        <w:t xml:space="preserve">olicies are key </w:t>
      </w:r>
      <w:r w:rsidR="006C20C1" w:rsidRPr="009351CB">
        <w:rPr>
          <w:rFonts w:ascii="Times New Roman" w:hAnsi="Times New Roman"/>
          <w:i w:val="0"/>
          <w:sz w:val="24"/>
          <w:szCs w:val="24"/>
        </w:rPr>
        <w:t>to the transformation of the justice system</w:t>
      </w:r>
      <w:r w:rsidRPr="009351CB">
        <w:rPr>
          <w:rFonts w:ascii="Times New Roman" w:hAnsi="Times New Roman"/>
          <w:i w:val="0"/>
          <w:sz w:val="24"/>
          <w:szCs w:val="24"/>
        </w:rPr>
        <w:t>, t</w:t>
      </w:r>
      <w:r w:rsidR="0063636E" w:rsidRPr="009351CB">
        <w:rPr>
          <w:rFonts w:ascii="Times New Roman" w:hAnsi="Times New Roman"/>
          <w:i w:val="0"/>
          <w:sz w:val="24"/>
          <w:szCs w:val="24"/>
        </w:rPr>
        <w:t>he Committee is</w:t>
      </w:r>
      <w:r w:rsidRPr="009351CB">
        <w:rPr>
          <w:rFonts w:ascii="Times New Roman" w:hAnsi="Times New Roman"/>
          <w:i w:val="0"/>
          <w:sz w:val="24"/>
          <w:szCs w:val="24"/>
        </w:rPr>
        <w:t xml:space="preserve"> </w:t>
      </w:r>
      <w:r w:rsidR="0063636E" w:rsidRPr="009351CB">
        <w:rPr>
          <w:rFonts w:ascii="Times New Roman" w:hAnsi="Times New Roman"/>
          <w:i w:val="0"/>
          <w:sz w:val="24"/>
          <w:szCs w:val="24"/>
        </w:rPr>
        <w:t xml:space="preserve">understandably </w:t>
      </w:r>
      <w:r w:rsidR="005435FB" w:rsidRPr="009351CB">
        <w:rPr>
          <w:rFonts w:ascii="Times New Roman" w:hAnsi="Times New Roman"/>
          <w:i w:val="0"/>
          <w:sz w:val="24"/>
          <w:szCs w:val="24"/>
        </w:rPr>
        <w:t xml:space="preserve">keen that </w:t>
      </w:r>
      <w:r w:rsidR="002048EE" w:rsidRPr="009351CB">
        <w:rPr>
          <w:rFonts w:ascii="Times New Roman" w:hAnsi="Times New Roman"/>
          <w:i w:val="0"/>
          <w:sz w:val="24"/>
          <w:szCs w:val="24"/>
        </w:rPr>
        <w:t>the</w:t>
      </w:r>
      <w:r w:rsidRPr="009351CB">
        <w:rPr>
          <w:rFonts w:ascii="Times New Roman" w:hAnsi="Times New Roman"/>
          <w:i w:val="0"/>
          <w:sz w:val="24"/>
          <w:szCs w:val="24"/>
        </w:rPr>
        <w:t>y</w:t>
      </w:r>
      <w:r w:rsidR="002048EE" w:rsidRPr="009351CB">
        <w:rPr>
          <w:rFonts w:ascii="Times New Roman" w:hAnsi="Times New Roman"/>
          <w:i w:val="0"/>
          <w:sz w:val="24"/>
          <w:szCs w:val="24"/>
        </w:rPr>
        <w:t xml:space="preserve"> </w:t>
      </w:r>
      <w:r w:rsidR="00252748" w:rsidRPr="009351CB">
        <w:rPr>
          <w:rFonts w:ascii="Times New Roman" w:hAnsi="Times New Roman"/>
          <w:i w:val="0"/>
          <w:sz w:val="24"/>
          <w:szCs w:val="24"/>
        </w:rPr>
        <w:t>receive attention</w:t>
      </w:r>
      <w:r w:rsidR="00E3518F" w:rsidRPr="009351CB">
        <w:rPr>
          <w:rFonts w:ascii="Times New Roman" w:hAnsi="Times New Roman"/>
          <w:i w:val="0"/>
          <w:sz w:val="24"/>
          <w:szCs w:val="24"/>
        </w:rPr>
        <w:t xml:space="preserve">. </w:t>
      </w:r>
      <w:r w:rsidR="00333657" w:rsidRPr="009351CB">
        <w:rPr>
          <w:rFonts w:ascii="Times New Roman" w:hAnsi="Times New Roman"/>
          <w:i w:val="0"/>
          <w:sz w:val="24"/>
          <w:szCs w:val="24"/>
        </w:rPr>
        <w:t xml:space="preserve">In the meantime, the Committee requests that the Department </w:t>
      </w:r>
      <w:r w:rsidR="00E45F52" w:rsidRPr="009351CB">
        <w:rPr>
          <w:rFonts w:ascii="Times New Roman" w:hAnsi="Times New Roman"/>
          <w:i w:val="0"/>
          <w:sz w:val="24"/>
          <w:szCs w:val="24"/>
        </w:rPr>
        <w:t xml:space="preserve">continue to report on </w:t>
      </w:r>
      <w:r w:rsidR="00080B22" w:rsidRPr="009351CB">
        <w:rPr>
          <w:rFonts w:ascii="Times New Roman" w:hAnsi="Times New Roman"/>
          <w:i w:val="0"/>
          <w:sz w:val="24"/>
          <w:szCs w:val="24"/>
        </w:rPr>
        <w:t>progress, a</w:t>
      </w:r>
      <w:r w:rsidR="00E45F52" w:rsidRPr="009351CB">
        <w:rPr>
          <w:rFonts w:ascii="Times New Roman" w:hAnsi="Times New Roman"/>
          <w:i w:val="0"/>
          <w:sz w:val="24"/>
          <w:szCs w:val="24"/>
        </w:rPr>
        <w:t>s part of the quarterly reporting process.</w:t>
      </w:r>
    </w:p>
    <w:p w14:paraId="24A417FE" w14:textId="77777777" w:rsidR="004832C4" w:rsidRPr="009351CB" w:rsidRDefault="004832C4" w:rsidP="009351CB">
      <w:pPr>
        <w:pStyle w:val="ListParagraph"/>
        <w:spacing w:line="360" w:lineRule="auto"/>
        <w:jc w:val="both"/>
      </w:pPr>
    </w:p>
    <w:p w14:paraId="46391ED3" w14:textId="4F23F1BB" w:rsidR="000A2FE0" w:rsidRPr="009351CB" w:rsidRDefault="00BE53DB" w:rsidP="004F6019">
      <w:pPr>
        <w:pStyle w:val="BodySingle"/>
        <w:numPr>
          <w:ilvl w:val="1"/>
          <w:numId w:val="29"/>
        </w:numPr>
        <w:spacing w:line="360" w:lineRule="auto"/>
        <w:ind w:left="851" w:hanging="851"/>
        <w:rPr>
          <w:rFonts w:ascii="Times New Roman" w:hAnsi="Times New Roman"/>
          <w:bCs/>
          <w:i w:val="0"/>
          <w:sz w:val="24"/>
          <w:szCs w:val="24"/>
        </w:rPr>
      </w:pPr>
      <w:r w:rsidRPr="009351CB">
        <w:rPr>
          <w:rFonts w:ascii="Times New Roman" w:hAnsi="Times New Roman"/>
          <w:b/>
          <w:sz w:val="24"/>
          <w:szCs w:val="24"/>
        </w:rPr>
        <w:t>Integrated</w:t>
      </w:r>
      <w:r w:rsidRPr="009351CB">
        <w:rPr>
          <w:rFonts w:ascii="Times New Roman" w:hAnsi="Times New Roman"/>
          <w:b/>
          <w:bCs/>
          <w:sz w:val="24"/>
          <w:szCs w:val="24"/>
        </w:rPr>
        <w:t xml:space="preserve"> </w:t>
      </w:r>
      <w:r w:rsidRPr="009351CB">
        <w:rPr>
          <w:rFonts w:ascii="Times New Roman" w:hAnsi="Times New Roman"/>
          <w:b/>
          <w:bCs/>
          <w:color w:val="000000" w:themeColor="text1"/>
          <w:sz w:val="24"/>
          <w:szCs w:val="24"/>
        </w:rPr>
        <w:t>Criminal Jus</w:t>
      </w:r>
      <w:r w:rsidR="00042B12" w:rsidRPr="009351CB">
        <w:rPr>
          <w:rFonts w:ascii="Times New Roman" w:hAnsi="Times New Roman"/>
          <w:b/>
          <w:bCs/>
          <w:color w:val="000000" w:themeColor="text1"/>
          <w:sz w:val="24"/>
          <w:szCs w:val="24"/>
        </w:rPr>
        <w:t>t</w:t>
      </w:r>
      <w:r w:rsidRPr="009351CB">
        <w:rPr>
          <w:rFonts w:ascii="Times New Roman" w:hAnsi="Times New Roman"/>
          <w:b/>
          <w:bCs/>
          <w:color w:val="000000" w:themeColor="text1"/>
          <w:sz w:val="24"/>
          <w:szCs w:val="24"/>
        </w:rPr>
        <w:t xml:space="preserve">ice </w:t>
      </w:r>
      <w:r w:rsidRPr="009351CB">
        <w:rPr>
          <w:rFonts w:ascii="Times New Roman" w:hAnsi="Times New Roman"/>
          <w:b/>
          <w:bCs/>
          <w:sz w:val="24"/>
          <w:szCs w:val="24"/>
        </w:rPr>
        <w:t>Strategy (ICJS)</w:t>
      </w:r>
      <w:r w:rsidRPr="009351CB">
        <w:rPr>
          <w:rFonts w:ascii="Times New Roman" w:hAnsi="Times New Roman"/>
          <w:bCs/>
          <w:sz w:val="24"/>
          <w:szCs w:val="24"/>
        </w:rPr>
        <w:t>.</w:t>
      </w:r>
      <w:r w:rsidRPr="009351CB">
        <w:rPr>
          <w:rFonts w:ascii="Times New Roman" w:hAnsi="Times New Roman"/>
          <w:bCs/>
          <w:i w:val="0"/>
          <w:sz w:val="24"/>
          <w:szCs w:val="24"/>
        </w:rPr>
        <w:t xml:space="preserve"> The Strategy </w:t>
      </w:r>
      <w:r w:rsidR="00406AD0" w:rsidRPr="009351CB">
        <w:rPr>
          <w:rFonts w:ascii="Times New Roman" w:hAnsi="Times New Roman"/>
          <w:bCs/>
          <w:i w:val="0"/>
          <w:sz w:val="24"/>
          <w:szCs w:val="24"/>
        </w:rPr>
        <w:t>is intended to provide</w:t>
      </w:r>
      <w:r w:rsidRPr="009351CB">
        <w:rPr>
          <w:rFonts w:ascii="Times New Roman" w:hAnsi="Times New Roman"/>
          <w:bCs/>
          <w:i w:val="0"/>
          <w:sz w:val="24"/>
          <w:szCs w:val="24"/>
        </w:rPr>
        <w:t xml:space="preserve"> a mechanism to address the “silo” approach of the relevant departments and entities to strengthen co-ordination and co-operation among them. The ICJS is to incorporate the modernisation of the </w:t>
      </w:r>
      <w:r w:rsidR="006C20C1" w:rsidRPr="009351CB">
        <w:rPr>
          <w:rFonts w:ascii="Times New Roman" w:hAnsi="Times New Roman"/>
          <w:bCs/>
          <w:i w:val="0"/>
          <w:sz w:val="24"/>
          <w:szCs w:val="24"/>
        </w:rPr>
        <w:t xml:space="preserve">criminal justice system </w:t>
      </w:r>
      <w:r w:rsidRPr="009351CB">
        <w:rPr>
          <w:rFonts w:ascii="Times New Roman" w:hAnsi="Times New Roman"/>
          <w:bCs/>
          <w:i w:val="0"/>
          <w:sz w:val="24"/>
          <w:szCs w:val="24"/>
        </w:rPr>
        <w:t xml:space="preserve">and will address concerns raised at community level that include the implementation of the bail system and the lack of support for victims of crime. </w:t>
      </w:r>
    </w:p>
    <w:p w14:paraId="18605D4C" w14:textId="77777777" w:rsidR="007C1BBF" w:rsidRPr="009351CB" w:rsidRDefault="007C1BBF" w:rsidP="002C3BE7">
      <w:pPr>
        <w:pStyle w:val="BodySingle"/>
        <w:spacing w:line="360" w:lineRule="auto"/>
        <w:ind w:left="851"/>
        <w:rPr>
          <w:rFonts w:ascii="Times New Roman" w:hAnsi="Times New Roman"/>
          <w:bCs/>
          <w:i w:val="0"/>
          <w:sz w:val="24"/>
          <w:szCs w:val="24"/>
        </w:rPr>
      </w:pPr>
    </w:p>
    <w:p w14:paraId="43E7DB84" w14:textId="70BD37A3" w:rsidR="00BE53DB" w:rsidRPr="009351CB" w:rsidRDefault="006D0BF9" w:rsidP="002C3BE7">
      <w:pPr>
        <w:pStyle w:val="BodySingle"/>
        <w:spacing w:line="360" w:lineRule="auto"/>
        <w:ind w:left="851"/>
        <w:rPr>
          <w:rFonts w:ascii="Times New Roman" w:hAnsi="Times New Roman"/>
          <w:bCs/>
          <w:i w:val="0"/>
          <w:sz w:val="24"/>
          <w:szCs w:val="24"/>
        </w:rPr>
      </w:pPr>
      <w:r w:rsidRPr="009351CB">
        <w:rPr>
          <w:rFonts w:ascii="Times New Roman" w:hAnsi="Times New Roman"/>
          <w:bCs/>
          <w:i w:val="0"/>
          <w:sz w:val="24"/>
          <w:szCs w:val="24"/>
        </w:rPr>
        <w:t xml:space="preserve">The target date for </w:t>
      </w:r>
      <w:r w:rsidR="000A2FE0" w:rsidRPr="009351CB">
        <w:rPr>
          <w:rFonts w:ascii="Times New Roman" w:hAnsi="Times New Roman"/>
          <w:bCs/>
          <w:i w:val="0"/>
          <w:sz w:val="24"/>
          <w:szCs w:val="24"/>
        </w:rPr>
        <w:t xml:space="preserve">the </w:t>
      </w:r>
      <w:r w:rsidRPr="009351CB">
        <w:rPr>
          <w:rFonts w:ascii="Times New Roman" w:hAnsi="Times New Roman"/>
          <w:bCs/>
          <w:i w:val="0"/>
          <w:sz w:val="24"/>
          <w:szCs w:val="24"/>
        </w:rPr>
        <w:t xml:space="preserve">finalisation of the Strategy was 31 March 2018 but </w:t>
      </w:r>
      <w:r w:rsidR="00406AD0" w:rsidRPr="009351CB">
        <w:rPr>
          <w:rFonts w:ascii="Times New Roman" w:hAnsi="Times New Roman"/>
          <w:bCs/>
          <w:i w:val="0"/>
          <w:sz w:val="24"/>
          <w:szCs w:val="24"/>
        </w:rPr>
        <w:t xml:space="preserve">was </w:t>
      </w:r>
      <w:r w:rsidR="000A2FE0" w:rsidRPr="009351CB">
        <w:rPr>
          <w:rFonts w:ascii="Times New Roman" w:hAnsi="Times New Roman"/>
          <w:bCs/>
          <w:i w:val="0"/>
          <w:sz w:val="24"/>
          <w:szCs w:val="24"/>
        </w:rPr>
        <w:t xml:space="preserve">revised </w:t>
      </w:r>
      <w:r w:rsidR="000A2FE0" w:rsidRPr="009351CB">
        <w:rPr>
          <w:rFonts w:ascii="Times New Roman" w:hAnsi="Times New Roman"/>
          <w:i w:val="0"/>
          <w:sz w:val="24"/>
          <w:szCs w:val="24"/>
        </w:rPr>
        <w:t xml:space="preserve">to 28 February 2019 (for submission to Cabinet). </w:t>
      </w:r>
      <w:r w:rsidR="00406AD0" w:rsidRPr="009351CB">
        <w:rPr>
          <w:rFonts w:ascii="Times New Roman" w:hAnsi="Times New Roman"/>
          <w:i w:val="0"/>
          <w:color w:val="000000" w:themeColor="text1"/>
          <w:sz w:val="24"/>
          <w:szCs w:val="24"/>
        </w:rPr>
        <w:t>The Committee</w:t>
      </w:r>
      <w:r w:rsidR="00754F2C" w:rsidRPr="009351CB">
        <w:rPr>
          <w:rFonts w:ascii="Times New Roman" w:hAnsi="Times New Roman"/>
          <w:i w:val="0"/>
          <w:color w:val="000000" w:themeColor="text1"/>
          <w:sz w:val="24"/>
          <w:szCs w:val="24"/>
        </w:rPr>
        <w:t xml:space="preserve"> </w:t>
      </w:r>
      <w:r w:rsidR="006C20C1" w:rsidRPr="009351CB">
        <w:rPr>
          <w:rFonts w:ascii="Times New Roman" w:hAnsi="Times New Roman"/>
          <w:i w:val="0"/>
          <w:color w:val="000000" w:themeColor="text1"/>
          <w:sz w:val="24"/>
          <w:szCs w:val="24"/>
        </w:rPr>
        <w:t xml:space="preserve">was informed that </w:t>
      </w:r>
      <w:r w:rsidR="00754F2C" w:rsidRPr="009351CB">
        <w:rPr>
          <w:rFonts w:ascii="Times New Roman" w:hAnsi="Times New Roman"/>
          <w:i w:val="0"/>
          <w:color w:val="000000" w:themeColor="text1"/>
          <w:sz w:val="24"/>
          <w:szCs w:val="24"/>
        </w:rPr>
        <w:t>a framew</w:t>
      </w:r>
      <w:r w:rsidR="00252748" w:rsidRPr="009351CB">
        <w:rPr>
          <w:rFonts w:ascii="Times New Roman" w:hAnsi="Times New Roman"/>
          <w:i w:val="0"/>
          <w:color w:val="000000" w:themeColor="text1"/>
          <w:sz w:val="24"/>
          <w:szCs w:val="24"/>
        </w:rPr>
        <w:t>o</w:t>
      </w:r>
      <w:r w:rsidR="00754F2C" w:rsidRPr="009351CB">
        <w:rPr>
          <w:rFonts w:ascii="Times New Roman" w:hAnsi="Times New Roman"/>
          <w:i w:val="0"/>
          <w:color w:val="000000" w:themeColor="text1"/>
          <w:sz w:val="24"/>
          <w:szCs w:val="24"/>
        </w:rPr>
        <w:t>r</w:t>
      </w:r>
      <w:r w:rsidR="00252748" w:rsidRPr="009351CB">
        <w:rPr>
          <w:rFonts w:ascii="Times New Roman" w:hAnsi="Times New Roman"/>
          <w:i w:val="0"/>
          <w:color w:val="000000" w:themeColor="text1"/>
          <w:sz w:val="24"/>
          <w:szCs w:val="24"/>
        </w:rPr>
        <w:t>k ha</w:t>
      </w:r>
      <w:r w:rsidR="006C20C1" w:rsidRPr="009351CB">
        <w:rPr>
          <w:rFonts w:ascii="Times New Roman" w:hAnsi="Times New Roman"/>
          <w:i w:val="0"/>
          <w:color w:val="000000" w:themeColor="text1"/>
          <w:sz w:val="24"/>
          <w:szCs w:val="24"/>
        </w:rPr>
        <w:t>d</w:t>
      </w:r>
      <w:r w:rsidR="00252748" w:rsidRPr="009351CB">
        <w:rPr>
          <w:rFonts w:ascii="Times New Roman" w:hAnsi="Times New Roman"/>
          <w:i w:val="0"/>
          <w:color w:val="000000" w:themeColor="text1"/>
          <w:sz w:val="24"/>
          <w:szCs w:val="24"/>
        </w:rPr>
        <w:t xml:space="preserve"> been developed and was presented to the D</w:t>
      </w:r>
      <w:r w:rsidR="006C20C1" w:rsidRPr="009351CB">
        <w:rPr>
          <w:rFonts w:ascii="Times New Roman" w:hAnsi="Times New Roman"/>
          <w:i w:val="0"/>
          <w:color w:val="000000" w:themeColor="text1"/>
          <w:sz w:val="24"/>
          <w:szCs w:val="24"/>
        </w:rPr>
        <w:t>irectors-G</w:t>
      </w:r>
      <w:r w:rsidR="00252748" w:rsidRPr="009351CB">
        <w:rPr>
          <w:rFonts w:ascii="Times New Roman" w:hAnsi="Times New Roman"/>
          <w:i w:val="0"/>
          <w:color w:val="000000" w:themeColor="text1"/>
          <w:sz w:val="24"/>
          <w:szCs w:val="24"/>
        </w:rPr>
        <w:t>eneral of the JCPS Cluster. The nex</w:t>
      </w:r>
      <w:r w:rsidR="006C20C1" w:rsidRPr="009351CB">
        <w:rPr>
          <w:rFonts w:ascii="Times New Roman" w:hAnsi="Times New Roman"/>
          <w:i w:val="0"/>
          <w:color w:val="000000" w:themeColor="text1"/>
          <w:sz w:val="24"/>
          <w:szCs w:val="24"/>
        </w:rPr>
        <w:t xml:space="preserve">t step was the development of an </w:t>
      </w:r>
      <w:r w:rsidR="00252748" w:rsidRPr="009351CB">
        <w:rPr>
          <w:rFonts w:ascii="Times New Roman" w:hAnsi="Times New Roman"/>
          <w:i w:val="0"/>
          <w:color w:val="000000" w:themeColor="text1"/>
          <w:sz w:val="24"/>
          <w:szCs w:val="24"/>
        </w:rPr>
        <w:t>implementa</w:t>
      </w:r>
      <w:r w:rsidR="00754F2C" w:rsidRPr="009351CB">
        <w:rPr>
          <w:rFonts w:ascii="Times New Roman" w:hAnsi="Times New Roman"/>
          <w:i w:val="0"/>
          <w:color w:val="000000" w:themeColor="text1"/>
          <w:sz w:val="24"/>
          <w:szCs w:val="24"/>
        </w:rPr>
        <w:t>tion plan, w</w:t>
      </w:r>
      <w:r w:rsidR="00252748" w:rsidRPr="009351CB">
        <w:rPr>
          <w:rFonts w:ascii="Times New Roman" w:hAnsi="Times New Roman"/>
          <w:i w:val="0"/>
          <w:color w:val="000000" w:themeColor="text1"/>
          <w:sz w:val="24"/>
          <w:szCs w:val="24"/>
        </w:rPr>
        <w:t xml:space="preserve">hich was </w:t>
      </w:r>
      <w:r w:rsidR="006C20C1" w:rsidRPr="009351CB">
        <w:rPr>
          <w:rFonts w:ascii="Times New Roman" w:hAnsi="Times New Roman"/>
          <w:i w:val="0"/>
          <w:color w:val="000000" w:themeColor="text1"/>
          <w:sz w:val="24"/>
          <w:szCs w:val="24"/>
        </w:rPr>
        <w:t xml:space="preserve">supposed </w:t>
      </w:r>
      <w:r w:rsidR="00252748" w:rsidRPr="009351CB">
        <w:rPr>
          <w:rFonts w:ascii="Times New Roman" w:hAnsi="Times New Roman"/>
          <w:i w:val="0"/>
          <w:color w:val="000000" w:themeColor="text1"/>
          <w:sz w:val="24"/>
          <w:szCs w:val="24"/>
        </w:rPr>
        <w:t>to be finalise</w:t>
      </w:r>
      <w:r w:rsidR="00252748" w:rsidRPr="009351CB">
        <w:rPr>
          <w:rFonts w:ascii="Times New Roman" w:hAnsi="Times New Roman"/>
          <w:i w:val="0"/>
          <w:sz w:val="24"/>
          <w:szCs w:val="24"/>
        </w:rPr>
        <w:t xml:space="preserve">d and submitted to Cabinet by the end of September 2019. </w:t>
      </w:r>
    </w:p>
    <w:p w14:paraId="30DD258E" w14:textId="77777777" w:rsidR="00BE53DB" w:rsidRPr="009351CB" w:rsidRDefault="00BE53DB" w:rsidP="002C3BE7">
      <w:pPr>
        <w:pStyle w:val="BodySingle"/>
        <w:spacing w:line="360" w:lineRule="auto"/>
        <w:ind w:left="851"/>
        <w:rPr>
          <w:rFonts w:ascii="Times New Roman" w:hAnsi="Times New Roman"/>
          <w:bCs/>
          <w:i w:val="0"/>
          <w:sz w:val="24"/>
          <w:szCs w:val="24"/>
        </w:rPr>
      </w:pPr>
    </w:p>
    <w:p w14:paraId="2EF680D1" w14:textId="77777777" w:rsidR="00BE53DB" w:rsidRPr="009351CB" w:rsidRDefault="000A2FE0" w:rsidP="002C3BE7">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 xml:space="preserve">The </w:t>
      </w:r>
      <w:r w:rsidR="00BE53DB" w:rsidRPr="009351CB">
        <w:rPr>
          <w:rFonts w:ascii="Times New Roman" w:hAnsi="Times New Roman"/>
          <w:i w:val="0"/>
          <w:sz w:val="24"/>
          <w:szCs w:val="24"/>
        </w:rPr>
        <w:t xml:space="preserve">Committee requests that the Department </w:t>
      </w:r>
      <w:r w:rsidR="00252748" w:rsidRPr="009351CB">
        <w:rPr>
          <w:rFonts w:ascii="Times New Roman" w:hAnsi="Times New Roman"/>
          <w:i w:val="0"/>
          <w:sz w:val="24"/>
          <w:szCs w:val="24"/>
        </w:rPr>
        <w:t>continue to repor</w:t>
      </w:r>
      <w:r w:rsidR="00F35058" w:rsidRPr="009351CB">
        <w:rPr>
          <w:rFonts w:ascii="Times New Roman" w:hAnsi="Times New Roman"/>
          <w:i w:val="0"/>
          <w:sz w:val="24"/>
          <w:szCs w:val="24"/>
        </w:rPr>
        <w:t>t</w:t>
      </w:r>
      <w:r w:rsidR="00252748" w:rsidRPr="009351CB">
        <w:rPr>
          <w:rFonts w:ascii="Times New Roman" w:hAnsi="Times New Roman"/>
          <w:i w:val="0"/>
          <w:sz w:val="24"/>
          <w:szCs w:val="24"/>
        </w:rPr>
        <w:t xml:space="preserve"> on progress as part of the quarterly reporting process.</w:t>
      </w:r>
    </w:p>
    <w:p w14:paraId="41B8AFA9" w14:textId="77777777" w:rsidR="00BE53DB" w:rsidRPr="009351CB" w:rsidRDefault="00BE53DB" w:rsidP="009351CB">
      <w:pPr>
        <w:pStyle w:val="BodySingle"/>
        <w:spacing w:line="360" w:lineRule="auto"/>
        <w:ind w:left="0"/>
        <w:rPr>
          <w:rFonts w:ascii="Times New Roman" w:hAnsi="Times New Roman"/>
          <w:i w:val="0"/>
          <w:sz w:val="24"/>
          <w:szCs w:val="24"/>
        </w:rPr>
      </w:pPr>
    </w:p>
    <w:p w14:paraId="6537C926" w14:textId="1F22AAA0" w:rsidR="00BE53DB" w:rsidRPr="009351CB" w:rsidRDefault="00BE53DB"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Integration of IT systems (IJS).</w:t>
      </w:r>
      <w:r w:rsidRPr="009351CB">
        <w:rPr>
          <w:rFonts w:ascii="Times New Roman" w:hAnsi="Times New Roman"/>
          <w:i w:val="0"/>
          <w:sz w:val="24"/>
          <w:szCs w:val="24"/>
        </w:rPr>
        <w:t xml:space="preserve"> </w:t>
      </w:r>
      <w:r w:rsidR="00406AD0" w:rsidRPr="009351CB">
        <w:rPr>
          <w:rFonts w:ascii="Times New Roman" w:hAnsi="Times New Roman"/>
          <w:i w:val="0"/>
          <w:sz w:val="24"/>
          <w:szCs w:val="24"/>
        </w:rPr>
        <w:t xml:space="preserve">The </w:t>
      </w:r>
      <w:r w:rsidRPr="009351CB">
        <w:rPr>
          <w:rFonts w:ascii="Times New Roman" w:hAnsi="Times New Roman"/>
          <w:i w:val="0"/>
          <w:sz w:val="24"/>
          <w:szCs w:val="24"/>
        </w:rPr>
        <w:t xml:space="preserve">ultimate goal of the IJS </w:t>
      </w:r>
      <w:r w:rsidR="00AE5513" w:rsidRPr="009351CB">
        <w:rPr>
          <w:rFonts w:ascii="Times New Roman" w:hAnsi="Times New Roman"/>
          <w:i w:val="0"/>
          <w:sz w:val="24"/>
          <w:szCs w:val="24"/>
        </w:rPr>
        <w:t>is</w:t>
      </w:r>
      <w:r w:rsidRPr="009351CB">
        <w:rPr>
          <w:rFonts w:ascii="Times New Roman" w:hAnsi="Times New Roman"/>
          <w:i w:val="0"/>
          <w:sz w:val="24"/>
          <w:szCs w:val="24"/>
        </w:rPr>
        <w:t xml:space="preserve"> to ensure </w:t>
      </w:r>
      <w:r w:rsidR="006C20C1" w:rsidRPr="009351CB">
        <w:rPr>
          <w:rFonts w:ascii="Times New Roman" w:hAnsi="Times New Roman"/>
          <w:i w:val="0"/>
          <w:sz w:val="24"/>
          <w:szCs w:val="24"/>
        </w:rPr>
        <w:t xml:space="preserve">the </w:t>
      </w:r>
      <w:r w:rsidRPr="009351CB">
        <w:rPr>
          <w:rFonts w:ascii="Times New Roman" w:hAnsi="Times New Roman"/>
          <w:i w:val="0"/>
          <w:sz w:val="24"/>
          <w:szCs w:val="24"/>
        </w:rPr>
        <w:t>seamless integration and consolidation of critical information between the entities that form part of the JCPS Cluster.</w:t>
      </w:r>
      <w:r w:rsidR="00527B0C" w:rsidRPr="009351CB">
        <w:rPr>
          <w:rFonts w:ascii="Times New Roman" w:hAnsi="Times New Roman"/>
          <w:i w:val="0"/>
          <w:sz w:val="24"/>
          <w:szCs w:val="24"/>
        </w:rPr>
        <w:t xml:space="preserve"> </w:t>
      </w:r>
      <w:r w:rsidR="00666974" w:rsidRPr="009351CB">
        <w:rPr>
          <w:rFonts w:ascii="Times New Roman" w:hAnsi="Times New Roman"/>
          <w:i w:val="0"/>
          <w:sz w:val="24"/>
          <w:szCs w:val="24"/>
        </w:rPr>
        <w:t xml:space="preserve">The Committee acknowledges that there is </w:t>
      </w:r>
      <w:r w:rsidR="00252748" w:rsidRPr="009351CB">
        <w:rPr>
          <w:rFonts w:ascii="Times New Roman" w:hAnsi="Times New Roman"/>
          <w:i w:val="0"/>
          <w:sz w:val="24"/>
          <w:szCs w:val="24"/>
        </w:rPr>
        <w:t xml:space="preserve">considerable </w:t>
      </w:r>
      <w:r w:rsidR="00666974" w:rsidRPr="009351CB">
        <w:rPr>
          <w:rFonts w:ascii="Times New Roman" w:hAnsi="Times New Roman"/>
          <w:i w:val="0"/>
          <w:sz w:val="24"/>
          <w:szCs w:val="24"/>
        </w:rPr>
        <w:t>progress</w:t>
      </w:r>
      <w:r w:rsidR="00FB44BD" w:rsidRPr="009351CB">
        <w:rPr>
          <w:rFonts w:ascii="Times New Roman" w:hAnsi="Times New Roman"/>
          <w:i w:val="0"/>
          <w:sz w:val="24"/>
          <w:szCs w:val="24"/>
        </w:rPr>
        <w:t xml:space="preserve">, details of which are contained in the recent progress report on the Integrated Justice System (IJS) programme, dated 27 August 2019. </w:t>
      </w:r>
      <w:r w:rsidR="00F14D73" w:rsidRPr="009351CB">
        <w:rPr>
          <w:rFonts w:ascii="Times New Roman" w:hAnsi="Times New Roman"/>
          <w:i w:val="0"/>
          <w:sz w:val="24"/>
          <w:szCs w:val="24"/>
        </w:rPr>
        <w:t>For now, t</w:t>
      </w:r>
      <w:r w:rsidRPr="009351CB">
        <w:rPr>
          <w:rFonts w:ascii="Times New Roman" w:hAnsi="Times New Roman"/>
          <w:i w:val="0"/>
          <w:sz w:val="24"/>
          <w:szCs w:val="24"/>
        </w:rPr>
        <w:t xml:space="preserve">he Committee requests that the Department </w:t>
      </w:r>
      <w:r w:rsidR="00FB44BD" w:rsidRPr="009351CB">
        <w:rPr>
          <w:rFonts w:ascii="Times New Roman" w:hAnsi="Times New Roman"/>
          <w:i w:val="0"/>
          <w:sz w:val="24"/>
          <w:szCs w:val="24"/>
        </w:rPr>
        <w:t>c</w:t>
      </w:r>
      <w:r w:rsidRPr="009351CB">
        <w:rPr>
          <w:rFonts w:ascii="Times New Roman" w:hAnsi="Times New Roman"/>
          <w:i w:val="0"/>
          <w:sz w:val="24"/>
          <w:szCs w:val="24"/>
        </w:rPr>
        <w:t xml:space="preserve">ontinue to report on this item as part of </w:t>
      </w:r>
      <w:r w:rsidR="00FB44BD" w:rsidRPr="009351CB">
        <w:rPr>
          <w:rFonts w:ascii="Times New Roman" w:hAnsi="Times New Roman"/>
          <w:i w:val="0"/>
          <w:sz w:val="24"/>
          <w:szCs w:val="24"/>
        </w:rPr>
        <w:t>the quarterly reporting process and will arrange a dedicated briefing on this item as soon as its programme permits.</w:t>
      </w:r>
    </w:p>
    <w:p w14:paraId="282CA015" w14:textId="77777777" w:rsidR="000B48AF" w:rsidRPr="009351CB" w:rsidRDefault="000B48AF" w:rsidP="009351CB">
      <w:pPr>
        <w:pStyle w:val="BodySingle"/>
        <w:spacing w:line="360" w:lineRule="auto"/>
        <w:ind w:left="0"/>
        <w:rPr>
          <w:rFonts w:ascii="Times New Roman" w:hAnsi="Times New Roman"/>
          <w:i w:val="0"/>
          <w:sz w:val="24"/>
          <w:szCs w:val="24"/>
        </w:rPr>
      </w:pPr>
    </w:p>
    <w:p w14:paraId="530600F9" w14:textId="77777777" w:rsidR="002266CD" w:rsidRPr="009351CB" w:rsidRDefault="009308B5" w:rsidP="004F6019">
      <w:pPr>
        <w:pStyle w:val="BodySingle"/>
        <w:numPr>
          <w:ilvl w:val="1"/>
          <w:numId w:val="29"/>
        </w:numPr>
        <w:spacing w:line="360" w:lineRule="auto"/>
        <w:ind w:left="851" w:hanging="851"/>
        <w:rPr>
          <w:rFonts w:ascii="Times New Roman" w:hAnsi="Times New Roman"/>
          <w:b/>
          <w:bCs/>
          <w:i w:val="0"/>
          <w:sz w:val="24"/>
          <w:szCs w:val="24"/>
        </w:rPr>
      </w:pPr>
      <w:r w:rsidRPr="009351CB">
        <w:rPr>
          <w:rFonts w:ascii="Times New Roman" w:hAnsi="Times New Roman"/>
          <w:b/>
          <w:bCs/>
          <w:sz w:val="24"/>
          <w:szCs w:val="24"/>
        </w:rPr>
        <w:t>Expanded court infrastructure for improved access to justice</w:t>
      </w:r>
      <w:r w:rsidRPr="009351CB">
        <w:rPr>
          <w:rFonts w:ascii="Times New Roman" w:hAnsi="Times New Roman"/>
          <w:b/>
          <w:bCs/>
          <w:i w:val="0"/>
          <w:sz w:val="24"/>
          <w:szCs w:val="24"/>
        </w:rPr>
        <w:t xml:space="preserve">. </w:t>
      </w:r>
    </w:p>
    <w:p w14:paraId="286024E7" w14:textId="77777777" w:rsidR="00226E1F" w:rsidRPr="009351CB" w:rsidRDefault="00B463A4" w:rsidP="009351CB">
      <w:pPr>
        <w:pStyle w:val="BodySingle"/>
        <w:spacing w:line="360" w:lineRule="auto"/>
        <w:ind w:left="851"/>
        <w:rPr>
          <w:rFonts w:ascii="Times New Roman" w:hAnsi="Times New Roman"/>
          <w:b/>
          <w:bCs/>
          <w:i w:val="0"/>
          <w:sz w:val="24"/>
          <w:szCs w:val="24"/>
        </w:rPr>
      </w:pPr>
      <w:r w:rsidRPr="009351CB">
        <w:rPr>
          <w:rFonts w:ascii="Times New Roman" w:hAnsi="Times New Roman"/>
          <w:i w:val="0"/>
          <w:sz w:val="24"/>
          <w:szCs w:val="24"/>
          <w:lang w:val="en-ZA"/>
        </w:rPr>
        <w:t xml:space="preserve">The building of new courts remains a core element of the Department’s efforts to improve access to justice. </w:t>
      </w:r>
      <w:r w:rsidR="00226E1F" w:rsidRPr="009351CB">
        <w:rPr>
          <w:rFonts w:ascii="Times New Roman" w:hAnsi="Times New Roman"/>
          <w:i w:val="0"/>
          <w:sz w:val="24"/>
          <w:szCs w:val="24"/>
          <w:lang w:val="en-ZA"/>
        </w:rPr>
        <w:t xml:space="preserve">However, given the current financial constraints, it is important that infrastructure budgets are managed well and deliver value. </w:t>
      </w:r>
    </w:p>
    <w:p w14:paraId="0B748099" w14:textId="77777777" w:rsidR="00226E1F" w:rsidRPr="009351CB" w:rsidRDefault="00226E1F" w:rsidP="009351CB">
      <w:pPr>
        <w:pStyle w:val="BodySingle"/>
        <w:spacing w:line="360" w:lineRule="auto"/>
        <w:ind w:left="851"/>
        <w:rPr>
          <w:rFonts w:ascii="Times New Roman" w:hAnsi="Times New Roman"/>
          <w:sz w:val="24"/>
          <w:szCs w:val="24"/>
        </w:rPr>
      </w:pPr>
    </w:p>
    <w:p w14:paraId="0F76166C" w14:textId="334A8CD3" w:rsidR="00226E1F" w:rsidRPr="009351CB" w:rsidRDefault="001171B8" w:rsidP="009351CB">
      <w:pPr>
        <w:pStyle w:val="BodySingle"/>
        <w:spacing w:line="360" w:lineRule="auto"/>
        <w:ind w:left="851"/>
        <w:rPr>
          <w:rFonts w:ascii="Times New Roman" w:hAnsi="Times New Roman"/>
          <w:i w:val="0"/>
          <w:sz w:val="24"/>
          <w:szCs w:val="24"/>
          <w:lang w:val="en-ZA"/>
        </w:rPr>
      </w:pPr>
      <w:r w:rsidRPr="009351CB">
        <w:rPr>
          <w:rFonts w:ascii="Times New Roman" w:hAnsi="Times New Roman"/>
          <w:i w:val="0"/>
          <w:sz w:val="24"/>
          <w:szCs w:val="24"/>
          <w:lang w:val="en-ZA"/>
        </w:rPr>
        <w:t xml:space="preserve">Typically, </w:t>
      </w:r>
      <w:r w:rsidR="00C146FE" w:rsidRPr="009351CB">
        <w:rPr>
          <w:rFonts w:ascii="Times New Roman" w:hAnsi="Times New Roman"/>
          <w:i w:val="0"/>
          <w:sz w:val="24"/>
          <w:szCs w:val="24"/>
          <w:lang w:val="en-ZA"/>
        </w:rPr>
        <w:t xml:space="preserve">courts take far longer to build than projected and, in the process, costs escalate hugely. </w:t>
      </w:r>
      <w:r w:rsidR="00353B5C" w:rsidRPr="009351CB">
        <w:rPr>
          <w:rFonts w:ascii="Times New Roman" w:hAnsi="Times New Roman"/>
          <w:i w:val="0"/>
          <w:sz w:val="24"/>
          <w:szCs w:val="24"/>
          <w:lang w:val="en-ZA"/>
        </w:rPr>
        <w:t>Con</w:t>
      </w:r>
      <w:r w:rsidR="00064E81" w:rsidRPr="009351CB">
        <w:rPr>
          <w:rFonts w:ascii="Times New Roman" w:hAnsi="Times New Roman"/>
          <w:i w:val="0"/>
          <w:sz w:val="24"/>
          <w:szCs w:val="24"/>
          <w:lang w:val="en-ZA"/>
        </w:rPr>
        <w:t xml:space="preserve">tractors go out of business </w:t>
      </w:r>
      <w:r w:rsidR="00064E81" w:rsidRPr="009351CB">
        <w:rPr>
          <w:rFonts w:ascii="Times New Roman" w:hAnsi="Times New Roman"/>
          <w:i w:val="0"/>
          <w:color w:val="000000" w:themeColor="text1"/>
          <w:sz w:val="24"/>
          <w:szCs w:val="24"/>
          <w:lang w:val="en-ZA"/>
        </w:rPr>
        <w:t>requir</w:t>
      </w:r>
      <w:r w:rsidR="00AC1578" w:rsidRPr="009351CB">
        <w:rPr>
          <w:rFonts w:ascii="Times New Roman" w:hAnsi="Times New Roman"/>
          <w:i w:val="0"/>
          <w:color w:val="000000" w:themeColor="text1"/>
          <w:sz w:val="24"/>
          <w:szCs w:val="24"/>
          <w:lang w:val="en-ZA"/>
        </w:rPr>
        <w:t>i</w:t>
      </w:r>
      <w:r w:rsidR="00064E81" w:rsidRPr="009351CB">
        <w:rPr>
          <w:rFonts w:ascii="Times New Roman" w:hAnsi="Times New Roman"/>
          <w:i w:val="0"/>
          <w:color w:val="000000" w:themeColor="text1"/>
          <w:sz w:val="24"/>
          <w:szCs w:val="24"/>
          <w:lang w:val="en-ZA"/>
        </w:rPr>
        <w:t>ng</w:t>
      </w:r>
      <w:r w:rsidR="00064E81" w:rsidRPr="009351CB">
        <w:rPr>
          <w:rFonts w:ascii="Times New Roman" w:hAnsi="Times New Roman"/>
          <w:i w:val="0"/>
          <w:sz w:val="24"/>
          <w:szCs w:val="24"/>
          <w:lang w:val="en-ZA"/>
        </w:rPr>
        <w:t xml:space="preserve"> the appointment of a fresh contractor, which causes further delays and is cos</w:t>
      </w:r>
      <w:r w:rsidR="00226E1F" w:rsidRPr="009351CB">
        <w:rPr>
          <w:rFonts w:ascii="Times New Roman" w:hAnsi="Times New Roman"/>
          <w:i w:val="0"/>
          <w:sz w:val="24"/>
          <w:szCs w:val="24"/>
          <w:lang w:val="en-ZA"/>
        </w:rPr>
        <w:t>t</w:t>
      </w:r>
      <w:r w:rsidR="00064E81" w:rsidRPr="009351CB">
        <w:rPr>
          <w:rFonts w:ascii="Times New Roman" w:hAnsi="Times New Roman"/>
          <w:i w:val="0"/>
          <w:sz w:val="24"/>
          <w:szCs w:val="24"/>
          <w:lang w:val="en-ZA"/>
        </w:rPr>
        <w:t>ly. P</w:t>
      </w:r>
      <w:r w:rsidR="00353B5C" w:rsidRPr="009351CB">
        <w:rPr>
          <w:rFonts w:ascii="Times New Roman" w:hAnsi="Times New Roman"/>
          <w:i w:val="0"/>
          <w:sz w:val="24"/>
          <w:szCs w:val="24"/>
          <w:lang w:val="en-ZA"/>
        </w:rPr>
        <w:t>roblems (</w:t>
      </w:r>
      <w:r w:rsidR="00815BAE" w:rsidRPr="009351CB">
        <w:rPr>
          <w:rFonts w:ascii="Times New Roman" w:hAnsi="Times New Roman"/>
          <w:i w:val="0"/>
          <w:sz w:val="24"/>
          <w:szCs w:val="24"/>
          <w:lang w:val="en-ZA"/>
        </w:rPr>
        <w:t xml:space="preserve">some of </w:t>
      </w:r>
      <w:r w:rsidR="00353B5C" w:rsidRPr="009351CB">
        <w:rPr>
          <w:rFonts w:ascii="Times New Roman" w:hAnsi="Times New Roman"/>
          <w:i w:val="0"/>
          <w:sz w:val="24"/>
          <w:szCs w:val="24"/>
          <w:lang w:val="en-ZA"/>
        </w:rPr>
        <w:t>which should have been foreseen)</w:t>
      </w:r>
      <w:r w:rsidR="00815BAE" w:rsidRPr="009351CB">
        <w:rPr>
          <w:rFonts w:ascii="Times New Roman" w:hAnsi="Times New Roman"/>
          <w:i w:val="0"/>
          <w:sz w:val="24"/>
          <w:szCs w:val="24"/>
          <w:lang w:val="en-ZA"/>
        </w:rPr>
        <w:t xml:space="preserve"> emerge</w:t>
      </w:r>
      <w:r w:rsidR="00353B5C" w:rsidRPr="009351CB">
        <w:rPr>
          <w:rFonts w:ascii="Times New Roman" w:hAnsi="Times New Roman"/>
          <w:i w:val="0"/>
          <w:sz w:val="24"/>
          <w:szCs w:val="24"/>
          <w:lang w:val="en-ZA"/>
        </w:rPr>
        <w:t xml:space="preserve"> </w:t>
      </w:r>
      <w:r w:rsidR="006C20C1" w:rsidRPr="009351CB">
        <w:rPr>
          <w:rFonts w:ascii="Times New Roman" w:hAnsi="Times New Roman"/>
          <w:i w:val="0"/>
          <w:sz w:val="24"/>
          <w:szCs w:val="24"/>
          <w:lang w:val="en-ZA"/>
        </w:rPr>
        <w:t xml:space="preserve">to </w:t>
      </w:r>
      <w:r w:rsidR="00353B5C" w:rsidRPr="009351CB">
        <w:rPr>
          <w:rFonts w:ascii="Times New Roman" w:hAnsi="Times New Roman"/>
          <w:i w:val="0"/>
          <w:sz w:val="24"/>
          <w:szCs w:val="24"/>
          <w:lang w:val="en-ZA"/>
        </w:rPr>
        <w:t xml:space="preserve">delay </w:t>
      </w:r>
      <w:r w:rsidR="00B07626" w:rsidRPr="009351CB">
        <w:rPr>
          <w:rFonts w:ascii="Times New Roman" w:hAnsi="Times New Roman"/>
          <w:i w:val="0"/>
          <w:sz w:val="24"/>
          <w:szCs w:val="24"/>
          <w:lang w:val="en-ZA"/>
        </w:rPr>
        <w:t xml:space="preserve">project completion even further. </w:t>
      </w:r>
    </w:p>
    <w:p w14:paraId="4046E07C" w14:textId="77777777" w:rsidR="00226E1F" w:rsidRPr="009351CB" w:rsidRDefault="00226E1F" w:rsidP="009351CB">
      <w:pPr>
        <w:pStyle w:val="BodySingle"/>
        <w:spacing w:line="360" w:lineRule="auto"/>
        <w:ind w:left="851"/>
        <w:rPr>
          <w:rFonts w:ascii="Times New Roman" w:hAnsi="Times New Roman"/>
          <w:sz w:val="24"/>
          <w:szCs w:val="24"/>
          <w:lang w:val="en-ZA"/>
        </w:rPr>
      </w:pPr>
    </w:p>
    <w:p w14:paraId="7A1ED82C" w14:textId="351BC9D3" w:rsidR="001171B8" w:rsidRPr="009351CB" w:rsidRDefault="001171B8" w:rsidP="009351CB">
      <w:pPr>
        <w:spacing w:line="360" w:lineRule="auto"/>
        <w:ind w:left="851"/>
        <w:jc w:val="both"/>
      </w:pPr>
      <w:r w:rsidRPr="009351CB">
        <w:t xml:space="preserve">The new High </w:t>
      </w:r>
      <w:r w:rsidR="006C20C1" w:rsidRPr="009351CB">
        <w:t>Court in Mpumalanga at Mbombela</w:t>
      </w:r>
      <w:r w:rsidRPr="009351CB">
        <w:t xml:space="preserve"> is at long last operational</w:t>
      </w:r>
      <w:r w:rsidR="00533B7A" w:rsidRPr="009351CB">
        <w:t xml:space="preserve"> and will be opened in November 2019</w:t>
      </w:r>
      <w:r w:rsidRPr="009351CB">
        <w:t>. However, as was the case for the Limpopo High Court, building has been subject to extensive delays and the associated costs have risen to R1.2 billion. The Committee is informed that an amount of R233.1 million is under investigation by the SIU in relation to the Limpopo High Court relating to the failure to pay contractors in a timely manner which incurred additional costs (with the IDT).</w:t>
      </w:r>
    </w:p>
    <w:p w14:paraId="0C581C1B" w14:textId="77777777" w:rsidR="001171B8" w:rsidRPr="009351CB" w:rsidRDefault="001171B8" w:rsidP="009351CB">
      <w:pPr>
        <w:pStyle w:val="BodySingle"/>
        <w:spacing w:line="360" w:lineRule="auto"/>
        <w:ind w:left="851"/>
        <w:rPr>
          <w:rFonts w:ascii="Times New Roman" w:hAnsi="Times New Roman"/>
          <w:i w:val="0"/>
          <w:sz w:val="24"/>
          <w:szCs w:val="24"/>
          <w:lang w:val="en-ZA"/>
        </w:rPr>
      </w:pPr>
    </w:p>
    <w:p w14:paraId="610DB08F" w14:textId="6B67B320" w:rsidR="001171B8" w:rsidRPr="009351CB" w:rsidRDefault="001171B8" w:rsidP="009351CB">
      <w:pPr>
        <w:spacing w:line="360" w:lineRule="auto"/>
        <w:ind w:left="851"/>
        <w:jc w:val="both"/>
      </w:pPr>
      <w:r w:rsidRPr="009351CB">
        <w:t xml:space="preserve">The Committee notes that </w:t>
      </w:r>
      <w:r w:rsidR="00533B7A" w:rsidRPr="009351CB">
        <w:t xml:space="preserve">the </w:t>
      </w:r>
      <w:r w:rsidRPr="009351CB">
        <w:t xml:space="preserve">other courts that are </w:t>
      </w:r>
      <w:r w:rsidRPr="009351CB">
        <w:rPr>
          <w:color w:val="000000" w:themeColor="text1"/>
        </w:rPr>
        <w:t>to</w:t>
      </w:r>
      <w:r w:rsidR="00AC1578" w:rsidRPr="009351CB">
        <w:rPr>
          <w:color w:val="000000" w:themeColor="text1"/>
        </w:rPr>
        <w:t xml:space="preserve"> be</w:t>
      </w:r>
      <w:r w:rsidRPr="009351CB">
        <w:rPr>
          <w:color w:val="000000" w:themeColor="text1"/>
        </w:rPr>
        <w:t xml:space="preserve"> </w:t>
      </w:r>
      <w:r w:rsidRPr="009351CB">
        <w:t>completed this year are the Port Shepstone Magistrates Court and the Bitiyi Magistrates Court.</w:t>
      </w:r>
      <w:r w:rsidR="006C20C1" w:rsidRPr="009351CB">
        <w:t xml:space="preserve"> The</w:t>
      </w:r>
      <w:r w:rsidRPr="009351CB">
        <w:t xml:space="preserve"> Department has included a new indicator relating to the upgrading and extension of courts, targeting six courts in 2019/20 (the Evander magistrates Court, the Vulamehlo Magistrates Court, Umbumbulu Magistrates Courts, the Chatsworth Magistrates Court, the Palace of Justice and the burnt out court in Pretoria). Over the medium term</w:t>
      </w:r>
      <w:r w:rsidR="006C20C1" w:rsidRPr="009351CB">
        <w:t xml:space="preserve">, </w:t>
      </w:r>
      <w:r w:rsidRPr="009351CB">
        <w:t xml:space="preserve">it is projected that additional court infrastructure will cost R1.5 billion. </w:t>
      </w:r>
    </w:p>
    <w:p w14:paraId="653B39F6" w14:textId="77777777" w:rsidR="001171B8" w:rsidRPr="009351CB" w:rsidRDefault="001171B8" w:rsidP="009351CB">
      <w:pPr>
        <w:spacing w:line="360" w:lineRule="auto"/>
        <w:ind w:left="851"/>
      </w:pPr>
    </w:p>
    <w:p w14:paraId="2C2B6E4E" w14:textId="77777777" w:rsidR="001171B8" w:rsidRPr="009351CB" w:rsidRDefault="001171B8" w:rsidP="009351CB">
      <w:pPr>
        <w:spacing w:line="360" w:lineRule="auto"/>
        <w:ind w:left="851"/>
        <w:jc w:val="both"/>
      </w:pPr>
      <w:r w:rsidRPr="009351CB">
        <w:t xml:space="preserve">The Committee </w:t>
      </w:r>
      <w:r w:rsidR="00FB44BD" w:rsidRPr="009351CB">
        <w:t xml:space="preserve">notes the Department’s </w:t>
      </w:r>
      <w:r w:rsidRPr="009351CB">
        <w:t xml:space="preserve">progress report on its infrastructure projects </w:t>
      </w:r>
      <w:r w:rsidR="00FB44BD" w:rsidRPr="009351CB">
        <w:t xml:space="preserve">dated 30 August 2019 and will </w:t>
      </w:r>
      <w:r w:rsidRPr="009351CB">
        <w:rPr>
          <w:bCs/>
        </w:rPr>
        <w:t xml:space="preserve">schedule a </w:t>
      </w:r>
      <w:r w:rsidR="00FB44BD" w:rsidRPr="009351CB">
        <w:rPr>
          <w:bCs/>
        </w:rPr>
        <w:t>dedicated b</w:t>
      </w:r>
      <w:r w:rsidRPr="009351CB">
        <w:rPr>
          <w:bCs/>
        </w:rPr>
        <w:t xml:space="preserve">riefing </w:t>
      </w:r>
      <w:r w:rsidR="00FB44BD" w:rsidRPr="009351CB">
        <w:rPr>
          <w:bCs/>
        </w:rPr>
        <w:t xml:space="preserve">involving all roleplayers </w:t>
      </w:r>
      <w:r w:rsidRPr="009351CB">
        <w:rPr>
          <w:bCs/>
        </w:rPr>
        <w:t>on all aspects of the infrastructure programme, including planned maintenance, as soon as its programme permits.</w:t>
      </w:r>
      <w:r w:rsidR="00FB44BD" w:rsidRPr="009351CB">
        <w:rPr>
          <w:bCs/>
        </w:rPr>
        <w:t xml:space="preserve"> </w:t>
      </w:r>
      <w:r w:rsidR="00FB44BD" w:rsidRPr="009351CB">
        <w:t>For now, the Committee requests that the Department continue to report on this item as part of the quarterly reporting process.</w:t>
      </w:r>
    </w:p>
    <w:p w14:paraId="19337B4F" w14:textId="77777777" w:rsidR="001171B8" w:rsidRPr="009351CB" w:rsidRDefault="001171B8" w:rsidP="009351CB">
      <w:pPr>
        <w:spacing w:line="360" w:lineRule="auto"/>
        <w:ind w:left="851"/>
      </w:pPr>
    </w:p>
    <w:p w14:paraId="670E386C" w14:textId="040C2210" w:rsidR="00F833C3" w:rsidRPr="009351CB" w:rsidRDefault="00441B39" w:rsidP="004F6019">
      <w:pPr>
        <w:pStyle w:val="BodySingle"/>
        <w:numPr>
          <w:ilvl w:val="1"/>
          <w:numId w:val="29"/>
        </w:numPr>
        <w:spacing w:line="360" w:lineRule="auto"/>
        <w:ind w:left="851" w:hanging="851"/>
        <w:rPr>
          <w:rFonts w:ascii="Times New Roman" w:hAnsi="Times New Roman"/>
          <w:sz w:val="24"/>
          <w:szCs w:val="24"/>
        </w:rPr>
      </w:pPr>
      <w:r w:rsidRPr="009351CB">
        <w:rPr>
          <w:rFonts w:ascii="Times New Roman" w:hAnsi="Times New Roman"/>
          <w:b/>
          <w:sz w:val="24"/>
          <w:szCs w:val="24"/>
        </w:rPr>
        <w:t>T</w:t>
      </w:r>
      <w:r w:rsidR="00106280" w:rsidRPr="009351CB">
        <w:rPr>
          <w:rFonts w:ascii="Times New Roman" w:hAnsi="Times New Roman"/>
          <w:b/>
          <w:sz w:val="24"/>
          <w:szCs w:val="24"/>
        </w:rPr>
        <w:t>ransformation of State Legal Services</w:t>
      </w:r>
      <w:r w:rsidR="00706B3F" w:rsidRPr="009351CB">
        <w:rPr>
          <w:rFonts w:ascii="Times New Roman" w:hAnsi="Times New Roman"/>
          <w:b/>
          <w:sz w:val="24"/>
          <w:szCs w:val="24"/>
        </w:rPr>
        <w:t xml:space="preserve">. </w:t>
      </w:r>
      <w:r w:rsidR="005C0304" w:rsidRPr="009351CB">
        <w:rPr>
          <w:rFonts w:ascii="Times New Roman" w:hAnsi="Times New Roman"/>
          <w:bCs/>
          <w:i w:val="0"/>
          <w:noProof w:val="0"/>
          <w:sz w:val="24"/>
          <w:szCs w:val="24"/>
          <w:lang w:val="en-ZA" w:eastAsia="en-GB"/>
        </w:rPr>
        <w:t xml:space="preserve">The </w:t>
      </w:r>
      <w:r w:rsidR="00A46262" w:rsidRPr="009351CB">
        <w:rPr>
          <w:rFonts w:ascii="Times New Roman" w:hAnsi="Times New Roman"/>
          <w:bCs/>
          <w:i w:val="0"/>
          <w:noProof w:val="0"/>
          <w:sz w:val="24"/>
          <w:szCs w:val="24"/>
          <w:lang w:val="en-ZA" w:eastAsia="en-GB"/>
        </w:rPr>
        <w:t xml:space="preserve">Committee has previously noted the reports of disarray and corruption in the </w:t>
      </w:r>
      <w:r w:rsidR="00785970" w:rsidRPr="009351CB">
        <w:rPr>
          <w:rFonts w:ascii="Times New Roman" w:hAnsi="Times New Roman"/>
          <w:bCs/>
          <w:i w:val="0"/>
          <w:noProof w:val="0"/>
          <w:sz w:val="24"/>
          <w:szCs w:val="24"/>
          <w:lang w:val="en-ZA" w:eastAsia="en-GB"/>
        </w:rPr>
        <w:t xml:space="preserve">Office of the State Attorney, as well as the </w:t>
      </w:r>
      <w:r w:rsidR="00106280" w:rsidRPr="009351CB">
        <w:rPr>
          <w:rFonts w:ascii="Times New Roman" w:hAnsi="Times New Roman"/>
          <w:bCs/>
          <w:i w:val="0"/>
          <w:noProof w:val="0"/>
          <w:sz w:val="24"/>
          <w:szCs w:val="24"/>
          <w:lang w:val="en-ZA" w:eastAsia="en-GB"/>
        </w:rPr>
        <w:t>fragmented</w:t>
      </w:r>
      <w:r w:rsidR="00744921" w:rsidRPr="009351CB">
        <w:rPr>
          <w:rFonts w:ascii="Times New Roman" w:hAnsi="Times New Roman"/>
          <w:bCs/>
          <w:i w:val="0"/>
          <w:noProof w:val="0"/>
          <w:sz w:val="24"/>
          <w:szCs w:val="24"/>
          <w:lang w:val="en-ZA" w:eastAsia="en-GB"/>
        </w:rPr>
        <w:t xml:space="preserve"> approach to the management of State Legal S</w:t>
      </w:r>
      <w:r w:rsidR="005A147C" w:rsidRPr="009351CB">
        <w:rPr>
          <w:rFonts w:ascii="Times New Roman" w:hAnsi="Times New Roman"/>
          <w:bCs/>
          <w:i w:val="0"/>
          <w:noProof w:val="0"/>
          <w:sz w:val="24"/>
          <w:szCs w:val="24"/>
          <w:lang w:val="en-ZA" w:eastAsia="en-GB"/>
        </w:rPr>
        <w:t>ervices</w:t>
      </w:r>
      <w:r w:rsidR="00816CBE" w:rsidRPr="009351CB">
        <w:rPr>
          <w:rFonts w:ascii="Times New Roman" w:hAnsi="Times New Roman"/>
          <w:bCs/>
          <w:i w:val="0"/>
          <w:noProof w:val="0"/>
          <w:sz w:val="24"/>
          <w:szCs w:val="24"/>
          <w:lang w:val="en-ZA" w:eastAsia="en-GB"/>
        </w:rPr>
        <w:t xml:space="preserve">. </w:t>
      </w:r>
      <w:r w:rsidR="005A147C" w:rsidRPr="009351CB">
        <w:rPr>
          <w:rFonts w:ascii="Times New Roman" w:hAnsi="Times New Roman"/>
          <w:bCs/>
          <w:i w:val="0"/>
          <w:noProof w:val="0"/>
          <w:sz w:val="24"/>
          <w:szCs w:val="24"/>
          <w:lang w:val="en-ZA" w:eastAsia="en-GB"/>
        </w:rPr>
        <w:t>Re-engineering the manner in which</w:t>
      </w:r>
      <w:r w:rsidR="00E5498E" w:rsidRPr="009351CB">
        <w:rPr>
          <w:rFonts w:ascii="Times New Roman" w:hAnsi="Times New Roman"/>
          <w:bCs/>
          <w:i w:val="0"/>
          <w:noProof w:val="0"/>
          <w:sz w:val="24"/>
          <w:szCs w:val="24"/>
          <w:lang w:val="en-ZA" w:eastAsia="en-GB"/>
        </w:rPr>
        <w:t xml:space="preserve"> State L</w:t>
      </w:r>
      <w:r w:rsidR="005A147C" w:rsidRPr="009351CB">
        <w:rPr>
          <w:rFonts w:ascii="Times New Roman" w:hAnsi="Times New Roman"/>
          <w:bCs/>
          <w:i w:val="0"/>
          <w:noProof w:val="0"/>
          <w:sz w:val="24"/>
          <w:szCs w:val="24"/>
          <w:lang w:val="en-ZA" w:eastAsia="en-GB"/>
        </w:rPr>
        <w:t xml:space="preserve">egal </w:t>
      </w:r>
      <w:r w:rsidR="00E5498E" w:rsidRPr="009351CB">
        <w:rPr>
          <w:rFonts w:ascii="Times New Roman" w:hAnsi="Times New Roman"/>
          <w:bCs/>
          <w:i w:val="0"/>
          <w:noProof w:val="0"/>
          <w:sz w:val="24"/>
          <w:szCs w:val="24"/>
          <w:lang w:val="en-ZA" w:eastAsia="en-GB"/>
        </w:rPr>
        <w:t>S</w:t>
      </w:r>
      <w:r w:rsidR="005A147C" w:rsidRPr="009351CB">
        <w:rPr>
          <w:rFonts w:ascii="Times New Roman" w:hAnsi="Times New Roman"/>
          <w:bCs/>
          <w:i w:val="0"/>
          <w:noProof w:val="0"/>
          <w:sz w:val="24"/>
          <w:szCs w:val="24"/>
          <w:lang w:val="en-ZA" w:eastAsia="en-GB"/>
        </w:rPr>
        <w:t xml:space="preserve">ervices are delivered across </w:t>
      </w:r>
      <w:r w:rsidR="00E5498E" w:rsidRPr="009351CB">
        <w:rPr>
          <w:rFonts w:ascii="Times New Roman" w:hAnsi="Times New Roman"/>
          <w:bCs/>
          <w:i w:val="0"/>
          <w:noProof w:val="0"/>
          <w:sz w:val="24"/>
          <w:szCs w:val="24"/>
          <w:lang w:val="en-ZA" w:eastAsia="en-GB"/>
        </w:rPr>
        <w:t>government</w:t>
      </w:r>
      <w:r w:rsidR="005A147C" w:rsidRPr="009351CB">
        <w:rPr>
          <w:rFonts w:ascii="Times New Roman" w:hAnsi="Times New Roman"/>
          <w:bCs/>
          <w:i w:val="0"/>
          <w:noProof w:val="0"/>
          <w:sz w:val="24"/>
          <w:szCs w:val="24"/>
          <w:lang w:val="en-ZA" w:eastAsia="en-GB"/>
        </w:rPr>
        <w:t xml:space="preserve"> and addressing organisational challenges is a key departmental initiative</w:t>
      </w:r>
      <w:r w:rsidR="005A147C" w:rsidRPr="009351CB">
        <w:rPr>
          <w:rFonts w:ascii="Times New Roman" w:hAnsi="Times New Roman"/>
          <w:sz w:val="24"/>
          <w:szCs w:val="24"/>
        </w:rPr>
        <w:t>.</w:t>
      </w:r>
      <w:r w:rsidR="00744921" w:rsidRPr="009351CB">
        <w:rPr>
          <w:rFonts w:ascii="Times New Roman" w:hAnsi="Times New Roman"/>
          <w:sz w:val="24"/>
          <w:szCs w:val="24"/>
        </w:rPr>
        <w:t xml:space="preserve"> </w:t>
      </w:r>
    </w:p>
    <w:p w14:paraId="27978651" w14:textId="77777777" w:rsidR="005A147C" w:rsidRPr="009351CB" w:rsidRDefault="005A147C" w:rsidP="009351CB">
      <w:pPr>
        <w:pStyle w:val="ListParagraph"/>
        <w:spacing w:line="360" w:lineRule="auto"/>
        <w:ind w:left="851"/>
        <w:jc w:val="both"/>
        <w:rPr>
          <w:b/>
        </w:rPr>
      </w:pPr>
    </w:p>
    <w:p w14:paraId="7B08874C" w14:textId="377D543F" w:rsidR="00785970" w:rsidRPr="009351CB" w:rsidRDefault="00744921" w:rsidP="009351CB">
      <w:pPr>
        <w:pStyle w:val="BodySingle"/>
        <w:spacing w:line="360" w:lineRule="auto"/>
        <w:ind w:left="851"/>
        <w:rPr>
          <w:rFonts w:ascii="Times New Roman" w:hAnsi="Times New Roman"/>
          <w:bCs/>
          <w:i w:val="0"/>
          <w:sz w:val="24"/>
          <w:szCs w:val="24"/>
        </w:rPr>
      </w:pPr>
      <w:r w:rsidRPr="009351CB">
        <w:rPr>
          <w:rFonts w:ascii="Times New Roman" w:hAnsi="Times New Roman"/>
          <w:bCs/>
          <w:i w:val="0"/>
          <w:sz w:val="24"/>
          <w:szCs w:val="24"/>
        </w:rPr>
        <w:t xml:space="preserve">The Committee </w:t>
      </w:r>
      <w:r w:rsidR="00785970" w:rsidRPr="009351CB">
        <w:rPr>
          <w:rFonts w:ascii="Times New Roman" w:hAnsi="Times New Roman"/>
          <w:bCs/>
          <w:i w:val="0"/>
          <w:sz w:val="24"/>
          <w:szCs w:val="24"/>
        </w:rPr>
        <w:t>notes the progress report on its initiatives to transform State Legal Services, which provides details of its plans to address the procurement of state legal services. There is a process to develop a permanent procurement system. Specifications have been developed and are in the consultation phase. The expectation is that the process will be finalise</w:t>
      </w:r>
      <w:r w:rsidR="00754F2C" w:rsidRPr="009351CB">
        <w:rPr>
          <w:rFonts w:ascii="Times New Roman" w:hAnsi="Times New Roman"/>
          <w:bCs/>
          <w:i w:val="0"/>
          <w:sz w:val="24"/>
          <w:szCs w:val="24"/>
        </w:rPr>
        <w:t>d by the end of the financial ye</w:t>
      </w:r>
      <w:r w:rsidR="00785970" w:rsidRPr="009351CB">
        <w:rPr>
          <w:rFonts w:ascii="Times New Roman" w:hAnsi="Times New Roman"/>
          <w:bCs/>
          <w:i w:val="0"/>
          <w:sz w:val="24"/>
          <w:szCs w:val="24"/>
        </w:rPr>
        <w:t xml:space="preserve">ar with implementation in 2020/21. In the meantime, National Treasury has provided permission to deviate when procuring legal services. There is a process </w:t>
      </w:r>
      <w:r w:rsidR="00853188" w:rsidRPr="009351CB">
        <w:rPr>
          <w:rFonts w:ascii="Times New Roman" w:hAnsi="Times New Roman"/>
          <w:bCs/>
          <w:i w:val="0"/>
          <w:sz w:val="24"/>
          <w:szCs w:val="24"/>
        </w:rPr>
        <w:t xml:space="preserve">underway as well </w:t>
      </w:r>
      <w:r w:rsidR="00785970" w:rsidRPr="009351CB">
        <w:rPr>
          <w:rFonts w:ascii="Times New Roman" w:hAnsi="Times New Roman"/>
          <w:bCs/>
          <w:i w:val="0"/>
          <w:sz w:val="24"/>
          <w:szCs w:val="24"/>
        </w:rPr>
        <w:t xml:space="preserve">to develop the legal skills </w:t>
      </w:r>
      <w:r w:rsidR="00853188" w:rsidRPr="009351CB">
        <w:rPr>
          <w:rFonts w:ascii="Times New Roman" w:hAnsi="Times New Roman"/>
          <w:bCs/>
          <w:i w:val="0"/>
          <w:sz w:val="24"/>
          <w:szCs w:val="24"/>
        </w:rPr>
        <w:t xml:space="preserve">set </w:t>
      </w:r>
      <w:r w:rsidR="00785970" w:rsidRPr="009351CB">
        <w:rPr>
          <w:rFonts w:ascii="Times New Roman" w:hAnsi="Times New Roman"/>
          <w:bCs/>
          <w:i w:val="0"/>
          <w:color w:val="000000" w:themeColor="text1"/>
          <w:sz w:val="24"/>
          <w:szCs w:val="24"/>
        </w:rPr>
        <w:t>of state attorneys</w:t>
      </w:r>
      <w:r w:rsidR="00853188" w:rsidRPr="009351CB">
        <w:rPr>
          <w:rFonts w:ascii="Times New Roman" w:hAnsi="Times New Roman"/>
          <w:bCs/>
          <w:i w:val="0"/>
          <w:color w:val="000000" w:themeColor="text1"/>
          <w:sz w:val="24"/>
          <w:szCs w:val="24"/>
        </w:rPr>
        <w:t xml:space="preserve">. Nonetheless there is a shortage of capacity </w:t>
      </w:r>
      <w:r w:rsidR="00853188" w:rsidRPr="009351CB">
        <w:rPr>
          <w:rFonts w:ascii="Times New Roman" w:hAnsi="Times New Roman"/>
          <w:bCs/>
          <w:i w:val="0"/>
          <w:sz w:val="24"/>
          <w:szCs w:val="24"/>
        </w:rPr>
        <w:t>and the present budget constraints may impact on the filling of vacant posts, which will require more outsourcing of work.</w:t>
      </w:r>
    </w:p>
    <w:p w14:paraId="113B5F74" w14:textId="77777777" w:rsidR="00785970" w:rsidRPr="009351CB" w:rsidRDefault="00785970" w:rsidP="009351CB">
      <w:pPr>
        <w:pStyle w:val="BodySingle"/>
        <w:spacing w:line="360" w:lineRule="auto"/>
        <w:ind w:left="851"/>
        <w:rPr>
          <w:rFonts w:ascii="Times New Roman" w:hAnsi="Times New Roman"/>
          <w:bCs/>
          <w:i w:val="0"/>
          <w:sz w:val="24"/>
          <w:szCs w:val="24"/>
        </w:rPr>
      </w:pPr>
    </w:p>
    <w:p w14:paraId="2DC9ADE6" w14:textId="09EE84B3" w:rsidR="00280963" w:rsidRPr="009351CB" w:rsidRDefault="00785970" w:rsidP="009351CB">
      <w:pPr>
        <w:pStyle w:val="BodySingle"/>
        <w:spacing w:line="360" w:lineRule="auto"/>
        <w:ind w:left="851"/>
        <w:rPr>
          <w:rFonts w:ascii="Times New Roman" w:hAnsi="Times New Roman"/>
          <w:bCs/>
          <w:i w:val="0"/>
          <w:sz w:val="24"/>
          <w:szCs w:val="24"/>
        </w:rPr>
      </w:pPr>
      <w:r w:rsidRPr="009351CB">
        <w:rPr>
          <w:rFonts w:ascii="Times New Roman" w:hAnsi="Times New Roman"/>
          <w:bCs/>
          <w:i w:val="0"/>
          <w:sz w:val="24"/>
          <w:szCs w:val="24"/>
        </w:rPr>
        <w:t>The Committee</w:t>
      </w:r>
      <w:r w:rsidR="00446635" w:rsidRPr="009351CB">
        <w:rPr>
          <w:rFonts w:ascii="Times New Roman" w:hAnsi="Times New Roman"/>
          <w:bCs/>
          <w:i w:val="0"/>
          <w:sz w:val="24"/>
          <w:szCs w:val="24"/>
        </w:rPr>
        <w:t xml:space="preserve"> will arrange a dedicated meeting in order to deepen its understanding of the operations of th</w:t>
      </w:r>
      <w:r w:rsidR="00816CBE" w:rsidRPr="009351CB">
        <w:rPr>
          <w:rFonts w:ascii="Times New Roman" w:hAnsi="Times New Roman"/>
          <w:bCs/>
          <w:i w:val="0"/>
          <w:sz w:val="24"/>
          <w:szCs w:val="24"/>
        </w:rPr>
        <w:t>is O</w:t>
      </w:r>
      <w:r w:rsidR="00446635" w:rsidRPr="009351CB">
        <w:rPr>
          <w:rFonts w:ascii="Times New Roman" w:hAnsi="Times New Roman"/>
          <w:bCs/>
          <w:i w:val="0"/>
          <w:sz w:val="24"/>
          <w:szCs w:val="24"/>
        </w:rPr>
        <w:t>ffice</w:t>
      </w:r>
      <w:r w:rsidR="00816CBE" w:rsidRPr="009351CB">
        <w:rPr>
          <w:rFonts w:ascii="Times New Roman" w:hAnsi="Times New Roman"/>
          <w:bCs/>
          <w:i w:val="0"/>
          <w:sz w:val="24"/>
          <w:szCs w:val="24"/>
        </w:rPr>
        <w:t xml:space="preserve"> countrywide</w:t>
      </w:r>
      <w:r w:rsidR="00446635" w:rsidRPr="009351CB">
        <w:rPr>
          <w:rFonts w:ascii="Times New Roman" w:hAnsi="Times New Roman"/>
          <w:bCs/>
          <w:i w:val="0"/>
          <w:sz w:val="24"/>
          <w:szCs w:val="24"/>
        </w:rPr>
        <w:t>, as well as the Department’s plans to transform State Legal Services</w:t>
      </w:r>
      <w:r w:rsidR="00816CBE" w:rsidRPr="009351CB">
        <w:rPr>
          <w:rFonts w:ascii="Times New Roman" w:hAnsi="Times New Roman"/>
          <w:bCs/>
          <w:i w:val="0"/>
          <w:sz w:val="24"/>
          <w:szCs w:val="24"/>
        </w:rPr>
        <w:t xml:space="preserve"> as a whole</w:t>
      </w:r>
      <w:r w:rsidR="00446635" w:rsidRPr="009351CB">
        <w:rPr>
          <w:rFonts w:ascii="Times New Roman" w:hAnsi="Times New Roman"/>
          <w:bCs/>
          <w:i w:val="0"/>
          <w:sz w:val="24"/>
          <w:szCs w:val="24"/>
        </w:rPr>
        <w:t xml:space="preserve">, as soon as </w:t>
      </w:r>
      <w:r w:rsidR="009C03C9" w:rsidRPr="009351CB">
        <w:rPr>
          <w:rFonts w:ascii="Times New Roman" w:hAnsi="Times New Roman"/>
          <w:bCs/>
          <w:i w:val="0"/>
          <w:sz w:val="24"/>
          <w:szCs w:val="24"/>
        </w:rPr>
        <w:t>the</w:t>
      </w:r>
      <w:r w:rsidR="00446635" w:rsidRPr="009351CB">
        <w:rPr>
          <w:rFonts w:ascii="Times New Roman" w:hAnsi="Times New Roman"/>
          <w:bCs/>
          <w:i w:val="0"/>
          <w:sz w:val="24"/>
          <w:szCs w:val="24"/>
        </w:rPr>
        <w:t xml:space="preserve"> programme permits.</w:t>
      </w:r>
    </w:p>
    <w:p w14:paraId="2D211258" w14:textId="77777777" w:rsidR="00446635" w:rsidRPr="009351CB" w:rsidRDefault="00446635" w:rsidP="009351CB">
      <w:pPr>
        <w:pStyle w:val="BodySingle"/>
        <w:spacing w:line="360" w:lineRule="auto"/>
        <w:ind w:left="851"/>
        <w:rPr>
          <w:rFonts w:ascii="Times New Roman" w:hAnsi="Times New Roman"/>
          <w:bCs/>
          <w:i w:val="0"/>
          <w:sz w:val="24"/>
          <w:szCs w:val="24"/>
        </w:rPr>
      </w:pPr>
    </w:p>
    <w:p w14:paraId="68C97FE0" w14:textId="2E49B7A9" w:rsidR="00E9635A" w:rsidRPr="009351CB" w:rsidRDefault="00754F2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A transformed </w:t>
      </w:r>
      <w:r w:rsidR="00706B3F" w:rsidRPr="009351CB">
        <w:rPr>
          <w:rFonts w:ascii="Times New Roman" w:hAnsi="Times New Roman"/>
          <w:b/>
          <w:sz w:val="24"/>
          <w:szCs w:val="24"/>
        </w:rPr>
        <w:t>l</w:t>
      </w:r>
      <w:r w:rsidRPr="009351CB">
        <w:rPr>
          <w:rFonts w:ascii="Times New Roman" w:hAnsi="Times New Roman"/>
          <w:b/>
          <w:sz w:val="24"/>
          <w:szCs w:val="24"/>
        </w:rPr>
        <w:t>e</w:t>
      </w:r>
      <w:r w:rsidR="00706B3F" w:rsidRPr="009351CB">
        <w:rPr>
          <w:rFonts w:ascii="Times New Roman" w:hAnsi="Times New Roman"/>
          <w:b/>
          <w:sz w:val="24"/>
          <w:szCs w:val="24"/>
        </w:rPr>
        <w:t>gal profession</w:t>
      </w:r>
      <w:r w:rsidR="00441B39" w:rsidRPr="009351CB">
        <w:rPr>
          <w:rFonts w:ascii="Times New Roman" w:hAnsi="Times New Roman"/>
          <w:b/>
          <w:sz w:val="24"/>
          <w:szCs w:val="24"/>
        </w:rPr>
        <w:t xml:space="preserve"> and briefing patterns</w:t>
      </w:r>
      <w:r w:rsidR="00853188" w:rsidRPr="009351CB">
        <w:rPr>
          <w:rFonts w:ascii="Times New Roman" w:hAnsi="Times New Roman"/>
          <w:i w:val="0"/>
          <w:sz w:val="24"/>
          <w:szCs w:val="24"/>
        </w:rPr>
        <w:t>. T</w:t>
      </w:r>
      <w:r w:rsidR="001B7B0E" w:rsidRPr="009351CB">
        <w:rPr>
          <w:rFonts w:ascii="Times New Roman" w:hAnsi="Times New Roman"/>
          <w:i w:val="0"/>
          <w:sz w:val="24"/>
          <w:szCs w:val="24"/>
        </w:rPr>
        <w:t>he Committee believes that a great deal mo</w:t>
      </w:r>
      <w:r w:rsidR="0082424D" w:rsidRPr="009351CB">
        <w:rPr>
          <w:rFonts w:ascii="Times New Roman" w:hAnsi="Times New Roman"/>
          <w:i w:val="0"/>
          <w:sz w:val="24"/>
          <w:szCs w:val="24"/>
        </w:rPr>
        <w:t>re needs to be done to support b</w:t>
      </w:r>
      <w:r w:rsidR="001B7B0E" w:rsidRPr="009351CB">
        <w:rPr>
          <w:rFonts w:ascii="Times New Roman" w:hAnsi="Times New Roman"/>
          <w:i w:val="0"/>
          <w:sz w:val="24"/>
          <w:szCs w:val="24"/>
        </w:rPr>
        <w:t>lack legal practitioners, especially black women, wishin</w:t>
      </w:r>
      <w:r w:rsidR="00446635" w:rsidRPr="009351CB">
        <w:rPr>
          <w:rFonts w:ascii="Times New Roman" w:hAnsi="Times New Roman"/>
          <w:i w:val="0"/>
          <w:sz w:val="24"/>
          <w:szCs w:val="24"/>
        </w:rPr>
        <w:t>g to make law their career.</w:t>
      </w:r>
      <w:r w:rsidR="00853188" w:rsidRPr="009351CB">
        <w:rPr>
          <w:rFonts w:ascii="Times New Roman" w:hAnsi="Times New Roman"/>
          <w:i w:val="0"/>
          <w:sz w:val="24"/>
          <w:szCs w:val="24"/>
        </w:rPr>
        <w:t xml:space="preserve"> The Committee notes the Department</w:t>
      </w:r>
      <w:r w:rsidR="00E43D76" w:rsidRPr="009351CB">
        <w:rPr>
          <w:rFonts w:ascii="Times New Roman" w:hAnsi="Times New Roman"/>
          <w:i w:val="0"/>
          <w:sz w:val="24"/>
          <w:szCs w:val="24"/>
        </w:rPr>
        <w:t>’</w:t>
      </w:r>
      <w:r w:rsidR="00853188" w:rsidRPr="009351CB">
        <w:rPr>
          <w:rFonts w:ascii="Times New Roman" w:hAnsi="Times New Roman"/>
          <w:i w:val="0"/>
          <w:sz w:val="24"/>
          <w:szCs w:val="24"/>
        </w:rPr>
        <w:t>s initiatives to ensure that its briefing patterns support previously disadvantaged individuals</w:t>
      </w:r>
      <w:r w:rsidR="001B7B0E" w:rsidRPr="009351CB">
        <w:rPr>
          <w:rFonts w:ascii="Times New Roman" w:hAnsi="Times New Roman"/>
          <w:i w:val="0"/>
          <w:sz w:val="24"/>
          <w:szCs w:val="24"/>
        </w:rPr>
        <w:t>.</w:t>
      </w:r>
      <w:r w:rsidR="00853188" w:rsidRPr="009351CB">
        <w:rPr>
          <w:rFonts w:ascii="Times New Roman" w:hAnsi="Times New Roman"/>
          <w:i w:val="0"/>
          <w:sz w:val="24"/>
          <w:szCs w:val="24"/>
        </w:rPr>
        <w:t xml:space="preserve"> Nevertheless, the impact of this does not seem to be felt by practitioners who complain </w:t>
      </w:r>
      <w:r w:rsidR="00E43D76" w:rsidRPr="009351CB">
        <w:rPr>
          <w:rFonts w:ascii="Times New Roman" w:hAnsi="Times New Roman"/>
          <w:i w:val="0"/>
          <w:sz w:val="24"/>
          <w:szCs w:val="24"/>
        </w:rPr>
        <w:t xml:space="preserve">that they </w:t>
      </w:r>
      <w:r w:rsidR="00853188" w:rsidRPr="009351CB">
        <w:rPr>
          <w:rFonts w:ascii="Times New Roman" w:hAnsi="Times New Roman"/>
          <w:i w:val="0"/>
          <w:sz w:val="24"/>
          <w:szCs w:val="24"/>
        </w:rPr>
        <w:t>lack work</w:t>
      </w:r>
      <w:r w:rsidR="00704DC9" w:rsidRPr="009351CB">
        <w:rPr>
          <w:rFonts w:ascii="Times New Roman" w:hAnsi="Times New Roman"/>
          <w:i w:val="0"/>
          <w:sz w:val="24"/>
          <w:szCs w:val="24"/>
        </w:rPr>
        <w:t xml:space="preserve"> </w:t>
      </w:r>
      <w:r w:rsidR="00B80CED" w:rsidRPr="009351CB">
        <w:rPr>
          <w:rFonts w:ascii="Times New Roman" w:hAnsi="Times New Roman"/>
          <w:i w:val="0"/>
          <w:sz w:val="24"/>
          <w:szCs w:val="24"/>
        </w:rPr>
        <w:t xml:space="preserve">to sustain viable practices. </w:t>
      </w:r>
      <w:r w:rsidR="00E43D76" w:rsidRPr="009351CB">
        <w:rPr>
          <w:rFonts w:ascii="Times New Roman" w:hAnsi="Times New Roman"/>
          <w:i w:val="0"/>
          <w:sz w:val="24"/>
          <w:szCs w:val="24"/>
        </w:rPr>
        <w:t>The Committee is of a view that t</w:t>
      </w:r>
      <w:r w:rsidR="00B80CED" w:rsidRPr="009351CB">
        <w:rPr>
          <w:rFonts w:ascii="Times New Roman" w:hAnsi="Times New Roman"/>
          <w:i w:val="0"/>
          <w:sz w:val="24"/>
          <w:szCs w:val="24"/>
        </w:rPr>
        <w:t xml:space="preserve">here </w:t>
      </w:r>
      <w:r w:rsidR="00704DC9" w:rsidRPr="009351CB">
        <w:rPr>
          <w:rFonts w:ascii="Times New Roman" w:hAnsi="Times New Roman"/>
          <w:i w:val="0"/>
          <w:sz w:val="24"/>
          <w:szCs w:val="24"/>
        </w:rPr>
        <w:t>is a need to ask why</w:t>
      </w:r>
      <w:r w:rsidR="00B80CED" w:rsidRPr="009351CB">
        <w:rPr>
          <w:rFonts w:ascii="Times New Roman" w:hAnsi="Times New Roman"/>
          <w:i w:val="0"/>
          <w:sz w:val="24"/>
          <w:szCs w:val="24"/>
        </w:rPr>
        <w:t xml:space="preserve"> this is so</w:t>
      </w:r>
      <w:r w:rsidR="00E43D76" w:rsidRPr="009351CB">
        <w:rPr>
          <w:rFonts w:ascii="Times New Roman" w:hAnsi="Times New Roman"/>
          <w:i w:val="0"/>
          <w:sz w:val="24"/>
          <w:szCs w:val="24"/>
        </w:rPr>
        <w:t xml:space="preserve"> and </w:t>
      </w:r>
      <w:r w:rsidR="00853188" w:rsidRPr="009351CB">
        <w:rPr>
          <w:rFonts w:ascii="Times New Roman" w:hAnsi="Times New Roman"/>
          <w:i w:val="0"/>
          <w:sz w:val="24"/>
          <w:szCs w:val="24"/>
        </w:rPr>
        <w:t xml:space="preserve">intends arranging a stakeholder engagement </w:t>
      </w:r>
      <w:r w:rsidR="00704DC9" w:rsidRPr="009351CB">
        <w:rPr>
          <w:rFonts w:ascii="Times New Roman" w:hAnsi="Times New Roman"/>
          <w:i w:val="0"/>
          <w:sz w:val="24"/>
          <w:szCs w:val="24"/>
        </w:rPr>
        <w:t xml:space="preserve">to explore </w:t>
      </w:r>
      <w:r w:rsidR="00B80CED" w:rsidRPr="009351CB">
        <w:rPr>
          <w:rFonts w:ascii="Times New Roman" w:hAnsi="Times New Roman"/>
          <w:i w:val="0"/>
          <w:sz w:val="24"/>
          <w:szCs w:val="24"/>
        </w:rPr>
        <w:t>this i</w:t>
      </w:r>
      <w:r w:rsidR="009B15BC" w:rsidRPr="009351CB">
        <w:rPr>
          <w:rFonts w:ascii="Times New Roman" w:hAnsi="Times New Roman"/>
          <w:i w:val="0"/>
          <w:sz w:val="24"/>
          <w:szCs w:val="24"/>
        </w:rPr>
        <w:t>n the near future.</w:t>
      </w:r>
    </w:p>
    <w:p w14:paraId="153BA046" w14:textId="77777777" w:rsidR="008B6DAE" w:rsidRPr="009351CB" w:rsidRDefault="008B6DAE" w:rsidP="009351CB">
      <w:pPr>
        <w:pStyle w:val="ListParagraph"/>
        <w:spacing w:line="360" w:lineRule="auto"/>
        <w:ind w:left="851" w:hanging="851"/>
        <w:rPr>
          <w:b/>
        </w:rPr>
      </w:pPr>
    </w:p>
    <w:p w14:paraId="2B80667D" w14:textId="398AA8D0" w:rsidR="00C82560" w:rsidRPr="009351CB" w:rsidRDefault="00C8256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Court annexed mediation. </w:t>
      </w:r>
      <w:r w:rsidRPr="009351CB">
        <w:rPr>
          <w:rFonts w:ascii="Times New Roman" w:hAnsi="Times New Roman"/>
          <w:i w:val="0"/>
          <w:sz w:val="24"/>
          <w:szCs w:val="24"/>
        </w:rPr>
        <w:t>The Committee requests a report on the progress regarding the court</w:t>
      </w:r>
      <w:r w:rsidR="00375B2F" w:rsidRPr="009351CB">
        <w:rPr>
          <w:rFonts w:ascii="Times New Roman" w:hAnsi="Times New Roman"/>
          <w:i w:val="0"/>
          <w:sz w:val="24"/>
          <w:szCs w:val="24"/>
        </w:rPr>
        <w:t xml:space="preserve"> annexed mediation project by 2</w:t>
      </w:r>
      <w:r w:rsidR="00E43D76" w:rsidRPr="009351CB">
        <w:rPr>
          <w:rFonts w:ascii="Times New Roman" w:hAnsi="Times New Roman"/>
          <w:i w:val="0"/>
          <w:sz w:val="24"/>
          <w:szCs w:val="24"/>
        </w:rPr>
        <w:t>9</w:t>
      </w:r>
      <w:r w:rsidRPr="009351CB">
        <w:rPr>
          <w:rFonts w:ascii="Times New Roman" w:hAnsi="Times New Roman"/>
          <w:i w:val="0"/>
          <w:sz w:val="24"/>
          <w:szCs w:val="24"/>
        </w:rPr>
        <w:t xml:space="preserve"> November 2019.</w:t>
      </w:r>
    </w:p>
    <w:p w14:paraId="77E880B4" w14:textId="77777777" w:rsidR="00C82560" w:rsidRPr="009351CB" w:rsidRDefault="00C82560" w:rsidP="009351CB">
      <w:pPr>
        <w:pStyle w:val="ListParagraph"/>
        <w:spacing w:line="360" w:lineRule="auto"/>
        <w:ind w:left="851" w:hanging="851"/>
        <w:rPr>
          <w:b/>
          <w:i/>
        </w:rPr>
      </w:pPr>
    </w:p>
    <w:p w14:paraId="077EF980" w14:textId="2D1B5EE4" w:rsidR="00E43D76" w:rsidRPr="002C3BE7" w:rsidRDefault="00144E09" w:rsidP="004F6019">
      <w:pPr>
        <w:pStyle w:val="BodySingle"/>
        <w:numPr>
          <w:ilvl w:val="1"/>
          <w:numId w:val="29"/>
        </w:numPr>
        <w:spacing w:line="360" w:lineRule="auto"/>
        <w:ind w:left="851" w:hanging="851"/>
        <w:rPr>
          <w:rFonts w:ascii="Times New Roman" w:hAnsi="Times New Roman"/>
          <w:i w:val="0"/>
          <w:sz w:val="24"/>
          <w:szCs w:val="24"/>
        </w:rPr>
      </w:pPr>
      <w:r w:rsidRPr="002C3BE7">
        <w:rPr>
          <w:rFonts w:ascii="Times New Roman" w:hAnsi="Times New Roman"/>
          <w:b/>
          <w:sz w:val="24"/>
          <w:szCs w:val="24"/>
        </w:rPr>
        <w:t>Sexual offences</w:t>
      </w:r>
      <w:r w:rsidR="00E03B23" w:rsidRPr="002C3BE7">
        <w:rPr>
          <w:rFonts w:ascii="Times New Roman" w:hAnsi="Times New Roman"/>
          <w:b/>
          <w:sz w:val="24"/>
          <w:szCs w:val="24"/>
        </w:rPr>
        <w:t xml:space="preserve"> matters</w:t>
      </w:r>
      <w:r w:rsidRPr="009351CB">
        <w:rPr>
          <w:rFonts w:ascii="Times New Roman" w:hAnsi="Times New Roman"/>
          <w:sz w:val="24"/>
          <w:szCs w:val="24"/>
        </w:rPr>
        <w:t xml:space="preserve">. </w:t>
      </w:r>
      <w:r w:rsidR="00796BC8" w:rsidRPr="002C3BE7">
        <w:rPr>
          <w:rFonts w:ascii="Times New Roman" w:hAnsi="Times New Roman"/>
          <w:i w:val="0"/>
          <w:sz w:val="24"/>
          <w:szCs w:val="24"/>
        </w:rPr>
        <w:t xml:space="preserve">The Committee welcomes </w:t>
      </w:r>
      <w:r w:rsidR="00E43D76" w:rsidRPr="002C3BE7">
        <w:rPr>
          <w:rFonts w:ascii="Times New Roman" w:hAnsi="Times New Roman"/>
          <w:i w:val="0"/>
          <w:sz w:val="24"/>
          <w:szCs w:val="24"/>
        </w:rPr>
        <w:t xml:space="preserve">the news </w:t>
      </w:r>
      <w:r w:rsidR="00796BC8" w:rsidRPr="002C3BE7">
        <w:rPr>
          <w:rFonts w:ascii="Times New Roman" w:hAnsi="Times New Roman"/>
          <w:i w:val="0"/>
          <w:sz w:val="24"/>
          <w:szCs w:val="24"/>
        </w:rPr>
        <w:t xml:space="preserve">that the Regulations for sexual offences courts are at an advanced staged with plans to gazette them in January 2020. </w:t>
      </w:r>
    </w:p>
    <w:p w14:paraId="7F26940E" w14:textId="77777777" w:rsidR="00E43D76" w:rsidRPr="002C3BE7" w:rsidRDefault="00E43D76" w:rsidP="002C3BE7">
      <w:pPr>
        <w:pStyle w:val="ListParagraph"/>
        <w:spacing w:line="360" w:lineRule="auto"/>
        <w:ind w:left="851"/>
        <w:jc w:val="both"/>
      </w:pPr>
    </w:p>
    <w:p w14:paraId="3CDD2635" w14:textId="21030B1A" w:rsidR="00E43D76" w:rsidRPr="009351CB" w:rsidRDefault="00301E0C" w:rsidP="002C3BE7">
      <w:pPr>
        <w:pStyle w:val="ListParagraph"/>
        <w:spacing w:line="360" w:lineRule="auto"/>
        <w:ind w:left="851"/>
        <w:jc w:val="both"/>
      </w:pPr>
      <w:r w:rsidRPr="009351CB">
        <w:t xml:space="preserve">Although the NPA reports an increase in the conviction rate for sexual offences, </w:t>
      </w:r>
      <w:r w:rsidR="00B37525" w:rsidRPr="009351CB">
        <w:t xml:space="preserve">the number of sexual offence cases in our courts that reach verdict is </w:t>
      </w:r>
      <w:r w:rsidR="00E43D76" w:rsidRPr="009351CB">
        <w:t xml:space="preserve">very </w:t>
      </w:r>
      <w:r w:rsidR="00B37525" w:rsidRPr="009351CB">
        <w:t xml:space="preserve">low. </w:t>
      </w:r>
      <w:r w:rsidR="009B15BC" w:rsidRPr="009351CB">
        <w:t xml:space="preserve">The Department has reported on the </w:t>
      </w:r>
      <w:r w:rsidR="00287A6E" w:rsidRPr="009351CB">
        <w:t xml:space="preserve">many </w:t>
      </w:r>
      <w:r w:rsidR="009B15BC" w:rsidRPr="009351CB">
        <w:t xml:space="preserve">challenges that have been identified, of which the biggest contributing factor is the current vacancy rate, specifically of </w:t>
      </w:r>
      <w:r w:rsidR="00796BC8" w:rsidRPr="009351CB">
        <w:t xml:space="preserve">experienced </w:t>
      </w:r>
      <w:r w:rsidR="009B15BC" w:rsidRPr="009351CB">
        <w:t>prosecutors and case manager</w:t>
      </w:r>
      <w:r w:rsidR="00287A6E" w:rsidRPr="009351CB">
        <w:t>s</w:t>
      </w:r>
      <w:r w:rsidR="009B15BC" w:rsidRPr="009351CB">
        <w:t xml:space="preserve"> at SOCA.</w:t>
      </w:r>
      <w:r w:rsidR="008B6DAE" w:rsidRPr="009351CB">
        <w:t xml:space="preserve"> The shortage of legal aid defenders due to vacancies is yet another factor in the delay and postponement of cases. </w:t>
      </w:r>
    </w:p>
    <w:p w14:paraId="3683B4FF" w14:textId="77777777" w:rsidR="00E43D76" w:rsidRPr="009351CB" w:rsidRDefault="00E43D76" w:rsidP="002C3BE7">
      <w:pPr>
        <w:pStyle w:val="ListParagraph"/>
        <w:spacing w:line="360" w:lineRule="auto"/>
        <w:ind w:left="851"/>
        <w:jc w:val="both"/>
      </w:pPr>
    </w:p>
    <w:p w14:paraId="14FD009A" w14:textId="77777777" w:rsidR="00E43D76" w:rsidRPr="009351CB" w:rsidRDefault="00796BC8" w:rsidP="002C3BE7">
      <w:pPr>
        <w:pStyle w:val="ListParagraph"/>
        <w:spacing w:line="360" w:lineRule="auto"/>
        <w:ind w:left="851"/>
        <w:jc w:val="both"/>
      </w:pPr>
      <w:r w:rsidRPr="009351CB">
        <w:t>T</w:t>
      </w:r>
      <w:r w:rsidR="00B37525" w:rsidRPr="009351CB">
        <w:t>he Department</w:t>
      </w:r>
      <w:r w:rsidR="00287A6E" w:rsidRPr="009351CB">
        <w:t xml:space="preserve"> reports the establishment of 17</w:t>
      </w:r>
      <w:r w:rsidR="00B37525" w:rsidRPr="009351CB">
        <w:t xml:space="preserve"> more dedicated sexual offence court rooms</w:t>
      </w:r>
      <w:r w:rsidR="009B15BC" w:rsidRPr="009351CB">
        <w:t xml:space="preserve"> in 2018</w:t>
      </w:r>
      <w:r w:rsidR="00533B7A" w:rsidRPr="009351CB">
        <w:t>/19</w:t>
      </w:r>
      <w:r w:rsidRPr="009351CB">
        <w:t xml:space="preserve"> but</w:t>
      </w:r>
      <w:r w:rsidR="00B37525" w:rsidRPr="009351CB">
        <w:t xml:space="preserve"> there are resource challenges that prevent the rollout of these courts at a greater pace</w:t>
      </w:r>
      <w:r w:rsidR="00287A6E" w:rsidRPr="009351CB">
        <w:t xml:space="preserve">. </w:t>
      </w:r>
      <w:r w:rsidRPr="009351CB">
        <w:t xml:space="preserve">The </w:t>
      </w:r>
      <w:r w:rsidR="00E43D76" w:rsidRPr="009351CB">
        <w:t>Committee is informed that the funding of further s</w:t>
      </w:r>
      <w:r w:rsidRPr="009351CB">
        <w:t>exual offences courts and the T</w:t>
      </w:r>
      <w:r w:rsidR="00E43D76" w:rsidRPr="009351CB">
        <w:t xml:space="preserve">huthuzela </w:t>
      </w:r>
      <w:r w:rsidRPr="009351CB">
        <w:t>C</w:t>
      </w:r>
      <w:r w:rsidR="00E43D76" w:rsidRPr="009351CB">
        <w:t>are Centres (TCCs)</w:t>
      </w:r>
      <w:r w:rsidRPr="009351CB">
        <w:t xml:space="preserve"> will come from CARA funds</w:t>
      </w:r>
      <w:r w:rsidR="00E43D76" w:rsidRPr="009351CB">
        <w:t>,</w:t>
      </w:r>
      <w:r w:rsidRPr="009351CB">
        <w:t xml:space="preserve"> as there is no dedicated budget. However, the CARA funds do not </w:t>
      </w:r>
      <w:r w:rsidR="00E43D76" w:rsidRPr="009351CB">
        <w:t xml:space="preserve">pay for </w:t>
      </w:r>
      <w:r w:rsidRPr="009351CB">
        <w:t xml:space="preserve">the human capital which is desperately required for these courts to perform optimally. </w:t>
      </w:r>
    </w:p>
    <w:p w14:paraId="098322D1" w14:textId="77777777" w:rsidR="00E43D76" w:rsidRPr="009351CB" w:rsidRDefault="00E43D76" w:rsidP="002C3BE7">
      <w:pPr>
        <w:pStyle w:val="ListParagraph"/>
        <w:spacing w:line="360" w:lineRule="auto"/>
        <w:ind w:left="851"/>
        <w:jc w:val="both"/>
      </w:pPr>
    </w:p>
    <w:p w14:paraId="4BBBC347" w14:textId="77777777" w:rsidR="00E43D76" w:rsidRPr="009351CB" w:rsidRDefault="00796BC8" w:rsidP="002C3BE7">
      <w:pPr>
        <w:pStyle w:val="ListParagraph"/>
        <w:spacing w:line="360" w:lineRule="auto"/>
        <w:ind w:left="851"/>
        <w:jc w:val="both"/>
      </w:pPr>
      <w:r w:rsidRPr="009351CB">
        <w:t>Budget constraints have also led to a moratorium on the appointment of further intermediaries, who play a critical role in providing support to witnesses, especially child witnesses.</w:t>
      </w:r>
      <w:r w:rsidR="008B6DAE" w:rsidRPr="009351CB">
        <w:t xml:space="preserve"> </w:t>
      </w:r>
    </w:p>
    <w:p w14:paraId="72A60B63" w14:textId="77777777" w:rsidR="00E43D76" w:rsidRPr="009351CB" w:rsidRDefault="00E43D76" w:rsidP="002C3BE7">
      <w:pPr>
        <w:pStyle w:val="ListParagraph"/>
        <w:spacing w:line="360" w:lineRule="auto"/>
        <w:ind w:left="851"/>
        <w:jc w:val="both"/>
      </w:pPr>
    </w:p>
    <w:p w14:paraId="77922F02" w14:textId="0970117F" w:rsidR="00B37525" w:rsidRPr="009351CB" w:rsidRDefault="00E43D76" w:rsidP="002C3BE7">
      <w:pPr>
        <w:pStyle w:val="ListParagraph"/>
        <w:spacing w:line="360" w:lineRule="auto"/>
        <w:ind w:left="851"/>
        <w:jc w:val="both"/>
      </w:pPr>
      <w:r w:rsidRPr="009351CB">
        <w:t>A</w:t>
      </w:r>
      <w:r w:rsidR="008B6DAE" w:rsidRPr="009351CB">
        <w:t xml:space="preserve"> lack of budget has also affected the achievement of the target in respect of the number of CCTV systems in 2018/19. The unreliability of essential court equipment, such as CCTVs, specifically where it is required for child witnesses has also been identified as contributing to court postponements.</w:t>
      </w:r>
    </w:p>
    <w:p w14:paraId="3E225F08" w14:textId="77777777" w:rsidR="00796BC8" w:rsidRPr="009351CB" w:rsidRDefault="00796BC8" w:rsidP="002C3BE7">
      <w:pPr>
        <w:pStyle w:val="BodySingle"/>
        <w:spacing w:line="360" w:lineRule="auto"/>
        <w:ind w:left="851"/>
        <w:rPr>
          <w:rFonts w:ascii="Times New Roman" w:hAnsi="Times New Roman"/>
          <w:i w:val="0"/>
          <w:sz w:val="24"/>
          <w:szCs w:val="24"/>
        </w:rPr>
      </w:pPr>
    </w:p>
    <w:p w14:paraId="47A480C2" w14:textId="635F3FF1" w:rsidR="00106280" w:rsidRPr="009351CB" w:rsidRDefault="008E5BE1" w:rsidP="002C3BE7">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The Committee notes</w:t>
      </w:r>
      <w:r w:rsidR="00D12797" w:rsidRPr="009351CB">
        <w:rPr>
          <w:rFonts w:ascii="Times New Roman" w:hAnsi="Times New Roman"/>
          <w:i w:val="0"/>
          <w:sz w:val="24"/>
          <w:szCs w:val="24"/>
        </w:rPr>
        <w:t xml:space="preserve"> </w:t>
      </w:r>
      <w:r w:rsidRPr="009351CB">
        <w:rPr>
          <w:rFonts w:ascii="Times New Roman" w:hAnsi="Times New Roman"/>
          <w:i w:val="0"/>
          <w:sz w:val="24"/>
          <w:szCs w:val="24"/>
        </w:rPr>
        <w:t>that the Department has tabled its 201</w:t>
      </w:r>
      <w:r w:rsidR="00E41194" w:rsidRPr="009351CB">
        <w:rPr>
          <w:rFonts w:ascii="Times New Roman" w:hAnsi="Times New Roman"/>
          <w:i w:val="0"/>
          <w:sz w:val="24"/>
          <w:szCs w:val="24"/>
        </w:rPr>
        <w:t>8</w:t>
      </w:r>
      <w:r w:rsidRPr="009351CB">
        <w:rPr>
          <w:rFonts w:ascii="Times New Roman" w:hAnsi="Times New Roman"/>
          <w:i w:val="0"/>
          <w:sz w:val="24"/>
          <w:szCs w:val="24"/>
        </w:rPr>
        <w:t>/1</w:t>
      </w:r>
      <w:r w:rsidR="00E41194" w:rsidRPr="009351CB">
        <w:rPr>
          <w:rFonts w:ascii="Times New Roman" w:hAnsi="Times New Roman"/>
          <w:i w:val="0"/>
          <w:sz w:val="24"/>
          <w:szCs w:val="24"/>
        </w:rPr>
        <w:t>9</w:t>
      </w:r>
      <w:r w:rsidRPr="009351CB">
        <w:rPr>
          <w:rFonts w:ascii="Times New Roman" w:hAnsi="Times New Roman"/>
          <w:i w:val="0"/>
          <w:sz w:val="24"/>
          <w:szCs w:val="24"/>
        </w:rPr>
        <w:t xml:space="preserve"> Report on the Implementation on the </w:t>
      </w:r>
      <w:r w:rsidR="002E00B3" w:rsidRPr="009351CB">
        <w:rPr>
          <w:rFonts w:ascii="Times New Roman" w:hAnsi="Times New Roman"/>
          <w:i w:val="0"/>
          <w:sz w:val="24"/>
          <w:szCs w:val="24"/>
        </w:rPr>
        <w:t>Criminal Law Se</w:t>
      </w:r>
      <w:r w:rsidRPr="009351CB">
        <w:rPr>
          <w:rFonts w:ascii="Times New Roman" w:hAnsi="Times New Roman"/>
          <w:i w:val="0"/>
          <w:sz w:val="24"/>
          <w:szCs w:val="24"/>
        </w:rPr>
        <w:t>xu</w:t>
      </w:r>
      <w:r w:rsidR="002E00B3" w:rsidRPr="009351CB">
        <w:rPr>
          <w:rFonts w:ascii="Times New Roman" w:hAnsi="Times New Roman"/>
          <w:i w:val="0"/>
          <w:sz w:val="24"/>
          <w:szCs w:val="24"/>
        </w:rPr>
        <w:t>al</w:t>
      </w:r>
      <w:r w:rsidRPr="009351CB">
        <w:rPr>
          <w:rFonts w:ascii="Times New Roman" w:hAnsi="Times New Roman"/>
          <w:i w:val="0"/>
          <w:sz w:val="24"/>
          <w:szCs w:val="24"/>
        </w:rPr>
        <w:t xml:space="preserve"> Offences and Related Matters Act and </w:t>
      </w:r>
      <w:r w:rsidR="00D12797" w:rsidRPr="009351CB">
        <w:rPr>
          <w:rFonts w:ascii="Times New Roman" w:hAnsi="Times New Roman"/>
          <w:i w:val="0"/>
          <w:sz w:val="24"/>
          <w:szCs w:val="24"/>
        </w:rPr>
        <w:t xml:space="preserve">believes that discussion of its contents will provide an opportunity for focused engagement on this issue. The Committee </w:t>
      </w:r>
      <w:r w:rsidR="00796BC8" w:rsidRPr="009351CB">
        <w:rPr>
          <w:rFonts w:ascii="Times New Roman" w:hAnsi="Times New Roman"/>
          <w:i w:val="0"/>
          <w:sz w:val="24"/>
          <w:szCs w:val="24"/>
        </w:rPr>
        <w:t xml:space="preserve">will arrange a dedicated </w:t>
      </w:r>
      <w:r w:rsidRPr="009351CB">
        <w:rPr>
          <w:rFonts w:ascii="Times New Roman" w:hAnsi="Times New Roman"/>
          <w:i w:val="0"/>
          <w:sz w:val="24"/>
          <w:szCs w:val="24"/>
        </w:rPr>
        <w:t>briefing</w:t>
      </w:r>
      <w:r w:rsidR="0016589F" w:rsidRPr="009351CB">
        <w:rPr>
          <w:rFonts w:ascii="Times New Roman" w:hAnsi="Times New Roman"/>
          <w:i w:val="0"/>
          <w:sz w:val="24"/>
          <w:szCs w:val="24"/>
        </w:rPr>
        <w:t xml:space="preserve"> </w:t>
      </w:r>
      <w:r w:rsidR="00E43D76" w:rsidRPr="009351CB">
        <w:rPr>
          <w:rFonts w:ascii="Times New Roman" w:hAnsi="Times New Roman"/>
          <w:i w:val="0"/>
          <w:sz w:val="24"/>
          <w:szCs w:val="24"/>
        </w:rPr>
        <w:t xml:space="preserve">on the Report </w:t>
      </w:r>
      <w:r w:rsidR="00796BC8" w:rsidRPr="009351CB">
        <w:rPr>
          <w:rFonts w:ascii="Times New Roman" w:hAnsi="Times New Roman"/>
          <w:i w:val="0"/>
          <w:sz w:val="24"/>
          <w:szCs w:val="24"/>
        </w:rPr>
        <w:t xml:space="preserve">involving key roleplayers </w:t>
      </w:r>
      <w:r w:rsidR="0016589F" w:rsidRPr="009351CB">
        <w:rPr>
          <w:rFonts w:ascii="Times New Roman" w:hAnsi="Times New Roman"/>
          <w:i w:val="0"/>
          <w:sz w:val="24"/>
          <w:szCs w:val="24"/>
        </w:rPr>
        <w:t>as soon as its programme permits</w:t>
      </w:r>
      <w:r w:rsidR="00E41194" w:rsidRPr="009351CB">
        <w:rPr>
          <w:rFonts w:ascii="Times New Roman" w:hAnsi="Times New Roman"/>
          <w:i w:val="0"/>
          <w:sz w:val="24"/>
          <w:szCs w:val="24"/>
        </w:rPr>
        <w:t>.</w:t>
      </w:r>
    </w:p>
    <w:p w14:paraId="0CEC7DED" w14:textId="77777777" w:rsidR="00C82560" w:rsidRPr="009351CB" w:rsidRDefault="00C82560" w:rsidP="009351CB">
      <w:pPr>
        <w:pStyle w:val="ListParagraph"/>
        <w:spacing w:line="360" w:lineRule="auto"/>
        <w:ind w:left="851" w:hanging="851"/>
        <w:jc w:val="both"/>
      </w:pPr>
    </w:p>
    <w:p w14:paraId="67A7B2B4" w14:textId="14F2F682" w:rsidR="00C82560" w:rsidRPr="009351CB" w:rsidRDefault="00C8256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Master’s Office.</w:t>
      </w:r>
      <w:r w:rsidRPr="009351CB">
        <w:rPr>
          <w:rFonts w:ascii="Times New Roman" w:hAnsi="Times New Roman"/>
          <w:i w:val="0"/>
          <w:sz w:val="24"/>
          <w:szCs w:val="24"/>
        </w:rPr>
        <w:t xml:space="preserve"> The Committee </w:t>
      </w:r>
      <w:r w:rsidR="00E43D76" w:rsidRPr="009351CB">
        <w:rPr>
          <w:rFonts w:ascii="Times New Roman" w:hAnsi="Times New Roman"/>
          <w:i w:val="0"/>
          <w:sz w:val="24"/>
          <w:szCs w:val="24"/>
        </w:rPr>
        <w:t xml:space="preserve">was informed of some of the challenges found </w:t>
      </w:r>
      <w:r w:rsidRPr="009351CB">
        <w:rPr>
          <w:rFonts w:ascii="Times New Roman" w:hAnsi="Times New Roman"/>
          <w:i w:val="0"/>
          <w:sz w:val="24"/>
          <w:szCs w:val="24"/>
        </w:rPr>
        <w:t>at the Master’s Offices in Cape Town, Johannes</w:t>
      </w:r>
      <w:r w:rsidR="00E43D76" w:rsidRPr="009351CB">
        <w:rPr>
          <w:rFonts w:ascii="Times New Roman" w:hAnsi="Times New Roman"/>
          <w:i w:val="0"/>
          <w:sz w:val="24"/>
          <w:szCs w:val="24"/>
        </w:rPr>
        <w:t xml:space="preserve">burg and Pretoria, and requests a full report from the Department </w:t>
      </w:r>
      <w:r w:rsidRPr="009351CB">
        <w:rPr>
          <w:rFonts w:ascii="Times New Roman" w:hAnsi="Times New Roman"/>
          <w:i w:val="0"/>
          <w:sz w:val="24"/>
          <w:szCs w:val="24"/>
        </w:rPr>
        <w:t>by 2</w:t>
      </w:r>
      <w:r w:rsidR="00375B2F" w:rsidRPr="009351CB">
        <w:rPr>
          <w:rFonts w:ascii="Times New Roman" w:hAnsi="Times New Roman"/>
          <w:i w:val="0"/>
          <w:sz w:val="24"/>
          <w:szCs w:val="24"/>
        </w:rPr>
        <w:t>2</w:t>
      </w:r>
      <w:r w:rsidR="00E43D76" w:rsidRPr="009351CB">
        <w:rPr>
          <w:rFonts w:ascii="Times New Roman" w:hAnsi="Times New Roman"/>
          <w:i w:val="0"/>
          <w:sz w:val="24"/>
          <w:szCs w:val="24"/>
        </w:rPr>
        <w:t xml:space="preserve"> November 2019. The Committee </w:t>
      </w:r>
      <w:r w:rsidRPr="009351CB">
        <w:rPr>
          <w:rFonts w:ascii="Times New Roman" w:hAnsi="Times New Roman"/>
          <w:i w:val="0"/>
          <w:sz w:val="24"/>
          <w:szCs w:val="24"/>
        </w:rPr>
        <w:t xml:space="preserve">will </w:t>
      </w:r>
      <w:r w:rsidR="00E43D76" w:rsidRPr="009351CB">
        <w:rPr>
          <w:rFonts w:ascii="Times New Roman" w:hAnsi="Times New Roman"/>
          <w:i w:val="0"/>
          <w:sz w:val="24"/>
          <w:szCs w:val="24"/>
        </w:rPr>
        <w:t xml:space="preserve">also </w:t>
      </w:r>
      <w:r w:rsidRPr="009351CB">
        <w:rPr>
          <w:rFonts w:ascii="Times New Roman" w:hAnsi="Times New Roman"/>
          <w:i w:val="0"/>
          <w:sz w:val="24"/>
          <w:szCs w:val="24"/>
        </w:rPr>
        <w:t>arrange a dedicated briefing as soon as its programme permits.</w:t>
      </w:r>
    </w:p>
    <w:p w14:paraId="277F99C7" w14:textId="77777777" w:rsidR="00C82560" w:rsidRPr="009351CB" w:rsidRDefault="00C82560" w:rsidP="009351CB">
      <w:pPr>
        <w:pStyle w:val="ListParagraph"/>
        <w:spacing w:line="360" w:lineRule="auto"/>
        <w:ind w:left="851" w:hanging="851"/>
      </w:pPr>
    </w:p>
    <w:p w14:paraId="653B40D5" w14:textId="77777777" w:rsidR="00C82560" w:rsidRPr="009351CB" w:rsidRDefault="00C8256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Insolvency Policy</w:t>
      </w:r>
      <w:r w:rsidRPr="009351CB">
        <w:rPr>
          <w:rFonts w:ascii="Times New Roman" w:hAnsi="Times New Roman"/>
          <w:i w:val="0"/>
          <w:sz w:val="24"/>
          <w:szCs w:val="24"/>
        </w:rPr>
        <w:t xml:space="preserve">. The Committee </w:t>
      </w:r>
      <w:r w:rsidR="00704DC9" w:rsidRPr="009351CB">
        <w:rPr>
          <w:rFonts w:ascii="Times New Roman" w:hAnsi="Times New Roman"/>
          <w:i w:val="0"/>
          <w:sz w:val="24"/>
          <w:szCs w:val="24"/>
        </w:rPr>
        <w:t>welcomes</w:t>
      </w:r>
      <w:r w:rsidRPr="009351CB">
        <w:rPr>
          <w:rFonts w:ascii="Times New Roman" w:hAnsi="Times New Roman"/>
          <w:i w:val="0"/>
          <w:sz w:val="24"/>
          <w:szCs w:val="24"/>
        </w:rPr>
        <w:t xml:space="preserve"> th</w:t>
      </w:r>
      <w:r w:rsidR="00704DC9" w:rsidRPr="009351CB">
        <w:rPr>
          <w:rFonts w:ascii="Times New Roman" w:hAnsi="Times New Roman"/>
          <w:i w:val="0"/>
          <w:sz w:val="24"/>
          <w:szCs w:val="24"/>
        </w:rPr>
        <w:t xml:space="preserve">e intention to have </w:t>
      </w:r>
      <w:r w:rsidRPr="009351CB">
        <w:rPr>
          <w:rFonts w:ascii="Times New Roman" w:hAnsi="Times New Roman"/>
          <w:i w:val="0"/>
          <w:sz w:val="24"/>
          <w:szCs w:val="24"/>
        </w:rPr>
        <w:t xml:space="preserve">an Insolvency Policy </w:t>
      </w:r>
      <w:r w:rsidR="00704DC9" w:rsidRPr="009351CB">
        <w:rPr>
          <w:rFonts w:ascii="Times New Roman" w:hAnsi="Times New Roman"/>
          <w:i w:val="0"/>
          <w:sz w:val="24"/>
          <w:szCs w:val="24"/>
        </w:rPr>
        <w:t>in place by the end of the financial year.</w:t>
      </w:r>
    </w:p>
    <w:p w14:paraId="2D33078B" w14:textId="77777777" w:rsidR="00704DC9" w:rsidRPr="009351CB" w:rsidRDefault="00704DC9" w:rsidP="009351CB">
      <w:pPr>
        <w:pStyle w:val="ListParagraph"/>
        <w:spacing w:line="360" w:lineRule="auto"/>
      </w:pPr>
    </w:p>
    <w:p w14:paraId="19B52302" w14:textId="77777777" w:rsidR="00704DC9" w:rsidRPr="009351CB" w:rsidRDefault="00704DC9" w:rsidP="009351CB">
      <w:pPr>
        <w:pStyle w:val="ListParagraph"/>
        <w:spacing w:line="360" w:lineRule="auto"/>
        <w:ind w:left="851"/>
        <w:jc w:val="both"/>
        <w:rPr>
          <w:i/>
        </w:rPr>
      </w:pPr>
    </w:p>
    <w:p w14:paraId="550CD074" w14:textId="77777777" w:rsidR="00106280" w:rsidRPr="009351CB" w:rsidRDefault="00106280" w:rsidP="004F6019">
      <w:pPr>
        <w:numPr>
          <w:ilvl w:val="0"/>
          <w:numId w:val="29"/>
        </w:numPr>
        <w:spacing w:line="360" w:lineRule="auto"/>
        <w:ind w:left="851" w:hanging="851"/>
        <w:rPr>
          <w:b/>
        </w:rPr>
      </w:pPr>
      <w:r w:rsidRPr="009351CB">
        <w:rPr>
          <w:b/>
        </w:rPr>
        <w:t>National Prosecuting Authority</w:t>
      </w:r>
    </w:p>
    <w:p w14:paraId="67A5CBFA" w14:textId="77777777" w:rsidR="00856DA7" w:rsidRPr="009351CB" w:rsidRDefault="00856DA7" w:rsidP="009351CB">
      <w:pPr>
        <w:spacing w:line="360" w:lineRule="auto"/>
        <w:rPr>
          <w:b/>
        </w:rPr>
      </w:pPr>
    </w:p>
    <w:p w14:paraId="47A74F81" w14:textId="77777777" w:rsidR="00B80CED" w:rsidRPr="009351CB" w:rsidRDefault="00B80CED" w:rsidP="004F6019">
      <w:pPr>
        <w:pStyle w:val="BodySingle"/>
        <w:numPr>
          <w:ilvl w:val="1"/>
          <w:numId w:val="29"/>
        </w:numPr>
        <w:spacing w:line="360" w:lineRule="auto"/>
        <w:ind w:left="851" w:hanging="851"/>
        <w:rPr>
          <w:rFonts w:ascii="Times New Roman" w:hAnsi="Times New Roman"/>
          <w:i w:val="0"/>
          <w:color w:val="000000" w:themeColor="text1"/>
          <w:sz w:val="24"/>
          <w:szCs w:val="24"/>
          <w:lang w:val="en"/>
        </w:rPr>
      </w:pPr>
      <w:r w:rsidRPr="009351CB">
        <w:rPr>
          <w:rFonts w:ascii="Times New Roman" w:hAnsi="Times New Roman"/>
          <w:b/>
          <w:i w:val="0"/>
          <w:sz w:val="24"/>
          <w:szCs w:val="24"/>
          <w:lang w:val="en"/>
        </w:rPr>
        <w:t>Strengthening the independence of the NPA</w:t>
      </w:r>
      <w:r w:rsidRPr="009351CB">
        <w:rPr>
          <w:rFonts w:ascii="Times New Roman" w:hAnsi="Times New Roman"/>
          <w:i w:val="0"/>
          <w:sz w:val="24"/>
          <w:szCs w:val="24"/>
          <w:lang w:val="en"/>
        </w:rPr>
        <w:t xml:space="preserve">. </w:t>
      </w:r>
      <w:r w:rsidRPr="009351CB">
        <w:rPr>
          <w:rFonts w:ascii="Times New Roman" w:hAnsi="Times New Roman"/>
          <w:i w:val="0"/>
          <w:color w:val="000000" w:themeColor="text1"/>
          <w:sz w:val="24"/>
          <w:szCs w:val="24"/>
          <w:lang w:val="en"/>
        </w:rPr>
        <w:t>Before 2014, National Treasury provided the NPA with an exemption that allowed it to prepare its own annual financial statements (AFS) separate from the Justice</w:t>
      </w:r>
      <w:r w:rsidR="00806E7F" w:rsidRPr="009351CB">
        <w:rPr>
          <w:rFonts w:ascii="Times New Roman" w:hAnsi="Times New Roman"/>
          <w:i w:val="0"/>
          <w:color w:val="000000" w:themeColor="text1"/>
          <w:sz w:val="24"/>
          <w:szCs w:val="24"/>
          <w:lang w:val="en"/>
        </w:rPr>
        <w:t xml:space="preserve"> department</w:t>
      </w:r>
      <w:r w:rsidRPr="009351CB">
        <w:rPr>
          <w:rFonts w:ascii="Times New Roman" w:hAnsi="Times New Roman"/>
          <w:i w:val="0"/>
          <w:color w:val="000000" w:themeColor="text1"/>
          <w:sz w:val="24"/>
          <w:szCs w:val="24"/>
          <w:lang w:val="en"/>
        </w:rPr>
        <w:t>. The exemption was given, pending the enactment of legislation that would clarify the NPA’s status was enacted. At the beginning of the Fifth Parliament, the situation changed in that the NPA is reported as a programme in the Justice Vote and no longer prepares separate annual financial statements. The NDPP, however, continues to table a separate annual report on its activities in terms of the NPA Act, 1998. The new NDPP, however, has indicated that it is not satisfactory for the NPA to have the DG: Justice and Constitutional Development as its accounting officer, a view that the Department appears to support. As stated in its Budget Report, July 2019, the Committee supports an independent prosecuting authority but will need to engage further on this matter to obtain a fuller understanding of the practicalities involved.</w:t>
      </w:r>
    </w:p>
    <w:p w14:paraId="78A1D39D" w14:textId="77777777" w:rsidR="00B80CED" w:rsidRPr="009351CB" w:rsidRDefault="00B80CED" w:rsidP="009351CB">
      <w:pPr>
        <w:tabs>
          <w:tab w:val="num" w:pos="1440"/>
        </w:tabs>
        <w:spacing w:line="360" w:lineRule="auto"/>
        <w:ind w:left="720"/>
        <w:jc w:val="both"/>
        <w:rPr>
          <w:lang w:val="en"/>
        </w:rPr>
      </w:pPr>
    </w:p>
    <w:p w14:paraId="7340205F" w14:textId="77777777" w:rsidR="001139AC" w:rsidRPr="009351CB" w:rsidRDefault="003752A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Budget shortfall</w:t>
      </w:r>
      <w:r w:rsidRPr="009351CB">
        <w:rPr>
          <w:rFonts w:ascii="Times New Roman" w:hAnsi="Times New Roman"/>
          <w:i w:val="0"/>
          <w:sz w:val="24"/>
          <w:szCs w:val="24"/>
        </w:rPr>
        <w:t xml:space="preserve">. </w:t>
      </w:r>
      <w:r w:rsidR="00106280" w:rsidRPr="009351CB">
        <w:rPr>
          <w:rFonts w:ascii="Times New Roman" w:hAnsi="Times New Roman"/>
          <w:i w:val="0"/>
          <w:sz w:val="24"/>
          <w:szCs w:val="24"/>
        </w:rPr>
        <w:t xml:space="preserve">The </w:t>
      </w:r>
      <w:r w:rsidR="00AD00A5" w:rsidRPr="009351CB">
        <w:rPr>
          <w:rFonts w:ascii="Times New Roman" w:hAnsi="Times New Roman"/>
          <w:i w:val="0"/>
          <w:sz w:val="24"/>
          <w:szCs w:val="24"/>
        </w:rPr>
        <w:t>Commi</w:t>
      </w:r>
      <w:r w:rsidR="008722A5" w:rsidRPr="009351CB">
        <w:rPr>
          <w:rFonts w:ascii="Times New Roman" w:hAnsi="Times New Roman"/>
          <w:i w:val="0"/>
          <w:sz w:val="24"/>
          <w:szCs w:val="24"/>
        </w:rPr>
        <w:t>ttee</w:t>
      </w:r>
      <w:r w:rsidR="00B80CED" w:rsidRPr="009351CB">
        <w:rPr>
          <w:rFonts w:ascii="Times New Roman" w:hAnsi="Times New Roman"/>
          <w:i w:val="0"/>
          <w:sz w:val="24"/>
          <w:szCs w:val="24"/>
        </w:rPr>
        <w:t xml:space="preserve"> i</w:t>
      </w:r>
      <w:r w:rsidR="00106280" w:rsidRPr="009351CB">
        <w:rPr>
          <w:rFonts w:ascii="Times New Roman" w:hAnsi="Times New Roman"/>
          <w:i w:val="0"/>
          <w:sz w:val="24"/>
          <w:szCs w:val="24"/>
        </w:rPr>
        <w:t xml:space="preserve">s of the view that insufficient weight </w:t>
      </w:r>
      <w:r w:rsidR="0012129B" w:rsidRPr="009351CB">
        <w:rPr>
          <w:rFonts w:ascii="Times New Roman" w:hAnsi="Times New Roman"/>
          <w:i w:val="0"/>
          <w:sz w:val="24"/>
          <w:szCs w:val="24"/>
        </w:rPr>
        <w:t xml:space="preserve">is being given </w:t>
      </w:r>
      <w:r w:rsidR="00106280" w:rsidRPr="009351CB">
        <w:rPr>
          <w:rFonts w:ascii="Times New Roman" w:hAnsi="Times New Roman"/>
          <w:i w:val="0"/>
          <w:sz w:val="24"/>
          <w:szCs w:val="24"/>
        </w:rPr>
        <w:t xml:space="preserve">to the essential nature of prosecutorial services. </w:t>
      </w:r>
      <w:r w:rsidR="00B80CED" w:rsidRPr="009351CB">
        <w:rPr>
          <w:rFonts w:ascii="Times New Roman" w:hAnsi="Times New Roman"/>
          <w:i w:val="0"/>
          <w:sz w:val="24"/>
          <w:szCs w:val="24"/>
        </w:rPr>
        <w:t xml:space="preserve">At the end of 2018/19, the vacancy rate at the NPA was 21%. </w:t>
      </w:r>
      <w:r w:rsidR="00AD0FC4" w:rsidRPr="009351CB">
        <w:rPr>
          <w:rFonts w:ascii="Times New Roman" w:hAnsi="Times New Roman"/>
          <w:i w:val="0"/>
          <w:sz w:val="24"/>
          <w:szCs w:val="24"/>
        </w:rPr>
        <w:t xml:space="preserve">Since then, 73 managers have left the NPA. </w:t>
      </w:r>
      <w:r w:rsidR="001139AC" w:rsidRPr="009351CB">
        <w:rPr>
          <w:rFonts w:ascii="Times New Roman" w:hAnsi="Times New Roman"/>
          <w:i w:val="0"/>
          <w:sz w:val="24"/>
          <w:szCs w:val="24"/>
        </w:rPr>
        <w:t xml:space="preserve">“Savings” from these vacancies as well as additional AENE funds of R102 million will be used to fill posts in the Investigating Directorate, AFU, SCCU and Witness Protection. </w:t>
      </w:r>
    </w:p>
    <w:p w14:paraId="7E26E3E7" w14:textId="77777777" w:rsidR="001139AC" w:rsidRPr="009351CB" w:rsidRDefault="001139AC" w:rsidP="002C3BE7">
      <w:pPr>
        <w:pStyle w:val="ListParagraph"/>
        <w:spacing w:line="360" w:lineRule="auto"/>
        <w:ind w:left="851"/>
        <w:rPr>
          <w:i/>
        </w:rPr>
      </w:pPr>
    </w:p>
    <w:p w14:paraId="35021DD0" w14:textId="598FFCC8" w:rsidR="00051860" w:rsidRPr="009351CB" w:rsidRDefault="00B80CED" w:rsidP="002C3BE7">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 xml:space="preserve">It is not acceptable </w:t>
      </w:r>
      <w:r w:rsidR="009C03C9" w:rsidRPr="009351CB">
        <w:rPr>
          <w:rFonts w:ascii="Times New Roman" w:hAnsi="Times New Roman"/>
          <w:i w:val="0"/>
          <w:sz w:val="24"/>
          <w:szCs w:val="24"/>
        </w:rPr>
        <w:t xml:space="preserve">to </w:t>
      </w:r>
      <w:r w:rsidRPr="009351CB">
        <w:rPr>
          <w:rFonts w:ascii="Times New Roman" w:hAnsi="Times New Roman"/>
          <w:i w:val="0"/>
          <w:sz w:val="24"/>
          <w:szCs w:val="24"/>
        </w:rPr>
        <w:t xml:space="preserve">continue to lose </w:t>
      </w:r>
      <w:r w:rsidR="00AD0FC4" w:rsidRPr="009351CB">
        <w:rPr>
          <w:rFonts w:ascii="Times New Roman" w:hAnsi="Times New Roman"/>
          <w:i w:val="0"/>
          <w:sz w:val="24"/>
          <w:szCs w:val="24"/>
        </w:rPr>
        <w:t xml:space="preserve">managers, </w:t>
      </w:r>
      <w:r w:rsidRPr="009351CB">
        <w:rPr>
          <w:rFonts w:ascii="Times New Roman" w:hAnsi="Times New Roman"/>
          <w:i w:val="0"/>
          <w:sz w:val="24"/>
          <w:szCs w:val="24"/>
        </w:rPr>
        <w:t xml:space="preserve">prosecutors and legal administrative and investigative staff at </w:t>
      </w:r>
      <w:r w:rsidR="009C03C9" w:rsidRPr="009351CB">
        <w:rPr>
          <w:rFonts w:ascii="Times New Roman" w:hAnsi="Times New Roman"/>
          <w:i w:val="0"/>
          <w:sz w:val="24"/>
          <w:szCs w:val="24"/>
        </w:rPr>
        <w:t xml:space="preserve">the NPA at </w:t>
      </w:r>
      <w:r w:rsidRPr="009351CB">
        <w:rPr>
          <w:rFonts w:ascii="Times New Roman" w:hAnsi="Times New Roman"/>
          <w:i w:val="0"/>
          <w:sz w:val="24"/>
          <w:szCs w:val="24"/>
        </w:rPr>
        <w:t>the rate that is happening at present</w:t>
      </w:r>
      <w:r w:rsidR="00AD0FC4" w:rsidRPr="009351CB">
        <w:rPr>
          <w:rFonts w:ascii="Times New Roman" w:hAnsi="Times New Roman"/>
          <w:i w:val="0"/>
          <w:sz w:val="24"/>
          <w:szCs w:val="24"/>
        </w:rPr>
        <w:t xml:space="preserve">. The lack of capacity increases the workload on remaining staff intolerably, which creates a host of </w:t>
      </w:r>
      <w:r w:rsidR="009C03C9" w:rsidRPr="009351CB">
        <w:rPr>
          <w:rFonts w:ascii="Times New Roman" w:hAnsi="Times New Roman"/>
          <w:i w:val="0"/>
          <w:sz w:val="24"/>
          <w:szCs w:val="24"/>
        </w:rPr>
        <w:t>further</w:t>
      </w:r>
      <w:r w:rsidR="00AD0FC4" w:rsidRPr="009351CB">
        <w:rPr>
          <w:rFonts w:ascii="Times New Roman" w:hAnsi="Times New Roman"/>
          <w:i w:val="0"/>
          <w:sz w:val="24"/>
          <w:szCs w:val="24"/>
        </w:rPr>
        <w:t xml:space="preserve"> problems. There are high expectations of the NPA but with high vacancy rates, low staff morale and limited profesional development and training these expectations are </w:t>
      </w:r>
      <w:r w:rsidR="00361771" w:rsidRPr="009351CB">
        <w:rPr>
          <w:rFonts w:ascii="Times New Roman" w:hAnsi="Times New Roman"/>
          <w:i w:val="0"/>
          <w:color w:val="000000" w:themeColor="text1"/>
          <w:sz w:val="24"/>
          <w:szCs w:val="24"/>
        </w:rPr>
        <w:t>u</w:t>
      </w:r>
      <w:r w:rsidR="00AD0FC4" w:rsidRPr="009351CB">
        <w:rPr>
          <w:rFonts w:ascii="Times New Roman" w:hAnsi="Times New Roman"/>
          <w:i w:val="0"/>
          <w:sz w:val="24"/>
          <w:szCs w:val="24"/>
        </w:rPr>
        <w:t xml:space="preserve">nreasonable. The Committee, </w:t>
      </w:r>
      <w:r w:rsidR="00106280" w:rsidRPr="009351CB">
        <w:rPr>
          <w:rFonts w:ascii="Times New Roman" w:hAnsi="Times New Roman"/>
          <w:i w:val="0"/>
          <w:sz w:val="24"/>
          <w:szCs w:val="24"/>
        </w:rPr>
        <w:t xml:space="preserve">therefore, </w:t>
      </w:r>
      <w:r w:rsidR="00AD0FC4" w:rsidRPr="009351CB">
        <w:rPr>
          <w:rFonts w:ascii="Times New Roman" w:hAnsi="Times New Roman"/>
          <w:i w:val="0"/>
          <w:sz w:val="24"/>
          <w:szCs w:val="24"/>
        </w:rPr>
        <w:t xml:space="preserve">the NPA’s budget request for </w:t>
      </w:r>
      <w:r w:rsidR="00106280" w:rsidRPr="009351CB">
        <w:rPr>
          <w:rFonts w:ascii="Times New Roman" w:hAnsi="Times New Roman"/>
          <w:i w:val="0"/>
          <w:sz w:val="24"/>
          <w:szCs w:val="24"/>
        </w:rPr>
        <w:t>additional funds be made available to</w:t>
      </w:r>
      <w:r w:rsidR="00AD00A5" w:rsidRPr="009351CB">
        <w:rPr>
          <w:rFonts w:ascii="Times New Roman" w:hAnsi="Times New Roman"/>
          <w:i w:val="0"/>
          <w:sz w:val="24"/>
          <w:szCs w:val="24"/>
        </w:rPr>
        <w:t xml:space="preserve"> address </w:t>
      </w:r>
      <w:r w:rsidR="0012129B" w:rsidRPr="009351CB">
        <w:rPr>
          <w:rFonts w:ascii="Times New Roman" w:hAnsi="Times New Roman"/>
          <w:i w:val="0"/>
          <w:sz w:val="24"/>
          <w:szCs w:val="24"/>
        </w:rPr>
        <w:t xml:space="preserve">the </w:t>
      </w:r>
      <w:r w:rsidR="00AD00A5" w:rsidRPr="009351CB">
        <w:rPr>
          <w:rFonts w:ascii="Times New Roman" w:hAnsi="Times New Roman"/>
          <w:i w:val="0"/>
          <w:sz w:val="24"/>
          <w:szCs w:val="24"/>
        </w:rPr>
        <w:t>shortfall on the NPA’</w:t>
      </w:r>
      <w:r w:rsidR="00AD206C" w:rsidRPr="009351CB">
        <w:rPr>
          <w:rFonts w:ascii="Times New Roman" w:hAnsi="Times New Roman"/>
          <w:i w:val="0"/>
          <w:sz w:val="24"/>
          <w:szCs w:val="24"/>
        </w:rPr>
        <w:t>s salar</w:t>
      </w:r>
      <w:r w:rsidR="00AD00A5" w:rsidRPr="009351CB">
        <w:rPr>
          <w:rFonts w:ascii="Times New Roman" w:hAnsi="Times New Roman"/>
          <w:i w:val="0"/>
          <w:sz w:val="24"/>
          <w:szCs w:val="24"/>
        </w:rPr>
        <w:t>ies budget</w:t>
      </w:r>
      <w:r w:rsidR="00280CA7" w:rsidRPr="009351CB">
        <w:rPr>
          <w:rFonts w:ascii="Times New Roman" w:hAnsi="Times New Roman"/>
          <w:i w:val="0"/>
          <w:sz w:val="24"/>
          <w:szCs w:val="24"/>
        </w:rPr>
        <w:t xml:space="preserve"> so that it can </w:t>
      </w:r>
      <w:r w:rsidR="0012129B" w:rsidRPr="009351CB">
        <w:rPr>
          <w:rFonts w:ascii="Times New Roman" w:hAnsi="Times New Roman"/>
          <w:i w:val="0"/>
          <w:sz w:val="24"/>
          <w:szCs w:val="24"/>
        </w:rPr>
        <w:t>fill vacancies</w:t>
      </w:r>
      <w:r w:rsidR="00AD0FC4" w:rsidRPr="009351CB">
        <w:rPr>
          <w:rFonts w:ascii="Times New Roman" w:hAnsi="Times New Roman"/>
          <w:i w:val="0"/>
          <w:sz w:val="24"/>
          <w:szCs w:val="24"/>
        </w:rPr>
        <w:t xml:space="preserve">, continue </w:t>
      </w:r>
      <w:r w:rsidR="001139AC" w:rsidRPr="009351CB">
        <w:rPr>
          <w:rFonts w:ascii="Times New Roman" w:hAnsi="Times New Roman"/>
          <w:i w:val="0"/>
          <w:sz w:val="24"/>
          <w:szCs w:val="24"/>
        </w:rPr>
        <w:t xml:space="preserve">the </w:t>
      </w:r>
      <w:r w:rsidR="00AD0FC4" w:rsidRPr="009351CB">
        <w:rPr>
          <w:rFonts w:ascii="Times New Roman" w:hAnsi="Times New Roman"/>
          <w:i w:val="0"/>
          <w:sz w:val="24"/>
          <w:szCs w:val="24"/>
        </w:rPr>
        <w:t>Aspirant Prosecutors Programme</w:t>
      </w:r>
      <w:r w:rsidR="001139AC" w:rsidRPr="009351CB">
        <w:rPr>
          <w:rFonts w:ascii="Times New Roman" w:hAnsi="Times New Roman"/>
          <w:i w:val="0"/>
          <w:sz w:val="24"/>
          <w:szCs w:val="24"/>
        </w:rPr>
        <w:t xml:space="preserve">, fill 158 critical posts, for the Investigating Directorate, AFU and SCCU capacity, for </w:t>
      </w:r>
      <w:r w:rsidR="00361771" w:rsidRPr="009351CB">
        <w:rPr>
          <w:rFonts w:ascii="Times New Roman" w:hAnsi="Times New Roman"/>
          <w:i w:val="0"/>
          <w:color w:val="000000" w:themeColor="text1"/>
          <w:sz w:val="24"/>
          <w:szCs w:val="24"/>
        </w:rPr>
        <w:t>w</w:t>
      </w:r>
      <w:r w:rsidR="001139AC" w:rsidRPr="009351CB">
        <w:rPr>
          <w:rFonts w:ascii="Times New Roman" w:hAnsi="Times New Roman"/>
          <w:i w:val="0"/>
          <w:sz w:val="24"/>
          <w:szCs w:val="24"/>
        </w:rPr>
        <w:t>itness protection and to address the operational budget shortfall</w:t>
      </w:r>
      <w:r w:rsidR="00051860" w:rsidRPr="009351CB">
        <w:rPr>
          <w:rFonts w:ascii="Times New Roman" w:hAnsi="Times New Roman"/>
          <w:i w:val="0"/>
          <w:sz w:val="24"/>
          <w:szCs w:val="24"/>
        </w:rPr>
        <w:t xml:space="preserve">. </w:t>
      </w:r>
      <w:r w:rsidR="00771BD0" w:rsidRPr="009351CB">
        <w:rPr>
          <w:rFonts w:ascii="Times New Roman" w:hAnsi="Times New Roman"/>
          <w:i w:val="0"/>
          <w:sz w:val="24"/>
          <w:szCs w:val="24"/>
        </w:rPr>
        <w:t xml:space="preserve">A </w:t>
      </w:r>
      <w:r w:rsidR="00051860" w:rsidRPr="009351CB">
        <w:rPr>
          <w:rFonts w:ascii="Times New Roman" w:hAnsi="Times New Roman"/>
          <w:i w:val="0"/>
          <w:sz w:val="24"/>
          <w:szCs w:val="24"/>
        </w:rPr>
        <w:t xml:space="preserve">breakdown of the NPA’s funding needs in this regard are set out </w:t>
      </w:r>
      <w:r w:rsidR="00D12797" w:rsidRPr="009351CB">
        <w:rPr>
          <w:rFonts w:ascii="Times New Roman" w:hAnsi="Times New Roman"/>
          <w:i w:val="0"/>
          <w:sz w:val="24"/>
          <w:szCs w:val="24"/>
        </w:rPr>
        <w:t xml:space="preserve">earlier </w:t>
      </w:r>
      <w:r w:rsidR="00280CA7" w:rsidRPr="009351CB">
        <w:rPr>
          <w:rFonts w:ascii="Times New Roman" w:hAnsi="Times New Roman"/>
          <w:i w:val="0"/>
          <w:sz w:val="24"/>
          <w:szCs w:val="24"/>
        </w:rPr>
        <w:t>in this report.</w:t>
      </w:r>
    </w:p>
    <w:p w14:paraId="2D3E8902" w14:textId="77777777" w:rsidR="00106280" w:rsidRPr="009351CB" w:rsidRDefault="00106280" w:rsidP="002C3BE7">
      <w:pPr>
        <w:pStyle w:val="BodySingle"/>
        <w:spacing w:line="360" w:lineRule="auto"/>
        <w:ind w:left="851"/>
        <w:rPr>
          <w:rFonts w:ascii="Times New Roman" w:hAnsi="Times New Roman"/>
          <w:i w:val="0"/>
          <w:sz w:val="24"/>
          <w:szCs w:val="24"/>
        </w:rPr>
      </w:pPr>
    </w:p>
    <w:p w14:paraId="531AE067" w14:textId="3A569B7F" w:rsidR="005C76EF" w:rsidRPr="009351CB" w:rsidRDefault="001139A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Measuiring performance</w:t>
      </w:r>
      <w:r w:rsidRPr="009351CB">
        <w:rPr>
          <w:rFonts w:ascii="Times New Roman" w:hAnsi="Times New Roman"/>
          <w:i w:val="0"/>
          <w:sz w:val="24"/>
          <w:szCs w:val="24"/>
        </w:rPr>
        <w:t xml:space="preserve">. The Committee agrees that </w:t>
      </w:r>
      <w:r w:rsidR="009C03C9" w:rsidRPr="009351CB">
        <w:rPr>
          <w:rFonts w:ascii="Times New Roman" w:hAnsi="Times New Roman"/>
          <w:i w:val="0"/>
          <w:sz w:val="24"/>
          <w:szCs w:val="24"/>
        </w:rPr>
        <w:t xml:space="preserve">although </w:t>
      </w:r>
      <w:r w:rsidRPr="009351CB">
        <w:rPr>
          <w:rFonts w:ascii="Times New Roman" w:hAnsi="Times New Roman"/>
          <w:i w:val="0"/>
          <w:sz w:val="24"/>
          <w:szCs w:val="24"/>
        </w:rPr>
        <w:t>conviction rates are a measure of performance</w:t>
      </w:r>
      <w:r w:rsidR="009C03C9" w:rsidRPr="009351CB">
        <w:rPr>
          <w:rFonts w:ascii="Times New Roman" w:hAnsi="Times New Roman"/>
          <w:i w:val="0"/>
          <w:sz w:val="24"/>
          <w:szCs w:val="24"/>
        </w:rPr>
        <w:t>,</w:t>
      </w:r>
      <w:r w:rsidRPr="009351CB">
        <w:rPr>
          <w:rFonts w:ascii="Times New Roman" w:hAnsi="Times New Roman"/>
          <w:i w:val="0"/>
          <w:sz w:val="24"/>
          <w:szCs w:val="24"/>
        </w:rPr>
        <w:t xml:space="preserve"> they do not measure impact. The Committee looks fo</w:t>
      </w:r>
      <w:r w:rsidR="009C03C9" w:rsidRPr="009351CB">
        <w:rPr>
          <w:rFonts w:ascii="Times New Roman" w:hAnsi="Times New Roman"/>
          <w:i w:val="0"/>
          <w:sz w:val="24"/>
          <w:szCs w:val="24"/>
        </w:rPr>
        <w:t xml:space="preserve">rward to the new planning cycle </w:t>
      </w:r>
      <w:r w:rsidRPr="009351CB">
        <w:rPr>
          <w:rFonts w:ascii="Times New Roman" w:hAnsi="Times New Roman"/>
          <w:i w:val="0"/>
          <w:sz w:val="24"/>
          <w:szCs w:val="24"/>
        </w:rPr>
        <w:t xml:space="preserve">where </w:t>
      </w:r>
      <w:r w:rsidR="009C03C9" w:rsidRPr="009351CB">
        <w:rPr>
          <w:rFonts w:ascii="Times New Roman" w:hAnsi="Times New Roman"/>
          <w:i w:val="0"/>
          <w:sz w:val="24"/>
          <w:szCs w:val="24"/>
        </w:rPr>
        <w:t xml:space="preserve">the introduction of impact meeasures will </w:t>
      </w:r>
      <w:r w:rsidRPr="009351CB">
        <w:rPr>
          <w:rFonts w:ascii="Times New Roman" w:hAnsi="Times New Roman"/>
          <w:i w:val="0"/>
          <w:sz w:val="24"/>
          <w:szCs w:val="24"/>
        </w:rPr>
        <w:t>be addressed.</w:t>
      </w:r>
    </w:p>
    <w:p w14:paraId="491F9E9E" w14:textId="77777777" w:rsidR="003752AC" w:rsidRPr="009351CB" w:rsidRDefault="003752AC" w:rsidP="002C3BE7">
      <w:pPr>
        <w:pStyle w:val="BodySingle"/>
        <w:spacing w:line="360" w:lineRule="auto"/>
        <w:ind w:left="851"/>
        <w:rPr>
          <w:rFonts w:ascii="Times New Roman" w:hAnsi="Times New Roman"/>
          <w:i w:val="0"/>
          <w:sz w:val="24"/>
          <w:szCs w:val="24"/>
        </w:rPr>
      </w:pPr>
    </w:p>
    <w:p w14:paraId="5D14ED03" w14:textId="77777777" w:rsidR="001139AC" w:rsidRPr="009351CB" w:rsidRDefault="001139A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Ethics and Accountability Mechanism</w:t>
      </w:r>
      <w:r w:rsidRPr="009351CB">
        <w:rPr>
          <w:rFonts w:ascii="Times New Roman" w:hAnsi="Times New Roman"/>
          <w:i w:val="0"/>
          <w:sz w:val="24"/>
          <w:szCs w:val="24"/>
        </w:rPr>
        <w:t xml:space="preserve">. The Committee welcomes the </w:t>
      </w:r>
      <w:r w:rsidR="003752AC" w:rsidRPr="009351CB">
        <w:rPr>
          <w:rFonts w:ascii="Times New Roman" w:hAnsi="Times New Roman"/>
          <w:i w:val="0"/>
          <w:sz w:val="24"/>
          <w:szCs w:val="24"/>
        </w:rPr>
        <w:t xml:space="preserve">NPA’s intention to introduce an </w:t>
      </w:r>
      <w:r w:rsidRPr="009351CB">
        <w:rPr>
          <w:rFonts w:ascii="Times New Roman" w:hAnsi="Times New Roman"/>
          <w:i w:val="0"/>
          <w:sz w:val="24"/>
          <w:szCs w:val="24"/>
        </w:rPr>
        <w:t xml:space="preserve">Ethics and Accountabilty </w:t>
      </w:r>
      <w:r w:rsidRPr="009351CB">
        <w:rPr>
          <w:rFonts w:ascii="Times New Roman" w:hAnsi="Times New Roman"/>
          <w:i w:val="0"/>
          <w:color w:val="000000" w:themeColor="text1"/>
          <w:sz w:val="24"/>
          <w:szCs w:val="24"/>
        </w:rPr>
        <w:t>mec</w:t>
      </w:r>
      <w:r w:rsidR="00361771" w:rsidRPr="009351CB">
        <w:rPr>
          <w:rFonts w:ascii="Times New Roman" w:hAnsi="Times New Roman"/>
          <w:i w:val="0"/>
          <w:color w:val="000000" w:themeColor="text1"/>
          <w:sz w:val="24"/>
          <w:szCs w:val="24"/>
        </w:rPr>
        <w:t>h</w:t>
      </w:r>
      <w:r w:rsidRPr="009351CB">
        <w:rPr>
          <w:rFonts w:ascii="Times New Roman" w:hAnsi="Times New Roman"/>
          <w:i w:val="0"/>
          <w:color w:val="000000" w:themeColor="text1"/>
          <w:sz w:val="24"/>
          <w:szCs w:val="24"/>
        </w:rPr>
        <w:t>anism</w:t>
      </w:r>
      <w:r w:rsidRPr="009351CB">
        <w:rPr>
          <w:rFonts w:ascii="Times New Roman" w:hAnsi="Times New Roman"/>
          <w:i w:val="0"/>
          <w:sz w:val="24"/>
          <w:szCs w:val="24"/>
        </w:rPr>
        <w:t xml:space="preserve"> as provided for in section 22 of the National Prosecuting Authority Act, 1998. </w:t>
      </w:r>
    </w:p>
    <w:p w14:paraId="06D56F39" w14:textId="77777777" w:rsidR="003752AC" w:rsidRPr="009351CB" w:rsidRDefault="003752AC" w:rsidP="002C3BE7">
      <w:pPr>
        <w:pStyle w:val="ListParagraph"/>
        <w:spacing w:line="360" w:lineRule="auto"/>
        <w:ind w:left="851"/>
        <w:rPr>
          <w:i/>
        </w:rPr>
      </w:pPr>
    </w:p>
    <w:p w14:paraId="45189D19" w14:textId="0414A64A" w:rsidR="003752AC" w:rsidRPr="009351CB" w:rsidRDefault="003752A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Gender-based Violence</w:t>
      </w:r>
      <w:r w:rsidRPr="009351CB">
        <w:rPr>
          <w:rFonts w:ascii="Times New Roman" w:hAnsi="Times New Roman"/>
          <w:i w:val="0"/>
          <w:sz w:val="24"/>
          <w:szCs w:val="24"/>
        </w:rPr>
        <w:t xml:space="preserve">. The Committee notes the need for specialist prosecutors to prosecute sexual offences cases and for revitalised TCCs. The Committee </w:t>
      </w:r>
      <w:r w:rsidR="009C03C9" w:rsidRPr="009351CB">
        <w:rPr>
          <w:rFonts w:ascii="Times New Roman" w:hAnsi="Times New Roman"/>
          <w:i w:val="0"/>
          <w:sz w:val="24"/>
          <w:szCs w:val="24"/>
        </w:rPr>
        <w:t xml:space="preserve">also </w:t>
      </w:r>
      <w:r w:rsidRPr="009351CB">
        <w:rPr>
          <w:rFonts w:ascii="Times New Roman" w:hAnsi="Times New Roman"/>
          <w:i w:val="0"/>
          <w:sz w:val="24"/>
          <w:szCs w:val="24"/>
        </w:rPr>
        <w:t xml:space="preserve">notes that there are high vacancies at the TCCS, in particular for site co-rdinators, victim assistance officers and case managers. </w:t>
      </w:r>
      <w:r w:rsidR="009C03C9" w:rsidRPr="009351CB">
        <w:rPr>
          <w:rFonts w:ascii="Times New Roman" w:hAnsi="Times New Roman"/>
          <w:i w:val="0"/>
          <w:sz w:val="24"/>
          <w:szCs w:val="24"/>
        </w:rPr>
        <w:t xml:space="preserve">The </w:t>
      </w:r>
      <w:r w:rsidRPr="009351CB">
        <w:rPr>
          <w:rFonts w:ascii="Times New Roman" w:hAnsi="Times New Roman"/>
          <w:i w:val="0"/>
          <w:sz w:val="24"/>
          <w:szCs w:val="24"/>
        </w:rPr>
        <w:t>Committee understands that an amount of R1.1 billion is to be reprioritsed within government to address gender-based violence. The Committee requests a report on the</w:t>
      </w:r>
      <w:r w:rsidR="006345FF" w:rsidRPr="009351CB">
        <w:rPr>
          <w:rFonts w:ascii="Times New Roman" w:hAnsi="Times New Roman"/>
          <w:i w:val="0"/>
          <w:sz w:val="24"/>
          <w:szCs w:val="24"/>
        </w:rPr>
        <w:t xml:space="preserve"> breakdown of</w:t>
      </w:r>
      <w:r w:rsidRPr="009351CB">
        <w:rPr>
          <w:rFonts w:ascii="Times New Roman" w:hAnsi="Times New Roman"/>
          <w:i w:val="0"/>
          <w:sz w:val="24"/>
          <w:szCs w:val="24"/>
        </w:rPr>
        <w:t xml:space="preserve"> funds that are to be made available </w:t>
      </w:r>
      <w:r w:rsidR="006345FF" w:rsidRPr="009351CB">
        <w:rPr>
          <w:rFonts w:ascii="Times New Roman" w:hAnsi="Times New Roman"/>
          <w:i w:val="0"/>
          <w:sz w:val="24"/>
          <w:szCs w:val="24"/>
        </w:rPr>
        <w:t>to the NPA for this priority.</w:t>
      </w:r>
      <w:r w:rsidRPr="009351CB">
        <w:rPr>
          <w:rFonts w:ascii="Times New Roman" w:hAnsi="Times New Roman"/>
          <w:i w:val="0"/>
          <w:sz w:val="24"/>
          <w:szCs w:val="24"/>
        </w:rPr>
        <w:t xml:space="preserve"> </w:t>
      </w:r>
    </w:p>
    <w:p w14:paraId="5C4F952F" w14:textId="77777777" w:rsidR="005F52C2" w:rsidRPr="009351CB" w:rsidRDefault="005F52C2" w:rsidP="002C3BE7">
      <w:pPr>
        <w:pStyle w:val="BodySingle"/>
        <w:spacing w:line="360" w:lineRule="auto"/>
        <w:ind w:left="851"/>
        <w:rPr>
          <w:rFonts w:ascii="Times New Roman" w:hAnsi="Times New Roman"/>
          <w:i w:val="0"/>
          <w:sz w:val="24"/>
          <w:szCs w:val="24"/>
        </w:rPr>
      </w:pPr>
    </w:p>
    <w:p w14:paraId="741B0264" w14:textId="77777777" w:rsidR="001139AC" w:rsidRPr="009351CB" w:rsidRDefault="001139AC" w:rsidP="002C3BE7">
      <w:pPr>
        <w:pStyle w:val="BodySingle"/>
        <w:spacing w:line="360" w:lineRule="auto"/>
        <w:ind w:left="851"/>
        <w:rPr>
          <w:rFonts w:ascii="Times New Roman" w:hAnsi="Times New Roman"/>
          <w:i w:val="0"/>
          <w:sz w:val="24"/>
          <w:szCs w:val="24"/>
        </w:rPr>
      </w:pPr>
    </w:p>
    <w:p w14:paraId="4B3799C2" w14:textId="77777777" w:rsidR="00FD44FC" w:rsidRPr="009351CB" w:rsidRDefault="00FD44FC" w:rsidP="004F6019">
      <w:pPr>
        <w:numPr>
          <w:ilvl w:val="0"/>
          <w:numId w:val="29"/>
        </w:numPr>
        <w:spacing w:line="360" w:lineRule="auto"/>
        <w:ind w:left="851" w:hanging="851"/>
        <w:rPr>
          <w:b/>
        </w:rPr>
      </w:pPr>
      <w:r w:rsidRPr="009351CB">
        <w:rPr>
          <w:b/>
        </w:rPr>
        <w:t>Information Regulator</w:t>
      </w:r>
    </w:p>
    <w:p w14:paraId="2F1282D1" w14:textId="77777777" w:rsidR="00FD44FC" w:rsidRPr="009351CB" w:rsidRDefault="00FD44FC" w:rsidP="009351CB">
      <w:pPr>
        <w:pStyle w:val="BodySingle"/>
        <w:spacing w:line="360" w:lineRule="auto"/>
        <w:ind w:left="709"/>
        <w:rPr>
          <w:rFonts w:ascii="Times New Roman" w:hAnsi="Times New Roman"/>
          <w:b/>
          <w:sz w:val="24"/>
          <w:szCs w:val="24"/>
        </w:rPr>
      </w:pPr>
    </w:p>
    <w:p w14:paraId="74314F82" w14:textId="1267D946" w:rsidR="00FD44FC" w:rsidRPr="009351CB" w:rsidRDefault="00FD44F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In the Committee’s view</w:t>
      </w:r>
      <w:r w:rsidR="003E1722" w:rsidRPr="009351CB">
        <w:rPr>
          <w:rFonts w:ascii="Times New Roman" w:hAnsi="Times New Roman"/>
          <w:i w:val="0"/>
          <w:sz w:val="24"/>
          <w:szCs w:val="24"/>
        </w:rPr>
        <w:t>,</w:t>
      </w:r>
      <w:r w:rsidRPr="009351CB">
        <w:rPr>
          <w:rFonts w:ascii="Times New Roman" w:hAnsi="Times New Roman"/>
          <w:i w:val="0"/>
          <w:sz w:val="24"/>
          <w:szCs w:val="24"/>
        </w:rPr>
        <w:t xml:space="preserve"> the establishment of the Information Regulator is a priority. Unless the Regulator is </w:t>
      </w:r>
      <w:r w:rsidRPr="009351CB">
        <w:rPr>
          <w:rFonts w:ascii="Times New Roman" w:hAnsi="Times New Roman"/>
          <w:i w:val="0"/>
          <w:color w:val="000000" w:themeColor="text1"/>
          <w:sz w:val="24"/>
          <w:szCs w:val="24"/>
        </w:rPr>
        <w:t>adequately cap</w:t>
      </w:r>
      <w:r w:rsidR="00361771" w:rsidRPr="009351CB">
        <w:rPr>
          <w:rFonts w:ascii="Times New Roman" w:hAnsi="Times New Roman"/>
          <w:i w:val="0"/>
          <w:color w:val="000000" w:themeColor="text1"/>
          <w:sz w:val="24"/>
          <w:szCs w:val="24"/>
        </w:rPr>
        <w:t>a</w:t>
      </w:r>
      <w:r w:rsidRPr="009351CB">
        <w:rPr>
          <w:rFonts w:ascii="Times New Roman" w:hAnsi="Times New Roman"/>
          <w:i w:val="0"/>
          <w:color w:val="000000" w:themeColor="text1"/>
          <w:sz w:val="24"/>
          <w:szCs w:val="24"/>
        </w:rPr>
        <w:t xml:space="preserve">citated </w:t>
      </w:r>
      <w:r w:rsidR="0022461E" w:rsidRPr="009351CB">
        <w:rPr>
          <w:rFonts w:ascii="Times New Roman" w:hAnsi="Times New Roman"/>
          <w:i w:val="0"/>
          <w:sz w:val="24"/>
          <w:szCs w:val="24"/>
        </w:rPr>
        <w:t xml:space="preserve">for </w:t>
      </w:r>
      <w:r w:rsidRPr="009351CB">
        <w:rPr>
          <w:rFonts w:ascii="Times New Roman" w:hAnsi="Times New Roman"/>
          <w:i w:val="0"/>
          <w:sz w:val="24"/>
          <w:szCs w:val="24"/>
        </w:rPr>
        <w:t>it to be able to fulfil its functions, the remaining provisions of POPIA will not be declared operational. In this regard, the Committee is frustrated at the slow pace at which capacitation is taking place, given how important it is for South Africa to have a legislative framework th</w:t>
      </w:r>
      <w:r w:rsidR="0022461E" w:rsidRPr="009351CB">
        <w:rPr>
          <w:rFonts w:ascii="Times New Roman" w:hAnsi="Times New Roman"/>
          <w:i w:val="0"/>
          <w:sz w:val="24"/>
          <w:szCs w:val="24"/>
        </w:rPr>
        <w:t>at protects personal data</w:t>
      </w:r>
      <w:r w:rsidRPr="009351CB">
        <w:rPr>
          <w:rFonts w:ascii="Times New Roman" w:hAnsi="Times New Roman"/>
          <w:i w:val="0"/>
          <w:sz w:val="24"/>
          <w:szCs w:val="24"/>
        </w:rPr>
        <w:t>. Worldwide, data protection legisalation is seen as a key component in securing information so that it does not fall into the wrong hands. The Committee also notes the significant cost of data breaches.</w:t>
      </w:r>
      <w:r w:rsidR="006345FF" w:rsidRPr="009351CB">
        <w:rPr>
          <w:rFonts w:ascii="Times New Roman" w:hAnsi="Times New Roman"/>
          <w:i w:val="0"/>
          <w:sz w:val="24"/>
          <w:szCs w:val="24"/>
        </w:rPr>
        <w:t xml:space="preserve"> The Committee, therefore, is at pains to emphasise that the need to operationalise the Information Regulator is urgent</w:t>
      </w:r>
      <w:r w:rsidRPr="009351CB">
        <w:rPr>
          <w:rFonts w:ascii="Times New Roman" w:hAnsi="Times New Roman"/>
          <w:i w:val="0"/>
          <w:sz w:val="24"/>
          <w:szCs w:val="24"/>
        </w:rPr>
        <w:t>.</w:t>
      </w:r>
      <w:r w:rsidR="006345FF" w:rsidRPr="009351CB">
        <w:rPr>
          <w:rFonts w:ascii="Times New Roman" w:hAnsi="Times New Roman"/>
          <w:i w:val="0"/>
          <w:sz w:val="24"/>
          <w:szCs w:val="24"/>
        </w:rPr>
        <w:t xml:space="preserve"> The Committee also requests that the Ministry continue to provide all the necessary support to assist the Informatiom Regulator in its efforts to get up and running.</w:t>
      </w:r>
    </w:p>
    <w:p w14:paraId="22C42849" w14:textId="77777777" w:rsidR="00FD44FC" w:rsidRPr="009351CB" w:rsidRDefault="00FD44FC" w:rsidP="009351CB">
      <w:pPr>
        <w:pStyle w:val="BodySingle"/>
        <w:spacing w:line="360" w:lineRule="auto"/>
        <w:ind w:left="709"/>
        <w:rPr>
          <w:rFonts w:ascii="Times New Roman" w:hAnsi="Times New Roman"/>
          <w:b/>
          <w:sz w:val="24"/>
          <w:szCs w:val="24"/>
        </w:rPr>
      </w:pPr>
    </w:p>
    <w:p w14:paraId="5A4A4E50" w14:textId="77777777" w:rsidR="006345FF" w:rsidRPr="009351CB" w:rsidRDefault="00FD44FC" w:rsidP="004F6019">
      <w:pPr>
        <w:pStyle w:val="BodySingle"/>
        <w:numPr>
          <w:ilvl w:val="1"/>
          <w:numId w:val="29"/>
        </w:numPr>
        <w:spacing w:line="360" w:lineRule="auto"/>
        <w:ind w:left="709" w:hanging="709"/>
        <w:rPr>
          <w:rFonts w:ascii="Times New Roman" w:hAnsi="Times New Roman"/>
          <w:i w:val="0"/>
          <w:sz w:val="24"/>
          <w:szCs w:val="24"/>
        </w:rPr>
      </w:pPr>
      <w:r w:rsidRPr="009351CB">
        <w:rPr>
          <w:rFonts w:ascii="Times New Roman" w:hAnsi="Times New Roman"/>
          <w:i w:val="0"/>
          <w:sz w:val="24"/>
          <w:szCs w:val="24"/>
        </w:rPr>
        <w:t xml:space="preserve">The </w:t>
      </w:r>
      <w:r w:rsidR="003E1722" w:rsidRPr="009351CB">
        <w:rPr>
          <w:rFonts w:ascii="Times New Roman" w:hAnsi="Times New Roman"/>
          <w:i w:val="0"/>
          <w:sz w:val="24"/>
          <w:szCs w:val="24"/>
        </w:rPr>
        <w:t xml:space="preserve">Regulator informed the Committee that it </w:t>
      </w:r>
      <w:r w:rsidR="006345FF" w:rsidRPr="009351CB">
        <w:rPr>
          <w:rFonts w:ascii="Times New Roman" w:hAnsi="Times New Roman"/>
          <w:i w:val="0"/>
          <w:sz w:val="24"/>
          <w:szCs w:val="24"/>
        </w:rPr>
        <w:t xml:space="preserve">will have </w:t>
      </w:r>
      <w:r w:rsidR="006345FF" w:rsidRPr="009351CB">
        <w:rPr>
          <w:rFonts w:ascii="Times New Roman" w:hAnsi="Times New Roman"/>
          <w:i w:val="0"/>
          <w:color w:val="000000" w:themeColor="text1"/>
          <w:sz w:val="24"/>
          <w:szCs w:val="24"/>
        </w:rPr>
        <w:t>a cr</w:t>
      </w:r>
      <w:r w:rsidR="00361771" w:rsidRPr="009351CB">
        <w:rPr>
          <w:rFonts w:ascii="Times New Roman" w:hAnsi="Times New Roman"/>
          <w:i w:val="0"/>
          <w:color w:val="000000" w:themeColor="text1"/>
          <w:sz w:val="24"/>
          <w:szCs w:val="24"/>
        </w:rPr>
        <w:t>e</w:t>
      </w:r>
      <w:r w:rsidR="006345FF" w:rsidRPr="009351CB">
        <w:rPr>
          <w:rFonts w:ascii="Times New Roman" w:hAnsi="Times New Roman"/>
          <w:i w:val="0"/>
          <w:color w:val="000000" w:themeColor="text1"/>
          <w:sz w:val="24"/>
          <w:szCs w:val="24"/>
        </w:rPr>
        <w:t xml:space="preserve">dible </w:t>
      </w:r>
      <w:r w:rsidR="006345FF" w:rsidRPr="009351CB">
        <w:rPr>
          <w:rFonts w:ascii="Times New Roman" w:hAnsi="Times New Roman"/>
          <w:i w:val="0"/>
          <w:sz w:val="24"/>
          <w:szCs w:val="24"/>
        </w:rPr>
        <w:t xml:space="preserve">budget in the 2020 MTEF. It has also </w:t>
      </w:r>
      <w:r w:rsidR="003E1722" w:rsidRPr="009351CB">
        <w:rPr>
          <w:rFonts w:ascii="Times New Roman" w:hAnsi="Times New Roman"/>
          <w:i w:val="0"/>
          <w:sz w:val="24"/>
          <w:szCs w:val="24"/>
        </w:rPr>
        <w:t xml:space="preserve">been given approval </w:t>
      </w:r>
      <w:r w:rsidR="006345FF" w:rsidRPr="009351CB">
        <w:rPr>
          <w:rFonts w:ascii="Times New Roman" w:hAnsi="Times New Roman"/>
          <w:i w:val="0"/>
          <w:sz w:val="24"/>
          <w:szCs w:val="24"/>
        </w:rPr>
        <w:t xml:space="preserve">for a staff establishment of 430 posts and the “go ahead” to appoint 41 staff member in 2020/21, which </w:t>
      </w:r>
      <w:r w:rsidR="003E1722" w:rsidRPr="009351CB">
        <w:rPr>
          <w:rFonts w:ascii="Times New Roman" w:hAnsi="Times New Roman"/>
          <w:i w:val="0"/>
          <w:sz w:val="24"/>
          <w:szCs w:val="24"/>
        </w:rPr>
        <w:t xml:space="preserve">is a welcome development. </w:t>
      </w:r>
    </w:p>
    <w:p w14:paraId="6FAB2C13" w14:textId="77777777" w:rsidR="006345FF" w:rsidRPr="009351CB" w:rsidRDefault="006345FF" w:rsidP="009351CB">
      <w:pPr>
        <w:pStyle w:val="ListParagraph"/>
        <w:spacing w:line="360" w:lineRule="auto"/>
        <w:rPr>
          <w:i/>
        </w:rPr>
      </w:pPr>
    </w:p>
    <w:p w14:paraId="14C6CD04" w14:textId="77777777" w:rsidR="00FD44FC" w:rsidRPr="009351CB" w:rsidRDefault="003E1722" w:rsidP="004F6019">
      <w:pPr>
        <w:pStyle w:val="BodySingle"/>
        <w:numPr>
          <w:ilvl w:val="1"/>
          <w:numId w:val="29"/>
        </w:numPr>
        <w:spacing w:line="360" w:lineRule="auto"/>
        <w:ind w:left="709" w:hanging="709"/>
        <w:rPr>
          <w:rFonts w:ascii="Times New Roman" w:hAnsi="Times New Roman"/>
          <w:i w:val="0"/>
          <w:sz w:val="24"/>
          <w:szCs w:val="24"/>
        </w:rPr>
      </w:pPr>
      <w:r w:rsidRPr="009351CB">
        <w:rPr>
          <w:rFonts w:ascii="Times New Roman" w:hAnsi="Times New Roman"/>
          <w:i w:val="0"/>
          <w:sz w:val="24"/>
          <w:szCs w:val="24"/>
        </w:rPr>
        <w:t xml:space="preserve">The Committee notes too that the Regulator </w:t>
      </w:r>
      <w:r w:rsidR="006345FF" w:rsidRPr="009351CB">
        <w:rPr>
          <w:rFonts w:ascii="Times New Roman" w:hAnsi="Times New Roman"/>
          <w:i w:val="0"/>
          <w:sz w:val="24"/>
          <w:szCs w:val="24"/>
        </w:rPr>
        <w:t xml:space="preserve">is sharing </w:t>
      </w:r>
      <w:r w:rsidRPr="009351CB">
        <w:rPr>
          <w:rFonts w:ascii="Times New Roman" w:hAnsi="Times New Roman"/>
          <w:i w:val="0"/>
          <w:sz w:val="24"/>
          <w:szCs w:val="24"/>
        </w:rPr>
        <w:t xml:space="preserve">accommodation with the South African Human Rights Commission as an interim measure. </w:t>
      </w:r>
    </w:p>
    <w:p w14:paraId="29B3CC86" w14:textId="77777777" w:rsidR="006345FF" w:rsidRPr="009351CB" w:rsidRDefault="006345FF" w:rsidP="009351CB">
      <w:pPr>
        <w:pStyle w:val="ListParagraph"/>
        <w:spacing w:line="360" w:lineRule="auto"/>
        <w:rPr>
          <w:i/>
        </w:rPr>
      </w:pPr>
    </w:p>
    <w:p w14:paraId="71BA01C0" w14:textId="77777777" w:rsidR="00FD44FC" w:rsidRPr="009351CB" w:rsidRDefault="00FD44FC" w:rsidP="009351CB">
      <w:pPr>
        <w:pStyle w:val="BodySingle"/>
        <w:spacing w:line="360" w:lineRule="auto"/>
        <w:ind w:left="709"/>
        <w:rPr>
          <w:rFonts w:ascii="Times New Roman" w:hAnsi="Times New Roman"/>
          <w:sz w:val="24"/>
          <w:szCs w:val="24"/>
        </w:rPr>
      </w:pPr>
    </w:p>
    <w:p w14:paraId="07E21120" w14:textId="77777777" w:rsidR="00106280" w:rsidRPr="009351CB" w:rsidRDefault="00106280" w:rsidP="004F6019">
      <w:pPr>
        <w:numPr>
          <w:ilvl w:val="0"/>
          <w:numId w:val="29"/>
        </w:numPr>
        <w:spacing w:line="360" w:lineRule="auto"/>
        <w:ind w:left="709" w:hanging="709"/>
      </w:pPr>
      <w:r w:rsidRPr="009351CB">
        <w:rPr>
          <w:b/>
        </w:rPr>
        <w:t>Legal Aid South Africa</w:t>
      </w:r>
    </w:p>
    <w:p w14:paraId="06B79B2C" w14:textId="77777777" w:rsidR="00106280" w:rsidRPr="009351CB" w:rsidRDefault="00106280" w:rsidP="009351CB">
      <w:pPr>
        <w:spacing w:line="360" w:lineRule="auto"/>
      </w:pPr>
    </w:p>
    <w:p w14:paraId="1E471A49" w14:textId="77777777" w:rsidR="00533B7A" w:rsidRPr="009351CB" w:rsidRDefault="00533B7A"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Audit</w:t>
      </w:r>
      <w:r w:rsidRPr="009351CB">
        <w:rPr>
          <w:rFonts w:ascii="Times New Roman" w:hAnsi="Times New Roman"/>
          <w:b/>
          <w:sz w:val="24"/>
          <w:szCs w:val="24"/>
          <w:lang w:val="en-ZA"/>
        </w:rPr>
        <w:t xml:space="preserve"> outcome</w:t>
      </w:r>
      <w:r w:rsidRPr="009351CB">
        <w:rPr>
          <w:rFonts w:ascii="Times New Roman" w:hAnsi="Times New Roman"/>
          <w:i w:val="0"/>
          <w:sz w:val="24"/>
          <w:szCs w:val="24"/>
          <w:lang w:val="en-ZA"/>
        </w:rPr>
        <w:t xml:space="preserve">. </w:t>
      </w:r>
      <w:r w:rsidR="00FD44FC" w:rsidRPr="009351CB">
        <w:rPr>
          <w:rFonts w:ascii="Times New Roman" w:hAnsi="Times New Roman"/>
          <w:i w:val="0"/>
          <w:sz w:val="24"/>
          <w:szCs w:val="24"/>
          <w:lang w:val="en-ZA"/>
        </w:rPr>
        <w:t>The Committee congratulates Legal Aid SA on receiving an u</w:t>
      </w:r>
      <w:r w:rsidR="00E431B5" w:rsidRPr="009351CB">
        <w:rPr>
          <w:rFonts w:ascii="Times New Roman" w:hAnsi="Times New Roman"/>
          <w:i w:val="0"/>
          <w:sz w:val="24"/>
          <w:szCs w:val="24"/>
          <w:lang w:val="en-ZA"/>
        </w:rPr>
        <w:t>nqualified audit for the past 1</w:t>
      </w:r>
      <w:r w:rsidR="0082424D" w:rsidRPr="009351CB">
        <w:rPr>
          <w:rFonts w:ascii="Times New Roman" w:hAnsi="Times New Roman"/>
          <w:i w:val="0"/>
          <w:sz w:val="24"/>
          <w:szCs w:val="24"/>
          <w:lang w:val="en-ZA"/>
        </w:rPr>
        <w:t>8</w:t>
      </w:r>
      <w:r w:rsidR="00FD44FC" w:rsidRPr="009351CB">
        <w:rPr>
          <w:rFonts w:ascii="Times New Roman" w:hAnsi="Times New Roman"/>
          <w:i w:val="0"/>
          <w:sz w:val="24"/>
          <w:szCs w:val="24"/>
          <w:lang w:val="en-ZA"/>
        </w:rPr>
        <w:t xml:space="preserve"> years, with no matters of emphasis for the past </w:t>
      </w:r>
      <w:r w:rsidR="0082424D" w:rsidRPr="009351CB">
        <w:rPr>
          <w:rFonts w:ascii="Times New Roman" w:hAnsi="Times New Roman"/>
          <w:i w:val="0"/>
          <w:sz w:val="24"/>
          <w:szCs w:val="24"/>
          <w:lang w:val="en-ZA"/>
        </w:rPr>
        <w:t xml:space="preserve">fourteen </w:t>
      </w:r>
      <w:r w:rsidR="00FD44FC" w:rsidRPr="009351CB">
        <w:rPr>
          <w:rFonts w:ascii="Times New Roman" w:hAnsi="Times New Roman"/>
          <w:i w:val="0"/>
          <w:sz w:val="24"/>
          <w:szCs w:val="24"/>
          <w:lang w:val="en-ZA"/>
        </w:rPr>
        <w:t xml:space="preserve">years. </w:t>
      </w:r>
    </w:p>
    <w:p w14:paraId="28C82488" w14:textId="77777777" w:rsidR="00533B7A" w:rsidRPr="009351CB" w:rsidRDefault="00533B7A" w:rsidP="009351CB">
      <w:pPr>
        <w:pStyle w:val="ListParagraph"/>
        <w:spacing w:line="360" w:lineRule="auto"/>
        <w:rPr>
          <w:i/>
        </w:rPr>
      </w:pPr>
    </w:p>
    <w:p w14:paraId="212E5039" w14:textId="77777777" w:rsidR="00533B7A" w:rsidRPr="009351CB" w:rsidRDefault="00533B7A"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Awards. </w:t>
      </w:r>
      <w:r w:rsidR="00FD44FC" w:rsidRPr="009351CB">
        <w:rPr>
          <w:rFonts w:ascii="Times New Roman" w:hAnsi="Times New Roman"/>
          <w:i w:val="0"/>
          <w:sz w:val="24"/>
          <w:szCs w:val="24"/>
          <w:lang w:val="en-ZA"/>
        </w:rPr>
        <w:t xml:space="preserve">In addition, Legal Aid SA was awarded Top Employer accreditation for the </w:t>
      </w:r>
      <w:r w:rsidR="0082424D" w:rsidRPr="009351CB">
        <w:rPr>
          <w:rFonts w:ascii="Times New Roman" w:hAnsi="Times New Roman"/>
          <w:i w:val="0"/>
          <w:sz w:val="24"/>
          <w:szCs w:val="24"/>
          <w:lang w:val="en-ZA"/>
        </w:rPr>
        <w:t xml:space="preserve">tenth </w:t>
      </w:r>
      <w:r w:rsidR="00FD44FC" w:rsidRPr="009351CB">
        <w:rPr>
          <w:rFonts w:ascii="Times New Roman" w:hAnsi="Times New Roman"/>
          <w:i w:val="0"/>
          <w:sz w:val="24"/>
          <w:szCs w:val="24"/>
          <w:lang w:val="en-ZA"/>
        </w:rPr>
        <w:t xml:space="preserve">consecutive year. </w:t>
      </w:r>
      <w:r w:rsidR="0082424D" w:rsidRPr="009351CB">
        <w:rPr>
          <w:rFonts w:ascii="Times New Roman" w:hAnsi="Times New Roman"/>
          <w:i w:val="0"/>
          <w:sz w:val="24"/>
          <w:szCs w:val="24"/>
          <w:lang w:val="en-ZA"/>
        </w:rPr>
        <w:t xml:space="preserve">Without fail </w:t>
      </w:r>
      <w:r w:rsidR="00FD44FC" w:rsidRPr="009351CB">
        <w:rPr>
          <w:rFonts w:ascii="Times New Roman" w:hAnsi="Times New Roman"/>
          <w:i w:val="0"/>
          <w:sz w:val="24"/>
          <w:szCs w:val="24"/>
          <w:lang w:val="en-ZA"/>
        </w:rPr>
        <w:t xml:space="preserve">Legal Aid SA impresses with its clear strategic vision and planning, management of resources and considerable achievements. </w:t>
      </w:r>
    </w:p>
    <w:p w14:paraId="08C853E2" w14:textId="77777777" w:rsidR="00533B7A" w:rsidRPr="009351CB" w:rsidRDefault="00533B7A" w:rsidP="009351CB">
      <w:pPr>
        <w:pStyle w:val="ListParagraph"/>
        <w:spacing w:line="360" w:lineRule="auto"/>
        <w:rPr>
          <w:i/>
        </w:rPr>
      </w:pPr>
    </w:p>
    <w:p w14:paraId="0846A8EC" w14:textId="77777777" w:rsidR="00C32663" w:rsidRPr="009351CB" w:rsidRDefault="00533B7A"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lang w:val="en-ZA"/>
        </w:rPr>
        <w:t>Client satisfaction</w:t>
      </w:r>
      <w:r w:rsidRPr="009351CB">
        <w:rPr>
          <w:rFonts w:ascii="Times New Roman" w:hAnsi="Times New Roman"/>
          <w:i w:val="0"/>
          <w:sz w:val="24"/>
          <w:szCs w:val="24"/>
          <w:lang w:val="en-ZA"/>
        </w:rPr>
        <w:t xml:space="preserve">. </w:t>
      </w:r>
      <w:r w:rsidR="00C32663" w:rsidRPr="009351CB">
        <w:rPr>
          <w:rFonts w:ascii="Times New Roman" w:hAnsi="Times New Roman"/>
          <w:i w:val="0"/>
          <w:sz w:val="24"/>
          <w:szCs w:val="24"/>
          <w:lang w:val="en-ZA"/>
        </w:rPr>
        <w:t>The Committee also notes that a Stats SA survey found that 89% of clients were satisfied with the assistance it received from Legal Aid SA.</w:t>
      </w:r>
    </w:p>
    <w:p w14:paraId="19CB1278" w14:textId="77777777" w:rsidR="00C32663" w:rsidRPr="009351CB" w:rsidRDefault="00C32663" w:rsidP="009351CB">
      <w:pPr>
        <w:pStyle w:val="ListParagraph"/>
        <w:spacing w:line="360" w:lineRule="auto"/>
        <w:rPr>
          <w:i/>
          <w:highlight w:val="green"/>
        </w:rPr>
      </w:pPr>
    </w:p>
    <w:p w14:paraId="1E9049EE" w14:textId="1D531D77" w:rsidR="00106280" w:rsidRPr="009351CB" w:rsidRDefault="00533B7A" w:rsidP="004F6019">
      <w:pPr>
        <w:pStyle w:val="BodySingle"/>
        <w:numPr>
          <w:ilvl w:val="1"/>
          <w:numId w:val="29"/>
        </w:numPr>
        <w:spacing w:line="360" w:lineRule="auto"/>
        <w:ind w:left="851" w:hanging="851"/>
        <w:rPr>
          <w:rFonts w:ascii="Times New Roman" w:hAnsi="Times New Roman"/>
          <w:bCs/>
          <w:i w:val="0"/>
          <w:sz w:val="24"/>
          <w:szCs w:val="24"/>
        </w:rPr>
      </w:pPr>
      <w:r w:rsidRPr="009351CB">
        <w:rPr>
          <w:rFonts w:ascii="Times New Roman" w:hAnsi="Times New Roman"/>
          <w:b/>
          <w:sz w:val="24"/>
          <w:szCs w:val="24"/>
          <w:lang w:val="en-ZA"/>
        </w:rPr>
        <w:t>Budget</w:t>
      </w:r>
      <w:r w:rsidRPr="009351CB">
        <w:rPr>
          <w:rFonts w:ascii="Times New Roman" w:hAnsi="Times New Roman"/>
          <w:i w:val="0"/>
          <w:sz w:val="24"/>
          <w:szCs w:val="24"/>
          <w:lang w:val="en-ZA"/>
        </w:rPr>
        <w:t xml:space="preserve">. </w:t>
      </w:r>
      <w:r w:rsidR="00D07A1D" w:rsidRPr="009351CB">
        <w:rPr>
          <w:rFonts w:ascii="Times New Roman" w:hAnsi="Times New Roman"/>
          <w:i w:val="0"/>
          <w:sz w:val="24"/>
          <w:szCs w:val="24"/>
          <w:lang w:val="en-ZA"/>
        </w:rPr>
        <w:t>Legal</w:t>
      </w:r>
      <w:r w:rsidR="00D07A1D" w:rsidRPr="009351CB">
        <w:rPr>
          <w:rFonts w:ascii="Times New Roman" w:hAnsi="Times New Roman"/>
          <w:bCs/>
          <w:i w:val="0"/>
          <w:sz w:val="24"/>
          <w:szCs w:val="24"/>
        </w:rPr>
        <w:t xml:space="preserve"> Aid SA has been able to </w:t>
      </w:r>
      <w:r w:rsidR="00FA61A4" w:rsidRPr="009351CB">
        <w:rPr>
          <w:rFonts w:ascii="Times New Roman" w:hAnsi="Times New Roman"/>
          <w:bCs/>
          <w:i w:val="0"/>
          <w:sz w:val="24"/>
          <w:szCs w:val="24"/>
        </w:rPr>
        <w:t xml:space="preserve">manage the </w:t>
      </w:r>
      <w:r w:rsidR="00C32663" w:rsidRPr="009351CB">
        <w:rPr>
          <w:rFonts w:ascii="Times New Roman" w:hAnsi="Times New Roman"/>
          <w:bCs/>
          <w:i w:val="0"/>
          <w:sz w:val="24"/>
          <w:szCs w:val="24"/>
        </w:rPr>
        <w:t xml:space="preserve">budget shortfall and baseline </w:t>
      </w:r>
      <w:r w:rsidR="00C32663" w:rsidRPr="009351CB">
        <w:rPr>
          <w:rFonts w:ascii="Times New Roman" w:hAnsi="Times New Roman"/>
          <w:bCs/>
          <w:i w:val="0"/>
          <w:color w:val="000000" w:themeColor="text1"/>
          <w:sz w:val="24"/>
          <w:szCs w:val="24"/>
        </w:rPr>
        <w:t>reduct</w:t>
      </w:r>
      <w:r w:rsidR="009C2D4B" w:rsidRPr="009351CB">
        <w:rPr>
          <w:rFonts w:ascii="Times New Roman" w:hAnsi="Times New Roman"/>
          <w:bCs/>
          <w:i w:val="0"/>
          <w:color w:val="000000" w:themeColor="text1"/>
          <w:sz w:val="24"/>
          <w:szCs w:val="24"/>
        </w:rPr>
        <w:t>i</w:t>
      </w:r>
      <w:r w:rsidR="00C32663" w:rsidRPr="009351CB">
        <w:rPr>
          <w:rFonts w:ascii="Times New Roman" w:hAnsi="Times New Roman"/>
          <w:bCs/>
          <w:i w:val="0"/>
          <w:color w:val="000000" w:themeColor="text1"/>
          <w:sz w:val="24"/>
          <w:szCs w:val="24"/>
        </w:rPr>
        <w:t>ons</w:t>
      </w:r>
      <w:r w:rsidR="009C03C9" w:rsidRPr="009351CB">
        <w:rPr>
          <w:rFonts w:ascii="Times New Roman" w:hAnsi="Times New Roman"/>
          <w:bCs/>
          <w:i w:val="0"/>
          <w:color w:val="000000" w:themeColor="text1"/>
          <w:sz w:val="24"/>
          <w:szCs w:val="24"/>
        </w:rPr>
        <w:t xml:space="preserve"> so far </w:t>
      </w:r>
      <w:r w:rsidR="00ED434F" w:rsidRPr="009351CB">
        <w:rPr>
          <w:rFonts w:ascii="Times New Roman" w:hAnsi="Times New Roman"/>
          <w:bCs/>
          <w:i w:val="0"/>
          <w:sz w:val="24"/>
          <w:szCs w:val="24"/>
        </w:rPr>
        <w:t xml:space="preserve">(with some help from the Department) </w:t>
      </w:r>
      <w:r w:rsidR="00FA61A4" w:rsidRPr="009351CB">
        <w:rPr>
          <w:rFonts w:ascii="Times New Roman" w:hAnsi="Times New Roman"/>
          <w:bCs/>
          <w:i w:val="0"/>
          <w:sz w:val="24"/>
          <w:szCs w:val="24"/>
        </w:rPr>
        <w:t>through reduced court coverage and a lower recruitment rate than in p</w:t>
      </w:r>
      <w:r w:rsidR="009C2D4B" w:rsidRPr="009351CB">
        <w:rPr>
          <w:rFonts w:ascii="Times New Roman" w:hAnsi="Times New Roman"/>
          <w:bCs/>
          <w:i w:val="0"/>
          <w:color w:val="000000" w:themeColor="text1"/>
          <w:sz w:val="24"/>
          <w:szCs w:val="24"/>
        </w:rPr>
        <w:t>as</w:t>
      </w:r>
      <w:r w:rsidR="00FA61A4" w:rsidRPr="009351CB">
        <w:rPr>
          <w:rFonts w:ascii="Times New Roman" w:hAnsi="Times New Roman"/>
          <w:bCs/>
          <w:i w:val="0"/>
          <w:sz w:val="24"/>
          <w:szCs w:val="24"/>
        </w:rPr>
        <w:t xml:space="preserve">t years. However, if it must implement the intended budget reductions of 5%, </w:t>
      </w:r>
      <w:r w:rsidRPr="009351CB">
        <w:rPr>
          <w:rFonts w:ascii="Times New Roman" w:hAnsi="Times New Roman"/>
          <w:bCs/>
          <w:i w:val="0"/>
          <w:sz w:val="24"/>
          <w:szCs w:val="24"/>
        </w:rPr>
        <w:t>6% and 7</w:t>
      </w:r>
      <w:r w:rsidR="00FA61A4" w:rsidRPr="009351CB">
        <w:rPr>
          <w:rFonts w:ascii="Times New Roman" w:hAnsi="Times New Roman"/>
          <w:bCs/>
          <w:i w:val="0"/>
          <w:sz w:val="24"/>
          <w:szCs w:val="24"/>
        </w:rPr>
        <w:t xml:space="preserve">% over the medium term, it will need to </w:t>
      </w:r>
      <w:r w:rsidRPr="009351CB">
        <w:rPr>
          <w:rFonts w:ascii="Times New Roman" w:hAnsi="Times New Roman"/>
          <w:bCs/>
          <w:i w:val="0"/>
          <w:sz w:val="24"/>
          <w:szCs w:val="24"/>
        </w:rPr>
        <w:t>retrench</w:t>
      </w:r>
      <w:r w:rsidR="00FA61A4" w:rsidRPr="009351CB">
        <w:rPr>
          <w:rFonts w:ascii="Times New Roman" w:hAnsi="Times New Roman"/>
          <w:bCs/>
          <w:i w:val="0"/>
          <w:sz w:val="24"/>
          <w:szCs w:val="24"/>
        </w:rPr>
        <w:t xml:space="preserve">. This will have a significant impact on the availability </w:t>
      </w:r>
      <w:r w:rsidR="009C03C9" w:rsidRPr="009351CB">
        <w:rPr>
          <w:rFonts w:ascii="Times New Roman" w:hAnsi="Times New Roman"/>
          <w:bCs/>
          <w:i w:val="0"/>
          <w:sz w:val="24"/>
          <w:szCs w:val="24"/>
        </w:rPr>
        <w:t>of legal aid services, particularly</w:t>
      </w:r>
      <w:r w:rsidR="00FA61A4" w:rsidRPr="009351CB">
        <w:rPr>
          <w:rFonts w:ascii="Times New Roman" w:hAnsi="Times New Roman"/>
          <w:bCs/>
          <w:i w:val="0"/>
          <w:sz w:val="24"/>
          <w:szCs w:val="24"/>
        </w:rPr>
        <w:t xml:space="preserve"> in the District Courts where coverage will</w:t>
      </w:r>
      <w:r w:rsidRPr="009351CB">
        <w:rPr>
          <w:rFonts w:ascii="Times New Roman" w:hAnsi="Times New Roman"/>
          <w:bCs/>
          <w:i w:val="0"/>
          <w:sz w:val="24"/>
          <w:szCs w:val="24"/>
        </w:rPr>
        <w:t xml:space="preserve"> drop to 79</w:t>
      </w:r>
      <w:r w:rsidR="00FA61A4" w:rsidRPr="009351CB">
        <w:rPr>
          <w:rFonts w:ascii="Times New Roman" w:hAnsi="Times New Roman"/>
          <w:bCs/>
          <w:i w:val="0"/>
          <w:sz w:val="24"/>
          <w:szCs w:val="24"/>
        </w:rPr>
        <w:t>%</w:t>
      </w:r>
      <w:r w:rsidRPr="009351CB">
        <w:rPr>
          <w:rFonts w:ascii="Times New Roman" w:hAnsi="Times New Roman"/>
          <w:bCs/>
          <w:i w:val="0"/>
          <w:sz w:val="24"/>
          <w:szCs w:val="24"/>
        </w:rPr>
        <w:t xml:space="preserve"> and in the Regional Courts to 85%</w:t>
      </w:r>
      <w:r w:rsidR="00FA61A4" w:rsidRPr="009351CB">
        <w:rPr>
          <w:rFonts w:ascii="Times New Roman" w:hAnsi="Times New Roman"/>
          <w:bCs/>
          <w:i w:val="0"/>
          <w:sz w:val="24"/>
          <w:szCs w:val="24"/>
        </w:rPr>
        <w:t xml:space="preserve">. </w:t>
      </w:r>
      <w:r w:rsidR="00D07A1D" w:rsidRPr="009351CB">
        <w:rPr>
          <w:rFonts w:ascii="Times New Roman" w:hAnsi="Times New Roman"/>
          <w:bCs/>
          <w:i w:val="0"/>
          <w:sz w:val="24"/>
          <w:szCs w:val="24"/>
        </w:rPr>
        <w:t xml:space="preserve">As it is, the Committee is aware that the high demand for legal aid services poses an enormous challenge to Legal Aid SA’s practitioners, especially as practitioner coverage at many courts is insufficient and relief capacity inadequate. </w:t>
      </w:r>
      <w:r w:rsidR="00106280" w:rsidRPr="009351CB">
        <w:rPr>
          <w:rFonts w:ascii="Times New Roman" w:hAnsi="Times New Roman"/>
          <w:bCs/>
          <w:i w:val="0"/>
          <w:sz w:val="24"/>
          <w:szCs w:val="24"/>
        </w:rPr>
        <w:t xml:space="preserve">The Committee asks at what stage </w:t>
      </w:r>
      <w:r w:rsidR="00F317FE" w:rsidRPr="009351CB">
        <w:rPr>
          <w:rFonts w:ascii="Times New Roman" w:hAnsi="Times New Roman"/>
          <w:bCs/>
          <w:i w:val="0"/>
          <w:sz w:val="24"/>
          <w:szCs w:val="24"/>
        </w:rPr>
        <w:t>the lack of funds becomes</w:t>
      </w:r>
      <w:r w:rsidR="008308DA" w:rsidRPr="009351CB">
        <w:rPr>
          <w:rFonts w:ascii="Times New Roman" w:hAnsi="Times New Roman"/>
          <w:bCs/>
          <w:i w:val="0"/>
          <w:sz w:val="24"/>
          <w:szCs w:val="24"/>
        </w:rPr>
        <w:t xml:space="preserve"> a constitutional matter</w:t>
      </w:r>
      <w:r w:rsidR="00106280" w:rsidRPr="009351CB">
        <w:rPr>
          <w:rFonts w:ascii="Times New Roman" w:hAnsi="Times New Roman"/>
          <w:bCs/>
          <w:i w:val="0"/>
          <w:sz w:val="24"/>
          <w:szCs w:val="24"/>
        </w:rPr>
        <w:t xml:space="preserve">. The Committee, therefore, </w:t>
      </w:r>
      <w:r w:rsidR="00C32663" w:rsidRPr="009351CB">
        <w:rPr>
          <w:rFonts w:ascii="Times New Roman" w:hAnsi="Times New Roman"/>
          <w:bCs/>
          <w:i w:val="0"/>
          <w:sz w:val="24"/>
          <w:szCs w:val="24"/>
        </w:rPr>
        <w:t xml:space="preserve">does not </w:t>
      </w:r>
      <w:r w:rsidR="00106280" w:rsidRPr="009351CB">
        <w:rPr>
          <w:rFonts w:ascii="Times New Roman" w:hAnsi="Times New Roman"/>
          <w:bCs/>
          <w:i w:val="0"/>
          <w:sz w:val="24"/>
          <w:szCs w:val="24"/>
        </w:rPr>
        <w:t xml:space="preserve">supports </w:t>
      </w:r>
      <w:r w:rsidR="00241460" w:rsidRPr="009351CB">
        <w:rPr>
          <w:rFonts w:ascii="Times New Roman" w:hAnsi="Times New Roman"/>
          <w:bCs/>
          <w:i w:val="0"/>
          <w:sz w:val="24"/>
          <w:szCs w:val="24"/>
        </w:rPr>
        <w:t xml:space="preserve">baseline reduction </w:t>
      </w:r>
      <w:r w:rsidR="00C32663" w:rsidRPr="009351CB">
        <w:rPr>
          <w:rFonts w:ascii="Times New Roman" w:hAnsi="Times New Roman"/>
          <w:bCs/>
          <w:i w:val="0"/>
          <w:sz w:val="24"/>
          <w:szCs w:val="24"/>
        </w:rPr>
        <w:t xml:space="preserve">in the case of Legal Aid SA, as a further reduction of its staff capacity will have very serious consequences for the criminal justice system as whole. Legal Aid SA’s funding needs for the 2020 MTEF are set out </w:t>
      </w:r>
      <w:r w:rsidR="009C03C9" w:rsidRPr="009351CB">
        <w:rPr>
          <w:rFonts w:ascii="Times New Roman" w:hAnsi="Times New Roman"/>
          <w:bCs/>
          <w:i w:val="0"/>
          <w:sz w:val="24"/>
          <w:szCs w:val="24"/>
        </w:rPr>
        <w:t>previously</w:t>
      </w:r>
      <w:r w:rsidR="00C32663" w:rsidRPr="009351CB">
        <w:rPr>
          <w:rFonts w:ascii="Times New Roman" w:hAnsi="Times New Roman"/>
          <w:bCs/>
          <w:i w:val="0"/>
          <w:sz w:val="24"/>
          <w:szCs w:val="24"/>
        </w:rPr>
        <w:t xml:space="preserve"> in this report.</w:t>
      </w:r>
    </w:p>
    <w:p w14:paraId="2070FC1D" w14:textId="77777777" w:rsidR="00C32663" w:rsidRPr="009351CB" w:rsidRDefault="00C32663" w:rsidP="009351CB">
      <w:pPr>
        <w:pStyle w:val="ListParagraph"/>
        <w:spacing w:line="360" w:lineRule="auto"/>
        <w:rPr>
          <w:bCs/>
        </w:rPr>
      </w:pPr>
    </w:p>
    <w:p w14:paraId="2984B768" w14:textId="77777777" w:rsidR="002F629D" w:rsidRPr="009351CB" w:rsidRDefault="00533B7A"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Civil work</w:t>
      </w:r>
      <w:r w:rsidRPr="009351CB">
        <w:rPr>
          <w:rFonts w:ascii="Times New Roman" w:hAnsi="Times New Roman"/>
          <w:i w:val="0"/>
          <w:sz w:val="24"/>
          <w:szCs w:val="24"/>
        </w:rPr>
        <w:t xml:space="preserve">. </w:t>
      </w:r>
      <w:r w:rsidR="00106280" w:rsidRPr="009351CB">
        <w:rPr>
          <w:rFonts w:ascii="Times New Roman" w:hAnsi="Times New Roman"/>
          <w:i w:val="0"/>
          <w:sz w:val="24"/>
          <w:szCs w:val="24"/>
        </w:rPr>
        <w:t>Legal Aid SA’s budget goes largely towards funding legal representation of accused in criminal matters, as there is a cons</w:t>
      </w:r>
      <w:r w:rsidR="000926A2" w:rsidRPr="009351CB">
        <w:rPr>
          <w:rFonts w:ascii="Times New Roman" w:hAnsi="Times New Roman"/>
          <w:i w:val="0"/>
          <w:sz w:val="24"/>
          <w:szCs w:val="24"/>
        </w:rPr>
        <w:t>t</w:t>
      </w:r>
      <w:r w:rsidR="00106280" w:rsidRPr="009351CB">
        <w:rPr>
          <w:rFonts w:ascii="Times New Roman" w:hAnsi="Times New Roman"/>
          <w:i w:val="0"/>
          <w:sz w:val="24"/>
          <w:szCs w:val="24"/>
        </w:rPr>
        <w:t xml:space="preserve">itutional obligation on the State to assist accused persons without legal representation. The Committee </w:t>
      </w:r>
      <w:r w:rsidR="0022461E" w:rsidRPr="009351CB">
        <w:rPr>
          <w:rFonts w:ascii="Times New Roman" w:hAnsi="Times New Roman"/>
          <w:i w:val="0"/>
          <w:sz w:val="24"/>
          <w:szCs w:val="24"/>
        </w:rPr>
        <w:t xml:space="preserve">remains </w:t>
      </w:r>
      <w:r w:rsidR="00106280" w:rsidRPr="009351CB">
        <w:rPr>
          <w:rFonts w:ascii="Times New Roman" w:hAnsi="Times New Roman"/>
          <w:i w:val="0"/>
          <w:sz w:val="24"/>
          <w:szCs w:val="24"/>
        </w:rPr>
        <w:t xml:space="preserve">concerned at the extent to which criminal matters are prioritised over civil matters. The Committee appreciates the many efforts that Legal Aid SA has taken to stretch its capacity to undertake civil work to </w:t>
      </w:r>
      <w:r w:rsidR="00A76FC8" w:rsidRPr="009351CB">
        <w:rPr>
          <w:rFonts w:ascii="Times New Roman" w:hAnsi="Times New Roman"/>
          <w:i w:val="0"/>
          <w:sz w:val="24"/>
          <w:szCs w:val="24"/>
        </w:rPr>
        <w:t xml:space="preserve">the </w:t>
      </w:r>
      <w:r w:rsidR="00106280" w:rsidRPr="009351CB">
        <w:rPr>
          <w:rFonts w:ascii="Times New Roman" w:hAnsi="Times New Roman"/>
          <w:i w:val="0"/>
          <w:sz w:val="24"/>
          <w:szCs w:val="24"/>
        </w:rPr>
        <w:t xml:space="preserve">very limits – </w:t>
      </w:r>
      <w:r w:rsidR="002F629D" w:rsidRPr="009351CB">
        <w:rPr>
          <w:rFonts w:ascii="Times New Roman" w:hAnsi="Times New Roman"/>
          <w:i w:val="0"/>
          <w:sz w:val="24"/>
          <w:szCs w:val="24"/>
        </w:rPr>
        <w:t xml:space="preserve">now at </w:t>
      </w:r>
      <w:r w:rsidR="00106280" w:rsidRPr="009351CB">
        <w:rPr>
          <w:rFonts w:ascii="Times New Roman" w:hAnsi="Times New Roman"/>
          <w:i w:val="0"/>
          <w:sz w:val="24"/>
          <w:szCs w:val="24"/>
        </w:rPr>
        <w:t>ab</w:t>
      </w:r>
      <w:r w:rsidR="002F629D" w:rsidRPr="009351CB">
        <w:rPr>
          <w:rFonts w:ascii="Times New Roman" w:hAnsi="Times New Roman"/>
          <w:i w:val="0"/>
          <w:sz w:val="24"/>
          <w:szCs w:val="24"/>
        </w:rPr>
        <w:t>out 13</w:t>
      </w:r>
      <w:r w:rsidR="00106280" w:rsidRPr="009351CB">
        <w:rPr>
          <w:rFonts w:ascii="Times New Roman" w:hAnsi="Times New Roman"/>
          <w:i w:val="0"/>
          <w:sz w:val="24"/>
          <w:szCs w:val="24"/>
        </w:rPr>
        <w:t xml:space="preserve">% of its caseload consists of civil matters. </w:t>
      </w:r>
      <w:r w:rsidR="00CD5DBF" w:rsidRPr="009351CB">
        <w:rPr>
          <w:rFonts w:ascii="Times New Roman" w:hAnsi="Times New Roman"/>
          <w:i w:val="0"/>
          <w:sz w:val="24"/>
          <w:szCs w:val="24"/>
        </w:rPr>
        <w:t xml:space="preserve">The Committee </w:t>
      </w:r>
      <w:r w:rsidR="005A08F0" w:rsidRPr="009351CB">
        <w:rPr>
          <w:rFonts w:ascii="Times New Roman" w:hAnsi="Times New Roman"/>
          <w:i w:val="0"/>
          <w:sz w:val="24"/>
          <w:szCs w:val="24"/>
        </w:rPr>
        <w:t>notes that there is now the risk that</w:t>
      </w:r>
      <w:r w:rsidR="00106280" w:rsidRPr="009351CB">
        <w:rPr>
          <w:rFonts w:ascii="Times New Roman" w:hAnsi="Times New Roman"/>
          <w:i w:val="0"/>
          <w:sz w:val="24"/>
          <w:szCs w:val="24"/>
        </w:rPr>
        <w:t xml:space="preserve"> Legal Aid SA </w:t>
      </w:r>
      <w:r w:rsidR="005A08F0" w:rsidRPr="009351CB">
        <w:rPr>
          <w:rFonts w:ascii="Times New Roman" w:hAnsi="Times New Roman"/>
          <w:i w:val="0"/>
          <w:sz w:val="24"/>
          <w:szCs w:val="24"/>
        </w:rPr>
        <w:t xml:space="preserve">will no longer be able to maintain its current caseload in respect of civil matters, let alone </w:t>
      </w:r>
      <w:r w:rsidR="00106280" w:rsidRPr="009351CB">
        <w:rPr>
          <w:rFonts w:ascii="Times New Roman" w:hAnsi="Times New Roman"/>
          <w:i w:val="0"/>
          <w:sz w:val="24"/>
          <w:szCs w:val="24"/>
        </w:rPr>
        <w:t>signi</w:t>
      </w:r>
      <w:r w:rsidR="005A08F0" w:rsidRPr="009351CB">
        <w:rPr>
          <w:rFonts w:ascii="Times New Roman" w:hAnsi="Times New Roman"/>
          <w:i w:val="0"/>
          <w:sz w:val="24"/>
          <w:szCs w:val="24"/>
        </w:rPr>
        <w:t xml:space="preserve">ficantly expand its civil work. The Committee, however, </w:t>
      </w:r>
      <w:r w:rsidR="00106280" w:rsidRPr="009351CB">
        <w:rPr>
          <w:rFonts w:ascii="Times New Roman" w:hAnsi="Times New Roman"/>
          <w:i w:val="0"/>
          <w:sz w:val="24"/>
          <w:szCs w:val="24"/>
        </w:rPr>
        <w:t xml:space="preserve">feels very strongly that </w:t>
      </w:r>
      <w:r w:rsidR="00ED434F" w:rsidRPr="009351CB">
        <w:rPr>
          <w:rFonts w:ascii="Times New Roman" w:hAnsi="Times New Roman"/>
          <w:i w:val="0"/>
          <w:sz w:val="24"/>
          <w:szCs w:val="24"/>
        </w:rPr>
        <w:t xml:space="preserve">funding should at least support the </w:t>
      </w:r>
      <w:r w:rsidR="0085188C" w:rsidRPr="009351CB">
        <w:rPr>
          <w:rFonts w:ascii="Times New Roman" w:hAnsi="Times New Roman"/>
          <w:i w:val="0"/>
          <w:sz w:val="24"/>
          <w:szCs w:val="24"/>
        </w:rPr>
        <w:t>continue</w:t>
      </w:r>
      <w:r w:rsidR="00ED434F" w:rsidRPr="009351CB">
        <w:rPr>
          <w:rFonts w:ascii="Times New Roman" w:hAnsi="Times New Roman"/>
          <w:i w:val="0"/>
          <w:sz w:val="24"/>
          <w:szCs w:val="24"/>
        </w:rPr>
        <w:t xml:space="preserve">d provision of legal </w:t>
      </w:r>
      <w:r w:rsidR="0085188C" w:rsidRPr="009351CB">
        <w:rPr>
          <w:rFonts w:ascii="Times New Roman" w:hAnsi="Times New Roman"/>
          <w:i w:val="0"/>
          <w:sz w:val="24"/>
          <w:szCs w:val="24"/>
        </w:rPr>
        <w:t>assistance in civil matters.</w:t>
      </w:r>
      <w:r w:rsidR="00A76FC8" w:rsidRPr="009351CB">
        <w:rPr>
          <w:rFonts w:ascii="Times New Roman" w:hAnsi="Times New Roman"/>
          <w:i w:val="0"/>
          <w:sz w:val="24"/>
          <w:szCs w:val="24"/>
        </w:rPr>
        <w:t xml:space="preserve"> </w:t>
      </w:r>
    </w:p>
    <w:p w14:paraId="637CE693" w14:textId="77777777" w:rsidR="002F629D" w:rsidRPr="009351CB" w:rsidRDefault="002F629D" w:rsidP="009351CB">
      <w:pPr>
        <w:pStyle w:val="BodySingle"/>
        <w:spacing w:line="360" w:lineRule="auto"/>
        <w:ind w:left="0"/>
        <w:rPr>
          <w:rFonts w:ascii="Times New Roman" w:hAnsi="Times New Roman"/>
          <w:i w:val="0"/>
          <w:sz w:val="24"/>
          <w:szCs w:val="24"/>
        </w:rPr>
      </w:pPr>
    </w:p>
    <w:p w14:paraId="49A66E6B" w14:textId="77777777" w:rsidR="00106280" w:rsidRPr="009351CB" w:rsidRDefault="00106280" w:rsidP="009351CB">
      <w:pPr>
        <w:spacing w:line="360" w:lineRule="auto"/>
      </w:pPr>
    </w:p>
    <w:p w14:paraId="10E6D09F" w14:textId="77777777" w:rsidR="00106280" w:rsidRPr="009351CB" w:rsidRDefault="00106280" w:rsidP="004F6019">
      <w:pPr>
        <w:numPr>
          <w:ilvl w:val="0"/>
          <w:numId w:val="29"/>
        </w:numPr>
        <w:spacing w:line="360" w:lineRule="auto"/>
        <w:ind w:left="851" w:hanging="851"/>
        <w:rPr>
          <w:b/>
        </w:rPr>
      </w:pPr>
      <w:r w:rsidRPr="009351CB">
        <w:rPr>
          <w:b/>
        </w:rPr>
        <w:t>Special Investigating Unit</w:t>
      </w:r>
    </w:p>
    <w:p w14:paraId="01DE1DC3" w14:textId="77777777" w:rsidR="00106280" w:rsidRPr="009351CB" w:rsidRDefault="00106280" w:rsidP="009351CB">
      <w:pPr>
        <w:spacing w:line="360" w:lineRule="auto"/>
        <w:jc w:val="both"/>
      </w:pPr>
    </w:p>
    <w:p w14:paraId="41286595" w14:textId="77777777" w:rsidR="00106280" w:rsidRPr="009351CB" w:rsidRDefault="00533B7A"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Audit outcome. </w:t>
      </w:r>
      <w:r w:rsidR="00106280" w:rsidRPr="009351CB">
        <w:rPr>
          <w:rFonts w:ascii="Times New Roman" w:hAnsi="Times New Roman"/>
          <w:i w:val="0"/>
          <w:sz w:val="24"/>
          <w:szCs w:val="24"/>
        </w:rPr>
        <w:t xml:space="preserve">The Committee </w:t>
      </w:r>
      <w:r w:rsidR="00551A58" w:rsidRPr="009351CB">
        <w:rPr>
          <w:rFonts w:ascii="Times New Roman" w:hAnsi="Times New Roman"/>
          <w:i w:val="0"/>
          <w:sz w:val="24"/>
          <w:szCs w:val="24"/>
        </w:rPr>
        <w:t xml:space="preserve">congratulates </w:t>
      </w:r>
      <w:r w:rsidR="00106280" w:rsidRPr="009351CB">
        <w:rPr>
          <w:rFonts w:ascii="Times New Roman" w:hAnsi="Times New Roman"/>
          <w:i w:val="0"/>
          <w:sz w:val="24"/>
          <w:szCs w:val="24"/>
        </w:rPr>
        <w:t xml:space="preserve">the SIU </w:t>
      </w:r>
      <w:r w:rsidR="00CD5DBF" w:rsidRPr="009351CB">
        <w:rPr>
          <w:rFonts w:ascii="Times New Roman" w:hAnsi="Times New Roman"/>
          <w:i w:val="0"/>
          <w:sz w:val="24"/>
          <w:szCs w:val="24"/>
        </w:rPr>
        <w:t xml:space="preserve">on </w:t>
      </w:r>
      <w:r w:rsidR="00551A58" w:rsidRPr="009351CB">
        <w:rPr>
          <w:rFonts w:ascii="Times New Roman" w:hAnsi="Times New Roman"/>
          <w:i w:val="0"/>
          <w:sz w:val="24"/>
          <w:szCs w:val="24"/>
        </w:rPr>
        <w:t xml:space="preserve">obtaining </w:t>
      </w:r>
      <w:r w:rsidR="00106280" w:rsidRPr="009351CB">
        <w:rPr>
          <w:rFonts w:ascii="Times New Roman" w:hAnsi="Times New Roman"/>
          <w:i w:val="0"/>
          <w:sz w:val="24"/>
          <w:szCs w:val="24"/>
        </w:rPr>
        <w:t xml:space="preserve">an unqualified audit opinion with </w:t>
      </w:r>
      <w:r w:rsidR="00551A58" w:rsidRPr="009351CB">
        <w:rPr>
          <w:rFonts w:ascii="Times New Roman" w:hAnsi="Times New Roman"/>
          <w:i w:val="0"/>
          <w:sz w:val="24"/>
          <w:szCs w:val="24"/>
        </w:rPr>
        <w:t xml:space="preserve">no </w:t>
      </w:r>
      <w:r w:rsidR="00106280" w:rsidRPr="009351CB">
        <w:rPr>
          <w:rFonts w:ascii="Times New Roman" w:hAnsi="Times New Roman"/>
          <w:i w:val="0"/>
          <w:sz w:val="24"/>
          <w:szCs w:val="24"/>
        </w:rPr>
        <w:t>findings for the</w:t>
      </w:r>
      <w:r w:rsidR="005F52C2" w:rsidRPr="009351CB">
        <w:rPr>
          <w:rFonts w:ascii="Times New Roman" w:hAnsi="Times New Roman"/>
          <w:i w:val="0"/>
          <w:sz w:val="24"/>
          <w:szCs w:val="24"/>
        </w:rPr>
        <w:t xml:space="preserve"> third </w:t>
      </w:r>
      <w:r w:rsidR="00A92808" w:rsidRPr="009351CB">
        <w:rPr>
          <w:rFonts w:ascii="Times New Roman" w:hAnsi="Times New Roman"/>
          <w:i w:val="0"/>
          <w:sz w:val="24"/>
          <w:szCs w:val="24"/>
        </w:rPr>
        <w:t>consecutive year.</w:t>
      </w:r>
    </w:p>
    <w:p w14:paraId="45CDD142" w14:textId="77777777" w:rsidR="00106280" w:rsidRPr="009351CB" w:rsidRDefault="00106280" w:rsidP="009351CB">
      <w:pPr>
        <w:pStyle w:val="ListParagraph"/>
        <w:spacing w:line="360" w:lineRule="auto"/>
        <w:rPr>
          <w:b/>
          <w:i/>
          <w:noProof/>
          <w:lang w:val="en-US" w:eastAsia="en-US"/>
        </w:rPr>
      </w:pPr>
    </w:p>
    <w:p w14:paraId="03E1B070" w14:textId="77777777" w:rsidR="00942B28" w:rsidRPr="009351CB" w:rsidRDefault="00533B7A"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Legislative amendments. </w:t>
      </w:r>
      <w:r w:rsidR="00942B28" w:rsidRPr="009351CB">
        <w:rPr>
          <w:rFonts w:ascii="Times New Roman" w:hAnsi="Times New Roman"/>
          <w:i w:val="0"/>
          <w:sz w:val="24"/>
          <w:szCs w:val="24"/>
        </w:rPr>
        <w:t xml:space="preserve">The Committee </w:t>
      </w:r>
      <w:r w:rsidR="00DD4BF9" w:rsidRPr="009351CB">
        <w:rPr>
          <w:rFonts w:ascii="Times New Roman" w:hAnsi="Times New Roman"/>
          <w:i w:val="0"/>
          <w:sz w:val="24"/>
          <w:szCs w:val="24"/>
        </w:rPr>
        <w:t xml:space="preserve">understands </w:t>
      </w:r>
      <w:r w:rsidR="00942B28" w:rsidRPr="009351CB">
        <w:rPr>
          <w:rFonts w:ascii="Times New Roman" w:hAnsi="Times New Roman"/>
          <w:i w:val="0"/>
          <w:sz w:val="24"/>
          <w:szCs w:val="24"/>
        </w:rPr>
        <w:t>that the SIU intends to bring legislative amendments to its enabling legislation that will provide it with a clear legislative mandate to address its funding model; undertake pre-proclamation investigations; and monitor and enforce remedial measures. In addition, legislative amendments are required so that the SIU can provide the services/undertake the functions envisaged by the organisational review. For example, the SIU is not mandated at present to perform a market data analytics function.</w:t>
      </w:r>
    </w:p>
    <w:p w14:paraId="043A7BE7" w14:textId="77777777" w:rsidR="00942B28" w:rsidRPr="009351CB" w:rsidRDefault="00942B28" w:rsidP="009351CB">
      <w:pPr>
        <w:pStyle w:val="ListParagraph"/>
        <w:spacing w:line="360" w:lineRule="auto"/>
        <w:rPr>
          <w:b/>
          <w:i/>
          <w:noProof/>
          <w:lang w:val="en-US" w:eastAsia="en-US"/>
        </w:rPr>
      </w:pPr>
    </w:p>
    <w:p w14:paraId="52AFFDC5" w14:textId="77777777" w:rsidR="005F52C2" w:rsidRPr="009351CB" w:rsidRDefault="005F52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Debt recovery</w:t>
      </w:r>
      <w:r w:rsidRPr="009351CB">
        <w:rPr>
          <w:rFonts w:ascii="Times New Roman" w:hAnsi="Times New Roman"/>
          <w:b/>
          <w:i w:val="0"/>
          <w:sz w:val="24"/>
          <w:szCs w:val="24"/>
        </w:rPr>
        <w:t xml:space="preserve">. </w:t>
      </w:r>
      <w:r w:rsidRPr="009351CB">
        <w:rPr>
          <w:rFonts w:ascii="Times New Roman" w:hAnsi="Times New Roman"/>
          <w:i w:val="0"/>
          <w:sz w:val="24"/>
          <w:szCs w:val="24"/>
        </w:rPr>
        <w:t>The Committee notes the ongoing difficulty that the SIU has recovering monies owed to it by state institutions for its services (The amount owed by state institutions now stands at a little less than R500 million)</w:t>
      </w:r>
      <w:r w:rsidR="00BB38BF" w:rsidRPr="009351CB">
        <w:rPr>
          <w:rFonts w:ascii="Times New Roman" w:hAnsi="Times New Roman"/>
          <w:i w:val="0"/>
          <w:sz w:val="24"/>
          <w:szCs w:val="24"/>
        </w:rPr>
        <w:t xml:space="preserve"> and that this poses a significant risk to the Unit going forward</w:t>
      </w:r>
      <w:r w:rsidRPr="009351CB">
        <w:rPr>
          <w:rFonts w:ascii="Times New Roman" w:hAnsi="Times New Roman"/>
          <w:i w:val="0"/>
          <w:sz w:val="24"/>
          <w:szCs w:val="24"/>
        </w:rPr>
        <w:t xml:space="preserve">. The SIU has engaged Treasury on this matter. As a result, the need for legislative amendments is being explored. </w:t>
      </w:r>
    </w:p>
    <w:p w14:paraId="44A758E4" w14:textId="77777777" w:rsidR="005F52C2" w:rsidRPr="009351CB" w:rsidRDefault="005F52C2" w:rsidP="009351CB">
      <w:pPr>
        <w:pStyle w:val="ListParagraph"/>
        <w:spacing w:line="360" w:lineRule="auto"/>
        <w:rPr>
          <w:b/>
          <w:noProof/>
          <w:lang w:val="en-US" w:eastAsia="en-US"/>
        </w:rPr>
      </w:pPr>
    </w:p>
    <w:p w14:paraId="6309F300" w14:textId="77777777" w:rsidR="005F52C2" w:rsidRPr="009351CB" w:rsidRDefault="005F52C2" w:rsidP="004F6019">
      <w:pPr>
        <w:pStyle w:val="BodySingle"/>
        <w:numPr>
          <w:ilvl w:val="1"/>
          <w:numId w:val="29"/>
        </w:numPr>
        <w:shd w:val="clear" w:color="auto" w:fill="FFFFFF"/>
        <w:autoSpaceDE w:val="0"/>
        <w:autoSpaceDN w:val="0"/>
        <w:adjustRightInd w:val="0"/>
        <w:spacing w:line="360" w:lineRule="auto"/>
        <w:ind w:left="851" w:hanging="851"/>
        <w:rPr>
          <w:rFonts w:ascii="Times New Roman" w:hAnsi="Times New Roman"/>
          <w:b/>
          <w:i w:val="0"/>
          <w:sz w:val="24"/>
          <w:szCs w:val="24"/>
        </w:rPr>
      </w:pPr>
      <w:r w:rsidRPr="009351CB">
        <w:rPr>
          <w:rFonts w:ascii="Times New Roman" w:hAnsi="Times New Roman"/>
          <w:b/>
          <w:sz w:val="24"/>
          <w:szCs w:val="24"/>
        </w:rPr>
        <w:t>Memoranda of understanding</w:t>
      </w:r>
      <w:r w:rsidR="00BB38BF" w:rsidRPr="009351CB">
        <w:rPr>
          <w:rFonts w:ascii="Times New Roman" w:hAnsi="Times New Roman"/>
          <w:b/>
          <w:sz w:val="24"/>
          <w:szCs w:val="24"/>
        </w:rPr>
        <w:t xml:space="preserve"> and referral of matters to the SIU</w:t>
      </w:r>
      <w:r w:rsidRPr="009351CB">
        <w:rPr>
          <w:rFonts w:ascii="Times New Roman" w:hAnsi="Times New Roman"/>
          <w:b/>
          <w:sz w:val="24"/>
          <w:szCs w:val="24"/>
        </w:rPr>
        <w:t xml:space="preserve">. </w:t>
      </w:r>
      <w:r w:rsidRPr="009351CB">
        <w:rPr>
          <w:rFonts w:ascii="Times New Roman" w:hAnsi="Times New Roman"/>
          <w:i w:val="0"/>
          <w:sz w:val="24"/>
          <w:szCs w:val="24"/>
        </w:rPr>
        <w:t xml:space="preserve">The Committee </w:t>
      </w:r>
      <w:r w:rsidR="003E7353" w:rsidRPr="009351CB">
        <w:rPr>
          <w:rFonts w:ascii="Times New Roman" w:hAnsi="Times New Roman"/>
          <w:i w:val="0"/>
          <w:sz w:val="24"/>
          <w:szCs w:val="24"/>
        </w:rPr>
        <w:t xml:space="preserve">notes </w:t>
      </w:r>
      <w:r w:rsidR="00BB38BF" w:rsidRPr="009351CB">
        <w:rPr>
          <w:rFonts w:ascii="Times New Roman" w:hAnsi="Times New Roman"/>
          <w:i w:val="0"/>
          <w:sz w:val="24"/>
          <w:szCs w:val="24"/>
        </w:rPr>
        <w:t xml:space="preserve">the announcement of </w:t>
      </w:r>
      <w:r w:rsidRPr="009351CB">
        <w:rPr>
          <w:rFonts w:ascii="Times New Roman" w:hAnsi="Times New Roman"/>
          <w:i w:val="0"/>
          <w:sz w:val="24"/>
          <w:szCs w:val="24"/>
        </w:rPr>
        <w:t>a</w:t>
      </w:r>
      <w:r w:rsidR="003E7353" w:rsidRPr="009351CB">
        <w:rPr>
          <w:rFonts w:ascii="Times New Roman" w:hAnsi="Times New Roman"/>
          <w:i w:val="0"/>
          <w:sz w:val="24"/>
          <w:szCs w:val="24"/>
        </w:rPr>
        <w:t xml:space="preserve"> co-operation agreement between the </w:t>
      </w:r>
      <w:r w:rsidR="00BB38BF" w:rsidRPr="009351CB">
        <w:rPr>
          <w:rFonts w:ascii="Times New Roman" w:hAnsi="Times New Roman"/>
          <w:i w:val="0"/>
          <w:sz w:val="24"/>
          <w:szCs w:val="24"/>
        </w:rPr>
        <w:t>SIU and the Financial Intelligence Centre</w:t>
      </w:r>
      <w:r w:rsidR="003E7353" w:rsidRPr="009351CB">
        <w:rPr>
          <w:rFonts w:ascii="Times New Roman" w:hAnsi="Times New Roman"/>
          <w:i w:val="0"/>
          <w:sz w:val="24"/>
          <w:szCs w:val="24"/>
        </w:rPr>
        <w:t xml:space="preserve"> in June 2018</w:t>
      </w:r>
      <w:r w:rsidR="00BB38BF" w:rsidRPr="009351CB">
        <w:rPr>
          <w:rFonts w:ascii="Times New Roman" w:hAnsi="Times New Roman"/>
          <w:i w:val="0"/>
          <w:sz w:val="24"/>
          <w:szCs w:val="24"/>
        </w:rPr>
        <w:t xml:space="preserve">. The MOU with the NPA is being reviewed to address certain fundamental legal issues that arise when matters are referred. </w:t>
      </w:r>
    </w:p>
    <w:p w14:paraId="0FBC2E7B" w14:textId="77777777" w:rsidR="00A5472A" w:rsidRPr="009351CB" w:rsidRDefault="00A5472A" w:rsidP="009351CB">
      <w:pPr>
        <w:pStyle w:val="ListParagraph"/>
        <w:spacing w:line="360" w:lineRule="auto"/>
        <w:rPr>
          <w:b/>
        </w:rPr>
      </w:pPr>
    </w:p>
    <w:p w14:paraId="414FD23E" w14:textId="77777777" w:rsidR="005F52C2" w:rsidRPr="009351CB" w:rsidRDefault="005F52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Special Tribunal. </w:t>
      </w:r>
      <w:r w:rsidRPr="009351CB">
        <w:rPr>
          <w:rFonts w:ascii="Times New Roman" w:hAnsi="Times New Roman"/>
          <w:i w:val="0"/>
          <w:sz w:val="24"/>
          <w:szCs w:val="24"/>
        </w:rPr>
        <w:t xml:space="preserve">The SIU has the power to conduct civil litigation in its own name or in the name of the affected state institution but heavy court rolls often result in its civil litigation work being delayed. </w:t>
      </w:r>
      <w:r w:rsidR="003E7353" w:rsidRPr="009351CB">
        <w:rPr>
          <w:rFonts w:ascii="Times New Roman" w:hAnsi="Times New Roman"/>
          <w:i w:val="0"/>
          <w:sz w:val="24"/>
          <w:szCs w:val="24"/>
        </w:rPr>
        <w:t xml:space="preserve">The Committee welcomes the announcement that the </w:t>
      </w:r>
      <w:r w:rsidRPr="009351CB">
        <w:rPr>
          <w:rFonts w:ascii="Times New Roman" w:hAnsi="Times New Roman"/>
          <w:i w:val="0"/>
          <w:sz w:val="24"/>
          <w:szCs w:val="24"/>
        </w:rPr>
        <w:t>Special Tribunal</w:t>
      </w:r>
      <w:r w:rsidR="003E7353" w:rsidRPr="009351CB">
        <w:rPr>
          <w:rFonts w:ascii="Times New Roman" w:hAnsi="Times New Roman"/>
          <w:i w:val="0"/>
          <w:sz w:val="24"/>
          <w:szCs w:val="24"/>
        </w:rPr>
        <w:t>, which will allow for matters to be heard expeditiously,</w:t>
      </w:r>
      <w:r w:rsidRPr="009351CB">
        <w:rPr>
          <w:rFonts w:ascii="Times New Roman" w:hAnsi="Times New Roman"/>
          <w:i w:val="0"/>
          <w:sz w:val="24"/>
          <w:szCs w:val="24"/>
        </w:rPr>
        <w:t xml:space="preserve"> </w:t>
      </w:r>
      <w:r w:rsidR="003E7353" w:rsidRPr="009351CB">
        <w:rPr>
          <w:rFonts w:ascii="Times New Roman" w:hAnsi="Times New Roman"/>
          <w:i w:val="0"/>
          <w:sz w:val="24"/>
          <w:szCs w:val="24"/>
        </w:rPr>
        <w:t xml:space="preserve">is finally operational. The value of cases ready for adjudication and recovery is reportedly R14.7 billion. </w:t>
      </w:r>
    </w:p>
    <w:p w14:paraId="2E4158C9" w14:textId="77777777" w:rsidR="003E7353" w:rsidRPr="009351CB" w:rsidRDefault="003E7353" w:rsidP="009351CB">
      <w:pPr>
        <w:pStyle w:val="ListParagraph"/>
        <w:spacing w:line="360" w:lineRule="auto"/>
        <w:rPr>
          <w:b/>
          <w:i/>
          <w:noProof/>
          <w:lang w:val="en-US" w:eastAsia="en-US"/>
        </w:rPr>
      </w:pPr>
    </w:p>
    <w:p w14:paraId="1BF7DCB5" w14:textId="77777777" w:rsidR="002E396C" w:rsidRPr="009351CB" w:rsidRDefault="002E396C"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SIU investigations</w:t>
      </w:r>
      <w:r w:rsidRPr="009351CB">
        <w:rPr>
          <w:rFonts w:ascii="Times New Roman" w:hAnsi="Times New Roman"/>
          <w:b/>
          <w:i w:val="0"/>
          <w:sz w:val="24"/>
          <w:szCs w:val="24"/>
        </w:rPr>
        <w:t xml:space="preserve">. </w:t>
      </w:r>
      <w:r w:rsidRPr="009351CB">
        <w:rPr>
          <w:rFonts w:ascii="Times New Roman" w:hAnsi="Times New Roman"/>
          <w:i w:val="0"/>
          <w:sz w:val="24"/>
          <w:szCs w:val="24"/>
        </w:rPr>
        <w:t>The Committee notes that the SIU has been mandated to investigate allegations relating to the affairs of the Office of the State Attorney as amended on 12 July 2019, as well as maladministration and/or irregular expenditure, improper or unlawful conduct in connection with the affairs of the Department or the IDT in connection with the construction of various courts and the acquisition of land for the Mpumalanga High Court and payments made in respect thereof. As both concern the Department of Justice and Constitutional Development, the Committee appreciates the update that the SIU gave in respect of progress so far.</w:t>
      </w:r>
    </w:p>
    <w:p w14:paraId="0EDABC63" w14:textId="77777777" w:rsidR="002E396C" w:rsidRPr="009351CB" w:rsidRDefault="002E396C" w:rsidP="009351CB">
      <w:pPr>
        <w:pStyle w:val="ListParagraph"/>
        <w:spacing w:line="360" w:lineRule="auto"/>
        <w:rPr>
          <w:b/>
          <w:i/>
          <w:noProof/>
          <w:lang w:val="en-US" w:eastAsia="en-US"/>
        </w:rPr>
      </w:pPr>
    </w:p>
    <w:p w14:paraId="7879D104" w14:textId="4A54494C" w:rsidR="003E7353" w:rsidRPr="009351CB" w:rsidRDefault="003E7353"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Equity targets</w:t>
      </w:r>
      <w:r w:rsidRPr="009351CB">
        <w:rPr>
          <w:rFonts w:ascii="Times New Roman" w:hAnsi="Times New Roman"/>
          <w:b/>
          <w:i w:val="0"/>
          <w:sz w:val="24"/>
          <w:szCs w:val="24"/>
        </w:rPr>
        <w:t xml:space="preserve">. </w:t>
      </w:r>
      <w:r w:rsidRPr="009351CB">
        <w:rPr>
          <w:rFonts w:ascii="Times New Roman" w:hAnsi="Times New Roman"/>
          <w:i w:val="0"/>
          <w:sz w:val="24"/>
          <w:szCs w:val="24"/>
        </w:rPr>
        <w:t>The Committee notes that the SIU poor performance with regard to equity targets, especially with respect to the women employees in the professional qualified category</w:t>
      </w:r>
      <w:r w:rsidR="00B902DC" w:rsidRPr="009351CB">
        <w:rPr>
          <w:rFonts w:ascii="Times New Roman" w:hAnsi="Times New Roman"/>
          <w:i w:val="0"/>
          <w:sz w:val="24"/>
          <w:szCs w:val="24"/>
        </w:rPr>
        <w:t xml:space="preserve"> and persons with disabilities. The SIU also acknowledged that its working environment does not adequately support persons with disabilities. The </w:t>
      </w:r>
      <w:r w:rsidRPr="009351CB">
        <w:rPr>
          <w:rFonts w:ascii="Times New Roman" w:hAnsi="Times New Roman"/>
          <w:i w:val="0"/>
          <w:sz w:val="24"/>
          <w:szCs w:val="24"/>
        </w:rPr>
        <w:t>Committee welcomes the S</w:t>
      </w:r>
      <w:r w:rsidR="00B902DC" w:rsidRPr="009351CB">
        <w:rPr>
          <w:rFonts w:ascii="Times New Roman" w:hAnsi="Times New Roman"/>
          <w:i w:val="0"/>
          <w:sz w:val="24"/>
          <w:szCs w:val="24"/>
        </w:rPr>
        <w:t xml:space="preserve">IU’s undertaking to address this issue and </w:t>
      </w:r>
      <w:r w:rsidRPr="009351CB">
        <w:rPr>
          <w:rFonts w:ascii="Times New Roman" w:hAnsi="Times New Roman"/>
          <w:i w:val="0"/>
          <w:sz w:val="24"/>
          <w:szCs w:val="24"/>
        </w:rPr>
        <w:t xml:space="preserve">will monitor progress going </w:t>
      </w:r>
      <w:r w:rsidR="002E396C" w:rsidRPr="009351CB">
        <w:rPr>
          <w:rFonts w:ascii="Times New Roman" w:hAnsi="Times New Roman"/>
          <w:i w:val="0"/>
          <w:sz w:val="24"/>
          <w:szCs w:val="24"/>
        </w:rPr>
        <w:t>forward.</w:t>
      </w:r>
    </w:p>
    <w:p w14:paraId="7454895A" w14:textId="77777777" w:rsidR="00B41EC2" w:rsidRPr="009351CB" w:rsidRDefault="00B41EC2" w:rsidP="009351CB">
      <w:pPr>
        <w:pStyle w:val="BodySingle"/>
        <w:spacing w:line="360" w:lineRule="auto"/>
        <w:ind w:left="709"/>
        <w:rPr>
          <w:rFonts w:ascii="Times New Roman" w:hAnsi="Times New Roman"/>
          <w:b/>
          <w:sz w:val="24"/>
          <w:szCs w:val="24"/>
        </w:rPr>
      </w:pPr>
    </w:p>
    <w:p w14:paraId="6A26281F" w14:textId="77777777" w:rsidR="003E7353" w:rsidRPr="009351CB" w:rsidRDefault="003E7353" w:rsidP="009351CB">
      <w:pPr>
        <w:pStyle w:val="BodySingle"/>
        <w:spacing w:line="360" w:lineRule="auto"/>
        <w:ind w:left="709"/>
        <w:rPr>
          <w:rFonts w:ascii="Times New Roman" w:hAnsi="Times New Roman"/>
          <w:b/>
          <w:sz w:val="24"/>
          <w:szCs w:val="24"/>
        </w:rPr>
      </w:pPr>
    </w:p>
    <w:p w14:paraId="54DE12CA" w14:textId="77777777" w:rsidR="00106280" w:rsidRPr="009351CB" w:rsidRDefault="00106280" w:rsidP="004F6019">
      <w:pPr>
        <w:numPr>
          <w:ilvl w:val="0"/>
          <w:numId w:val="29"/>
        </w:numPr>
        <w:spacing w:line="360" w:lineRule="auto"/>
        <w:ind w:left="851" w:hanging="851"/>
        <w:rPr>
          <w:b/>
        </w:rPr>
      </w:pPr>
      <w:r w:rsidRPr="009351CB">
        <w:rPr>
          <w:b/>
        </w:rPr>
        <w:t>South African Human Rights Commission (SAHRC)</w:t>
      </w:r>
    </w:p>
    <w:p w14:paraId="6683ADF1" w14:textId="77777777" w:rsidR="00106280" w:rsidRPr="009351CB" w:rsidRDefault="00106280" w:rsidP="009351CB">
      <w:pPr>
        <w:spacing w:line="360" w:lineRule="auto"/>
      </w:pPr>
    </w:p>
    <w:p w14:paraId="64B4D93B" w14:textId="3864EF91" w:rsidR="00686185" w:rsidRPr="009351CB" w:rsidRDefault="00D258F2" w:rsidP="004F6019">
      <w:pPr>
        <w:pStyle w:val="BodySingle"/>
        <w:numPr>
          <w:ilvl w:val="1"/>
          <w:numId w:val="29"/>
        </w:numPr>
        <w:spacing w:line="360" w:lineRule="auto"/>
        <w:ind w:left="851" w:hanging="851"/>
        <w:rPr>
          <w:rFonts w:ascii="Times New Roman" w:hAnsi="Times New Roman"/>
          <w:i w:val="0"/>
          <w:color w:val="000000" w:themeColor="text1"/>
          <w:sz w:val="24"/>
          <w:szCs w:val="24"/>
          <w:lang w:val="en-ZA"/>
        </w:rPr>
      </w:pPr>
      <w:r w:rsidRPr="009351CB">
        <w:rPr>
          <w:rFonts w:ascii="Times New Roman" w:hAnsi="Times New Roman"/>
          <w:b/>
          <w:color w:val="000000" w:themeColor="text1"/>
          <w:sz w:val="24"/>
          <w:szCs w:val="24"/>
          <w:lang w:val="en-ZA"/>
        </w:rPr>
        <w:t>Audit outcome</w:t>
      </w:r>
      <w:r w:rsidRPr="009351CB">
        <w:rPr>
          <w:rFonts w:ascii="Times New Roman" w:hAnsi="Times New Roman"/>
          <w:i w:val="0"/>
          <w:color w:val="000000" w:themeColor="text1"/>
          <w:sz w:val="24"/>
          <w:szCs w:val="24"/>
          <w:lang w:val="en-ZA"/>
        </w:rPr>
        <w:t xml:space="preserve">. </w:t>
      </w:r>
      <w:r w:rsidR="00686185" w:rsidRPr="009351CB">
        <w:rPr>
          <w:rFonts w:ascii="Times New Roman" w:hAnsi="Times New Roman"/>
          <w:i w:val="0"/>
          <w:color w:val="000000" w:themeColor="text1"/>
          <w:sz w:val="24"/>
          <w:szCs w:val="24"/>
          <w:lang w:val="en-ZA"/>
        </w:rPr>
        <w:t xml:space="preserve">The Committee </w:t>
      </w:r>
      <w:r w:rsidR="003E7353" w:rsidRPr="009351CB">
        <w:rPr>
          <w:rFonts w:ascii="Times New Roman" w:hAnsi="Times New Roman"/>
          <w:i w:val="0"/>
          <w:color w:val="000000" w:themeColor="text1"/>
          <w:sz w:val="24"/>
          <w:szCs w:val="24"/>
          <w:lang w:val="en-ZA"/>
        </w:rPr>
        <w:t xml:space="preserve">notes that </w:t>
      </w:r>
      <w:r w:rsidR="00686185" w:rsidRPr="009351CB">
        <w:rPr>
          <w:rFonts w:ascii="Times New Roman" w:hAnsi="Times New Roman"/>
          <w:i w:val="0"/>
          <w:color w:val="000000" w:themeColor="text1"/>
          <w:sz w:val="24"/>
          <w:szCs w:val="24"/>
          <w:lang w:val="en-ZA"/>
        </w:rPr>
        <w:t>the SAHRC</w:t>
      </w:r>
      <w:r w:rsidR="00095986" w:rsidRPr="009351CB">
        <w:rPr>
          <w:rFonts w:ascii="Times New Roman" w:hAnsi="Times New Roman"/>
          <w:i w:val="0"/>
          <w:color w:val="000000" w:themeColor="text1"/>
          <w:sz w:val="24"/>
          <w:szCs w:val="24"/>
          <w:lang w:val="en-ZA"/>
        </w:rPr>
        <w:t xml:space="preserve">’s audit outcome </w:t>
      </w:r>
      <w:r w:rsidR="003E7353" w:rsidRPr="009351CB">
        <w:rPr>
          <w:rFonts w:ascii="Times New Roman" w:hAnsi="Times New Roman"/>
          <w:i w:val="0"/>
          <w:color w:val="000000" w:themeColor="text1"/>
          <w:sz w:val="24"/>
          <w:szCs w:val="24"/>
          <w:lang w:val="en-ZA"/>
        </w:rPr>
        <w:t>is slightly improved, in that there are no matters o</w:t>
      </w:r>
      <w:r w:rsidR="002E396C" w:rsidRPr="009351CB">
        <w:rPr>
          <w:rFonts w:ascii="Times New Roman" w:hAnsi="Times New Roman"/>
          <w:i w:val="0"/>
          <w:color w:val="000000" w:themeColor="text1"/>
          <w:sz w:val="24"/>
          <w:szCs w:val="24"/>
          <w:lang w:val="en-ZA"/>
        </w:rPr>
        <w:t>f</w:t>
      </w:r>
      <w:r w:rsidR="003E7353" w:rsidRPr="009351CB">
        <w:rPr>
          <w:rFonts w:ascii="Times New Roman" w:hAnsi="Times New Roman"/>
          <w:i w:val="0"/>
          <w:color w:val="000000" w:themeColor="text1"/>
          <w:sz w:val="24"/>
          <w:szCs w:val="24"/>
          <w:lang w:val="en-ZA"/>
        </w:rPr>
        <w:t xml:space="preserve"> emphasis.</w:t>
      </w:r>
      <w:r w:rsidR="00686185" w:rsidRPr="009351CB">
        <w:rPr>
          <w:rFonts w:ascii="Times New Roman" w:hAnsi="Times New Roman"/>
          <w:i w:val="0"/>
          <w:sz w:val="24"/>
          <w:szCs w:val="24"/>
        </w:rPr>
        <w:t xml:space="preserve"> </w:t>
      </w:r>
      <w:r w:rsidR="00686185" w:rsidRPr="009351CB">
        <w:rPr>
          <w:rFonts w:ascii="Times New Roman" w:hAnsi="Times New Roman"/>
          <w:i w:val="0"/>
          <w:color w:val="000000" w:themeColor="text1"/>
          <w:sz w:val="24"/>
          <w:szCs w:val="24"/>
          <w:lang w:val="en-ZA"/>
        </w:rPr>
        <w:t xml:space="preserve">The SAHRC is urged to ensure that it puts in place the necessary controls to ensure that the </w:t>
      </w:r>
      <w:r w:rsidR="00B902DC" w:rsidRPr="009351CB">
        <w:rPr>
          <w:rFonts w:ascii="Times New Roman" w:hAnsi="Times New Roman"/>
          <w:i w:val="0"/>
          <w:color w:val="000000" w:themeColor="text1"/>
          <w:sz w:val="24"/>
          <w:szCs w:val="24"/>
          <w:lang w:val="en-ZA"/>
        </w:rPr>
        <w:t>i</w:t>
      </w:r>
      <w:r w:rsidR="00095986" w:rsidRPr="009351CB">
        <w:rPr>
          <w:rFonts w:ascii="Times New Roman" w:hAnsi="Times New Roman"/>
          <w:i w:val="0"/>
          <w:color w:val="000000" w:themeColor="text1"/>
          <w:sz w:val="24"/>
          <w:szCs w:val="24"/>
          <w:lang w:val="en-ZA"/>
        </w:rPr>
        <w:t xml:space="preserve">dentified </w:t>
      </w:r>
      <w:r w:rsidR="00686185" w:rsidRPr="009351CB">
        <w:rPr>
          <w:rFonts w:ascii="Times New Roman" w:hAnsi="Times New Roman"/>
          <w:i w:val="0"/>
          <w:color w:val="000000" w:themeColor="text1"/>
          <w:sz w:val="24"/>
          <w:szCs w:val="24"/>
          <w:lang w:val="en-ZA"/>
        </w:rPr>
        <w:t xml:space="preserve">weaknesses are addressed. </w:t>
      </w:r>
    </w:p>
    <w:p w14:paraId="08FE8EBE" w14:textId="77777777" w:rsidR="00686185" w:rsidRPr="009351CB" w:rsidRDefault="00686185" w:rsidP="009351CB">
      <w:pPr>
        <w:pStyle w:val="BodySingle"/>
        <w:spacing w:line="360" w:lineRule="auto"/>
        <w:ind w:left="851" w:hanging="851"/>
        <w:rPr>
          <w:rFonts w:ascii="Times New Roman" w:hAnsi="Times New Roman"/>
          <w:i w:val="0"/>
          <w:color w:val="000000" w:themeColor="text1"/>
          <w:sz w:val="24"/>
          <w:szCs w:val="24"/>
          <w:lang w:val="en-ZA"/>
        </w:rPr>
      </w:pPr>
    </w:p>
    <w:p w14:paraId="28B6CE7D" w14:textId="77777777" w:rsidR="00F2139C" w:rsidRPr="009351CB" w:rsidRDefault="00D258F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Budget</w:t>
      </w:r>
      <w:r w:rsidRPr="009351CB">
        <w:rPr>
          <w:rFonts w:ascii="Times New Roman" w:hAnsi="Times New Roman"/>
          <w:i w:val="0"/>
          <w:sz w:val="24"/>
          <w:szCs w:val="24"/>
        </w:rPr>
        <w:t xml:space="preserve">. </w:t>
      </w:r>
      <w:r w:rsidR="00F2139C" w:rsidRPr="009351CB">
        <w:rPr>
          <w:rFonts w:ascii="Times New Roman" w:hAnsi="Times New Roman"/>
          <w:i w:val="0"/>
          <w:sz w:val="24"/>
          <w:szCs w:val="24"/>
        </w:rPr>
        <w:t>The Committee does not support the proposed budget reductions in the case of the SAHRC or the PPSA. Specifically, regarding the SAHRC, a cut next year will reduce the baseline by R10 million, which the Commission will have difficulty absorbing. As a result, the Commission will need to cut i</w:t>
      </w:r>
      <w:r w:rsidRPr="009351CB">
        <w:rPr>
          <w:rFonts w:ascii="Times New Roman" w:hAnsi="Times New Roman"/>
          <w:i w:val="0"/>
          <w:sz w:val="24"/>
          <w:szCs w:val="24"/>
        </w:rPr>
        <w:t>ts staff establishment further and will no longer be able to host the Moot Court competition.</w:t>
      </w:r>
    </w:p>
    <w:p w14:paraId="081C657C" w14:textId="77777777" w:rsidR="00F2139C" w:rsidRPr="009351CB" w:rsidRDefault="00F2139C" w:rsidP="009351CB">
      <w:pPr>
        <w:pStyle w:val="ListParagraph"/>
        <w:spacing w:line="360" w:lineRule="auto"/>
        <w:ind w:left="851" w:hanging="851"/>
        <w:rPr>
          <w:i/>
        </w:rPr>
      </w:pPr>
    </w:p>
    <w:p w14:paraId="446DF1E1" w14:textId="77777777" w:rsidR="00B531C2"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Non-responsiveness of state institutions</w:t>
      </w:r>
      <w:r w:rsidRPr="009351CB">
        <w:rPr>
          <w:rFonts w:ascii="Times New Roman" w:hAnsi="Times New Roman"/>
          <w:i w:val="0"/>
          <w:sz w:val="24"/>
          <w:szCs w:val="24"/>
        </w:rPr>
        <w:t xml:space="preserve">. </w:t>
      </w:r>
      <w:r w:rsidR="00095986" w:rsidRPr="009351CB">
        <w:rPr>
          <w:rFonts w:ascii="Times New Roman" w:hAnsi="Times New Roman"/>
          <w:i w:val="0"/>
          <w:sz w:val="24"/>
          <w:szCs w:val="24"/>
        </w:rPr>
        <w:t xml:space="preserve">The Committee notes the </w:t>
      </w:r>
      <w:r w:rsidR="00ED434F" w:rsidRPr="009351CB">
        <w:rPr>
          <w:rFonts w:ascii="Times New Roman" w:hAnsi="Times New Roman"/>
          <w:i w:val="0"/>
          <w:sz w:val="24"/>
          <w:szCs w:val="24"/>
        </w:rPr>
        <w:t xml:space="preserve">SAHRC difficulties in obtaining responses from departments and other state institutions. </w:t>
      </w:r>
    </w:p>
    <w:p w14:paraId="48E5288B" w14:textId="77777777" w:rsidR="00B531C2" w:rsidRPr="009351CB" w:rsidRDefault="00B531C2" w:rsidP="009351CB">
      <w:pPr>
        <w:pStyle w:val="ListParagraph"/>
        <w:spacing w:line="360" w:lineRule="auto"/>
        <w:ind w:left="851" w:hanging="851"/>
        <w:rPr>
          <w:i/>
        </w:rPr>
      </w:pPr>
    </w:p>
    <w:p w14:paraId="1A51343D" w14:textId="77777777" w:rsidR="00B531C2" w:rsidRPr="009351CB" w:rsidRDefault="00B531C2"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The Committee is also dismayed that many of the issues raised at the Commission’s public hearings are not new and were addressed in previous reports but the recommendations never implemented. The Committee, therefore, welcomes the Commission’s commitment to monitor and ensure implementation of its recommendations going forward.</w:t>
      </w:r>
    </w:p>
    <w:p w14:paraId="384DD689" w14:textId="77777777" w:rsidR="00B531C2" w:rsidRPr="009351CB" w:rsidRDefault="00B531C2" w:rsidP="009351CB">
      <w:pPr>
        <w:pStyle w:val="BodySingle"/>
        <w:spacing w:line="360" w:lineRule="auto"/>
        <w:ind w:left="851" w:hanging="851"/>
        <w:rPr>
          <w:rFonts w:ascii="Times New Roman" w:hAnsi="Times New Roman"/>
          <w:i w:val="0"/>
          <w:sz w:val="24"/>
          <w:szCs w:val="24"/>
        </w:rPr>
      </w:pPr>
    </w:p>
    <w:p w14:paraId="1D2C1F76" w14:textId="3B68E5CC" w:rsidR="00095986" w:rsidRPr="009351CB" w:rsidRDefault="00ED434F" w:rsidP="009351CB">
      <w:pPr>
        <w:pStyle w:val="BodySingle"/>
        <w:spacing w:line="360" w:lineRule="auto"/>
        <w:ind w:left="851"/>
        <w:rPr>
          <w:rFonts w:ascii="Times New Roman" w:hAnsi="Times New Roman"/>
          <w:i w:val="0"/>
          <w:sz w:val="24"/>
          <w:szCs w:val="24"/>
        </w:rPr>
      </w:pPr>
      <w:r w:rsidRPr="009351CB">
        <w:rPr>
          <w:rFonts w:ascii="Times New Roman" w:hAnsi="Times New Roman"/>
          <w:i w:val="0"/>
          <w:sz w:val="24"/>
          <w:szCs w:val="24"/>
        </w:rPr>
        <w:t xml:space="preserve">The Committee will </w:t>
      </w:r>
      <w:r w:rsidR="00B902DC" w:rsidRPr="009351CB">
        <w:rPr>
          <w:rFonts w:ascii="Times New Roman" w:hAnsi="Times New Roman"/>
          <w:i w:val="0"/>
          <w:sz w:val="24"/>
          <w:szCs w:val="24"/>
        </w:rPr>
        <w:t xml:space="preserve">raise the need for </w:t>
      </w:r>
      <w:r w:rsidRPr="009351CB">
        <w:rPr>
          <w:rFonts w:ascii="Times New Roman" w:hAnsi="Times New Roman"/>
          <w:i w:val="0"/>
          <w:sz w:val="24"/>
          <w:szCs w:val="24"/>
        </w:rPr>
        <w:t xml:space="preserve">a mechanism to assist Chapter 9 institutions </w:t>
      </w:r>
      <w:r w:rsidR="00F2139C" w:rsidRPr="009351CB">
        <w:rPr>
          <w:rFonts w:ascii="Times New Roman" w:hAnsi="Times New Roman"/>
          <w:i w:val="0"/>
          <w:sz w:val="24"/>
          <w:szCs w:val="24"/>
        </w:rPr>
        <w:t>where state insitutions are unresponsive to requests for information and/or ignore the recommendations made in their reports</w:t>
      </w:r>
      <w:r w:rsidR="00B902DC" w:rsidRPr="009351CB">
        <w:rPr>
          <w:rFonts w:ascii="Times New Roman" w:hAnsi="Times New Roman"/>
          <w:i w:val="0"/>
          <w:sz w:val="24"/>
          <w:szCs w:val="24"/>
        </w:rPr>
        <w:t xml:space="preserve"> through the Forum convened by the Speaker’s Office</w:t>
      </w:r>
      <w:r w:rsidR="00F2139C" w:rsidRPr="009351CB">
        <w:rPr>
          <w:rFonts w:ascii="Times New Roman" w:hAnsi="Times New Roman"/>
          <w:i w:val="0"/>
          <w:sz w:val="24"/>
          <w:szCs w:val="24"/>
        </w:rPr>
        <w:t>.</w:t>
      </w:r>
      <w:r w:rsidRPr="009351CB">
        <w:rPr>
          <w:rFonts w:ascii="Times New Roman" w:hAnsi="Times New Roman"/>
          <w:i w:val="0"/>
          <w:sz w:val="24"/>
          <w:szCs w:val="24"/>
        </w:rPr>
        <w:t xml:space="preserve"> </w:t>
      </w:r>
    </w:p>
    <w:p w14:paraId="40BFB59A" w14:textId="77777777" w:rsidR="002E396C" w:rsidRPr="009351CB" w:rsidRDefault="002E396C" w:rsidP="009351CB">
      <w:pPr>
        <w:pStyle w:val="ListParagraph"/>
        <w:spacing w:line="360" w:lineRule="auto"/>
        <w:ind w:left="851" w:hanging="851"/>
        <w:rPr>
          <w:i/>
        </w:rPr>
      </w:pPr>
    </w:p>
    <w:p w14:paraId="15A6B694" w14:textId="56A8B047" w:rsidR="002E396C"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PAIA Annual Report</w:t>
      </w:r>
      <w:r w:rsidRPr="009351CB">
        <w:rPr>
          <w:rFonts w:ascii="Times New Roman" w:hAnsi="Times New Roman"/>
          <w:i w:val="0"/>
          <w:sz w:val="24"/>
          <w:szCs w:val="24"/>
        </w:rPr>
        <w:t xml:space="preserve">. </w:t>
      </w:r>
      <w:r w:rsidR="002E396C" w:rsidRPr="009351CB">
        <w:rPr>
          <w:rFonts w:ascii="Times New Roman" w:hAnsi="Times New Roman"/>
          <w:i w:val="0"/>
          <w:sz w:val="24"/>
          <w:szCs w:val="24"/>
        </w:rPr>
        <w:t>The Commission has tabled the Promotion of Access to Information Act, 2000, Annu</w:t>
      </w:r>
      <w:r w:rsidRPr="009351CB">
        <w:rPr>
          <w:rFonts w:ascii="Times New Roman" w:hAnsi="Times New Roman"/>
          <w:i w:val="0"/>
          <w:sz w:val="24"/>
          <w:szCs w:val="24"/>
        </w:rPr>
        <w:t>a</w:t>
      </w:r>
      <w:r w:rsidR="002E396C" w:rsidRPr="009351CB">
        <w:rPr>
          <w:rFonts w:ascii="Times New Roman" w:hAnsi="Times New Roman"/>
          <w:i w:val="0"/>
          <w:sz w:val="24"/>
          <w:szCs w:val="24"/>
        </w:rPr>
        <w:t xml:space="preserve">l Report 2018/19, which is referred for consideration and report. The </w:t>
      </w:r>
      <w:r w:rsidR="00992B63" w:rsidRPr="009351CB">
        <w:rPr>
          <w:rFonts w:ascii="Times New Roman" w:hAnsi="Times New Roman"/>
          <w:i w:val="0"/>
          <w:sz w:val="24"/>
          <w:szCs w:val="24"/>
        </w:rPr>
        <w:t xml:space="preserve">Committee is very concerned about the </w:t>
      </w:r>
      <w:r w:rsidR="002E396C" w:rsidRPr="009351CB">
        <w:rPr>
          <w:rFonts w:ascii="Times New Roman" w:hAnsi="Times New Roman"/>
          <w:i w:val="0"/>
          <w:sz w:val="24"/>
          <w:szCs w:val="24"/>
        </w:rPr>
        <w:t>sy</w:t>
      </w:r>
      <w:r w:rsidR="00992B63" w:rsidRPr="009351CB">
        <w:rPr>
          <w:rFonts w:ascii="Times New Roman" w:hAnsi="Times New Roman"/>
          <w:i w:val="0"/>
          <w:sz w:val="24"/>
          <w:szCs w:val="24"/>
        </w:rPr>
        <w:t>s</w:t>
      </w:r>
      <w:r w:rsidR="002E396C" w:rsidRPr="009351CB">
        <w:rPr>
          <w:rFonts w:ascii="Times New Roman" w:hAnsi="Times New Roman"/>
          <w:i w:val="0"/>
          <w:sz w:val="24"/>
          <w:szCs w:val="24"/>
        </w:rPr>
        <w:t>temic non</w:t>
      </w:r>
      <w:r w:rsidR="00992B63" w:rsidRPr="009351CB">
        <w:rPr>
          <w:rFonts w:ascii="Times New Roman" w:hAnsi="Times New Roman"/>
          <w:i w:val="0"/>
          <w:sz w:val="24"/>
          <w:szCs w:val="24"/>
        </w:rPr>
        <w:t xml:space="preserve">-compliance with PAIA at multiple levels of government, which the Report highlights. However, the Committee will engage with the Commission on the Report as soon as </w:t>
      </w:r>
      <w:r w:rsidR="00B902DC" w:rsidRPr="009351CB">
        <w:rPr>
          <w:rFonts w:ascii="Times New Roman" w:hAnsi="Times New Roman"/>
          <w:i w:val="0"/>
          <w:sz w:val="24"/>
          <w:szCs w:val="24"/>
        </w:rPr>
        <w:t xml:space="preserve">the </w:t>
      </w:r>
      <w:r w:rsidR="00992B63" w:rsidRPr="009351CB">
        <w:rPr>
          <w:rFonts w:ascii="Times New Roman" w:hAnsi="Times New Roman"/>
          <w:i w:val="0"/>
          <w:sz w:val="24"/>
          <w:szCs w:val="24"/>
        </w:rPr>
        <w:t>programme permits.</w:t>
      </w:r>
    </w:p>
    <w:p w14:paraId="37B7193E" w14:textId="77777777" w:rsidR="00992B63" w:rsidRPr="009351CB" w:rsidRDefault="00992B63" w:rsidP="009351CB">
      <w:pPr>
        <w:pStyle w:val="ListParagraph"/>
        <w:spacing w:line="360" w:lineRule="auto"/>
        <w:ind w:left="851" w:hanging="851"/>
        <w:rPr>
          <w:i/>
        </w:rPr>
      </w:pPr>
    </w:p>
    <w:p w14:paraId="06503253" w14:textId="1EA3CE22" w:rsidR="00992B63"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National Preventative Mechanism</w:t>
      </w:r>
      <w:r w:rsidRPr="009351CB">
        <w:rPr>
          <w:rFonts w:ascii="Times New Roman" w:hAnsi="Times New Roman"/>
          <w:i w:val="0"/>
          <w:sz w:val="24"/>
          <w:szCs w:val="24"/>
        </w:rPr>
        <w:t xml:space="preserve">. </w:t>
      </w:r>
      <w:r w:rsidR="00992B63" w:rsidRPr="009351CB">
        <w:rPr>
          <w:rFonts w:ascii="Times New Roman" w:hAnsi="Times New Roman"/>
          <w:i w:val="0"/>
          <w:sz w:val="24"/>
          <w:szCs w:val="24"/>
        </w:rPr>
        <w:t>The Committee notes that the Commission has been appointed to co-ordinate the National Preventative Mechanism established in term</w:t>
      </w:r>
      <w:r w:rsidRPr="009351CB">
        <w:rPr>
          <w:rFonts w:ascii="Times New Roman" w:hAnsi="Times New Roman"/>
          <w:i w:val="0"/>
          <w:sz w:val="24"/>
          <w:szCs w:val="24"/>
        </w:rPr>
        <w:t>s</w:t>
      </w:r>
      <w:r w:rsidR="00992B63" w:rsidRPr="009351CB">
        <w:rPr>
          <w:rFonts w:ascii="Times New Roman" w:hAnsi="Times New Roman"/>
          <w:i w:val="0"/>
          <w:sz w:val="24"/>
          <w:szCs w:val="24"/>
        </w:rPr>
        <w:t xml:space="preserve"> of the Optional Protocol to the Convention </w:t>
      </w:r>
      <w:r w:rsidR="00992B63" w:rsidRPr="009351CB">
        <w:rPr>
          <w:rFonts w:ascii="Times New Roman" w:hAnsi="Times New Roman"/>
          <w:i w:val="0"/>
          <w:iCs/>
          <w:sz w:val="24"/>
          <w:szCs w:val="24"/>
        </w:rPr>
        <w:t>against Torture</w:t>
      </w:r>
      <w:r w:rsidR="00992B63" w:rsidRPr="009351CB">
        <w:rPr>
          <w:rFonts w:ascii="Times New Roman" w:hAnsi="Times New Roman"/>
          <w:i w:val="0"/>
          <w:sz w:val="24"/>
          <w:szCs w:val="24"/>
        </w:rPr>
        <w:t xml:space="preserve"> and Other Cruel, Inhuman or Degrading Treatment or Punishment. </w:t>
      </w:r>
      <w:r w:rsidR="0038514D" w:rsidRPr="009351CB">
        <w:rPr>
          <w:rFonts w:ascii="Times New Roman" w:hAnsi="Times New Roman"/>
          <w:i w:val="0"/>
          <w:sz w:val="24"/>
          <w:szCs w:val="24"/>
        </w:rPr>
        <w:t xml:space="preserve">The Commission has recived a </w:t>
      </w:r>
      <w:r w:rsidR="00B902DC" w:rsidRPr="009351CB">
        <w:rPr>
          <w:rFonts w:ascii="Times New Roman" w:hAnsi="Times New Roman"/>
          <w:i w:val="0"/>
          <w:sz w:val="24"/>
          <w:szCs w:val="24"/>
        </w:rPr>
        <w:t xml:space="preserve">small </w:t>
      </w:r>
      <w:r w:rsidR="0038514D" w:rsidRPr="009351CB">
        <w:rPr>
          <w:rFonts w:ascii="Times New Roman" w:hAnsi="Times New Roman"/>
          <w:i w:val="0"/>
          <w:sz w:val="24"/>
          <w:szCs w:val="24"/>
        </w:rPr>
        <w:t xml:space="preserve">budget from the </w:t>
      </w:r>
      <w:r w:rsidR="00B902DC" w:rsidRPr="009351CB">
        <w:rPr>
          <w:rFonts w:ascii="Times New Roman" w:hAnsi="Times New Roman"/>
          <w:i w:val="0"/>
          <w:sz w:val="24"/>
          <w:szCs w:val="24"/>
        </w:rPr>
        <w:t xml:space="preserve">Jusitce </w:t>
      </w:r>
      <w:r w:rsidR="0038514D" w:rsidRPr="009351CB">
        <w:rPr>
          <w:rFonts w:ascii="Times New Roman" w:hAnsi="Times New Roman"/>
          <w:i w:val="0"/>
          <w:sz w:val="24"/>
          <w:szCs w:val="24"/>
        </w:rPr>
        <w:t>Department for 2019/20. The Committee hopes</w:t>
      </w:r>
      <w:r w:rsidR="00B902DC" w:rsidRPr="009351CB">
        <w:rPr>
          <w:rFonts w:ascii="Times New Roman" w:hAnsi="Times New Roman"/>
          <w:i w:val="0"/>
          <w:sz w:val="24"/>
          <w:szCs w:val="24"/>
        </w:rPr>
        <w:t>, however,</w:t>
      </w:r>
      <w:r w:rsidR="0038514D" w:rsidRPr="009351CB">
        <w:rPr>
          <w:rFonts w:ascii="Times New Roman" w:hAnsi="Times New Roman"/>
          <w:i w:val="0"/>
          <w:sz w:val="24"/>
          <w:szCs w:val="24"/>
        </w:rPr>
        <w:t xml:space="preserve"> that the Commission will receive </w:t>
      </w:r>
      <w:r w:rsidR="009351CB" w:rsidRPr="009351CB">
        <w:rPr>
          <w:rFonts w:ascii="Times New Roman" w:hAnsi="Times New Roman"/>
          <w:i w:val="0"/>
          <w:sz w:val="24"/>
          <w:szCs w:val="24"/>
        </w:rPr>
        <w:t xml:space="preserve">additional </w:t>
      </w:r>
      <w:r w:rsidR="0038514D" w:rsidRPr="009351CB">
        <w:rPr>
          <w:rFonts w:ascii="Times New Roman" w:hAnsi="Times New Roman"/>
          <w:i w:val="0"/>
          <w:sz w:val="24"/>
          <w:szCs w:val="24"/>
        </w:rPr>
        <w:t xml:space="preserve">funding for </w:t>
      </w:r>
      <w:r w:rsidR="009351CB" w:rsidRPr="009351CB">
        <w:rPr>
          <w:rFonts w:ascii="Times New Roman" w:hAnsi="Times New Roman"/>
          <w:i w:val="0"/>
          <w:sz w:val="24"/>
          <w:szCs w:val="24"/>
        </w:rPr>
        <w:t>this</w:t>
      </w:r>
      <w:r w:rsidR="00B902DC" w:rsidRPr="009351CB">
        <w:rPr>
          <w:rFonts w:ascii="Times New Roman" w:hAnsi="Times New Roman"/>
          <w:i w:val="0"/>
          <w:sz w:val="24"/>
          <w:szCs w:val="24"/>
        </w:rPr>
        <w:t xml:space="preserve"> new </w:t>
      </w:r>
      <w:r w:rsidR="0038514D" w:rsidRPr="009351CB">
        <w:rPr>
          <w:rFonts w:ascii="Times New Roman" w:hAnsi="Times New Roman"/>
          <w:i w:val="0"/>
          <w:sz w:val="24"/>
          <w:szCs w:val="24"/>
        </w:rPr>
        <w:t xml:space="preserve">mandate as part of its allocation </w:t>
      </w:r>
      <w:r w:rsidR="009351CB" w:rsidRPr="009351CB">
        <w:rPr>
          <w:rFonts w:ascii="Times New Roman" w:hAnsi="Times New Roman"/>
          <w:i w:val="0"/>
          <w:sz w:val="24"/>
          <w:szCs w:val="24"/>
        </w:rPr>
        <w:t>going forward</w:t>
      </w:r>
      <w:r w:rsidR="0038514D" w:rsidRPr="009351CB">
        <w:rPr>
          <w:rFonts w:ascii="Times New Roman" w:hAnsi="Times New Roman"/>
          <w:i w:val="0"/>
          <w:sz w:val="24"/>
          <w:szCs w:val="24"/>
        </w:rPr>
        <w:t>.</w:t>
      </w:r>
    </w:p>
    <w:p w14:paraId="4DA7429D" w14:textId="77777777" w:rsidR="00992B63" w:rsidRPr="009351CB" w:rsidRDefault="00992B63" w:rsidP="009351CB">
      <w:pPr>
        <w:pStyle w:val="ListParagraph"/>
        <w:spacing w:line="360" w:lineRule="auto"/>
        <w:ind w:left="851" w:hanging="851"/>
        <w:rPr>
          <w:i/>
        </w:rPr>
      </w:pPr>
    </w:p>
    <w:p w14:paraId="24B35E2C" w14:textId="77777777" w:rsidR="00992B63"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Moot Court Competition</w:t>
      </w:r>
      <w:r w:rsidRPr="009351CB">
        <w:rPr>
          <w:rFonts w:ascii="Times New Roman" w:hAnsi="Times New Roman"/>
          <w:i w:val="0"/>
          <w:sz w:val="24"/>
          <w:szCs w:val="24"/>
        </w:rPr>
        <w:t xml:space="preserve">. </w:t>
      </w:r>
      <w:r w:rsidR="00992B63" w:rsidRPr="009351CB">
        <w:rPr>
          <w:rFonts w:ascii="Times New Roman" w:hAnsi="Times New Roman"/>
          <w:i w:val="0"/>
          <w:sz w:val="24"/>
          <w:szCs w:val="24"/>
        </w:rPr>
        <w:t>The Committee is pleased that the Commission</w:t>
      </w:r>
      <w:r w:rsidR="0038514D" w:rsidRPr="009351CB">
        <w:rPr>
          <w:rFonts w:ascii="Times New Roman" w:hAnsi="Times New Roman"/>
          <w:i w:val="0"/>
          <w:sz w:val="24"/>
          <w:szCs w:val="24"/>
        </w:rPr>
        <w:t xml:space="preserve"> is to host </w:t>
      </w:r>
      <w:r w:rsidR="00992B63" w:rsidRPr="009351CB">
        <w:rPr>
          <w:rFonts w:ascii="Times New Roman" w:hAnsi="Times New Roman"/>
          <w:i w:val="0"/>
          <w:sz w:val="24"/>
          <w:szCs w:val="24"/>
        </w:rPr>
        <w:t>the Schools Moot Court Competition as a flagship intervention in its efforts to promote public awareness of the Constitution and the Bill of Rights. This specific intervention is intended to promote rights awareness in schools and particiaption is now mandatory for all public schools. However, the competition is now at risk as a result of a lack of funds as a result of the proposed budget</w:t>
      </w:r>
      <w:r w:rsidR="003D147B" w:rsidRPr="009351CB">
        <w:rPr>
          <w:rFonts w:ascii="Times New Roman" w:hAnsi="Times New Roman"/>
          <w:i w:val="0"/>
          <w:sz w:val="24"/>
          <w:szCs w:val="24"/>
        </w:rPr>
        <w:t xml:space="preserve"> reductions</w:t>
      </w:r>
      <w:r w:rsidR="00992B63" w:rsidRPr="009351CB">
        <w:rPr>
          <w:rFonts w:ascii="Times New Roman" w:hAnsi="Times New Roman"/>
          <w:i w:val="0"/>
          <w:sz w:val="24"/>
          <w:szCs w:val="24"/>
        </w:rPr>
        <w:t>.</w:t>
      </w:r>
    </w:p>
    <w:p w14:paraId="10308F5C" w14:textId="77777777" w:rsidR="003D147B" w:rsidRPr="009351CB" w:rsidRDefault="003D147B" w:rsidP="009351CB">
      <w:pPr>
        <w:pStyle w:val="ListParagraph"/>
        <w:spacing w:line="360" w:lineRule="auto"/>
        <w:ind w:left="851" w:hanging="851"/>
        <w:rPr>
          <w:i/>
        </w:rPr>
      </w:pPr>
    </w:p>
    <w:p w14:paraId="31F879F0" w14:textId="69DB754D" w:rsidR="00992B63"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Promotion mandate.</w:t>
      </w:r>
      <w:r w:rsidRPr="009351CB">
        <w:rPr>
          <w:rFonts w:ascii="Times New Roman" w:hAnsi="Times New Roman"/>
          <w:i w:val="0"/>
          <w:sz w:val="24"/>
          <w:szCs w:val="24"/>
        </w:rPr>
        <w:t xml:space="preserve"> </w:t>
      </w:r>
      <w:r w:rsidR="0038514D" w:rsidRPr="009351CB">
        <w:rPr>
          <w:rFonts w:ascii="Times New Roman" w:hAnsi="Times New Roman"/>
          <w:i w:val="0"/>
          <w:sz w:val="24"/>
          <w:szCs w:val="24"/>
        </w:rPr>
        <w:t xml:space="preserve">The Committee is concerned that there is a need to promote greater public awareness of human rights and of the work that the Commission does in this regard. However, the Commission is contrained by its lack of funds </w:t>
      </w:r>
      <w:r w:rsidR="00F2139C" w:rsidRPr="009351CB">
        <w:rPr>
          <w:rFonts w:ascii="Times New Roman" w:hAnsi="Times New Roman"/>
          <w:i w:val="0"/>
          <w:sz w:val="24"/>
          <w:szCs w:val="24"/>
        </w:rPr>
        <w:t xml:space="preserve">and human </w:t>
      </w:r>
      <w:r w:rsidR="0038514D" w:rsidRPr="009351CB">
        <w:rPr>
          <w:rFonts w:ascii="Times New Roman" w:hAnsi="Times New Roman"/>
          <w:i w:val="0"/>
          <w:sz w:val="24"/>
          <w:szCs w:val="24"/>
        </w:rPr>
        <w:t>capacity, especially wi</w:t>
      </w:r>
      <w:r w:rsidR="00F2139C" w:rsidRPr="009351CB">
        <w:rPr>
          <w:rFonts w:ascii="Times New Roman" w:hAnsi="Times New Roman"/>
          <w:i w:val="0"/>
          <w:sz w:val="24"/>
          <w:szCs w:val="24"/>
        </w:rPr>
        <w:t>t</w:t>
      </w:r>
      <w:r w:rsidR="0038514D" w:rsidRPr="009351CB">
        <w:rPr>
          <w:rFonts w:ascii="Times New Roman" w:hAnsi="Times New Roman"/>
          <w:i w:val="0"/>
          <w:sz w:val="24"/>
          <w:szCs w:val="24"/>
        </w:rPr>
        <w:t>h respect to its advocacy mandate.</w:t>
      </w:r>
      <w:r w:rsidR="00F2139C" w:rsidRPr="009351CB">
        <w:rPr>
          <w:rFonts w:ascii="Times New Roman" w:hAnsi="Times New Roman"/>
          <w:i w:val="0"/>
          <w:sz w:val="24"/>
          <w:szCs w:val="24"/>
        </w:rPr>
        <w:t xml:space="preserve"> The Committee notes that the Commission does piggyback on the PPSA</w:t>
      </w:r>
      <w:r w:rsidR="009351CB" w:rsidRPr="009351CB">
        <w:rPr>
          <w:rFonts w:ascii="Times New Roman" w:hAnsi="Times New Roman"/>
          <w:i w:val="0"/>
          <w:sz w:val="24"/>
          <w:szCs w:val="24"/>
        </w:rPr>
        <w:t>’s outreach activities</w:t>
      </w:r>
      <w:r w:rsidR="00F2139C" w:rsidRPr="009351CB">
        <w:rPr>
          <w:rFonts w:ascii="Times New Roman" w:hAnsi="Times New Roman"/>
          <w:i w:val="0"/>
          <w:sz w:val="24"/>
          <w:szCs w:val="24"/>
        </w:rPr>
        <w:t>, as it has more resources, and makes use of community radio, as well. The Commission is also looking at more targetted outreach activities for greater effectiveness.</w:t>
      </w:r>
    </w:p>
    <w:p w14:paraId="246ACAE6" w14:textId="77777777" w:rsidR="00F2139C" w:rsidRPr="009351CB" w:rsidRDefault="00F2139C" w:rsidP="009351CB">
      <w:pPr>
        <w:pStyle w:val="ListParagraph"/>
        <w:spacing w:line="360" w:lineRule="auto"/>
        <w:ind w:left="851" w:hanging="851"/>
        <w:rPr>
          <w:i/>
        </w:rPr>
      </w:pPr>
    </w:p>
    <w:p w14:paraId="2FF6A3CF" w14:textId="20A5D926" w:rsidR="00F2139C"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Insourcing of legal services.</w:t>
      </w:r>
      <w:r w:rsidRPr="009351CB">
        <w:rPr>
          <w:rFonts w:ascii="Times New Roman" w:hAnsi="Times New Roman"/>
          <w:i w:val="0"/>
          <w:sz w:val="24"/>
          <w:szCs w:val="24"/>
        </w:rPr>
        <w:t xml:space="preserve"> </w:t>
      </w:r>
      <w:r w:rsidR="00F2139C" w:rsidRPr="009351CB">
        <w:rPr>
          <w:rFonts w:ascii="Times New Roman" w:hAnsi="Times New Roman"/>
          <w:i w:val="0"/>
          <w:sz w:val="24"/>
          <w:szCs w:val="24"/>
        </w:rPr>
        <w:t xml:space="preserve">The Committee commends the Commission on </w:t>
      </w:r>
      <w:r w:rsidR="009351CB" w:rsidRPr="009351CB">
        <w:rPr>
          <w:rFonts w:ascii="Times New Roman" w:hAnsi="Times New Roman"/>
          <w:i w:val="0"/>
          <w:sz w:val="24"/>
          <w:szCs w:val="24"/>
        </w:rPr>
        <w:t xml:space="preserve">the </w:t>
      </w:r>
      <w:r w:rsidR="00F2139C" w:rsidRPr="009351CB">
        <w:rPr>
          <w:rFonts w:ascii="Times New Roman" w:hAnsi="Times New Roman"/>
          <w:i w:val="0"/>
          <w:sz w:val="24"/>
          <w:szCs w:val="24"/>
        </w:rPr>
        <w:t>insourcing of legal services now that its offices have been accredited with law clinic status.</w:t>
      </w:r>
    </w:p>
    <w:p w14:paraId="23F71644" w14:textId="77777777" w:rsidR="00F2139C" w:rsidRPr="009351CB" w:rsidRDefault="00F2139C" w:rsidP="009351CB">
      <w:pPr>
        <w:pStyle w:val="ListParagraph"/>
        <w:spacing w:line="360" w:lineRule="auto"/>
        <w:ind w:left="851" w:hanging="851"/>
        <w:rPr>
          <w:i/>
        </w:rPr>
      </w:pPr>
    </w:p>
    <w:p w14:paraId="591DEEEA" w14:textId="77777777" w:rsidR="000D5370" w:rsidRPr="009351CB" w:rsidRDefault="000D5370" w:rsidP="009351CB">
      <w:pPr>
        <w:spacing w:line="360" w:lineRule="auto"/>
        <w:ind w:left="851" w:hanging="851"/>
        <w:rPr>
          <w:b/>
        </w:rPr>
      </w:pPr>
    </w:p>
    <w:p w14:paraId="6C637A65" w14:textId="77777777" w:rsidR="00106280" w:rsidRPr="009351CB" w:rsidRDefault="00106280" w:rsidP="004F6019">
      <w:pPr>
        <w:numPr>
          <w:ilvl w:val="0"/>
          <w:numId w:val="29"/>
        </w:numPr>
        <w:spacing w:line="360" w:lineRule="auto"/>
        <w:ind w:left="851" w:hanging="851"/>
        <w:rPr>
          <w:b/>
        </w:rPr>
      </w:pPr>
      <w:r w:rsidRPr="009351CB">
        <w:rPr>
          <w:b/>
        </w:rPr>
        <w:t>Public Protector</w:t>
      </w:r>
      <w:r w:rsidR="00F317FE" w:rsidRPr="009351CB">
        <w:rPr>
          <w:b/>
        </w:rPr>
        <w:t xml:space="preserve"> South Africa </w:t>
      </w:r>
    </w:p>
    <w:p w14:paraId="7B4C5CD9" w14:textId="77777777" w:rsidR="00375B2F" w:rsidRPr="009351CB" w:rsidRDefault="00375B2F" w:rsidP="009351CB">
      <w:pPr>
        <w:pStyle w:val="BodySingle"/>
        <w:spacing w:line="360" w:lineRule="auto"/>
        <w:ind w:left="851"/>
        <w:rPr>
          <w:rFonts w:ascii="Times New Roman" w:hAnsi="Times New Roman"/>
          <w:i w:val="0"/>
          <w:sz w:val="24"/>
          <w:szCs w:val="24"/>
        </w:rPr>
      </w:pPr>
    </w:p>
    <w:p w14:paraId="3B92F994" w14:textId="478D9CF1" w:rsidR="00106280" w:rsidRPr="009351CB" w:rsidRDefault="00D258F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lang w:val="en-ZA"/>
        </w:rPr>
        <w:t>Audit Outcome</w:t>
      </w:r>
      <w:r w:rsidRPr="009351CB">
        <w:rPr>
          <w:rFonts w:ascii="Times New Roman" w:hAnsi="Times New Roman"/>
          <w:i w:val="0"/>
          <w:sz w:val="24"/>
          <w:szCs w:val="24"/>
          <w:lang w:val="en-ZA"/>
        </w:rPr>
        <w:t xml:space="preserve">. </w:t>
      </w:r>
      <w:r w:rsidR="008B16FF" w:rsidRPr="009351CB">
        <w:rPr>
          <w:rFonts w:ascii="Times New Roman" w:hAnsi="Times New Roman"/>
          <w:i w:val="0"/>
          <w:sz w:val="24"/>
          <w:szCs w:val="24"/>
          <w:lang w:val="en-ZA"/>
        </w:rPr>
        <w:t xml:space="preserve">The Committee </w:t>
      </w:r>
      <w:r w:rsidR="00106280" w:rsidRPr="009351CB">
        <w:rPr>
          <w:rFonts w:ascii="Times New Roman" w:hAnsi="Times New Roman"/>
          <w:i w:val="0"/>
          <w:sz w:val="24"/>
          <w:szCs w:val="24"/>
          <w:lang w:val="en-ZA"/>
        </w:rPr>
        <w:t>notes that</w:t>
      </w:r>
      <w:r w:rsidR="00894AF0" w:rsidRPr="009351CB">
        <w:rPr>
          <w:rFonts w:ascii="Times New Roman" w:hAnsi="Times New Roman"/>
          <w:i w:val="0"/>
          <w:sz w:val="24"/>
          <w:szCs w:val="24"/>
          <w:lang w:val="en-ZA"/>
        </w:rPr>
        <w:t xml:space="preserve"> </w:t>
      </w:r>
      <w:r w:rsidR="00106280" w:rsidRPr="009351CB">
        <w:rPr>
          <w:rFonts w:ascii="Times New Roman" w:hAnsi="Times New Roman"/>
          <w:i w:val="0"/>
          <w:sz w:val="24"/>
          <w:szCs w:val="24"/>
          <w:lang w:val="en-ZA"/>
        </w:rPr>
        <w:t>the P</w:t>
      </w:r>
      <w:r w:rsidR="003C1844" w:rsidRPr="009351CB">
        <w:rPr>
          <w:rFonts w:ascii="Times New Roman" w:hAnsi="Times New Roman"/>
          <w:i w:val="0"/>
          <w:sz w:val="24"/>
          <w:szCs w:val="24"/>
          <w:lang w:val="en-ZA"/>
        </w:rPr>
        <w:t>PSA</w:t>
      </w:r>
      <w:r w:rsidR="00106280" w:rsidRPr="009351CB">
        <w:rPr>
          <w:rFonts w:ascii="Times New Roman" w:hAnsi="Times New Roman"/>
          <w:i w:val="0"/>
          <w:sz w:val="24"/>
          <w:szCs w:val="24"/>
          <w:lang w:val="en-ZA"/>
        </w:rPr>
        <w:t xml:space="preserve"> receiv</w:t>
      </w:r>
      <w:r w:rsidR="00894AF0" w:rsidRPr="009351CB">
        <w:rPr>
          <w:rFonts w:ascii="Times New Roman" w:hAnsi="Times New Roman"/>
          <w:i w:val="0"/>
          <w:sz w:val="24"/>
          <w:szCs w:val="24"/>
          <w:lang w:val="en-ZA"/>
        </w:rPr>
        <w:t xml:space="preserve">ed an unqualified audit opinion </w:t>
      </w:r>
      <w:r w:rsidRPr="009351CB">
        <w:rPr>
          <w:rFonts w:ascii="Times New Roman" w:hAnsi="Times New Roman"/>
          <w:i w:val="0"/>
          <w:sz w:val="24"/>
          <w:szCs w:val="24"/>
          <w:lang w:val="en-ZA"/>
        </w:rPr>
        <w:t xml:space="preserve">with </w:t>
      </w:r>
      <w:r w:rsidR="00551A58" w:rsidRPr="009351CB">
        <w:rPr>
          <w:rFonts w:ascii="Times New Roman" w:hAnsi="Times New Roman"/>
          <w:i w:val="0"/>
          <w:sz w:val="24"/>
          <w:szCs w:val="24"/>
          <w:lang w:val="en-ZA"/>
        </w:rPr>
        <w:t>findings</w:t>
      </w:r>
      <w:r w:rsidRPr="009351CB">
        <w:rPr>
          <w:rFonts w:ascii="Times New Roman" w:hAnsi="Times New Roman"/>
          <w:i w:val="0"/>
          <w:sz w:val="24"/>
          <w:szCs w:val="24"/>
          <w:lang w:val="en-ZA"/>
        </w:rPr>
        <w:t xml:space="preserve"> but there has been some positive movement: the number of non-compliance matters is reduced from seven to two; performance reporting has improved; and the quality of the annual financial sttatements has improved despite some material misstatements that needed correcting. The PPSA’s financial health has also improved as it no longer has a deficit (the Department of Justice allocated R16 million to the PPSA). There is almost no irregular expenditure or fruitless and wasteful expnditure. </w:t>
      </w:r>
    </w:p>
    <w:p w14:paraId="107D6947" w14:textId="77777777" w:rsidR="00D258F2" w:rsidRPr="009351CB" w:rsidRDefault="00D258F2" w:rsidP="009351CB">
      <w:pPr>
        <w:pStyle w:val="BodySingle"/>
        <w:spacing w:line="360" w:lineRule="auto"/>
        <w:ind w:left="851" w:hanging="851"/>
        <w:rPr>
          <w:rFonts w:ascii="Times New Roman" w:hAnsi="Times New Roman"/>
          <w:i w:val="0"/>
          <w:sz w:val="24"/>
          <w:szCs w:val="24"/>
        </w:rPr>
      </w:pPr>
    </w:p>
    <w:p w14:paraId="363C7959" w14:textId="4910FB66" w:rsidR="00EE6140" w:rsidRPr="009351CB" w:rsidRDefault="00EE614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Decline in number of new cases</w:t>
      </w:r>
      <w:r w:rsidR="00A5472A" w:rsidRPr="009351CB">
        <w:rPr>
          <w:rFonts w:ascii="Times New Roman" w:hAnsi="Times New Roman"/>
          <w:b/>
          <w:sz w:val="24"/>
          <w:szCs w:val="24"/>
        </w:rPr>
        <w:t xml:space="preserve"> and backlogs</w:t>
      </w:r>
      <w:r w:rsidRPr="009351CB">
        <w:rPr>
          <w:rFonts w:ascii="Times New Roman" w:hAnsi="Times New Roman"/>
          <w:i w:val="0"/>
          <w:sz w:val="24"/>
          <w:szCs w:val="24"/>
        </w:rPr>
        <w:t xml:space="preserve">. Although the PPSA reports achieving 72% of its targets, there has been a decrease in the number of new cases that it is receiving despite the number of stakeholder engagements. </w:t>
      </w:r>
      <w:r w:rsidR="000B6052" w:rsidRPr="009351CB">
        <w:rPr>
          <w:rFonts w:ascii="Times New Roman" w:hAnsi="Times New Roman"/>
          <w:i w:val="0"/>
          <w:sz w:val="24"/>
          <w:szCs w:val="24"/>
        </w:rPr>
        <w:t xml:space="preserve">The Committee does not understand why this is so but will monitor this trend going forward. The Committee also asks that the PPSA provide a breakdown of its backlog cases, including the number of </w:t>
      </w:r>
      <w:r w:rsidR="009351CB" w:rsidRPr="009351CB">
        <w:rPr>
          <w:rFonts w:ascii="Times New Roman" w:hAnsi="Times New Roman"/>
          <w:i w:val="0"/>
          <w:sz w:val="24"/>
          <w:szCs w:val="24"/>
        </w:rPr>
        <w:t>these</w:t>
      </w:r>
      <w:r w:rsidR="000B6052" w:rsidRPr="009351CB">
        <w:rPr>
          <w:rFonts w:ascii="Times New Roman" w:hAnsi="Times New Roman"/>
          <w:i w:val="0"/>
          <w:sz w:val="24"/>
          <w:szCs w:val="24"/>
        </w:rPr>
        <w:t xml:space="preserve"> cases, when the complaint was lodged and the </w:t>
      </w:r>
      <w:r w:rsidR="009351CB" w:rsidRPr="009351CB">
        <w:rPr>
          <w:rFonts w:ascii="Times New Roman" w:hAnsi="Times New Roman"/>
          <w:i w:val="0"/>
          <w:sz w:val="24"/>
          <w:szCs w:val="24"/>
        </w:rPr>
        <w:t>nature of the complaint</w:t>
      </w:r>
      <w:r w:rsidR="000B6052" w:rsidRPr="009351CB">
        <w:rPr>
          <w:rFonts w:ascii="Times New Roman" w:hAnsi="Times New Roman"/>
          <w:i w:val="0"/>
          <w:sz w:val="24"/>
          <w:szCs w:val="24"/>
        </w:rPr>
        <w:t xml:space="preserve">. </w:t>
      </w:r>
    </w:p>
    <w:p w14:paraId="490819C8" w14:textId="77777777" w:rsidR="00EE6140" w:rsidRPr="009351CB" w:rsidRDefault="00EE6140" w:rsidP="009351CB">
      <w:pPr>
        <w:pStyle w:val="ListParagraph"/>
        <w:spacing w:line="360" w:lineRule="auto"/>
        <w:ind w:left="851" w:hanging="851"/>
        <w:rPr>
          <w:b/>
        </w:rPr>
      </w:pPr>
    </w:p>
    <w:p w14:paraId="56D1EE50" w14:textId="77777777" w:rsidR="00D806D0" w:rsidRPr="009351CB" w:rsidRDefault="00D258F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Budget</w:t>
      </w:r>
      <w:r w:rsidRPr="009351CB">
        <w:rPr>
          <w:rFonts w:ascii="Times New Roman" w:hAnsi="Times New Roman"/>
          <w:i w:val="0"/>
          <w:sz w:val="24"/>
          <w:szCs w:val="24"/>
        </w:rPr>
        <w:t xml:space="preserve">. </w:t>
      </w:r>
      <w:r w:rsidR="00D806D0" w:rsidRPr="009351CB">
        <w:rPr>
          <w:rFonts w:ascii="Times New Roman" w:hAnsi="Times New Roman"/>
          <w:i w:val="0"/>
          <w:sz w:val="24"/>
          <w:szCs w:val="24"/>
        </w:rPr>
        <w:t>The Committee notes that the PPSA continues to maintain that the current budget is inadequate.</w:t>
      </w:r>
      <w:r w:rsidR="00894AF0" w:rsidRPr="009351CB">
        <w:rPr>
          <w:rFonts w:ascii="Times New Roman" w:hAnsi="Times New Roman"/>
          <w:i w:val="0"/>
          <w:sz w:val="24"/>
          <w:szCs w:val="24"/>
        </w:rPr>
        <w:t xml:space="preserve"> </w:t>
      </w:r>
      <w:r w:rsidRPr="009351CB">
        <w:rPr>
          <w:rFonts w:ascii="Times New Roman" w:hAnsi="Times New Roman"/>
          <w:i w:val="0"/>
          <w:sz w:val="24"/>
          <w:szCs w:val="24"/>
        </w:rPr>
        <w:t xml:space="preserve">The </w:t>
      </w:r>
      <w:r w:rsidR="000C54EE" w:rsidRPr="009351CB">
        <w:rPr>
          <w:rFonts w:ascii="Times New Roman" w:hAnsi="Times New Roman"/>
          <w:i w:val="0"/>
          <w:sz w:val="24"/>
          <w:szCs w:val="24"/>
        </w:rPr>
        <w:t xml:space="preserve">Committee </w:t>
      </w:r>
      <w:r w:rsidRPr="009351CB">
        <w:rPr>
          <w:rFonts w:ascii="Times New Roman" w:hAnsi="Times New Roman"/>
          <w:i w:val="0"/>
          <w:sz w:val="24"/>
          <w:szCs w:val="24"/>
        </w:rPr>
        <w:t xml:space="preserve">does not support the budget reductions in the case of the SAHRC and PPSA and </w:t>
      </w:r>
      <w:r w:rsidR="000C54EE" w:rsidRPr="009351CB">
        <w:rPr>
          <w:rFonts w:ascii="Times New Roman" w:hAnsi="Times New Roman"/>
          <w:i w:val="0"/>
          <w:sz w:val="24"/>
          <w:szCs w:val="24"/>
        </w:rPr>
        <w:t xml:space="preserve">has </w:t>
      </w:r>
      <w:r w:rsidRPr="009351CB">
        <w:rPr>
          <w:rFonts w:ascii="Times New Roman" w:hAnsi="Times New Roman"/>
          <w:i w:val="0"/>
          <w:sz w:val="24"/>
          <w:szCs w:val="24"/>
        </w:rPr>
        <w:t xml:space="preserve">also </w:t>
      </w:r>
      <w:r w:rsidR="000C54EE" w:rsidRPr="009351CB">
        <w:rPr>
          <w:rFonts w:ascii="Times New Roman" w:hAnsi="Times New Roman"/>
          <w:i w:val="0"/>
          <w:sz w:val="24"/>
          <w:szCs w:val="24"/>
        </w:rPr>
        <w:t>expressed its view that the funding model applicable to the Chapter 9 institutions requires a complete overhaul. As part of that process, there should be an exercise to establish the true fund</w:t>
      </w:r>
      <w:r w:rsidR="00752A81" w:rsidRPr="009351CB">
        <w:rPr>
          <w:rFonts w:ascii="Times New Roman" w:hAnsi="Times New Roman"/>
          <w:i w:val="0"/>
          <w:sz w:val="24"/>
          <w:szCs w:val="24"/>
        </w:rPr>
        <w:t>ing needs of these institutions</w:t>
      </w:r>
      <w:r w:rsidR="00F93511" w:rsidRPr="009351CB">
        <w:rPr>
          <w:rFonts w:ascii="Times New Roman" w:hAnsi="Times New Roman"/>
          <w:i w:val="0"/>
          <w:sz w:val="24"/>
          <w:szCs w:val="24"/>
        </w:rPr>
        <w:t>.</w:t>
      </w:r>
      <w:r w:rsidR="000C54EE" w:rsidRPr="009351CB">
        <w:rPr>
          <w:rFonts w:ascii="Times New Roman" w:hAnsi="Times New Roman"/>
          <w:i w:val="0"/>
          <w:sz w:val="24"/>
          <w:szCs w:val="24"/>
        </w:rPr>
        <w:t xml:space="preserve"> </w:t>
      </w:r>
      <w:r w:rsidRPr="009351CB">
        <w:rPr>
          <w:rFonts w:ascii="Times New Roman" w:hAnsi="Times New Roman"/>
          <w:i w:val="0"/>
          <w:sz w:val="24"/>
          <w:szCs w:val="24"/>
        </w:rPr>
        <w:t>The PPSA’s funding needs are recorded elsewhere in this report.</w:t>
      </w:r>
    </w:p>
    <w:p w14:paraId="4EB0590A" w14:textId="77777777" w:rsidR="00B531C2" w:rsidRPr="009351CB" w:rsidRDefault="00B531C2" w:rsidP="009351CB">
      <w:pPr>
        <w:pStyle w:val="ListParagraph"/>
        <w:spacing w:line="360" w:lineRule="auto"/>
        <w:ind w:left="851" w:hanging="851"/>
        <w:rPr>
          <w:i/>
        </w:rPr>
      </w:pPr>
    </w:p>
    <w:p w14:paraId="5E54B6A3" w14:textId="77777777" w:rsidR="00EE6140" w:rsidRPr="009351CB" w:rsidRDefault="00B531C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Security</w:t>
      </w:r>
      <w:r w:rsidRPr="009351CB">
        <w:rPr>
          <w:rFonts w:ascii="Times New Roman" w:hAnsi="Times New Roman"/>
          <w:sz w:val="24"/>
          <w:szCs w:val="24"/>
        </w:rPr>
        <w:t>.</w:t>
      </w:r>
      <w:r w:rsidRPr="009351CB">
        <w:rPr>
          <w:rFonts w:ascii="Times New Roman" w:hAnsi="Times New Roman"/>
          <w:i w:val="0"/>
          <w:sz w:val="24"/>
          <w:szCs w:val="24"/>
        </w:rPr>
        <w:t xml:space="preserve"> </w:t>
      </w:r>
      <w:r w:rsidR="00EE6140" w:rsidRPr="009351CB">
        <w:rPr>
          <w:rFonts w:ascii="Times New Roman" w:hAnsi="Times New Roman"/>
          <w:i w:val="0"/>
          <w:sz w:val="24"/>
          <w:szCs w:val="24"/>
        </w:rPr>
        <w:t xml:space="preserve">The Committee is concerned that only one of the PPSA’ s offices has security. Given the nature of the work that the PPSA undertakes, the matter of security is one that cannot be ignored and should be adequately funded. </w:t>
      </w:r>
    </w:p>
    <w:p w14:paraId="72EF7B88" w14:textId="77777777" w:rsidR="00EE6140" w:rsidRPr="009351CB" w:rsidRDefault="00EE6140" w:rsidP="009351CB">
      <w:pPr>
        <w:pStyle w:val="ListParagraph"/>
        <w:spacing w:line="360" w:lineRule="auto"/>
        <w:ind w:left="851" w:hanging="851"/>
      </w:pPr>
    </w:p>
    <w:p w14:paraId="6862F4F5" w14:textId="56648BD1" w:rsidR="00EE6140" w:rsidRPr="009351CB" w:rsidRDefault="00EE6140" w:rsidP="004F6019">
      <w:pPr>
        <w:pStyle w:val="BodySingle"/>
        <w:numPr>
          <w:ilvl w:val="1"/>
          <w:numId w:val="29"/>
        </w:numPr>
        <w:spacing w:line="360" w:lineRule="auto"/>
        <w:ind w:left="851" w:hanging="851"/>
        <w:rPr>
          <w:rFonts w:ascii="Times New Roman" w:hAnsi="Times New Roman"/>
          <w:b/>
          <w:sz w:val="24"/>
          <w:szCs w:val="24"/>
        </w:rPr>
      </w:pPr>
      <w:r w:rsidRPr="009351CB">
        <w:rPr>
          <w:rFonts w:ascii="Times New Roman" w:hAnsi="Times New Roman"/>
          <w:b/>
          <w:sz w:val="24"/>
          <w:szCs w:val="24"/>
        </w:rPr>
        <w:t>Lack of co-operation from state institutions</w:t>
      </w:r>
      <w:r w:rsidRPr="009351CB">
        <w:rPr>
          <w:rFonts w:ascii="Times New Roman" w:hAnsi="Times New Roman"/>
          <w:i w:val="0"/>
          <w:sz w:val="24"/>
          <w:szCs w:val="24"/>
        </w:rPr>
        <w:t xml:space="preserve">. The Committee will </w:t>
      </w:r>
      <w:r w:rsidR="009351CB" w:rsidRPr="009351CB">
        <w:rPr>
          <w:rFonts w:ascii="Times New Roman" w:hAnsi="Times New Roman"/>
          <w:i w:val="0"/>
          <w:sz w:val="24"/>
          <w:szCs w:val="24"/>
        </w:rPr>
        <w:t xml:space="preserve">raise the need for </w:t>
      </w:r>
      <w:r w:rsidRPr="009351CB">
        <w:rPr>
          <w:rFonts w:ascii="Times New Roman" w:hAnsi="Times New Roman"/>
          <w:i w:val="0"/>
          <w:sz w:val="24"/>
          <w:szCs w:val="24"/>
        </w:rPr>
        <w:t>a mechanism to assist Chapter 9 institutions where state institutions fail to co-operate or respond to findings</w:t>
      </w:r>
      <w:r w:rsidR="009351CB" w:rsidRPr="009351CB">
        <w:rPr>
          <w:rFonts w:ascii="Times New Roman" w:hAnsi="Times New Roman"/>
          <w:i w:val="0"/>
          <w:sz w:val="24"/>
          <w:szCs w:val="24"/>
        </w:rPr>
        <w:t xml:space="preserve"> at the next meeting of the Forum convened by the Speaker’s Office</w:t>
      </w:r>
      <w:r w:rsidRPr="009351CB">
        <w:rPr>
          <w:rFonts w:ascii="Times New Roman" w:hAnsi="Times New Roman"/>
          <w:i w:val="0"/>
          <w:sz w:val="24"/>
          <w:szCs w:val="24"/>
        </w:rPr>
        <w:t>.</w:t>
      </w:r>
    </w:p>
    <w:p w14:paraId="375C5237" w14:textId="77777777" w:rsidR="00533B7A" w:rsidRPr="009351CB" w:rsidRDefault="00533B7A" w:rsidP="009351CB">
      <w:pPr>
        <w:pStyle w:val="ListParagraph"/>
        <w:spacing w:line="360" w:lineRule="auto"/>
        <w:ind w:left="851" w:hanging="851"/>
        <w:rPr>
          <w:b/>
        </w:rPr>
      </w:pPr>
    </w:p>
    <w:p w14:paraId="6BCAE171" w14:textId="77777777" w:rsidR="00EE6140" w:rsidRPr="009351CB" w:rsidRDefault="000B6052"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b/>
          <w:sz w:val="24"/>
          <w:szCs w:val="24"/>
        </w:rPr>
        <w:t xml:space="preserve">Quality Assurance mechanism. </w:t>
      </w:r>
      <w:r w:rsidRPr="009351CB">
        <w:rPr>
          <w:rFonts w:ascii="Times New Roman" w:hAnsi="Times New Roman"/>
          <w:i w:val="0"/>
          <w:sz w:val="24"/>
          <w:szCs w:val="24"/>
        </w:rPr>
        <w:t xml:space="preserve">The Committee notes the Deputy Public Protector’s advice that a quality assurance mechanism be reinstated at the PPSA. The Committee appreciates the Public Protector’s concern to stay within budget but many of the matters that the Public Protector investigates are of a highly sensitive nature with very serious consequences for those concerned. For this reason, every effort should be taken to ensure a water tight report. Furthermore, </w:t>
      </w:r>
      <w:r w:rsidR="00533B7A" w:rsidRPr="009351CB">
        <w:rPr>
          <w:rFonts w:ascii="Times New Roman" w:hAnsi="Times New Roman"/>
          <w:i w:val="0"/>
          <w:sz w:val="24"/>
          <w:szCs w:val="24"/>
        </w:rPr>
        <w:t>the chances of being successfully taken on review would be considerably reduced.</w:t>
      </w:r>
    </w:p>
    <w:p w14:paraId="6137A79B" w14:textId="77777777" w:rsidR="00533B7A" w:rsidRPr="009351CB" w:rsidRDefault="00533B7A" w:rsidP="009351CB">
      <w:pPr>
        <w:pStyle w:val="BodySingle"/>
        <w:spacing w:line="360" w:lineRule="auto"/>
        <w:ind w:left="851" w:hanging="851"/>
        <w:rPr>
          <w:rFonts w:ascii="Times New Roman" w:hAnsi="Times New Roman"/>
          <w:b/>
          <w:sz w:val="24"/>
          <w:szCs w:val="24"/>
        </w:rPr>
      </w:pPr>
    </w:p>
    <w:p w14:paraId="2F25D361" w14:textId="77777777" w:rsidR="00533B7A" w:rsidRPr="009351CB" w:rsidRDefault="00533B7A" w:rsidP="009351CB">
      <w:pPr>
        <w:pStyle w:val="BodySingle"/>
        <w:spacing w:line="360" w:lineRule="auto"/>
        <w:ind w:left="851" w:hanging="851"/>
        <w:rPr>
          <w:rFonts w:ascii="Times New Roman" w:hAnsi="Times New Roman"/>
          <w:i w:val="0"/>
          <w:sz w:val="24"/>
          <w:szCs w:val="24"/>
        </w:rPr>
      </w:pPr>
    </w:p>
    <w:p w14:paraId="592B038F" w14:textId="77777777" w:rsidR="00806A77" w:rsidRPr="009351CB" w:rsidRDefault="00806A77" w:rsidP="004F6019">
      <w:pPr>
        <w:numPr>
          <w:ilvl w:val="0"/>
          <w:numId w:val="29"/>
        </w:numPr>
        <w:spacing w:line="360" w:lineRule="auto"/>
        <w:ind w:left="851" w:hanging="851"/>
        <w:rPr>
          <w:b/>
        </w:rPr>
      </w:pPr>
      <w:r w:rsidRPr="009351CB">
        <w:rPr>
          <w:b/>
        </w:rPr>
        <w:t>Reporting requests</w:t>
      </w:r>
    </w:p>
    <w:p w14:paraId="62345E30" w14:textId="77777777" w:rsidR="00A5472A" w:rsidRPr="009351CB" w:rsidRDefault="00A5472A" w:rsidP="009351CB">
      <w:pPr>
        <w:spacing w:line="360" w:lineRule="auto"/>
        <w:ind w:left="851"/>
        <w:rPr>
          <w:b/>
        </w:rPr>
      </w:pPr>
    </w:p>
    <w:tbl>
      <w:tblPr>
        <w:tblStyle w:val="TableGrid"/>
        <w:tblW w:w="7954" w:type="dxa"/>
        <w:tblInd w:w="375" w:type="dxa"/>
        <w:tblLook w:val="04A0" w:firstRow="1" w:lastRow="0" w:firstColumn="1" w:lastColumn="0" w:noHBand="0" w:noVBand="1"/>
      </w:tblPr>
      <w:tblGrid>
        <w:gridCol w:w="4012"/>
        <w:gridCol w:w="2116"/>
        <w:gridCol w:w="1826"/>
      </w:tblGrid>
      <w:tr w:rsidR="00A5472A" w:rsidRPr="009351CB" w14:paraId="58723CA9" w14:textId="77777777" w:rsidTr="00A5472A">
        <w:tc>
          <w:tcPr>
            <w:tcW w:w="0" w:type="auto"/>
          </w:tcPr>
          <w:p w14:paraId="0E0E3E18" w14:textId="77777777" w:rsidR="00A5472A" w:rsidRPr="009351CB" w:rsidRDefault="00A5472A" w:rsidP="009351CB">
            <w:pPr>
              <w:spacing w:line="360" w:lineRule="auto"/>
              <w:jc w:val="center"/>
              <w:rPr>
                <w:b/>
                <w:i/>
              </w:rPr>
            </w:pPr>
            <w:r w:rsidRPr="009351CB">
              <w:rPr>
                <w:b/>
                <w:i/>
              </w:rPr>
              <w:t>Reporting request</w:t>
            </w:r>
          </w:p>
        </w:tc>
        <w:tc>
          <w:tcPr>
            <w:tcW w:w="0" w:type="auto"/>
          </w:tcPr>
          <w:p w14:paraId="5370CC59" w14:textId="77777777" w:rsidR="00A5472A" w:rsidRPr="009351CB" w:rsidRDefault="00A5472A" w:rsidP="009351CB">
            <w:pPr>
              <w:spacing w:line="360" w:lineRule="auto"/>
              <w:jc w:val="center"/>
              <w:rPr>
                <w:b/>
              </w:rPr>
            </w:pPr>
            <w:r w:rsidRPr="009351CB">
              <w:rPr>
                <w:b/>
              </w:rPr>
              <w:t>Action required</w:t>
            </w:r>
          </w:p>
        </w:tc>
        <w:tc>
          <w:tcPr>
            <w:tcW w:w="0" w:type="auto"/>
          </w:tcPr>
          <w:p w14:paraId="295C63ED" w14:textId="77777777" w:rsidR="00A5472A" w:rsidRPr="009351CB" w:rsidRDefault="00A5472A" w:rsidP="009351CB">
            <w:pPr>
              <w:spacing w:line="360" w:lineRule="auto"/>
              <w:jc w:val="center"/>
              <w:rPr>
                <w:b/>
              </w:rPr>
            </w:pPr>
            <w:r w:rsidRPr="009351CB">
              <w:rPr>
                <w:b/>
              </w:rPr>
              <w:t>Associated timeframe</w:t>
            </w:r>
          </w:p>
        </w:tc>
      </w:tr>
      <w:tr w:rsidR="00A5472A" w:rsidRPr="009351CB" w14:paraId="39F6C3E6" w14:textId="77777777" w:rsidTr="00A5472A">
        <w:tc>
          <w:tcPr>
            <w:tcW w:w="0" w:type="auto"/>
          </w:tcPr>
          <w:p w14:paraId="318DF6C3" w14:textId="77777777" w:rsidR="00A5472A" w:rsidRPr="009351CB" w:rsidRDefault="00A5472A" w:rsidP="009351CB">
            <w:pPr>
              <w:spacing w:line="360" w:lineRule="auto"/>
              <w:rPr>
                <w:b/>
                <w:i/>
              </w:rPr>
            </w:pPr>
            <w:r w:rsidRPr="009351CB">
              <w:rPr>
                <w:b/>
                <w:i/>
              </w:rPr>
              <w:t>Audit outcome: Department of Justice and Constitutional Development</w:t>
            </w:r>
          </w:p>
          <w:p w14:paraId="2E4068BD" w14:textId="77777777" w:rsidR="00A5472A" w:rsidRPr="009351CB" w:rsidRDefault="00A5472A" w:rsidP="009351CB">
            <w:pPr>
              <w:spacing w:line="360" w:lineRule="auto"/>
              <w:rPr>
                <w:b/>
                <w:i/>
              </w:rPr>
            </w:pPr>
            <w:r w:rsidRPr="009351CB">
              <w:rPr>
                <w:b/>
                <w:i/>
              </w:rPr>
              <w:t>Formal commitments and implementation of audit action plans.</w:t>
            </w:r>
          </w:p>
          <w:p w14:paraId="77FEE297" w14:textId="77777777" w:rsidR="00A5472A" w:rsidRPr="009351CB" w:rsidRDefault="00A5472A" w:rsidP="009351CB">
            <w:pPr>
              <w:spacing w:line="360" w:lineRule="auto"/>
              <w:rPr>
                <w:b/>
                <w:i/>
              </w:rPr>
            </w:pPr>
            <w:r w:rsidRPr="009351CB">
              <w:rPr>
                <w:b/>
                <w:i/>
              </w:rPr>
              <w:t>[See paragraph 15.3.1.]</w:t>
            </w:r>
          </w:p>
        </w:tc>
        <w:tc>
          <w:tcPr>
            <w:tcW w:w="0" w:type="auto"/>
          </w:tcPr>
          <w:p w14:paraId="0847A316" w14:textId="77777777" w:rsidR="00A5472A" w:rsidRPr="009351CB" w:rsidRDefault="00A5472A" w:rsidP="009351CB">
            <w:pPr>
              <w:spacing w:line="360" w:lineRule="auto"/>
            </w:pPr>
            <w:r w:rsidRPr="009351CB">
              <w:t xml:space="preserve">Written report </w:t>
            </w:r>
          </w:p>
        </w:tc>
        <w:tc>
          <w:tcPr>
            <w:tcW w:w="0" w:type="auto"/>
          </w:tcPr>
          <w:p w14:paraId="3F482995" w14:textId="77777777" w:rsidR="00A5472A" w:rsidRPr="009351CB" w:rsidRDefault="00A5472A" w:rsidP="009351CB">
            <w:pPr>
              <w:spacing w:line="360" w:lineRule="auto"/>
            </w:pPr>
            <w:r w:rsidRPr="009351CB">
              <w:t>22 November 2019</w:t>
            </w:r>
          </w:p>
          <w:p w14:paraId="4E700182" w14:textId="77777777" w:rsidR="00A5472A" w:rsidRPr="009351CB" w:rsidRDefault="00A5472A" w:rsidP="009351CB">
            <w:pPr>
              <w:spacing w:line="360" w:lineRule="auto"/>
            </w:pPr>
            <w:r w:rsidRPr="009351CB">
              <w:t>Quarterly</w:t>
            </w:r>
          </w:p>
        </w:tc>
      </w:tr>
      <w:tr w:rsidR="00A5472A" w:rsidRPr="009351CB" w14:paraId="4632CB80" w14:textId="77777777" w:rsidTr="00A5472A">
        <w:tc>
          <w:tcPr>
            <w:tcW w:w="0" w:type="auto"/>
          </w:tcPr>
          <w:p w14:paraId="4AC62911" w14:textId="77777777" w:rsidR="00A5472A" w:rsidRPr="009351CB" w:rsidRDefault="00A5472A" w:rsidP="009351CB">
            <w:pPr>
              <w:spacing w:line="360" w:lineRule="auto"/>
              <w:rPr>
                <w:b/>
                <w:i/>
              </w:rPr>
            </w:pPr>
            <w:r w:rsidRPr="009351CB">
              <w:rPr>
                <w:b/>
                <w:i/>
              </w:rPr>
              <w:t>Irregular expenditure: Department of Justice and Constitutional Development</w:t>
            </w:r>
          </w:p>
          <w:p w14:paraId="2F225B33" w14:textId="77777777" w:rsidR="00A5472A" w:rsidRPr="009351CB" w:rsidRDefault="00A5472A" w:rsidP="009351CB">
            <w:pPr>
              <w:spacing w:line="360" w:lineRule="auto"/>
              <w:rPr>
                <w:b/>
                <w:i/>
              </w:rPr>
            </w:pPr>
          </w:p>
          <w:p w14:paraId="54118E31" w14:textId="77777777" w:rsidR="00A5472A" w:rsidRPr="009351CB" w:rsidRDefault="00A5472A" w:rsidP="009351CB">
            <w:pPr>
              <w:spacing w:line="360" w:lineRule="auto"/>
              <w:rPr>
                <w:b/>
                <w:i/>
              </w:rPr>
            </w:pPr>
            <w:r w:rsidRPr="009351CB">
              <w:rPr>
                <w:b/>
                <w:i/>
              </w:rPr>
              <w:t>[See paragraph 15.4]</w:t>
            </w:r>
          </w:p>
        </w:tc>
        <w:tc>
          <w:tcPr>
            <w:tcW w:w="0" w:type="auto"/>
          </w:tcPr>
          <w:p w14:paraId="4088BF66" w14:textId="77777777" w:rsidR="00A5472A" w:rsidRPr="009351CB" w:rsidRDefault="00A5472A" w:rsidP="009351CB">
            <w:pPr>
              <w:spacing w:line="360" w:lineRule="auto"/>
            </w:pPr>
            <w:r w:rsidRPr="009351CB">
              <w:t xml:space="preserve">Written report </w:t>
            </w:r>
          </w:p>
        </w:tc>
        <w:tc>
          <w:tcPr>
            <w:tcW w:w="0" w:type="auto"/>
          </w:tcPr>
          <w:p w14:paraId="59237E79" w14:textId="77777777" w:rsidR="00A5472A" w:rsidRPr="009351CB" w:rsidRDefault="00A5472A" w:rsidP="009351CB">
            <w:pPr>
              <w:spacing w:line="360" w:lineRule="auto"/>
            </w:pPr>
            <w:r w:rsidRPr="009351CB">
              <w:t>22 November 2019</w:t>
            </w:r>
          </w:p>
          <w:p w14:paraId="41B7E0AB" w14:textId="77777777" w:rsidR="00A5472A" w:rsidRPr="009351CB" w:rsidRDefault="00A5472A" w:rsidP="009351CB">
            <w:pPr>
              <w:spacing w:line="360" w:lineRule="auto"/>
            </w:pPr>
            <w:r w:rsidRPr="009351CB">
              <w:t>Quarterly</w:t>
            </w:r>
          </w:p>
        </w:tc>
      </w:tr>
      <w:tr w:rsidR="00A5472A" w:rsidRPr="009351CB" w14:paraId="520B5375" w14:textId="77777777" w:rsidTr="00A5472A">
        <w:trPr>
          <w:trHeight w:val="1656"/>
        </w:trPr>
        <w:tc>
          <w:tcPr>
            <w:tcW w:w="0" w:type="auto"/>
          </w:tcPr>
          <w:p w14:paraId="25B5BD00" w14:textId="77777777" w:rsidR="00A5472A" w:rsidRPr="009351CB" w:rsidRDefault="00A5472A" w:rsidP="009351CB">
            <w:pPr>
              <w:spacing w:line="360" w:lineRule="auto"/>
              <w:rPr>
                <w:b/>
                <w:i/>
              </w:rPr>
            </w:pPr>
            <w:r w:rsidRPr="009351CB">
              <w:rPr>
                <w:b/>
                <w:i/>
              </w:rPr>
              <w:t>Policy on judicial governance and court administration model and Policy on Lower Court Reform</w:t>
            </w:r>
          </w:p>
          <w:p w14:paraId="48207820" w14:textId="77777777" w:rsidR="00A5472A" w:rsidRPr="009351CB" w:rsidRDefault="00A5472A" w:rsidP="009351CB">
            <w:pPr>
              <w:spacing w:line="360" w:lineRule="auto"/>
              <w:rPr>
                <w:b/>
                <w:i/>
              </w:rPr>
            </w:pPr>
          </w:p>
          <w:p w14:paraId="20AD3646" w14:textId="77777777" w:rsidR="00A5472A" w:rsidRPr="009351CB" w:rsidRDefault="00A5472A" w:rsidP="009351CB">
            <w:pPr>
              <w:spacing w:line="360" w:lineRule="auto"/>
              <w:rPr>
                <w:b/>
                <w:i/>
              </w:rPr>
            </w:pPr>
            <w:r w:rsidRPr="009351CB">
              <w:rPr>
                <w:b/>
                <w:i/>
              </w:rPr>
              <w:t>[See paragraph 15.5]</w:t>
            </w:r>
          </w:p>
        </w:tc>
        <w:tc>
          <w:tcPr>
            <w:tcW w:w="0" w:type="auto"/>
          </w:tcPr>
          <w:p w14:paraId="3007DC52" w14:textId="77777777" w:rsidR="00A5472A" w:rsidRPr="009351CB" w:rsidRDefault="00A5472A" w:rsidP="009351CB">
            <w:pPr>
              <w:spacing w:line="360" w:lineRule="auto"/>
            </w:pPr>
            <w:r w:rsidRPr="009351CB">
              <w:t xml:space="preserve">Progress report </w:t>
            </w:r>
          </w:p>
        </w:tc>
        <w:tc>
          <w:tcPr>
            <w:tcW w:w="0" w:type="auto"/>
          </w:tcPr>
          <w:p w14:paraId="389BF4CE" w14:textId="77777777" w:rsidR="00A5472A" w:rsidRPr="009351CB" w:rsidRDefault="00A5472A" w:rsidP="009351CB">
            <w:pPr>
              <w:spacing w:line="360" w:lineRule="auto"/>
            </w:pPr>
            <w:r w:rsidRPr="009351CB">
              <w:t>Quarterly</w:t>
            </w:r>
          </w:p>
        </w:tc>
      </w:tr>
      <w:tr w:rsidR="00A5472A" w:rsidRPr="009351CB" w14:paraId="49245224" w14:textId="77777777" w:rsidTr="00A5472A">
        <w:trPr>
          <w:trHeight w:val="1656"/>
        </w:trPr>
        <w:tc>
          <w:tcPr>
            <w:tcW w:w="0" w:type="auto"/>
          </w:tcPr>
          <w:p w14:paraId="178D9A6E" w14:textId="77777777" w:rsidR="00A5472A" w:rsidRPr="009351CB" w:rsidRDefault="00A5472A" w:rsidP="009351CB">
            <w:pPr>
              <w:spacing w:line="360" w:lineRule="auto"/>
              <w:rPr>
                <w:b/>
                <w:i/>
              </w:rPr>
            </w:pPr>
            <w:r w:rsidRPr="009351CB">
              <w:rPr>
                <w:b/>
                <w:i/>
              </w:rPr>
              <w:t>Integrated Criminal Justice Strategy</w:t>
            </w:r>
          </w:p>
          <w:p w14:paraId="2E6A2928" w14:textId="77777777" w:rsidR="00A5472A" w:rsidRPr="009351CB" w:rsidRDefault="00A5472A" w:rsidP="009351CB">
            <w:pPr>
              <w:spacing w:line="360" w:lineRule="auto"/>
              <w:rPr>
                <w:b/>
                <w:i/>
              </w:rPr>
            </w:pPr>
          </w:p>
          <w:p w14:paraId="39B9AA0A" w14:textId="77777777" w:rsidR="00A5472A" w:rsidRPr="009351CB" w:rsidRDefault="00A5472A" w:rsidP="009351CB">
            <w:pPr>
              <w:spacing w:line="360" w:lineRule="auto"/>
              <w:rPr>
                <w:b/>
                <w:i/>
              </w:rPr>
            </w:pPr>
            <w:r w:rsidRPr="009351CB">
              <w:rPr>
                <w:b/>
                <w:i/>
              </w:rPr>
              <w:t>[See paragraph. 15.6]</w:t>
            </w:r>
          </w:p>
        </w:tc>
        <w:tc>
          <w:tcPr>
            <w:tcW w:w="0" w:type="auto"/>
          </w:tcPr>
          <w:p w14:paraId="22BD188D" w14:textId="77777777" w:rsidR="00A5472A" w:rsidRPr="009351CB" w:rsidRDefault="00A5472A" w:rsidP="009351CB">
            <w:pPr>
              <w:spacing w:line="360" w:lineRule="auto"/>
            </w:pPr>
            <w:r w:rsidRPr="009351CB">
              <w:t>Progress report</w:t>
            </w:r>
          </w:p>
        </w:tc>
        <w:tc>
          <w:tcPr>
            <w:tcW w:w="0" w:type="auto"/>
          </w:tcPr>
          <w:p w14:paraId="4B63A7AC" w14:textId="77777777" w:rsidR="00A5472A" w:rsidRPr="009351CB" w:rsidRDefault="00A5472A" w:rsidP="009351CB">
            <w:pPr>
              <w:spacing w:line="360" w:lineRule="auto"/>
            </w:pPr>
            <w:r w:rsidRPr="009351CB">
              <w:t>Quarterly</w:t>
            </w:r>
          </w:p>
        </w:tc>
      </w:tr>
      <w:tr w:rsidR="00A5472A" w:rsidRPr="009351CB" w14:paraId="54112168" w14:textId="77777777" w:rsidTr="00A5472A">
        <w:tc>
          <w:tcPr>
            <w:tcW w:w="0" w:type="auto"/>
          </w:tcPr>
          <w:p w14:paraId="1170150F" w14:textId="77777777" w:rsidR="00A5472A" w:rsidRPr="009351CB" w:rsidRDefault="00A5472A" w:rsidP="009351CB">
            <w:pPr>
              <w:spacing w:line="360" w:lineRule="auto"/>
              <w:rPr>
                <w:b/>
                <w:i/>
              </w:rPr>
            </w:pPr>
            <w:r w:rsidRPr="009351CB">
              <w:rPr>
                <w:b/>
                <w:i/>
              </w:rPr>
              <w:t>Integration of IT systems (IJS)</w:t>
            </w:r>
          </w:p>
          <w:p w14:paraId="13E49C18" w14:textId="77777777" w:rsidR="00A5472A" w:rsidRPr="009351CB" w:rsidRDefault="00A5472A" w:rsidP="009351CB">
            <w:pPr>
              <w:spacing w:line="360" w:lineRule="auto"/>
              <w:rPr>
                <w:b/>
                <w:i/>
              </w:rPr>
            </w:pPr>
          </w:p>
          <w:p w14:paraId="44450EAC" w14:textId="77777777" w:rsidR="00A5472A" w:rsidRPr="009351CB" w:rsidRDefault="00A5472A" w:rsidP="009351CB">
            <w:pPr>
              <w:spacing w:line="360" w:lineRule="auto"/>
              <w:rPr>
                <w:b/>
                <w:i/>
              </w:rPr>
            </w:pPr>
            <w:r w:rsidRPr="009351CB">
              <w:rPr>
                <w:b/>
                <w:i/>
              </w:rPr>
              <w:t>[See paragraph 15.7]</w:t>
            </w:r>
          </w:p>
        </w:tc>
        <w:tc>
          <w:tcPr>
            <w:tcW w:w="0" w:type="auto"/>
          </w:tcPr>
          <w:p w14:paraId="2850C10A" w14:textId="77777777" w:rsidR="00A5472A" w:rsidRPr="009351CB" w:rsidRDefault="00A5472A" w:rsidP="009351CB">
            <w:pPr>
              <w:spacing w:line="360" w:lineRule="auto"/>
            </w:pPr>
            <w:r w:rsidRPr="009351CB">
              <w:t>Briefing</w:t>
            </w:r>
          </w:p>
        </w:tc>
        <w:tc>
          <w:tcPr>
            <w:tcW w:w="0" w:type="auto"/>
          </w:tcPr>
          <w:p w14:paraId="3D0A6D55" w14:textId="77777777" w:rsidR="00A5472A" w:rsidRPr="009351CB" w:rsidRDefault="00A5472A" w:rsidP="009351CB">
            <w:pPr>
              <w:spacing w:line="360" w:lineRule="auto"/>
            </w:pPr>
            <w:r w:rsidRPr="009351CB">
              <w:t>As soon as the programme permits</w:t>
            </w:r>
          </w:p>
        </w:tc>
      </w:tr>
      <w:tr w:rsidR="00A5472A" w:rsidRPr="009351CB" w14:paraId="5CA93D9A" w14:textId="77777777" w:rsidTr="00A5472A">
        <w:trPr>
          <w:trHeight w:val="622"/>
        </w:trPr>
        <w:tc>
          <w:tcPr>
            <w:tcW w:w="0" w:type="auto"/>
          </w:tcPr>
          <w:p w14:paraId="303B7038" w14:textId="77777777" w:rsidR="00A5472A" w:rsidRPr="009351CB" w:rsidRDefault="00A5472A" w:rsidP="009351CB">
            <w:pPr>
              <w:spacing w:line="360" w:lineRule="auto"/>
              <w:rPr>
                <w:b/>
                <w:i/>
              </w:rPr>
            </w:pPr>
            <w:r w:rsidRPr="009351CB">
              <w:rPr>
                <w:b/>
                <w:i/>
              </w:rPr>
              <w:t xml:space="preserve">Court infrastructure and maintenance </w:t>
            </w:r>
          </w:p>
          <w:p w14:paraId="734CDB39" w14:textId="77777777" w:rsidR="00A5472A" w:rsidRPr="009351CB" w:rsidRDefault="00A5472A" w:rsidP="009351CB">
            <w:pPr>
              <w:spacing w:line="360" w:lineRule="auto"/>
              <w:rPr>
                <w:b/>
                <w:i/>
              </w:rPr>
            </w:pPr>
          </w:p>
          <w:p w14:paraId="66831377" w14:textId="77777777" w:rsidR="00A5472A" w:rsidRPr="009351CB" w:rsidRDefault="00A5472A" w:rsidP="009351CB">
            <w:pPr>
              <w:spacing w:line="360" w:lineRule="auto"/>
              <w:rPr>
                <w:b/>
                <w:i/>
              </w:rPr>
            </w:pPr>
            <w:r w:rsidRPr="009351CB">
              <w:rPr>
                <w:b/>
                <w:i/>
              </w:rPr>
              <w:t>[See paragraph 15.8]</w:t>
            </w:r>
          </w:p>
        </w:tc>
        <w:tc>
          <w:tcPr>
            <w:tcW w:w="0" w:type="auto"/>
          </w:tcPr>
          <w:p w14:paraId="4D8E9C83" w14:textId="77777777" w:rsidR="00A5472A" w:rsidRPr="009351CB" w:rsidRDefault="00A5472A" w:rsidP="009351CB">
            <w:pPr>
              <w:spacing w:line="360" w:lineRule="auto"/>
            </w:pPr>
            <w:r w:rsidRPr="009351CB">
              <w:t>Joint briefing (also planned maintenance)</w:t>
            </w:r>
          </w:p>
        </w:tc>
        <w:tc>
          <w:tcPr>
            <w:tcW w:w="0" w:type="auto"/>
          </w:tcPr>
          <w:p w14:paraId="73173716" w14:textId="77777777" w:rsidR="00A5472A" w:rsidRPr="009351CB" w:rsidRDefault="00A5472A" w:rsidP="009351CB">
            <w:pPr>
              <w:spacing w:line="360" w:lineRule="auto"/>
            </w:pPr>
            <w:r w:rsidRPr="009351CB">
              <w:t>As soon as the programme permits</w:t>
            </w:r>
          </w:p>
        </w:tc>
      </w:tr>
      <w:tr w:rsidR="00A5472A" w:rsidRPr="009351CB" w14:paraId="5533CB43" w14:textId="77777777" w:rsidTr="00A5472A">
        <w:trPr>
          <w:trHeight w:val="1460"/>
        </w:trPr>
        <w:tc>
          <w:tcPr>
            <w:tcW w:w="0" w:type="auto"/>
          </w:tcPr>
          <w:p w14:paraId="63AD2B76" w14:textId="77777777" w:rsidR="00A5472A" w:rsidRPr="009351CB" w:rsidRDefault="00A5472A" w:rsidP="009351CB">
            <w:pPr>
              <w:spacing w:line="360" w:lineRule="auto"/>
              <w:rPr>
                <w:b/>
                <w:i/>
              </w:rPr>
            </w:pPr>
            <w:r w:rsidRPr="009351CB">
              <w:rPr>
                <w:b/>
                <w:i/>
              </w:rPr>
              <w:t>State Legal Services</w:t>
            </w:r>
          </w:p>
          <w:p w14:paraId="05694B00" w14:textId="77777777" w:rsidR="00A5472A" w:rsidRPr="009351CB" w:rsidRDefault="00A5472A" w:rsidP="009351CB">
            <w:pPr>
              <w:spacing w:line="360" w:lineRule="auto"/>
              <w:rPr>
                <w:b/>
                <w:i/>
              </w:rPr>
            </w:pPr>
          </w:p>
          <w:p w14:paraId="336EFF84" w14:textId="77777777" w:rsidR="00A5472A" w:rsidRPr="009351CB" w:rsidRDefault="00A5472A" w:rsidP="009351CB">
            <w:pPr>
              <w:spacing w:line="360" w:lineRule="auto"/>
              <w:rPr>
                <w:b/>
                <w:i/>
              </w:rPr>
            </w:pPr>
            <w:r w:rsidRPr="009351CB">
              <w:rPr>
                <w:b/>
                <w:i/>
              </w:rPr>
              <w:t>[See paragraph 15.9] ]</w:t>
            </w:r>
          </w:p>
        </w:tc>
        <w:tc>
          <w:tcPr>
            <w:tcW w:w="0" w:type="auto"/>
          </w:tcPr>
          <w:p w14:paraId="444D2D7D" w14:textId="77777777" w:rsidR="00A5472A" w:rsidRPr="009351CB" w:rsidRDefault="00A5472A" w:rsidP="009351CB">
            <w:pPr>
              <w:spacing w:line="360" w:lineRule="auto"/>
            </w:pPr>
            <w:r w:rsidRPr="009351CB">
              <w:t>Briefing</w:t>
            </w:r>
          </w:p>
        </w:tc>
        <w:tc>
          <w:tcPr>
            <w:tcW w:w="0" w:type="auto"/>
          </w:tcPr>
          <w:p w14:paraId="5FD6F9A3" w14:textId="77777777" w:rsidR="00A5472A" w:rsidRPr="009351CB" w:rsidRDefault="00A5472A" w:rsidP="009351CB">
            <w:pPr>
              <w:spacing w:line="360" w:lineRule="auto"/>
            </w:pPr>
            <w:r w:rsidRPr="009351CB">
              <w:t>As soon as the programme permits</w:t>
            </w:r>
          </w:p>
        </w:tc>
      </w:tr>
      <w:tr w:rsidR="00A5472A" w:rsidRPr="009351CB" w14:paraId="69AC8EDB" w14:textId="77777777" w:rsidTr="00A5472A">
        <w:tc>
          <w:tcPr>
            <w:tcW w:w="0" w:type="auto"/>
          </w:tcPr>
          <w:p w14:paraId="3F09BC81" w14:textId="77777777" w:rsidR="00A5472A" w:rsidRPr="009351CB" w:rsidRDefault="00A5472A" w:rsidP="009351CB">
            <w:pPr>
              <w:spacing w:line="360" w:lineRule="auto"/>
              <w:rPr>
                <w:b/>
                <w:i/>
              </w:rPr>
            </w:pPr>
            <w:r w:rsidRPr="009351CB">
              <w:rPr>
                <w:b/>
                <w:i/>
              </w:rPr>
              <w:t>Transformed legal profession and briefings patterns</w:t>
            </w:r>
          </w:p>
          <w:p w14:paraId="739181AB" w14:textId="77777777" w:rsidR="00A5472A" w:rsidRPr="009351CB" w:rsidRDefault="00A5472A" w:rsidP="009351CB">
            <w:pPr>
              <w:spacing w:line="360" w:lineRule="auto"/>
              <w:rPr>
                <w:b/>
                <w:i/>
              </w:rPr>
            </w:pPr>
          </w:p>
          <w:p w14:paraId="30287109" w14:textId="77777777" w:rsidR="00A5472A" w:rsidRPr="009351CB" w:rsidRDefault="00A5472A" w:rsidP="009351CB">
            <w:pPr>
              <w:spacing w:line="360" w:lineRule="auto"/>
              <w:rPr>
                <w:b/>
                <w:i/>
              </w:rPr>
            </w:pPr>
            <w:r w:rsidRPr="009351CB">
              <w:rPr>
                <w:b/>
                <w:i/>
              </w:rPr>
              <w:t>[See paragraph 15.10]</w:t>
            </w:r>
          </w:p>
        </w:tc>
        <w:tc>
          <w:tcPr>
            <w:tcW w:w="0" w:type="auto"/>
          </w:tcPr>
          <w:p w14:paraId="1A85401C" w14:textId="77777777" w:rsidR="00A5472A" w:rsidRPr="009351CB" w:rsidRDefault="00A5472A" w:rsidP="009351CB">
            <w:pPr>
              <w:spacing w:line="360" w:lineRule="auto"/>
            </w:pPr>
            <w:r w:rsidRPr="009351CB">
              <w:t xml:space="preserve">Stakeholder engagement </w:t>
            </w:r>
          </w:p>
        </w:tc>
        <w:tc>
          <w:tcPr>
            <w:tcW w:w="0" w:type="auto"/>
          </w:tcPr>
          <w:p w14:paraId="04F943D9" w14:textId="77777777" w:rsidR="00A5472A" w:rsidRPr="009351CB" w:rsidRDefault="00A5472A" w:rsidP="009351CB">
            <w:pPr>
              <w:spacing w:line="360" w:lineRule="auto"/>
            </w:pPr>
            <w:r w:rsidRPr="009351CB">
              <w:t>As the programme permits</w:t>
            </w:r>
          </w:p>
        </w:tc>
      </w:tr>
      <w:tr w:rsidR="00A5472A" w:rsidRPr="009351CB" w14:paraId="37AE95E8" w14:textId="77777777" w:rsidTr="00A5472A">
        <w:tc>
          <w:tcPr>
            <w:tcW w:w="0" w:type="auto"/>
          </w:tcPr>
          <w:p w14:paraId="1BF15C26" w14:textId="77777777" w:rsidR="00A5472A" w:rsidRPr="009351CB" w:rsidRDefault="00A5472A" w:rsidP="009351CB">
            <w:pPr>
              <w:spacing w:line="360" w:lineRule="auto"/>
              <w:rPr>
                <w:b/>
                <w:i/>
              </w:rPr>
            </w:pPr>
            <w:r w:rsidRPr="009351CB">
              <w:rPr>
                <w:b/>
                <w:i/>
              </w:rPr>
              <w:t>Court annexed mediation</w:t>
            </w:r>
          </w:p>
          <w:p w14:paraId="1568E98F" w14:textId="77777777" w:rsidR="00A5472A" w:rsidRPr="009351CB" w:rsidRDefault="00A5472A" w:rsidP="009351CB">
            <w:pPr>
              <w:spacing w:line="360" w:lineRule="auto"/>
              <w:rPr>
                <w:b/>
                <w:i/>
              </w:rPr>
            </w:pPr>
          </w:p>
          <w:p w14:paraId="74D4DEEC" w14:textId="77777777" w:rsidR="00A5472A" w:rsidRPr="009351CB" w:rsidRDefault="00A5472A" w:rsidP="009351CB">
            <w:pPr>
              <w:spacing w:line="360" w:lineRule="auto"/>
              <w:rPr>
                <w:b/>
                <w:i/>
              </w:rPr>
            </w:pPr>
            <w:r w:rsidRPr="009351CB">
              <w:rPr>
                <w:b/>
                <w:i/>
              </w:rPr>
              <w:t>[See paragraph 15.11]</w:t>
            </w:r>
          </w:p>
        </w:tc>
        <w:tc>
          <w:tcPr>
            <w:tcW w:w="0" w:type="auto"/>
          </w:tcPr>
          <w:p w14:paraId="25790AFB" w14:textId="77777777" w:rsidR="00A5472A" w:rsidRPr="009351CB" w:rsidRDefault="00A5472A" w:rsidP="009351CB">
            <w:pPr>
              <w:spacing w:line="360" w:lineRule="auto"/>
            </w:pPr>
            <w:r w:rsidRPr="009351CB">
              <w:t xml:space="preserve">Written report </w:t>
            </w:r>
          </w:p>
        </w:tc>
        <w:tc>
          <w:tcPr>
            <w:tcW w:w="0" w:type="auto"/>
          </w:tcPr>
          <w:p w14:paraId="2FA713C7" w14:textId="77777777" w:rsidR="00A5472A" w:rsidRPr="009351CB" w:rsidRDefault="00A5472A" w:rsidP="009351CB">
            <w:pPr>
              <w:spacing w:line="360" w:lineRule="auto"/>
            </w:pPr>
            <w:r w:rsidRPr="009351CB">
              <w:t>22 November 2019</w:t>
            </w:r>
          </w:p>
        </w:tc>
      </w:tr>
      <w:tr w:rsidR="00A5472A" w:rsidRPr="009351CB" w14:paraId="777F9D37" w14:textId="77777777" w:rsidTr="00A5472A">
        <w:tc>
          <w:tcPr>
            <w:tcW w:w="0" w:type="auto"/>
          </w:tcPr>
          <w:p w14:paraId="3FB9AC3D" w14:textId="77777777" w:rsidR="00A5472A" w:rsidRPr="009351CB" w:rsidRDefault="00A5472A" w:rsidP="009351CB">
            <w:pPr>
              <w:spacing w:line="360" w:lineRule="auto"/>
              <w:rPr>
                <w:b/>
                <w:i/>
              </w:rPr>
            </w:pPr>
            <w:r w:rsidRPr="009351CB">
              <w:rPr>
                <w:b/>
                <w:i/>
              </w:rPr>
              <w:t>Sexual offences</w:t>
            </w:r>
          </w:p>
          <w:p w14:paraId="51117A86" w14:textId="77777777" w:rsidR="00A5472A" w:rsidRPr="009351CB" w:rsidRDefault="00A5472A" w:rsidP="009351CB">
            <w:pPr>
              <w:spacing w:line="360" w:lineRule="auto"/>
              <w:rPr>
                <w:b/>
                <w:i/>
              </w:rPr>
            </w:pPr>
            <w:r w:rsidRPr="009351CB">
              <w:rPr>
                <w:b/>
                <w:i/>
              </w:rPr>
              <w:t>Briefing on Report on Implementation of the Criminal Law (Sexual Offences and Related Matters) Amendment Act</w:t>
            </w:r>
          </w:p>
          <w:p w14:paraId="269642C5" w14:textId="77777777" w:rsidR="00A5472A" w:rsidRPr="009351CB" w:rsidRDefault="00A5472A" w:rsidP="009351CB">
            <w:pPr>
              <w:spacing w:line="360" w:lineRule="auto"/>
              <w:rPr>
                <w:b/>
                <w:i/>
              </w:rPr>
            </w:pPr>
            <w:r w:rsidRPr="009351CB">
              <w:rPr>
                <w:b/>
                <w:i/>
              </w:rPr>
              <w:t>and measures to address Gender-Based Violence</w:t>
            </w:r>
          </w:p>
          <w:p w14:paraId="6D8C3C1B" w14:textId="77777777" w:rsidR="00A5472A" w:rsidRPr="009351CB" w:rsidRDefault="00A5472A" w:rsidP="009351CB">
            <w:pPr>
              <w:spacing w:line="360" w:lineRule="auto"/>
              <w:rPr>
                <w:b/>
                <w:i/>
              </w:rPr>
            </w:pPr>
          </w:p>
          <w:p w14:paraId="37EACF05" w14:textId="77777777" w:rsidR="00A5472A" w:rsidRPr="009351CB" w:rsidRDefault="00A5472A" w:rsidP="009351CB">
            <w:pPr>
              <w:spacing w:line="360" w:lineRule="auto"/>
              <w:rPr>
                <w:b/>
                <w:i/>
              </w:rPr>
            </w:pPr>
            <w:r w:rsidRPr="009351CB">
              <w:rPr>
                <w:b/>
                <w:i/>
              </w:rPr>
              <w:t>[See paragraph 15.12]</w:t>
            </w:r>
          </w:p>
        </w:tc>
        <w:tc>
          <w:tcPr>
            <w:tcW w:w="0" w:type="auto"/>
          </w:tcPr>
          <w:p w14:paraId="4614CC5B" w14:textId="77777777" w:rsidR="00A5472A" w:rsidRPr="009351CB" w:rsidRDefault="00A5472A" w:rsidP="009351CB">
            <w:pPr>
              <w:spacing w:line="360" w:lineRule="auto"/>
            </w:pPr>
            <w:r w:rsidRPr="009351CB">
              <w:t xml:space="preserve">Joint meeting </w:t>
            </w:r>
          </w:p>
        </w:tc>
        <w:tc>
          <w:tcPr>
            <w:tcW w:w="0" w:type="auto"/>
          </w:tcPr>
          <w:p w14:paraId="26F09B39" w14:textId="77777777" w:rsidR="00A5472A" w:rsidRPr="009351CB" w:rsidRDefault="00A5472A" w:rsidP="009351CB">
            <w:pPr>
              <w:spacing w:line="360" w:lineRule="auto"/>
            </w:pPr>
            <w:r w:rsidRPr="009351CB">
              <w:t>As soon as the programme permits</w:t>
            </w:r>
          </w:p>
        </w:tc>
      </w:tr>
      <w:tr w:rsidR="00A5472A" w:rsidRPr="009351CB" w14:paraId="2E0DF318" w14:textId="77777777" w:rsidTr="00A5472A">
        <w:tc>
          <w:tcPr>
            <w:tcW w:w="0" w:type="auto"/>
          </w:tcPr>
          <w:p w14:paraId="75BF3A11" w14:textId="77777777" w:rsidR="00A5472A" w:rsidRPr="009351CB" w:rsidRDefault="00A5472A" w:rsidP="009351CB">
            <w:pPr>
              <w:spacing w:line="360" w:lineRule="auto"/>
              <w:rPr>
                <w:b/>
                <w:i/>
              </w:rPr>
            </w:pPr>
            <w:r w:rsidRPr="009351CB">
              <w:rPr>
                <w:b/>
                <w:i/>
              </w:rPr>
              <w:t>Master’s Office</w:t>
            </w:r>
          </w:p>
          <w:p w14:paraId="44239E61" w14:textId="77777777" w:rsidR="00A5472A" w:rsidRPr="009351CB" w:rsidRDefault="00A5472A" w:rsidP="009351CB">
            <w:pPr>
              <w:spacing w:line="360" w:lineRule="auto"/>
              <w:rPr>
                <w:b/>
                <w:i/>
              </w:rPr>
            </w:pPr>
          </w:p>
          <w:p w14:paraId="257FC0FD" w14:textId="77777777" w:rsidR="00A5472A" w:rsidRPr="009351CB" w:rsidRDefault="00A5472A" w:rsidP="009351CB">
            <w:pPr>
              <w:spacing w:line="360" w:lineRule="auto"/>
              <w:rPr>
                <w:b/>
                <w:i/>
              </w:rPr>
            </w:pPr>
            <w:r w:rsidRPr="009351CB">
              <w:rPr>
                <w:b/>
                <w:i/>
              </w:rPr>
              <w:t>[See paragraph 15.13]</w:t>
            </w:r>
          </w:p>
        </w:tc>
        <w:tc>
          <w:tcPr>
            <w:tcW w:w="0" w:type="auto"/>
          </w:tcPr>
          <w:p w14:paraId="311B63E8" w14:textId="77777777" w:rsidR="00A5472A" w:rsidRPr="009351CB" w:rsidRDefault="00A5472A" w:rsidP="009351CB">
            <w:pPr>
              <w:spacing w:line="360" w:lineRule="auto"/>
            </w:pPr>
            <w:r w:rsidRPr="009351CB">
              <w:t xml:space="preserve">Written report </w:t>
            </w:r>
          </w:p>
        </w:tc>
        <w:tc>
          <w:tcPr>
            <w:tcW w:w="0" w:type="auto"/>
          </w:tcPr>
          <w:p w14:paraId="02D48564" w14:textId="77777777" w:rsidR="00A5472A" w:rsidRPr="009351CB" w:rsidRDefault="00A5472A" w:rsidP="009351CB">
            <w:pPr>
              <w:spacing w:line="360" w:lineRule="auto"/>
            </w:pPr>
            <w:r w:rsidRPr="009351CB">
              <w:t>22 November 2019</w:t>
            </w:r>
          </w:p>
        </w:tc>
      </w:tr>
      <w:tr w:rsidR="00A5472A" w:rsidRPr="009351CB" w14:paraId="20C7A9A1" w14:textId="77777777" w:rsidTr="00A5472A">
        <w:trPr>
          <w:gridAfter w:val="2"/>
        </w:trPr>
        <w:tc>
          <w:tcPr>
            <w:tcW w:w="0" w:type="auto"/>
          </w:tcPr>
          <w:p w14:paraId="6833A82D" w14:textId="77777777" w:rsidR="00A5472A" w:rsidRPr="009351CB" w:rsidRDefault="00A5472A" w:rsidP="009351CB">
            <w:pPr>
              <w:spacing w:line="360" w:lineRule="auto"/>
              <w:jc w:val="center"/>
              <w:rPr>
                <w:b/>
                <w:i/>
              </w:rPr>
            </w:pPr>
            <w:r w:rsidRPr="009351CB">
              <w:rPr>
                <w:b/>
                <w:i/>
              </w:rPr>
              <w:t>NPA</w:t>
            </w:r>
          </w:p>
        </w:tc>
      </w:tr>
      <w:tr w:rsidR="00A5472A" w:rsidRPr="009351CB" w14:paraId="1E9F4066" w14:textId="77777777" w:rsidTr="00A5472A">
        <w:tc>
          <w:tcPr>
            <w:tcW w:w="0" w:type="auto"/>
          </w:tcPr>
          <w:p w14:paraId="26C352D1" w14:textId="77777777" w:rsidR="00A5472A" w:rsidRPr="009351CB" w:rsidRDefault="00A5472A" w:rsidP="009351CB">
            <w:pPr>
              <w:spacing w:line="360" w:lineRule="auto"/>
              <w:rPr>
                <w:b/>
                <w:i/>
              </w:rPr>
            </w:pPr>
            <w:r w:rsidRPr="009351CB">
              <w:rPr>
                <w:b/>
                <w:i/>
              </w:rPr>
              <w:t>Gender-based Violence - breakdown of funds allocated for this purpose</w:t>
            </w:r>
          </w:p>
          <w:p w14:paraId="2E4CE0C9" w14:textId="77777777" w:rsidR="00A5472A" w:rsidRPr="009351CB" w:rsidRDefault="00A5472A" w:rsidP="009351CB">
            <w:pPr>
              <w:spacing w:line="360" w:lineRule="auto"/>
              <w:rPr>
                <w:b/>
                <w:i/>
              </w:rPr>
            </w:pPr>
          </w:p>
          <w:p w14:paraId="56585616" w14:textId="77777777" w:rsidR="00A5472A" w:rsidRPr="009351CB" w:rsidRDefault="00A5472A" w:rsidP="009351CB">
            <w:pPr>
              <w:spacing w:line="360" w:lineRule="auto"/>
              <w:rPr>
                <w:b/>
                <w:i/>
              </w:rPr>
            </w:pPr>
            <w:r w:rsidRPr="009351CB">
              <w:rPr>
                <w:b/>
                <w:i/>
              </w:rPr>
              <w:t>[See paragraph 16.6]</w:t>
            </w:r>
          </w:p>
        </w:tc>
        <w:tc>
          <w:tcPr>
            <w:tcW w:w="0" w:type="auto"/>
          </w:tcPr>
          <w:p w14:paraId="15EB6662" w14:textId="77777777" w:rsidR="00A5472A" w:rsidRPr="009351CB" w:rsidRDefault="00A5472A" w:rsidP="009351CB">
            <w:pPr>
              <w:spacing w:line="360" w:lineRule="auto"/>
            </w:pPr>
            <w:r w:rsidRPr="009351CB">
              <w:t xml:space="preserve">Written report </w:t>
            </w:r>
          </w:p>
        </w:tc>
        <w:tc>
          <w:tcPr>
            <w:tcW w:w="0" w:type="auto"/>
          </w:tcPr>
          <w:p w14:paraId="02C36FA8" w14:textId="77777777" w:rsidR="00A5472A" w:rsidRPr="009351CB" w:rsidRDefault="00A5472A" w:rsidP="009351CB">
            <w:pPr>
              <w:spacing w:line="360" w:lineRule="auto"/>
            </w:pPr>
            <w:r w:rsidRPr="009351CB">
              <w:t>22 November 2019</w:t>
            </w:r>
          </w:p>
        </w:tc>
      </w:tr>
      <w:tr w:rsidR="00A5472A" w:rsidRPr="009351CB" w14:paraId="79283423" w14:textId="77777777" w:rsidTr="00A5472A">
        <w:trPr>
          <w:gridAfter w:val="2"/>
        </w:trPr>
        <w:tc>
          <w:tcPr>
            <w:tcW w:w="0" w:type="auto"/>
          </w:tcPr>
          <w:p w14:paraId="5E763DA8" w14:textId="77777777" w:rsidR="00A5472A" w:rsidRPr="009351CB" w:rsidRDefault="00A5472A" w:rsidP="009351CB">
            <w:pPr>
              <w:spacing w:line="360" w:lineRule="auto"/>
              <w:jc w:val="center"/>
              <w:rPr>
                <w:b/>
                <w:i/>
              </w:rPr>
            </w:pPr>
            <w:r w:rsidRPr="009351CB">
              <w:rPr>
                <w:b/>
                <w:i/>
              </w:rPr>
              <w:t>Public Protector SA</w:t>
            </w:r>
          </w:p>
        </w:tc>
      </w:tr>
      <w:tr w:rsidR="00A5472A" w:rsidRPr="009351CB" w14:paraId="28BF8533" w14:textId="77777777" w:rsidTr="00A5472A">
        <w:tc>
          <w:tcPr>
            <w:tcW w:w="0" w:type="auto"/>
          </w:tcPr>
          <w:p w14:paraId="16652851" w14:textId="77777777" w:rsidR="00A5472A" w:rsidRPr="009351CB" w:rsidRDefault="00A5472A" w:rsidP="009351CB">
            <w:pPr>
              <w:spacing w:line="360" w:lineRule="auto"/>
              <w:rPr>
                <w:b/>
                <w:i/>
              </w:rPr>
            </w:pPr>
            <w:r w:rsidRPr="009351CB">
              <w:rPr>
                <w:b/>
                <w:i/>
              </w:rPr>
              <w:t>Case backlogs</w:t>
            </w:r>
          </w:p>
          <w:p w14:paraId="41C859CE" w14:textId="77777777" w:rsidR="00A5472A" w:rsidRPr="009351CB" w:rsidRDefault="00A5472A" w:rsidP="009351CB">
            <w:pPr>
              <w:spacing w:line="360" w:lineRule="auto"/>
              <w:rPr>
                <w:b/>
                <w:i/>
              </w:rPr>
            </w:pPr>
          </w:p>
          <w:p w14:paraId="3E2A1E62" w14:textId="77777777" w:rsidR="00A5472A" w:rsidRPr="009351CB" w:rsidRDefault="00A5472A" w:rsidP="009351CB">
            <w:pPr>
              <w:spacing w:line="360" w:lineRule="auto"/>
              <w:rPr>
                <w:b/>
                <w:i/>
              </w:rPr>
            </w:pPr>
            <w:r w:rsidRPr="009351CB">
              <w:rPr>
                <w:b/>
                <w:i/>
              </w:rPr>
              <w:t>[See paragraph 21.3]</w:t>
            </w:r>
          </w:p>
        </w:tc>
        <w:tc>
          <w:tcPr>
            <w:tcW w:w="0" w:type="auto"/>
          </w:tcPr>
          <w:p w14:paraId="70DC7AAD" w14:textId="77777777" w:rsidR="00A5472A" w:rsidRPr="009351CB" w:rsidRDefault="00A5472A" w:rsidP="009351CB">
            <w:pPr>
              <w:spacing w:line="360" w:lineRule="auto"/>
            </w:pPr>
            <w:r w:rsidRPr="009351CB">
              <w:t>Written report</w:t>
            </w:r>
          </w:p>
        </w:tc>
        <w:tc>
          <w:tcPr>
            <w:tcW w:w="0" w:type="auto"/>
          </w:tcPr>
          <w:p w14:paraId="555B4053" w14:textId="77777777" w:rsidR="00A5472A" w:rsidRPr="009351CB" w:rsidRDefault="00A5472A" w:rsidP="009351CB">
            <w:pPr>
              <w:spacing w:line="360" w:lineRule="auto"/>
            </w:pPr>
            <w:r w:rsidRPr="009351CB">
              <w:t>22 November 2019</w:t>
            </w:r>
          </w:p>
        </w:tc>
      </w:tr>
    </w:tbl>
    <w:p w14:paraId="5665AF39" w14:textId="77777777" w:rsidR="009C5003" w:rsidRPr="009351CB" w:rsidRDefault="009C5003" w:rsidP="009351CB">
      <w:pPr>
        <w:spacing w:line="360" w:lineRule="auto"/>
      </w:pPr>
    </w:p>
    <w:p w14:paraId="15FFF24E" w14:textId="77777777" w:rsidR="00806A77" w:rsidRPr="009351CB" w:rsidRDefault="00806A77" w:rsidP="009351CB">
      <w:pPr>
        <w:spacing w:line="360" w:lineRule="auto"/>
        <w:ind w:left="567"/>
        <w:jc w:val="both"/>
        <w:rPr>
          <w:b/>
        </w:rPr>
      </w:pPr>
    </w:p>
    <w:p w14:paraId="16FF5096" w14:textId="77777777" w:rsidR="00106280" w:rsidRPr="009351CB" w:rsidRDefault="00106280" w:rsidP="004F6019">
      <w:pPr>
        <w:numPr>
          <w:ilvl w:val="0"/>
          <w:numId w:val="29"/>
        </w:numPr>
        <w:spacing w:line="360" w:lineRule="auto"/>
        <w:ind w:left="567" w:hanging="567"/>
        <w:jc w:val="both"/>
        <w:rPr>
          <w:b/>
        </w:rPr>
      </w:pPr>
      <w:r w:rsidRPr="009351CB">
        <w:rPr>
          <w:b/>
        </w:rPr>
        <w:t>Recommendations</w:t>
      </w:r>
    </w:p>
    <w:p w14:paraId="5BC35173" w14:textId="77777777" w:rsidR="00106280" w:rsidRPr="009351CB" w:rsidRDefault="00106280" w:rsidP="009351CB">
      <w:pPr>
        <w:spacing w:line="360" w:lineRule="auto"/>
        <w:jc w:val="both"/>
        <w:rPr>
          <w:b/>
        </w:rPr>
      </w:pPr>
    </w:p>
    <w:p w14:paraId="6F188323" w14:textId="77777777" w:rsidR="006D466D" w:rsidRPr="009351CB" w:rsidRDefault="006D466D"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The Committee recommends that Parliament consider undertaking a review of the timeframes associated with the compilation of Budgetary Review and Recommendation Reports as required by the Money Bills Procedure Amendment and Related Matters Act 9 of 2009.</w:t>
      </w:r>
    </w:p>
    <w:p w14:paraId="1A6BD82B" w14:textId="77777777" w:rsidR="006D466D" w:rsidRPr="009351CB" w:rsidRDefault="006D466D" w:rsidP="009351CB">
      <w:pPr>
        <w:pStyle w:val="BodySingle"/>
        <w:spacing w:line="360" w:lineRule="auto"/>
        <w:rPr>
          <w:rFonts w:ascii="Times New Roman" w:hAnsi="Times New Roman"/>
          <w:i w:val="0"/>
          <w:sz w:val="24"/>
          <w:szCs w:val="24"/>
        </w:rPr>
      </w:pPr>
    </w:p>
    <w:p w14:paraId="3650A63D" w14:textId="77777777" w:rsidR="00106280" w:rsidRPr="009351CB" w:rsidRDefault="00106280" w:rsidP="004F6019">
      <w:pPr>
        <w:pStyle w:val="BodySingle"/>
        <w:numPr>
          <w:ilvl w:val="1"/>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The Committee makes the following recommendations</w:t>
      </w:r>
      <w:r w:rsidR="003B6AA2" w:rsidRPr="009351CB">
        <w:rPr>
          <w:rFonts w:ascii="Times New Roman" w:hAnsi="Times New Roman"/>
          <w:i w:val="0"/>
          <w:sz w:val="24"/>
          <w:szCs w:val="24"/>
        </w:rPr>
        <w:t xml:space="preserve"> relating to additional funding</w:t>
      </w:r>
      <w:r w:rsidRPr="009351CB">
        <w:rPr>
          <w:rFonts w:ascii="Times New Roman" w:hAnsi="Times New Roman"/>
          <w:i w:val="0"/>
          <w:sz w:val="24"/>
          <w:szCs w:val="24"/>
        </w:rPr>
        <w:t>:</w:t>
      </w:r>
    </w:p>
    <w:p w14:paraId="4F0649FA" w14:textId="77777777" w:rsidR="00106280" w:rsidRPr="009351CB" w:rsidRDefault="00106280" w:rsidP="009351CB">
      <w:pPr>
        <w:pStyle w:val="BodySingle"/>
        <w:spacing w:line="360" w:lineRule="auto"/>
        <w:ind w:left="0"/>
        <w:rPr>
          <w:rFonts w:ascii="Times New Roman" w:hAnsi="Times New Roman"/>
          <w:i w:val="0"/>
          <w:sz w:val="24"/>
          <w:szCs w:val="24"/>
        </w:rPr>
      </w:pPr>
    </w:p>
    <w:p w14:paraId="3F50D12A" w14:textId="77777777" w:rsidR="00106280" w:rsidRPr="009351CB" w:rsidRDefault="00106280"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 xml:space="preserve">The </w:t>
      </w:r>
      <w:r w:rsidR="00EF5421" w:rsidRPr="009351CB">
        <w:rPr>
          <w:rFonts w:ascii="Times New Roman" w:hAnsi="Times New Roman"/>
          <w:i w:val="0"/>
          <w:sz w:val="24"/>
          <w:szCs w:val="24"/>
        </w:rPr>
        <w:t>N</w:t>
      </w:r>
      <w:r w:rsidRPr="009351CB">
        <w:rPr>
          <w:rFonts w:ascii="Times New Roman" w:hAnsi="Times New Roman"/>
          <w:i w:val="0"/>
          <w:sz w:val="24"/>
          <w:szCs w:val="24"/>
        </w:rPr>
        <w:t xml:space="preserve">ational Prosecuting Authority be provided with additional funding </w:t>
      </w:r>
      <w:r w:rsidR="00263E44" w:rsidRPr="009351CB">
        <w:rPr>
          <w:rFonts w:ascii="Times New Roman" w:hAnsi="Times New Roman"/>
          <w:i w:val="0"/>
          <w:sz w:val="24"/>
          <w:szCs w:val="24"/>
        </w:rPr>
        <w:t>to address</w:t>
      </w:r>
      <w:r w:rsidR="00A5472A" w:rsidRPr="009351CB">
        <w:rPr>
          <w:rFonts w:ascii="Times New Roman" w:hAnsi="Times New Roman"/>
          <w:i w:val="0"/>
          <w:sz w:val="24"/>
          <w:szCs w:val="24"/>
        </w:rPr>
        <w:t xml:space="preserve"> any </w:t>
      </w:r>
      <w:r w:rsidR="00263E44" w:rsidRPr="009351CB">
        <w:rPr>
          <w:rFonts w:ascii="Times New Roman" w:hAnsi="Times New Roman"/>
          <w:i w:val="0"/>
          <w:sz w:val="24"/>
          <w:szCs w:val="24"/>
        </w:rPr>
        <w:t xml:space="preserve">shortfall on </w:t>
      </w:r>
      <w:r w:rsidR="006D466D" w:rsidRPr="009351CB">
        <w:rPr>
          <w:rFonts w:ascii="Times New Roman" w:hAnsi="Times New Roman"/>
          <w:i w:val="0"/>
          <w:sz w:val="24"/>
          <w:szCs w:val="24"/>
        </w:rPr>
        <w:t xml:space="preserve">its </w:t>
      </w:r>
      <w:r w:rsidR="008F0020" w:rsidRPr="009351CB">
        <w:rPr>
          <w:rFonts w:ascii="Times New Roman" w:hAnsi="Times New Roman"/>
          <w:i w:val="0"/>
          <w:sz w:val="24"/>
          <w:szCs w:val="24"/>
        </w:rPr>
        <w:t xml:space="preserve">compensation of employees’ </w:t>
      </w:r>
      <w:r w:rsidR="006D466D" w:rsidRPr="009351CB">
        <w:rPr>
          <w:rFonts w:ascii="Times New Roman" w:hAnsi="Times New Roman"/>
          <w:i w:val="0"/>
          <w:sz w:val="24"/>
          <w:szCs w:val="24"/>
        </w:rPr>
        <w:t xml:space="preserve">budget; </w:t>
      </w:r>
      <w:r w:rsidR="00263E44" w:rsidRPr="009351CB">
        <w:rPr>
          <w:rFonts w:ascii="Times New Roman" w:hAnsi="Times New Roman"/>
          <w:i w:val="0"/>
          <w:sz w:val="24"/>
          <w:szCs w:val="24"/>
        </w:rPr>
        <w:t xml:space="preserve">to fill </w:t>
      </w:r>
      <w:r w:rsidR="00A5472A" w:rsidRPr="009351CB">
        <w:rPr>
          <w:rFonts w:ascii="Times New Roman" w:hAnsi="Times New Roman"/>
          <w:i w:val="0"/>
          <w:sz w:val="24"/>
          <w:szCs w:val="24"/>
        </w:rPr>
        <w:t xml:space="preserve">critical </w:t>
      </w:r>
      <w:r w:rsidR="00263E44" w:rsidRPr="009351CB">
        <w:rPr>
          <w:rFonts w:ascii="Times New Roman" w:hAnsi="Times New Roman"/>
          <w:i w:val="0"/>
          <w:sz w:val="24"/>
          <w:szCs w:val="24"/>
        </w:rPr>
        <w:t>vacancies</w:t>
      </w:r>
      <w:r w:rsidR="006D466D" w:rsidRPr="009351CB">
        <w:rPr>
          <w:rFonts w:ascii="Times New Roman" w:hAnsi="Times New Roman"/>
          <w:i w:val="0"/>
          <w:sz w:val="24"/>
          <w:szCs w:val="24"/>
        </w:rPr>
        <w:t>;</w:t>
      </w:r>
      <w:r w:rsidR="00263E44" w:rsidRPr="009351CB">
        <w:rPr>
          <w:rFonts w:ascii="Times New Roman" w:hAnsi="Times New Roman"/>
          <w:i w:val="0"/>
          <w:sz w:val="24"/>
          <w:szCs w:val="24"/>
        </w:rPr>
        <w:t xml:space="preserve"> </w:t>
      </w:r>
      <w:r w:rsidR="006D466D" w:rsidRPr="009351CB">
        <w:rPr>
          <w:rFonts w:ascii="Times New Roman" w:hAnsi="Times New Roman"/>
          <w:i w:val="0"/>
          <w:sz w:val="24"/>
          <w:szCs w:val="24"/>
        </w:rPr>
        <w:t xml:space="preserve">to </w:t>
      </w:r>
      <w:r w:rsidR="00263E44" w:rsidRPr="009351CB">
        <w:rPr>
          <w:rFonts w:ascii="Times New Roman" w:hAnsi="Times New Roman"/>
          <w:i w:val="0"/>
          <w:sz w:val="24"/>
          <w:szCs w:val="24"/>
        </w:rPr>
        <w:t xml:space="preserve">create capacity at </w:t>
      </w:r>
      <w:r w:rsidR="00A5472A" w:rsidRPr="009351CB">
        <w:rPr>
          <w:rFonts w:ascii="Times New Roman" w:hAnsi="Times New Roman"/>
          <w:i w:val="0"/>
          <w:sz w:val="24"/>
          <w:szCs w:val="24"/>
        </w:rPr>
        <w:t xml:space="preserve">the AFU, SCCU and in Witness Protection, as well as for it to continue with the </w:t>
      </w:r>
      <w:r w:rsidR="008F0020" w:rsidRPr="009351CB">
        <w:rPr>
          <w:rFonts w:ascii="Times New Roman" w:hAnsi="Times New Roman"/>
          <w:i w:val="0"/>
          <w:sz w:val="24"/>
          <w:szCs w:val="24"/>
        </w:rPr>
        <w:t>A</w:t>
      </w:r>
      <w:r w:rsidRPr="009351CB">
        <w:rPr>
          <w:rFonts w:ascii="Times New Roman" w:hAnsi="Times New Roman"/>
          <w:i w:val="0"/>
          <w:sz w:val="24"/>
          <w:szCs w:val="24"/>
        </w:rPr>
        <w:t xml:space="preserve">spirant </w:t>
      </w:r>
      <w:r w:rsidR="008F0020" w:rsidRPr="009351CB">
        <w:rPr>
          <w:rFonts w:ascii="Times New Roman" w:hAnsi="Times New Roman"/>
          <w:i w:val="0"/>
          <w:sz w:val="24"/>
          <w:szCs w:val="24"/>
        </w:rPr>
        <w:t>P</w:t>
      </w:r>
      <w:r w:rsidRPr="009351CB">
        <w:rPr>
          <w:rFonts w:ascii="Times New Roman" w:hAnsi="Times New Roman"/>
          <w:i w:val="0"/>
          <w:sz w:val="24"/>
          <w:szCs w:val="24"/>
        </w:rPr>
        <w:t>rosecutor</w:t>
      </w:r>
      <w:r w:rsidR="006D466D" w:rsidRPr="009351CB">
        <w:rPr>
          <w:rFonts w:ascii="Times New Roman" w:hAnsi="Times New Roman"/>
          <w:i w:val="0"/>
          <w:sz w:val="24"/>
          <w:szCs w:val="24"/>
        </w:rPr>
        <w:t>s</w:t>
      </w:r>
      <w:r w:rsidRPr="009351CB">
        <w:rPr>
          <w:rFonts w:ascii="Times New Roman" w:hAnsi="Times New Roman"/>
          <w:i w:val="0"/>
          <w:sz w:val="24"/>
          <w:szCs w:val="24"/>
        </w:rPr>
        <w:t xml:space="preserve"> programme.</w:t>
      </w:r>
    </w:p>
    <w:p w14:paraId="1A750DD4" w14:textId="77777777" w:rsidR="00106280" w:rsidRPr="009351CB" w:rsidRDefault="00106280" w:rsidP="009351CB">
      <w:pPr>
        <w:pStyle w:val="BodySingle"/>
        <w:spacing w:line="360" w:lineRule="auto"/>
        <w:ind w:left="0"/>
        <w:rPr>
          <w:rFonts w:ascii="Times New Roman" w:hAnsi="Times New Roman"/>
          <w:i w:val="0"/>
          <w:sz w:val="24"/>
          <w:szCs w:val="24"/>
        </w:rPr>
      </w:pPr>
    </w:p>
    <w:p w14:paraId="17A04221" w14:textId="3830153B" w:rsidR="00A76FC8" w:rsidRPr="009351CB" w:rsidRDefault="009351CB"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Legal Aid South Africa receive</w:t>
      </w:r>
      <w:r w:rsidR="00106280" w:rsidRPr="009351CB">
        <w:rPr>
          <w:rFonts w:ascii="Times New Roman" w:hAnsi="Times New Roman"/>
          <w:i w:val="0"/>
          <w:sz w:val="24"/>
          <w:szCs w:val="24"/>
        </w:rPr>
        <w:t xml:space="preserve"> additional funding to prevent it from having to cut posts with adverse co</w:t>
      </w:r>
      <w:r w:rsidR="006D466D" w:rsidRPr="009351CB">
        <w:rPr>
          <w:rFonts w:ascii="Times New Roman" w:hAnsi="Times New Roman"/>
          <w:i w:val="0"/>
          <w:sz w:val="24"/>
          <w:szCs w:val="24"/>
        </w:rPr>
        <w:t xml:space="preserve">nsequences for service delivery and </w:t>
      </w:r>
      <w:r w:rsidR="009B2296" w:rsidRPr="009351CB">
        <w:rPr>
          <w:rFonts w:ascii="Times New Roman" w:hAnsi="Times New Roman"/>
          <w:i w:val="0"/>
          <w:sz w:val="24"/>
          <w:szCs w:val="24"/>
        </w:rPr>
        <w:t xml:space="preserve">to ensure so that it is able to </w:t>
      </w:r>
      <w:r w:rsidR="008D1343" w:rsidRPr="009351CB">
        <w:rPr>
          <w:rFonts w:ascii="Times New Roman" w:hAnsi="Times New Roman"/>
          <w:i w:val="0"/>
          <w:sz w:val="24"/>
          <w:szCs w:val="24"/>
        </w:rPr>
        <w:t xml:space="preserve">maintain </w:t>
      </w:r>
      <w:r w:rsidR="009B2296" w:rsidRPr="009351CB">
        <w:rPr>
          <w:rFonts w:ascii="Times New Roman" w:hAnsi="Times New Roman"/>
          <w:i w:val="0"/>
          <w:sz w:val="24"/>
          <w:szCs w:val="24"/>
        </w:rPr>
        <w:t>its civil work despite the current fiscal environment.</w:t>
      </w:r>
      <w:r w:rsidR="00865A22" w:rsidRPr="009351CB">
        <w:rPr>
          <w:rFonts w:ascii="Times New Roman" w:hAnsi="Times New Roman"/>
          <w:i w:val="0"/>
          <w:sz w:val="24"/>
          <w:szCs w:val="24"/>
        </w:rPr>
        <w:t xml:space="preserve"> Legal Aid SA’s funding needs are detailed elsewhere in the report.</w:t>
      </w:r>
    </w:p>
    <w:p w14:paraId="7A15A3BB" w14:textId="77777777" w:rsidR="00A5472A" w:rsidRPr="009351CB" w:rsidRDefault="00A5472A" w:rsidP="009351CB">
      <w:pPr>
        <w:pStyle w:val="ListParagraph"/>
        <w:spacing w:line="360" w:lineRule="auto"/>
        <w:rPr>
          <w:i/>
        </w:rPr>
      </w:pPr>
    </w:p>
    <w:p w14:paraId="2B374288" w14:textId="34167E4E" w:rsidR="00A5472A" w:rsidRPr="009351CB" w:rsidRDefault="00A5472A" w:rsidP="004F6019">
      <w:pPr>
        <w:pStyle w:val="BodySingle"/>
        <w:numPr>
          <w:ilvl w:val="2"/>
          <w:numId w:val="29"/>
        </w:numPr>
        <w:spacing w:line="360" w:lineRule="auto"/>
        <w:ind w:left="851" w:hanging="851"/>
        <w:rPr>
          <w:rStyle w:val="st"/>
          <w:rFonts w:ascii="Times New Roman" w:hAnsi="Times New Roman"/>
          <w:i w:val="0"/>
          <w:sz w:val="24"/>
          <w:szCs w:val="24"/>
        </w:rPr>
      </w:pPr>
      <w:r w:rsidRPr="009351CB">
        <w:rPr>
          <w:rFonts w:ascii="Times New Roman" w:hAnsi="Times New Roman"/>
          <w:i w:val="0"/>
          <w:sz w:val="24"/>
          <w:szCs w:val="24"/>
        </w:rPr>
        <w:t>The proposed budget reduc</w:t>
      </w:r>
      <w:r w:rsidR="00865A22" w:rsidRPr="009351CB">
        <w:rPr>
          <w:rFonts w:ascii="Times New Roman" w:hAnsi="Times New Roman"/>
          <w:i w:val="0"/>
          <w:sz w:val="24"/>
          <w:szCs w:val="24"/>
        </w:rPr>
        <w:t>t</w:t>
      </w:r>
      <w:r w:rsidRPr="009351CB">
        <w:rPr>
          <w:rFonts w:ascii="Times New Roman" w:hAnsi="Times New Roman"/>
          <w:i w:val="0"/>
          <w:sz w:val="24"/>
          <w:szCs w:val="24"/>
        </w:rPr>
        <w:t>ions are not ap</w:t>
      </w:r>
      <w:r w:rsidR="009351CB" w:rsidRPr="009351CB">
        <w:rPr>
          <w:rFonts w:ascii="Times New Roman" w:hAnsi="Times New Roman"/>
          <w:i w:val="0"/>
          <w:sz w:val="24"/>
          <w:szCs w:val="24"/>
        </w:rPr>
        <w:t>plied in the case of the SAHRC</w:t>
      </w:r>
      <w:r w:rsidRPr="009351CB">
        <w:rPr>
          <w:rFonts w:ascii="Times New Roman" w:hAnsi="Times New Roman"/>
          <w:i w:val="0"/>
          <w:sz w:val="24"/>
          <w:szCs w:val="24"/>
        </w:rPr>
        <w:t xml:space="preserve"> </w:t>
      </w:r>
      <w:r w:rsidR="00865A22" w:rsidRPr="009351CB">
        <w:rPr>
          <w:rFonts w:ascii="Times New Roman" w:hAnsi="Times New Roman"/>
          <w:i w:val="0"/>
          <w:sz w:val="24"/>
          <w:szCs w:val="24"/>
        </w:rPr>
        <w:t xml:space="preserve">to prevent a further loss of staff </w:t>
      </w:r>
      <w:r w:rsidRPr="009351CB">
        <w:rPr>
          <w:rFonts w:ascii="Times New Roman" w:hAnsi="Times New Roman"/>
          <w:i w:val="0"/>
          <w:sz w:val="24"/>
          <w:szCs w:val="24"/>
        </w:rPr>
        <w:t xml:space="preserve">and </w:t>
      </w:r>
      <w:r w:rsidR="009351CB" w:rsidRPr="009351CB">
        <w:rPr>
          <w:rFonts w:ascii="Times New Roman" w:hAnsi="Times New Roman"/>
          <w:i w:val="0"/>
          <w:sz w:val="24"/>
          <w:szCs w:val="24"/>
        </w:rPr>
        <w:t xml:space="preserve">also </w:t>
      </w:r>
      <w:r w:rsidRPr="009351CB">
        <w:rPr>
          <w:rFonts w:ascii="Times New Roman" w:hAnsi="Times New Roman"/>
          <w:i w:val="0"/>
          <w:sz w:val="24"/>
          <w:szCs w:val="24"/>
        </w:rPr>
        <w:t xml:space="preserve">that it is funded </w:t>
      </w:r>
      <w:r w:rsidR="00865A22" w:rsidRPr="009351CB">
        <w:rPr>
          <w:rFonts w:ascii="Times New Roman" w:hAnsi="Times New Roman"/>
          <w:i w:val="0"/>
          <w:sz w:val="24"/>
          <w:szCs w:val="24"/>
        </w:rPr>
        <w:t xml:space="preserve">for its coordinating role </w:t>
      </w:r>
      <w:r w:rsidR="009351CB" w:rsidRPr="009351CB">
        <w:rPr>
          <w:rFonts w:ascii="Times New Roman" w:hAnsi="Times New Roman"/>
          <w:i w:val="0"/>
          <w:sz w:val="24"/>
          <w:szCs w:val="24"/>
        </w:rPr>
        <w:t xml:space="preserve">in espect of </w:t>
      </w:r>
      <w:r w:rsidR="00865A22" w:rsidRPr="009351CB">
        <w:rPr>
          <w:rFonts w:ascii="Times New Roman" w:hAnsi="Times New Roman"/>
          <w:i w:val="0"/>
          <w:sz w:val="24"/>
          <w:szCs w:val="24"/>
        </w:rPr>
        <w:t>the National Preventative Mechanism</w:t>
      </w:r>
      <w:r w:rsidR="009351CB" w:rsidRPr="009351CB">
        <w:rPr>
          <w:rFonts w:ascii="Times New Roman" w:hAnsi="Times New Roman"/>
          <w:i w:val="0"/>
          <w:sz w:val="24"/>
          <w:szCs w:val="24"/>
        </w:rPr>
        <w:t xml:space="preserve">, </w:t>
      </w:r>
      <w:r w:rsidR="00865A22" w:rsidRPr="009351CB">
        <w:rPr>
          <w:rFonts w:ascii="Times New Roman" w:hAnsi="Times New Roman"/>
          <w:i w:val="0"/>
          <w:sz w:val="24"/>
          <w:szCs w:val="24"/>
        </w:rPr>
        <w:t xml:space="preserve">which is established in terms of the Optional Protocol to the Convention Against Torture </w:t>
      </w:r>
      <w:r w:rsidR="00865A22" w:rsidRPr="009351CB">
        <w:rPr>
          <w:rStyle w:val="Emphasis"/>
          <w:rFonts w:ascii="Times New Roman" w:eastAsia="Batang" w:hAnsi="Times New Roman"/>
          <w:sz w:val="24"/>
          <w:szCs w:val="24"/>
        </w:rPr>
        <w:t xml:space="preserve">against </w:t>
      </w:r>
      <w:r w:rsidR="00865A22" w:rsidRPr="009351CB">
        <w:rPr>
          <w:rStyle w:val="st"/>
          <w:rFonts w:ascii="Times New Roman" w:eastAsia="Batang" w:hAnsi="Times New Roman"/>
          <w:i w:val="0"/>
          <w:sz w:val="24"/>
          <w:szCs w:val="24"/>
        </w:rPr>
        <w:t>and Other Cruel, Inhuman or Degrading Treatment or Punishment</w:t>
      </w:r>
      <w:r w:rsidR="00865A22" w:rsidRPr="009351CB">
        <w:rPr>
          <w:rStyle w:val="st"/>
          <w:rFonts w:ascii="Times New Roman" w:eastAsia="Batang" w:hAnsi="Times New Roman"/>
          <w:sz w:val="24"/>
          <w:szCs w:val="24"/>
        </w:rPr>
        <w:t xml:space="preserve">. </w:t>
      </w:r>
    </w:p>
    <w:p w14:paraId="02003027" w14:textId="77777777" w:rsidR="00865A22" w:rsidRPr="009351CB" w:rsidRDefault="00865A22" w:rsidP="009351CB">
      <w:pPr>
        <w:pStyle w:val="ListParagraph"/>
        <w:spacing w:line="360" w:lineRule="auto"/>
        <w:rPr>
          <w:i/>
        </w:rPr>
      </w:pPr>
    </w:p>
    <w:p w14:paraId="5C440C5A" w14:textId="77777777" w:rsidR="00865A22" w:rsidRPr="009351CB" w:rsidRDefault="00865A22"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Similarly, that the proposed budget reductions are not applied in the case of the PPSA and that additional funds are allocated to the PPSA to fill vacancies, employ professional services and for security as set out elsewhere in the report.</w:t>
      </w:r>
    </w:p>
    <w:p w14:paraId="399ABDC7" w14:textId="29431BA5" w:rsidR="00581527" w:rsidRPr="009351CB" w:rsidRDefault="00581527" w:rsidP="009351CB">
      <w:pPr>
        <w:pStyle w:val="ListParagraph"/>
        <w:spacing w:line="360" w:lineRule="auto"/>
        <w:rPr>
          <w:i/>
        </w:rPr>
      </w:pPr>
    </w:p>
    <w:p w14:paraId="0E884423" w14:textId="77777777" w:rsidR="009351CB" w:rsidRPr="009351CB" w:rsidRDefault="009351CB" w:rsidP="009351CB">
      <w:pPr>
        <w:pStyle w:val="ListParagraph"/>
        <w:spacing w:line="360" w:lineRule="auto"/>
        <w:rPr>
          <w:i/>
        </w:rPr>
      </w:pPr>
    </w:p>
    <w:p w14:paraId="006F470D" w14:textId="77777777" w:rsidR="000770E2" w:rsidRPr="009351CB" w:rsidRDefault="000770E2" w:rsidP="004F6019">
      <w:pPr>
        <w:numPr>
          <w:ilvl w:val="0"/>
          <w:numId w:val="29"/>
        </w:numPr>
        <w:spacing w:line="360" w:lineRule="auto"/>
        <w:ind w:left="851" w:hanging="851"/>
        <w:jc w:val="both"/>
        <w:rPr>
          <w:b/>
        </w:rPr>
      </w:pPr>
      <w:r w:rsidRPr="009351CB">
        <w:rPr>
          <w:b/>
        </w:rPr>
        <w:t>Appreciation</w:t>
      </w:r>
    </w:p>
    <w:p w14:paraId="48056356" w14:textId="77777777" w:rsidR="000770E2" w:rsidRPr="009351CB" w:rsidRDefault="000770E2" w:rsidP="009351CB">
      <w:pPr>
        <w:spacing w:line="360" w:lineRule="auto"/>
        <w:rPr>
          <w:b/>
        </w:rPr>
      </w:pPr>
    </w:p>
    <w:p w14:paraId="11C0BB21" w14:textId="77777777" w:rsidR="000770E2" w:rsidRPr="009351CB" w:rsidRDefault="000770E2"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 xml:space="preserve">The Committee thanks the </w:t>
      </w:r>
      <w:r w:rsidR="00865A22" w:rsidRPr="009351CB">
        <w:rPr>
          <w:rFonts w:ascii="Times New Roman" w:hAnsi="Times New Roman"/>
          <w:i w:val="0"/>
          <w:sz w:val="24"/>
          <w:szCs w:val="24"/>
        </w:rPr>
        <w:t xml:space="preserve">Minister and Deputy Minister, the </w:t>
      </w:r>
      <w:r w:rsidRPr="009351CB">
        <w:rPr>
          <w:rFonts w:ascii="Times New Roman" w:hAnsi="Times New Roman"/>
          <w:i w:val="0"/>
          <w:sz w:val="24"/>
          <w:szCs w:val="24"/>
        </w:rPr>
        <w:t>Director General and all officials who appeared before the Committee for their co-operation.</w:t>
      </w:r>
    </w:p>
    <w:p w14:paraId="29D79A9C" w14:textId="77777777" w:rsidR="000770E2" w:rsidRPr="009351CB" w:rsidRDefault="000770E2" w:rsidP="009351CB">
      <w:pPr>
        <w:autoSpaceDE w:val="0"/>
        <w:autoSpaceDN w:val="0"/>
        <w:adjustRightInd w:val="0"/>
        <w:spacing w:line="360" w:lineRule="auto"/>
        <w:jc w:val="both"/>
      </w:pPr>
    </w:p>
    <w:p w14:paraId="4F53204C" w14:textId="77777777" w:rsidR="000770E2" w:rsidRPr="009351CB" w:rsidRDefault="000770E2"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 xml:space="preserve">The Committee thanks the National Director of Public Prosecutions and all officials who appeared before the Committee for their co-operation in this process. </w:t>
      </w:r>
    </w:p>
    <w:p w14:paraId="430AE458" w14:textId="77777777" w:rsidR="000770E2" w:rsidRPr="009351CB" w:rsidRDefault="000770E2" w:rsidP="009351CB">
      <w:pPr>
        <w:pStyle w:val="BodySingle"/>
        <w:spacing w:line="360" w:lineRule="auto"/>
        <w:rPr>
          <w:rFonts w:ascii="Times New Roman" w:hAnsi="Times New Roman"/>
          <w:i w:val="0"/>
          <w:sz w:val="24"/>
          <w:szCs w:val="24"/>
        </w:rPr>
      </w:pPr>
    </w:p>
    <w:p w14:paraId="13E6CA8E" w14:textId="77777777" w:rsidR="000770E2" w:rsidRPr="009351CB" w:rsidRDefault="000770E2"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The Committee also wishes to thank the Public Protector and Deputy Public Protector; the Chairperson and Commissioners of the South African Human Rights Commission; the Chairperson and Board of Legal Aid South Africa; and the newly appointed Head of the Special Investigating Unit, as well as all respective staff members that appeared before the Committee for their co-operation.</w:t>
      </w:r>
    </w:p>
    <w:p w14:paraId="17F5611C" w14:textId="77777777" w:rsidR="000770E2" w:rsidRPr="009351CB" w:rsidRDefault="000770E2" w:rsidP="009351CB">
      <w:pPr>
        <w:pStyle w:val="ListParagraph"/>
        <w:spacing w:line="360" w:lineRule="auto"/>
      </w:pPr>
    </w:p>
    <w:p w14:paraId="3B9B3980" w14:textId="53BF2667" w:rsidR="000770E2" w:rsidRPr="009351CB" w:rsidRDefault="009351CB" w:rsidP="004F6019">
      <w:pPr>
        <w:pStyle w:val="BodySingle"/>
        <w:numPr>
          <w:ilvl w:val="2"/>
          <w:numId w:val="29"/>
        </w:numPr>
        <w:spacing w:line="360" w:lineRule="auto"/>
        <w:ind w:left="851" w:hanging="851"/>
        <w:rPr>
          <w:rFonts w:ascii="Times New Roman" w:hAnsi="Times New Roman"/>
          <w:i w:val="0"/>
          <w:sz w:val="24"/>
          <w:szCs w:val="24"/>
        </w:rPr>
      </w:pPr>
      <w:r w:rsidRPr="009351CB">
        <w:rPr>
          <w:rFonts w:ascii="Times New Roman" w:hAnsi="Times New Roman"/>
          <w:i w:val="0"/>
          <w:sz w:val="24"/>
          <w:szCs w:val="24"/>
        </w:rPr>
        <w:t>Finally, t</w:t>
      </w:r>
      <w:r w:rsidR="000770E2" w:rsidRPr="009351CB">
        <w:rPr>
          <w:rFonts w:ascii="Times New Roman" w:hAnsi="Times New Roman"/>
          <w:i w:val="0"/>
          <w:sz w:val="24"/>
          <w:szCs w:val="24"/>
        </w:rPr>
        <w:t xml:space="preserve">he Committee wishes to thank the Auditor-General and his representatives for their assistance in this process. </w:t>
      </w:r>
    </w:p>
    <w:p w14:paraId="4CF9C488" w14:textId="77777777" w:rsidR="003B6AA2" w:rsidRPr="009351CB" w:rsidRDefault="003B6AA2" w:rsidP="009351CB">
      <w:pPr>
        <w:pStyle w:val="BodySingle"/>
        <w:spacing w:line="360" w:lineRule="auto"/>
        <w:rPr>
          <w:rFonts w:ascii="Times New Roman" w:hAnsi="Times New Roman"/>
          <w:i w:val="0"/>
          <w:sz w:val="24"/>
          <w:szCs w:val="24"/>
        </w:rPr>
      </w:pPr>
    </w:p>
    <w:p w14:paraId="24F577DD" w14:textId="77777777" w:rsidR="00106280" w:rsidRPr="009351CB" w:rsidRDefault="00106280" w:rsidP="009351CB">
      <w:pPr>
        <w:autoSpaceDE w:val="0"/>
        <w:autoSpaceDN w:val="0"/>
        <w:adjustRightInd w:val="0"/>
        <w:spacing w:line="360" w:lineRule="auto"/>
        <w:jc w:val="both"/>
        <w:rPr>
          <w:b/>
        </w:rPr>
      </w:pPr>
      <w:r w:rsidRPr="009351CB">
        <w:rPr>
          <w:b/>
        </w:rPr>
        <w:t>Report to be considered</w:t>
      </w:r>
    </w:p>
    <w:p w14:paraId="780426AF" w14:textId="77777777" w:rsidR="00DB6827" w:rsidRPr="009351CB" w:rsidRDefault="00DB6827" w:rsidP="009351CB">
      <w:pPr>
        <w:spacing w:line="360" w:lineRule="auto"/>
        <w:jc w:val="both"/>
      </w:pPr>
    </w:p>
    <w:p w14:paraId="524CF9C4" w14:textId="77777777" w:rsidR="00C4341B" w:rsidRPr="009351CB" w:rsidRDefault="00C4341B" w:rsidP="009351CB">
      <w:pPr>
        <w:spacing w:line="360" w:lineRule="auto"/>
      </w:pPr>
    </w:p>
    <w:sectPr w:rsidR="00C4341B" w:rsidRPr="009351CB" w:rsidSect="00106280">
      <w:footerReference w:type="even" r:id="rId9"/>
      <w:footerReference w:type="default" r:id="rId10"/>
      <w:pgSz w:w="11906" w:h="16838"/>
      <w:pgMar w:top="1440" w:right="1800" w:bottom="1440"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E7FF" w14:textId="77777777" w:rsidR="006A06C5" w:rsidRDefault="006A06C5">
      <w:r>
        <w:separator/>
      </w:r>
    </w:p>
  </w:endnote>
  <w:endnote w:type="continuationSeparator" w:id="0">
    <w:p w14:paraId="578FBE04" w14:textId="77777777" w:rsidR="006A06C5" w:rsidRDefault="006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A725" w14:textId="77777777" w:rsidR="00B902DC" w:rsidRDefault="00B902DC" w:rsidP="00106280">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14:paraId="76173990" w14:textId="77777777" w:rsidR="00B902DC" w:rsidRDefault="00B902DC" w:rsidP="00106280">
    <w:pPr>
      <w:pStyle w:val="Footer"/>
      <w:ind w:right="360"/>
    </w:pPr>
  </w:p>
  <w:p w14:paraId="740844B7" w14:textId="77777777" w:rsidR="00B902DC" w:rsidRDefault="00B902DC"/>
  <w:p w14:paraId="7C4126F9" w14:textId="77777777" w:rsidR="00B902DC" w:rsidRDefault="00B902DC"/>
  <w:p w14:paraId="6A812075" w14:textId="77777777" w:rsidR="00B902DC" w:rsidRDefault="00B902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498"/>
      <w:docPartObj>
        <w:docPartGallery w:val="Page Numbers (Bottom of Page)"/>
        <w:docPartUnique/>
      </w:docPartObj>
    </w:sdtPr>
    <w:sdtEndPr>
      <w:rPr>
        <w:rFonts w:ascii="Arial" w:hAnsi="Arial" w:cs="Arial"/>
        <w:sz w:val="18"/>
        <w:szCs w:val="18"/>
      </w:rPr>
    </w:sdtEndPr>
    <w:sdtContent>
      <w:p w14:paraId="4C8C31D0" w14:textId="59C2EA99" w:rsidR="00B902DC" w:rsidRPr="00CF233F" w:rsidRDefault="00B902DC">
        <w:pPr>
          <w:pStyle w:val="Footer"/>
          <w:jc w:val="right"/>
          <w:rPr>
            <w:rFonts w:ascii="Arial" w:hAnsi="Arial" w:cs="Arial"/>
            <w:sz w:val="18"/>
            <w:szCs w:val="18"/>
          </w:rPr>
        </w:pPr>
        <w:r w:rsidRPr="00CF233F">
          <w:rPr>
            <w:rFonts w:ascii="Arial" w:hAnsi="Arial" w:cs="Arial"/>
            <w:sz w:val="18"/>
            <w:szCs w:val="18"/>
          </w:rPr>
          <w:fldChar w:fldCharType="begin"/>
        </w:r>
        <w:r w:rsidRPr="00CF233F">
          <w:rPr>
            <w:rFonts w:ascii="Arial" w:hAnsi="Arial" w:cs="Arial"/>
            <w:sz w:val="18"/>
            <w:szCs w:val="18"/>
          </w:rPr>
          <w:instrText xml:space="preserve"> PAGE   \* MERGEFORMAT </w:instrText>
        </w:r>
        <w:r w:rsidRPr="00CF233F">
          <w:rPr>
            <w:rFonts w:ascii="Arial" w:hAnsi="Arial" w:cs="Arial"/>
            <w:sz w:val="18"/>
            <w:szCs w:val="18"/>
          </w:rPr>
          <w:fldChar w:fldCharType="separate"/>
        </w:r>
        <w:r w:rsidR="006A06C5">
          <w:rPr>
            <w:rFonts w:ascii="Arial" w:hAnsi="Arial" w:cs="Arial"/>
            <w:noProof/>
            <w:sz w:val="18"/>
            <w:szCs w:val="18"/>
          </w:rPr>
          <w:t>1</w:t>
        </w:r>
        <w:r w:rsidRPr="00CF233F">
          <w:rPr>
            <w:rFonts w:ascii="Arial" w:hAnsi="Arial" w:cs="Arial"/>
            <w:sz w:val="18"/>
            <w:szCs w:val="18"/>
          </w:rPr>
          <w:fldChar w:fldCharType="end"/>
        </w:r>
      </w:p>
    </w:sdtContent>
  </w:sdt>
  <w:p w14:paraId="395FCBCF" w14:textId="77777777" w:rsidR="00B902DC" w:rsidRDefault="00B902DC" w:rsidP="00106280">
    <w:pPr>
      <w:pStyle w:val="Footer"/>
      <w:ind w:right="360"/>
    </w:pPr>
  </w:p>
  <w:p w14:paraId="2B1A9679" w14:textId="77777777" w:rsidR="00B902DC" w:rsidRDefault="00B902DC"/>
  <w:p w14:paraId="360B645E" w14:textId="77777777" w:rsidR="00B902DC" w:rsidRDefault="00B902DC"/>
  <w:p w14:paraId="6E163DC4" w14:textId="77777777" w:rsidR="00B902DC" w:rsidRDefault="00B90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A6E5D" w14:textId="77777777" w:rsidR="006A06C5" w:rsidRDefault="006A06C5">
      <w:r>
        <w:separator/>
      </w:r>
    </w:p>
  </w:footnote>
  <w:footnote w:type="continuationSeparator" w:id="0">
    <w:p w14:paraId="3071BCE1" w14:textId="77777777" w:rsidR="006A06C5" w:rsidRDefault="006A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4AB3402"/>
    <w:multiLevelType w:val="multilevel"/>
    <w:tmpl w:val="E47E49D6"/>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C8476B"/>
    <w:multiLevelType w:val="hybridMultilevel"/>
    <w:tmpl w:val="0B6EB5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8997977"/>
    <w:multiLevelType w:val="multilevel"/>
    <w:tmpl w:val="2B38668E"/>
    <w:lvl w:ilvl="0">
      <w:start w:val="14"/>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DD5199"/>
    <w:multiLevelType w:val="multilevel"/>
    <w:tmpl w:val="60503712"/>
    <w:lvl w:ilvl="0">
      <w:start w:val="14"/>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341DA7"/>
    <w:multiLevelType w:val="multilevel"/>
    <w:tmpl w:val="6D8E471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6076C2"/>
    <w:multiLevelType w:val="multilevel"/>
    <w:tmpl w:val="4052004E"/>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75C4E"/>
    <w:multiLevelType w:val="multilevel"/>
    <w:tmpl w:val="F2621912"/>
    <w:lvl w:ilvl="0">
      <w:start w:val="14"/>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B5B1D02"/>
    <w:multiLevelType w:val="multilevel"/>
    <w:tmpl w:val="0CA6B308"/>
    <w:lvl w:ilvl="0">
      <w:start w:val="13"/>
      <w:numFmt w:val="decimal"/>
      <w:lvlText w:val="%1."/>
      <w:lvlJc w:val="left"/>
      <w:pPr>
        <w:ind w:left="660" w:hanging="660"/>
      </w:pPr>
      <w:rPr>
        <w:rFonts w:hint="default"/>
        <w:i w:val="0"/>
      </w:rPr>
    </w:lvl>
    <w:lvl w:ilvl="1">
      <w:start w:val="8"/>
      <w:numFmt w:val="decimal"/>
      <w:lvlText w:val="%1.%2."/>
      <w:lvlJc w:val="left"/>
      <w:pPr>
        <w:ind w:left="660" w:hanging="6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1F634008"/>
    <w:multiLevelType w:val="multilevel"/>
    <w:tmpl w:val="54E89E8A"/>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A16591"/>
    <w:multiLevelType w:val="hybridMultilevel"/>
    <w:tmpl w:val="78FCECAE"/>
    <w:lvl w:ilvl="0" w:tplc="95322804">
      <w:start w:val="1"/>
      <w:numFmt w:val="bullet"/>
      <w:lvlText w:val=""/>
      <w:lvlJc w:val="left"/>
      <w:pPr>
        <w:tabs>
          <w:tab w:val="num" w:pos="720"/>
        </w:tabs>
        <w:ind w:left="720" w:hanging="360"/>
      </w:pPr>
      <w:rPr>
        <w:rFonts w:ascii="Symbol" w:hAnsi="Symbol"/>
        <w:b w:val="0"/>
      </w:rPr>
    </w:lvl>
    <w:lvl w:ilvl="1" w:tplc="08090001">
      <w:start w:val="1"/>
      <w:numFmt w:val="bullet"/>
      <w:lvlText w:val=""/>
      <w:lvlJc w:val="left"/>
      <w:pPr>
        <w:tabs>
          <w:tab w:val="num" w:pos="1440"/>
        </w:tabs>
        <w:ind w:left="1440" w:hanging="360"/>
      </w:pPr>
      <w:rPr>
        <w:rFonts w:ascii="Symbol" w:hAnsi="Symbol" w:hint="default"/>
        <w:b w:val="0"/>
      </w:rPr>
    </w:lvl>
    <w:lvl w:ilvl="2" w:tplc="27CADCDC">
      <w:start w:val="13"/>
      <w:numFmt w:val="decimal"/>
      <w:lvlText w:val="%3."/>
      <w:lvlJc w:val="left"/>
      <w:pPr>
        <w:tabs>
          <w:tab w:val="num" w:pos="2340"/>
        </w:tabs>
        <w:ind w:left="2340" w:hanging="36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255E33EC"/>
    <w:multiLevelType w:val="multilevel"/>
    <w:tmpl w:val="51FA7296"/>
    <w:lvl w:ilvl="0">
      <w:start w:val="13"/>
      <w:numFmt w:val="decimal"/>
      <w:lvlText w:val="%1."/>
      <w:lvlJc w:val="left"/>
      <w:pPr>
        <w:ind w:left="660" w:hanging="660"/>
      </w:pPr>
      <w:rPr>
        <w:rFonts w:hint="default"/>
        <w:color w:val="000000" w:themeColor="text1"/>
      </w:rPr>
    </w:lvl>
    <w:lvl w:ilvl="1">
      <w:start w:val="5"/>
      <w:numFmt w:val="decimal"/>
      <w:lvlText w:val="%1.%2."/>
      <w:lvlJc w:val="left"/>
      <w:pPr>
        <w:ind w:left="660" w:hanging="660"/>
      </w:pPr>
      <w:rPr>
        <w:rFonts w:hint="default"/>
        <w:color w:val="000000" w:themeColor="text1"/>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nsid w:val="27C325C8"/>
    <w:multiLevelType w:val="multilevel"/>
    <w:tmpl w:val="2CE81760"/>
    <w:lvl w:ilvl="0">
      <w:start w:val="9"/>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7CD1F31"/>
    <w:multiLevelType w:val="multilevel"/>
    <w:tmpl w:val="A8EE6580"/>
    <w:lvl w:ilvl="0">
      <w:start w:val="1"/>
      <w:numFmt w:val="bullet"/>
      <w:lvlText w:val=""/>
      <w:lvlJc w:val="left"/>
      <w:pPr>
        <w:ind w:left="928" w:hanging="360"/>
      </w:pPr>
      <w:rPr>
        <w:rFonts w:ascii="Symbol" w:hAnsi="Symbol" w:hint="default"/>
        <w:i w:val="0"/>
      </w:rPr>
    </w:lvl>
    <w:lvl w:ilvl="1">
      <w:start w:val="1"/>
      <w:numFmt w:val="bullet"/>
      <w:lvlText w:val=""/>
      <w:lvlJc w:val="left"/>
      <w:pPr>
        <w:ind w:left="1440" w:hanging="720"/>
      </w:pPr>
      <w:rPr>
        <w:rFonts w:ascii="Symbol" w:hAnsi="Symbol" w:hint="default"/>
        <w:i w:val="0"/>
      </w:rPr>
    </w:lvl>
    <w:lvl w:ilvl="2">
      <w:start w:val="1"/>
      <w:numFmt w:val="decimal"/>
      <w:lvlText w:val="%1.%2.%3."/>
      <w:lvlJc w:val="left"/>
      <w:pPr>
        <w:ind w:left="1440" w:hanging="720"/>
      </w:pPr>
      <w:rPr>
        <w:rFonts w:ascii="Arial" w:hAnsi="Arial" w:cs="Arial"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4">
    <w:nsid w:val="2A01301B"/>
    <w:multiLevelType w:val="multilevel"/>
    <w:tmpl w:val="893AEAD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22827"/>
    <w:multiLevelType w:val="multilevel"/>
    <w:tmpl w:val="2878E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21E75"/>
    <w:multiLevelType w:val="multilevel"/>
    <w:tmpl w:val="4EE080DE"/>
    <w:lvl w:ilvl="0">
      <w:start w:val="13"/>
      <w:numFmt w:val="decimal"/>
      <w:lvlText w:val="%1."/>
      <w:lvlJc w:val="left"/>
      <w:pPr>
        <w:ind w:left="780" w:hanging="780"/>
      </w:pPr>
      <w:rPr>
        <w:rFonts w:eastAsia="Times New Roman" w:hint="default"/>
      </w:rPr>
    </w:lvl>
    <w:lvl w:ilvl="1">
      <w:start w:val="11"/>
      <w:numFmt w:val="decimal"/>
      <w:lvlText w:val="%1.%2."/>
      <w:lvlJc w:val="left"/>
      <w:pPr>
        <w:ind w:left="780" w:hanging="780"/>
      </w:pPr>
      <w:rPr>
        <w:rFonts w:eastAsia="Times New Roman" w:hint="default"/>
      </w:rPr>
    </w:lvl>
    <w:lvl w:ilvl="2">
      <w:start w:val="1"/>
      <w:numFmt w:val="decimal"/>
      <w:lvlText w:val="%1.%2.%3."/>
      <w:lvlJc w:val="left"/>
      <w:pPr>
        <w:ind w:left="780" w:hanging="780"/>
      </w:pPr>
      <w:rPr>
        <w:rFonts w:eastAsia="Times New Roman" w:hint="default"/>
      </w:rPr>
    </w:lvl>
    <w:lvl w:ilvl="3">
      <w:start w:val="1"/>
      <w:numFmt w:val="decimal"/>
      <w:lvlText w:val="%1.%2.%3.%4."/>
      <w:lvlJc w:val="left"/>
      <w:pPr>
        <w:ind w:left="780" w:hanging="7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4CD14651"/>
    <w:multiLevelType w:val="multilevel"/>
    <w:tmpl w:val="B7C47412"/>
    <w:lvl w:ilvl="0">
      <w:start w:val="9"/>
      <w:numFmt w:val="decimal"/>
      <w:lvlText w:val="%1."/>
      <w:lvlJc w:val="left"/>
      <w:pPr>
        <w:ind w:left="540" w:hanging="540"/>
      </w:pPr>
      <w:rPr>
        <w:rFonts w:eastAsia="MS PGothic" w:hint="default"/>
      </w:rPr>
    </w:lvl>
    <w:lvl w:ilvl="1">
      <w:start w:val="4"/>
      <w:numFmt w:val="decimal"/>
      <w:lvlText w:val="%1.%2."/>
      <w:lvlJc w:val="left"/>
      <w:pPr>
        <w:ind w:left="540" w:hanging="54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18">
    <w:nsid w:val="4E72220A"/>
    <w:multiLevelType w:val="hybridMultilevel"/>
    <w:tmpl w:val="37E485C6"/>
    <w:lvl w:ilvl="0" w:tplc="1C090001">
      <w:start w:val="1"/>
      <w:numFmt w:val="bullet"/>
      <w:lvlText w:val=""/>
      <w:lvlJc w:val="left"/>
      <w:pPr>
        <w:ind w:left="928"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9">
    <w:nsid w:val="55990AFA"/>
    <w:multiLevelType w:val="hybridMultilevel"/>
    <w:tmpl w:val="DA3E0452"/>
    <w:lvl w:ilvl="0" w:tplc="1C090001">
      <w:start w:val="1"/>
      <w:numFmt w:val="bullet"/>
      <w:lvlText w:val=""/>
      <w:lvlJc w:val="left"/>
      <w:pPr>
        <w:ind w:left="927" w:hanging="360"/>
      </w:pPr>
      <w:rPr>
        <w:rFonts w:ascii="Symbol" w:hAnsi="Symbol" w:hint="default"/>
      </w:rPr>
    </w:lvl>
    <w:lvl w:ilvl="1" w:tplc="1C09000B">
      <w:start w:val="1"/>
      <w:numFmt w:val="bullet"/>
      <w:lvlText w:val=""/>
      <w:lvlJc w:val="left"/>
      <w:pPr>
        <w:ind w:left="1647" w:hanging="360"/>
      </w:pPr>
      <w:rPr>
        <w:rFonts w:ascii="Wingdings" w:hAnsi="Wingdings"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0">
    <w:nsid w:val="67BB4756"/>
    <w:multiLevelType w:val="hybridMultilevel"/>
    <w:tmpl w:val="EA7E95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F530807"/>
    <w:multiLevelType w:val="multilevel"/>
    <w:tmpl w:val="85EEA18A"/>
    <w:lvl w:ilvl="0">
      <w:start w:val="9"/>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FB248A6"/>
    <w:multiLevelType w:val="multilevel"/>
    <w:tmpl w:val="82824E36"/>
    <w:lvl w:ilvl="0">
      <w:start w:val="1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1E7CE3"/>
    <w:multiLevelType w:val="multilevel"/>
    <w:tmpl w:val="E02A3AD6"/>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E34ABE"/>
    <w:multiLevelType w:val="multilevel"/>
    <w:tmpl w:val="5494478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C416E0"/>
    <w:multiLevelType w:val="multilevel"/>
    <w:tmpl w:val="86EC8E5C"/>
    <w:lvl w:ilvl="0">
      <w:start w:val="1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0F5981"/>
    <w:multiLevelType w:val="multilevel"/>
    <w:tmpl w:val="D9F07DE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1A60C4"/>
    <w:multiLevelType w:val="multilevel"/>
    <w:tmpl w:val="26F265EA"/>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9E36A2"/>
    <w:multiLevelType w:val="multilevel"/>
    <w:tmpl w:val="3AFE828E"/>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0"/>
  </w:num>
  <w:num w:numId="4">
    <w:abstractNumId w:val="13"/>
  </w:num>
  <w:num w:numId="5">
    <w:abstractNumId w:val="15"/>
  </w:num>
  <w:num w:numId="6">
    <w:abstractNumId w:val="18"/>
  </w:num>
  <w:num w:numId="7">
    <w:abstractNumId w:val="19"/>
  </w:num>
  <w:num w:numId="8">
    <w:abstractNumId w:val="2"/>
  </w:num>
  <w:num w:numId="9">
    <w:abstractNumId w:val="20"/>
  </w:num>
  <w:num w:numId="10">
    <w:abstractNumId w:val="14"/>
  </w:num>
  <w:num w:numId="11">
    <w:abstractNumId w:val="26"/>
  </w:num>
  <w:num w:numId="12">
    <w:abstractNumId w:val="12"/>
  </w:num>
  <w:num w:numId="13">
    <w:abstractNumId w:val="17"/>
  </w:num>
  <w:num w:numId="14">
    <w:abstractNumId w:val="9"/>
  </w:num>
  <w:num w:numId="15">
    <w:abstractNumId w:val="21"/>
  </w:num>
  <w:num w:numId="16">
    <w:abstractNumId w:val="24"/>
  </w:num>
  <w:num w:numId="17">
    <w:abstractNumId w:val="11"/>
  </w:num>
  <w:num w:numId="18">
    <w:abstractNumId w:val="25"/>
  </w:num>
  <w:num w:numId="19">
    <w:abstractNumId w:val="8"/>
  </w:num>
  <w:num w:numId="20">
    <w:abstractNumId w:val="22"/>
  </w:num>
  <w:num w:numId="21">
    <w:abstractNumId w:val="27"/>
  </w:num>
  <w:num w:numId="22">
    <w:abstractNumId w:val="16"/>
  </w:num>
  <w:num w:numId="23">
    <w:abstractNumId w:val="7"/>
  </w:num>
  <w:num w:numId="24">
    <w:abstractNumId w:val="28"/>
  </w:num>
  <w:num w:numId="25">
    <w:abstractNumId w:val="23"/>
  </w:num>
  <w:num w:numId="26">
    <w:abstractNumId w:val="4"/>
  </w:num>
  <w:num w:numId="27">
    <w:abstractNumId w:val="3"/>
  </w:num>
  <w:num w:numId="28">
    <w:abstractNumId w:val="1"/>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80"/>
    <w:rsid w:val="0000069A"/>
    <w:rsid w:val="00001A18"/>
    <w:rsid w:val="0000670F"/>
    <w:rsid w:val="00012520"/>
    <w:rsid w:val="00012CF5"/>
    <w:rsid w:val="0002109D"/>
    <w:rsid w:val="00021E25"/>
    <w:rsid w:val="0002312F"/>
    <w:rsid w:val="00023AF8"/>
    <w:rsid w:val="000244D3"/>
    <w:rsid w:val="00024EDE"/>
    <w:rsid w:val="000251CC"/>
    <w:rsid w:val="000300D4"/>
    <w:rsid w:val="00033338"/>
    <w:rsid w:val="00033BE8"/>
    <w:rsid w:val="0003411F"/>
    <w:rsid w:val="00034C1A"/>
    <w:rsid w:val="00036D9D"/>
    <w:rsid w:val="0004291B"/>
    <w:rsid w:val="00042B12"/>
    <w:rsid w:val="0004542C"/>
    <w:rsid w:val="0004651A"/>
    <w:rsid w:val="00046C25"/>
    <w:rsid w:val="00050A0C"/>
    <w:rsid w:val="00051606"/>
    <w:rsid w:val="00051860"/>
    <w:rsid w:val="000528A9"/>
    <w:rsid w:val="00052EE3"/>
    <w:rsid w:val="00053E07"/>
    <w:rsid w:val="00057433"/>
    <w:rsid w:val="000606AB"/>
    <w:rsid w:val="00064AFB"/>
    <w:rsid w:val="00064E81"/>
    <w:rsid w:val="000657A6"/>
    <w:rsid w:val="0007077D"/>
    <w:rsid w:val="0007248A"/>
    <w:rsid w:val="00074C0F"/>
    <w:rsid w:val="00075823"/>
    <w:rsid w:val="000770E2"/>
    <w:rsid w:val="00080B22"/>
    <w:rsid w:val="00082D97"/>
    <w:rsid w:val="00082DB3"/>
    <w:rsid w:val="000859F5"/>
    <w:rsid w:val="000926A2"/>
    <w:rsid w:val="00095986"/>
    <w:rsid w:val="00096042"/>
    <w:rsid w:val="00096108"/>
    <w:rsid w:val="00096AC8"/>
    <w:rsid w:val="00097EE8"/>
    <w:rsid w:val="000A2E61"/>
    <w:rsid w:val="000A2FE0"/>
    <w:rsid w:val="000A601C"/>
    <w:rsid w:val="000B156A"/>
    <w:rsid w:val="000B2D0D"/>
    <w:rsid w:val="000B3CE8"/>
    <w:rsid w:val="000B48AF"/>
    <w:rsid w:val="000B6052"/>
    <w:rsid w:val="000B7B73"/>
    <w:rsid w:val="000C3C6A"/>
    <w:rsid w:val="000C52E0"/>
    <w:rsid w:val="000C54EE"/>
    <w:rsid w:val="000D3EA1"/>
    <w:rsid w:val="000D4D46"/>
    <w:rsid w:val="000D5370"/>
    <w:rsid w:val="000D54AA"/>
    <w:rsid w:val="000D7771"/>
    <w:rsid w:val="000D7845"/>
    <w:rsid w:val="000E2219"/>
    <w:rsid w:val="000E2D58"/>
    <w:rsid w:val="000F3FD8"/>
    <w:rsid w:val="000F65FF"/>
    <w:rsid w:val="000F7487"/>
    <w:rsid w:val="00100D4C"/>
    <w:rsid w:val="00106260"/>
    <w:rsid w:val="00106280"/>
    <w:rsid w:val="0010701A"/>
    <w:rsid w:val="00107976"/>
    <w:rsid w:val="00107FD1"/>
    <w:rsid w:val="00110E80"/>
    <w:rsid w:val="001139AC"/>
    <w:rsid w:val="0011635B"/>
    <w:rsid w:val="001171B8"/>
    <w:rsid w:val="00117645"/>
    <w:rsid w:val="0012129B"/>
    <w:rsid w:val="00121B09"/>
    <w:rsid w:val="00122B7D"/>
    <w:rsid w:val="001308B4"/>
    <w:rsid w:val="001356F8"/>
    <w:rsid w:val="0014057A"/>
    <w:rsid w:val="00140B0E"/>
    <w:rsid w:val="0014372C"/>
    <w:rsid w:val="0014467C"/>
    <w:rsid w:val="00144A86"/>
    <w:rsid w:val="00144E09"/>
    <w:rsid w:val="00145FE6"/>
    <w:rsid w:val="00147D80"/>
    <w:rsid w:val="001530D6"/>
    <w:rsid w:val="00155096"/>
    <w:rsid w:val="001559B3"/>
    <w:rsid w:val="00157BBC"/>
    <w:rsid w:val="00164B1C"/>
    <w:rsid w:val="0016589F"/>
    <w:rsid w:val="00167357"/>
    <w:rsid w:val="00171A55"/>
    <w:rsid w:val="0017682D"/>
    <w:rsid w:val="001777BC"/>
    <w:rsid w:val="00183FFC"/>
    <w:rsid w:val="00185C62"/>
    <w:rsid w:val="00186C0B"/>
    <w:rsid w:val="00187D5E"/>
    <w:rsid w:val="0019147E"/>
    <w:rsid w:val="00193F57"/>
    <w:rsid w:val="001961C9"/>
    <w:rsid w:val="001A0D9D"/>
    <w:rsid w:val="001A0E73"/>
    <w:rsid w:val="001A1CC1"/>
    <w:rsid w:val="001A252A"/>
    <w:rsid w:val="001A6D21"/>
    <w:rsid w:val="001A6FAC"/>
    <w:rsid w:val="001B08CE"/>
    <w:rsid w:val="001B4A4E"/>
    <w:rsid w:val="001B7B0E"/>
    <w:rsid w:val="001C0B3E"/>
    <w:rsid w:val="001C1321"/>
    <w:rsid w:val="001C50A4"/>
    <w:rsid w:val="001D0441"/>
    <w:rsid w:val="001D1F5F"/>
    <w:rsid w:val="001D3D61"/>
    <w:rsid w:val="001D62B7"/>
    <w:rsid w:val="001D6429"/>
    <w:rsid w:val="001D680D"/>
    <w:rsid w:val="001E05D7"/>
    <w:rsid w:val="001E7251"/>
    <w:rsid w:val="001F1731"/>
    <w:rsid w:val="001F27A4"/>
    <w:rsid w:val="0020024C"/>
    <w:rsid w:val="00200D42"/>
    <w:rsid w:val="00200F0A"/>
    <w:rsid w:val="00201F9B"/>
    <w:rsid w:val="002048EE"/>
    <w:rsid w:val="0020619D"/>
    <w:rsid w:val="002077E8"/>
    <w:rsid w:val="00207B4D"/>
    <w:rsid w:val="0021339E"/>
    <w:rsid w:val="0021500C"/>
    <w:rsid w:val="00215C4C"/>
    <w:rsid w:val="00216765"/>
    <w:rsid w:val="0022051A"/>
    <w:rsid w:val="0022461E"/>
    <w:rsid w:val="00224CD0"/>
    <w:rsid w:val="002266CD"/>
    <w:rsid w:val="00226E1F"/>
    <w:rsid w:val="0023507D"/>
    <w:rsid w:val="00235201"/>
    <w:rsid w:val="0024015A"/>
    <w:rsid w:val="00241460"/>
    <w:rsid w:val="00243513"/>
    <w:rsid w:val="00243EF7"/>
    <w:rsid w:val="00244C72"/>
    <w:rsid w:val="00244D59"/>
    <w:rsid w:val="002472A7"/>
    <w:rsid w:val="00252748"/>
    <w:rsid w:val="00253EC3"/>
    <w:rsid w:val="0026238F"/>
    <w:rsid w:val="002624A6"/>
    <w:rsid w:val="00263E44"/>
    <w:rsid w:val="0026658E"/>
    <w:rsid w:val="00266634"/>
    <w:rsid w:val="00266705"/>
    <w:rsid w:val="002713DE"/>
    <w:rsid w:val="00271472"/>
    <w:rsid w:val="00274935"/>
    <w:rsid w:val="00280963"/>
    <w:rsid w:val="00280CA7"/>
    <w:rsid w:val="002821EF"/>
    <w:rsid w:val="00282574"/>
    <w:rsid w:val="00284D9A"/>
    <w:rsid w:val="00285BD5"/>
    <w:rsid w:val="0028778F"/>
    <w:rsid w:val="00287A6E"/>
    <w:rsid w:val="002A0B6F"/>
    <w:rsid w:val="002A0F7C"/>
    <w:rsid w:val="002A16D5"/>
    <w:rsid w:val="002A3CA5"/>
    <w:rsid w:val="002A7262"/>
    <w:rsid w:val="002B32B4"/>
    <w:rsid w:val="002B4C7F"/>
    <w:rsid w:val="002B4FD8"/>
    <w:rsid w:val="002C3BE7"/>
    <w:rsid w:val="002C56EE"/>
    <w:rsid w:val="002C5B05"/>
    <w:rsid w:val="002C700B"/>
    <w:rsid w:val="002D0ED0"/>
    <w:rsid w:val="002D1439"/>
    <w:rsid w:val="002D2F07"/>
    <w:rsid w:val="002D7CAA"/>
    <w:rsid w:val="002E00B3"/>
    <w:rsid w:val="002E396C"/>
    <w:rsid w:val="002E6999"/>
    <w:rsid w:val="002E79D4"/>
    <w:rsid w:val="002F2E77"/>
    <w:rsid w:val="002F4F97"/>
    <w:rsid w:val="002F60CC"/>
    <w:rsid w:val="002F629D"/>
    <w:rsid w:val="00301E0C"/>
    <w:rsid w:val="003053A2"/>
    <w:rsid w:val="00312AFC"/>
    <w:rsid w:val="003134B0"/>
    <w:rsid w:val="00313BF5"/>
    <w:rsid w:val="00321FEA"/>
    <w:rsid w:val="003235DE"/>
    <w:rsid w:val="00333657"/>
    <w:rsid w:val="003422A0"/>
    <w:rsid w:val="00343FAA"/>
    <w:rsid w:val="00344AF1"/>
    <w:rsid w:val="00351E7D"/>
    <w:rsid w:val="00353B5C"/>
    <w:rsid w:val="00354D96"/>
    <w:rsid w:val="003551AB"/>
    <w:rsid w:val="0035542D"/>
    <w:rsid w:val="0035750E"/>
    <w:rsid w:val="00360CAD"/>
    <w:rsid w:val="00361771"/>
    <w:rsid w:val="00363B2F"/>
    <w:rsid w:val="00365710"/>
    <w:rsid w:val="0036644F"/>
    <w:rsid w:val="003752AC"/>
    <w:rsid w:val="00375B2F"/>
    <w:rsid w:val="003817F8"/>
    <w:rsid w:val="00382C7F"/>
    <w:rsid w:val="0038514D"/>
    <w:rsid w:val="00387E69"/>
    <w:rsid w:val="003A2F19"/>
    <w:rsid w:val="003A4356"/>
    <w:rsid w:val="003A53B1"/>
    <w:rsid w:val="003A6CB4"/>
    <w:rsid w:val="003A70A0"/>
    <w:rsid w:val="003B4FD6"/>
    <w:rsid w:val="003B58FA"/>
    <w:rsid w:val="003B6AA2"/>
    <w:rsid w:val="003C1844"/>
    <w:rsid w:val="003C1A52"/>
    <w:rsid w:val="003C4002"/>
    <w:rsid w:val="003C6E70"/>
    <w:rsid w:val="003C7453"/>
    <w:rsid w:val="003D147B"/>
    <w:rsid w:val="003D2487"/>
    <w:rsid w:val="003D5920"/>
    <w:rsid w:val="003D63A7"/>
    <w:rsid w:val="003E0BB1"/>
    <w:rsid w:val="003E1722"/>
    <w:rsid w:val="003E22CA"/>
    <w:rsid w:val="003E2375"/>
    <w:rsid w:val="003E3683"/>
    <w:rsid w:val="003E4F60"/>
    <w:rsid w:val="003E7042"/>
    <w:rsid w:val="003E7353"/>
    <w:rsid w:val="003E77EE"/>
    <w:rsid w:val="003F1BFE"/>
    <w:rsid w:val="003F2D27"/>
    <w:rsid w:val="003F6973"/>
    <w:rsid w:val="00400BD2"/>
    <w:rsid w:val="0040195C"/>
    <w:rsid w:val="00401C4C"/>
    <w:rsid w:val="004038EF"/>
    <w:rsid w:val="00406AD0"/>
    <w:rsid w:val="00407555"/>
    <w:rsid w:val="0041414D"/>
    <w:rsid w:val="00420B37"/>
    <w:rsid w:val="00422FC1"/>
    <w:rsid w:val="00424907"/>
    <w:rsid w:val="0043590D"/>
    <w:rsid w:val="00441B39"/>
    <w:rsid w:val="00443332"/>
    <w:rsid w:val="00443911"/>
    <w:rsid w:val="00446635"/>
    <w:rsid w:val="004525E3"/>
    <w:rsid w:val="00461FC7"/>
    <w:rsid w:val="00463140"/>
    <w:rsid w:val="00466E2C"/>
    <w:rsid w:val="0046772D"/>
    <w:rsid w:val="00473056"/>
    <w:rsid w:val="00475A6C"/>
    <w:rsid w:val="0047685F"/>
    <w:rsid w:val="0047760D"/>
    <w:rsid w:val="00482F67"/>
    <w:rsid w:val="004832C4"/>
    <w:rsid w:val="00485106"/>
    <w:rsid w:val="00485F05"/>
    <w:rsid w:val="00487610"/>
    <w:rsid w:val="00487AA6"/>
    <w:rsid w:val="004908DA"/>
    <w:rsid w:val="00491901"/>
    <w:rsid w:val="004952DA"/>
    <w:rsid w:val="00495F8B"/>
    <w:rsid w:val="004A0E18"/>
    <w:rsid w:val="004A3B41"/>
    <w:rsid w:val="004A3B93"/>
    <w:rsid w:val="004A3F31"/>
    <w:rsid w:val="004A4CC6"/>
    <w:rsid w:val="004A75E5"/>
    <w:rsid w:val="004B2391"/>
    <w:rsid w:val="004B3961"/>
    <w:rsid w:val="004B761C"/>
    <w:rsid w:val="004C3E40"/>
    <w:rsid w:val="004C40B7"/>
    <w:rsid w:val="004C44BC"/>
    <w:rsid w:val="004C4726"/>
    <w:rsid w:val="004D2105"/>
    <w:rsid w:val="004D26C9"/>
    <w:rsid w:val="004D4B8B"/>
    <w:rsid w:val="004D531F"/>
    <w:rsid w:val="004D7AEE"/>
    <w:rsid w:val="004E089D"/>
    <w:rsid w:val="004E2046"/>
    <w:rsid w:val="004F1EFA"/>
    <w:rsid w:val="004F1FAB"/>
    <w:rsid w:val="004F279F"/>
    <w:rsid w:val="004F2BAB"/>
    <w:rsid w:val="004F6019"/>
    <w:rsid w:val="004F7074"/>
    <w:rsid w:val="004F7646"/>
    <w:rsid w:val="00500818"/>
    <w:rsid w:val="0050124D"/>
    <w:rsid w:val="00502025"/>
    <w:rsid w:val="00503C53"/>
    <w:rsid w:val="00515855"/>
    <w:rsid w:val="005203DA"/>
    <w:rsid w:val="00525A75"/>
    <w:rsid w:val="00525EF8"/>
    <w:rsid w:val="00527B0C"/>
    <w:rsid w:val="00527DB8"/>
    <w:rsid w:val="005305CD"/>
    <w:rsid w:val="00531310"/>
    <w:rsid w:val="00532E6E"/>
    <w:rsid w:val="00533B7A"/>
    <w:rsid w:val="00533C4D"/>
    <w:rsid w:val="00533C54"/>
    <w:rsid w:val="00536C65"/>
    <w:rsid w:val="005435FB"/>
    <w:rsid w:val="005467E3"/>
    <w:rsid w:val="00546D85"/>
    <w:rsid w:val="005470D9"/>
    <w:rsid w:val="00547212"/>
    <w:rsid w:val="005500D3"/>
    <w:rsid w:val="00551A58"/>
    <w:rsid w:val="00552AF2"/>
    <w:rsid w:val="00553738"/>
    <w:rsid w:val="005544A0"/>
    <w:rsid w:val="0055593F"/>
    <w:rsid w:val="00557E2F"/>
    <w:rsid w:val="005604AA"/>
    <w:rsid w:val="00561F32"/>
    <w:rsid w:val="00563D1B"/>
    <w:rsid w:val="0056417D"/>
    <w:rsid w:val="005666A5"/>
    <w:rsid w:val="00570432"/>
    <w:rsid w:val="00575D54"/>
    <w:rsid w:val="00576A4A"/>
    <w:rsid w:val="005771DF"/>
    <w:rsid w:val="005806AA"/>
    <w:rsid w:val="00581527"/>
    <w:rsid w:val="00584FC5"/>
    <w:rsid w:val="005850DA"/>
    <w:rsid w:val="0059094D"/>
    <w:rsid w:val="005917F5"/>
    <w:rsid w:val="00592B9A"/>
    <w:rsid w:val="00593EF2"/>
    <w:rsid w:val="0059506B"/>
    <w:rsid w:val="0059569B"/>
    <w:rsid w:val="00596BB5"/>
    <w:rsid w:val="005A007D"/>
    <w:rsid w:val="005A08F0"/>
    <w:rsid w:val="005A147C"/>
    <w:rsid w:val="005A3D99"/>
    <w:rsid w:val="005A6E65"/>
    <w:rsid w:val="005B6BFC"/>
    <w:rsid w:val="005B7A17"/>
    <w:rsid w:val="005C0304"/>
    <w:rsid w:val="005C51C1"/>
    <w:rsid w:val="005C6607"/>
    <w:rsid w:val="005C6AF7"/>
    <w:rsid w:val="005C76EF"/>
    <w:rsid w:val="005D3A43"/>
    <w:rsid w:val="005D4621"/>
    <w:rsid w:val="005D63BE"/>
    <w:rsid w:val="005F39F1"/>
    <w:rsid w:val="005F5265"/>
    <w:rsid w:val="005F52C2"/>
    <w:rsid w:val="005F5844"/>
    <w:rsid w:val="00601C73"/>
    <w:rsid w:val="006028E1"/>
    <w:rsid w:val="00602F6F"/>
    <w:rsid w:val="00604F56"/>
    <w:rsid w:val="00614763"/>
    <w:rsid w:val="00615F64"/>
    <w:rsid w:val="00617000"/>
    <w:rsid w:val="006210AA"/>
    <w:rsid w:val="006212C1"/>
    <w:rsid w:val="0062197E"/>
    <w:rsid w:val="0062540A"/>
    <w:rsid w:val="00626897"/>
    <w:rsid w:val="00626B08"/>
    <w:rsid w:val="00633FCB"/>
    <w:rsid w:val="006345FF"/>
    <w:rsid w:val="00634954"/>
    <w:rsid w:val="00634C64"/>
    <w:rsid w:val="0063636E"/>
    <w:rsid w:val="00637181"/>
    <w:rsid w:val="0063761F"/>
    <w:rsid w:val="00637C15"/>
    <w:rsid w:val="00642845"/>
    <w:rsid w:val="00644E56"/>
    <w:rsid w:val="006452A7"/>
    <w:rsid w:val="00646178"/>
    <w:rsid w:val="00646941"/>
    <w:rsid w:val="00652D31"/>
    <w:rsid w:val="006605F6"/>
    <w:rsid w:val="006615CA"/>
    <w:rsid w:val="00662496"/>
    <w:rsid w:val="006628DA"/>
    <w:rsid w:val="006639DA"/>
    <w:rsid w:val="00664E7D"/>
    <w:rsid w:val="00666974"/>
    <w:rsid w:val="00677D17"/>
    <w:rsid w:val="00686185"/>
    <w:rsid w:val="006869D1"/>
    <w:rsid w:val="0068702F"/>
    <w:rsid w:val="0069347D"/>
    <w:rsid w:val="00693ECB"/>
    <w:rsid w:val="006962AB"/>
    <w:rsid w:val="00696DD2"/>
    <w:rsid w:val="006A06C5"/>
    <w:rsid w:val="006A7681"/>
    <w:rsid w:val="006B4819"/>
    <w:rsid w:val="006B4E3D"/>
    <w:rsid w:val="006B6C7C"/>
    <w:rsid w:val="006C20C1"/>
    <w:rsid w:val="006C23C8"/>
    <w:rsid w:val="006C5B3D"/>
    <w:rsid w:val="006C5C1D"/>
    <w:rsid w:val="006C6965"/>
    <w:rsid w:val="006C735A"/>
    <w:rsid w:val="006D0BF9"/>
    <w:rsid w:val="006D4098"/>
    <w:rsid w:val="006D466D"/>
    <w:rsid w:val="006E26B5"/>
    <w:rsid w:val="006E6917"/>
    <w:rsid w:val="006E6CE7"/>
    <w:rsid w:val="006F201B"/>
    <w:rsid w:val="006F6457"/>
    <w:rsid w:val="006F73E9"/>
    <w:rsid w:val="007007F5"/>
    <w:rsid w:val="00704DC9"/>
    <w:rsid w:val="00705200"/>
    <w:rsid w:val="00706B3F"/>
    <w:rsid w:val="00712571"/>
    <w:rsid w:val="00716FFF"/>
    <w:rsid w:val="00717949"/>
    <w:rsid w:val="00724228"/>
    <w:rsid w:val="00726320"/>
    <w:rsid w:val="007266D4"/>
    <w:rsid w:val="00726846"/>
    <w:rsid w:val="00730A17"/>
    <w:rsid w:val="00732A59"/>
    <w:rsid w:val="00732CCB"/>
    <w:rsid w:val="0073487B"/>
    <w:rsid w:val="00735B54"/>
    <w:rsid w:val="00735C3B"/>
    <w:rsid w:val="00744921"/>
    <w:rsid w:val="007457FF"/>
    <w:rsid w:val="007506A3"/>
    <w:rsid w:val="00751A2B"/>
    <w:rsid w:val="00752A81"/>
    <w:rsid w:val="007541E8"/>
    <w:rsid w:val="0075442E"/>
    <w:rsid w:val="007544AE"/>
    <w:rsid w:val="00754F2C"/>
    <w:rsid w:val="007553C9"/>
    <w:rsid w:val="00760B7F"/>
    <w:rsid w:val="00760BAB"/>
    <w:rsid w:val="00763A5F"/>
    <w:rsid w:val="00771BD0"/>
    <w:rsid w:val="00773866"/>
    <w:rsid w:val="00775F28"/>
    <w:rsid w:val="00783AE7"/>
    <w:rsid w:val="007847A7"/>
    <w:rsid w:val="00785970"/>
    <w:rsid w:val="00787EE9"/>
    <w:rsid w:val="00792791"/>
    <w:rsid w:val="00792DC6"/>
    <w:rsid w:val="00793772"/>
    <w:rsid w:val="00794441"/>
    <w:rsid w:val="0079483B"/>
    <w:rsid w:val="00795655"/>
    <w:rsid w:val="00796BC8"/>
    <w:rsid w:val="007A0FF0"/>
    <w:rsid w:val="007A2FC7"/>
    <w:rsid w:val="007A5CEA"/>
    <w:rsid w:val="007A74D9"/>
    <w:rsid w:val="007B0F35"/>
    <w:rsid w:val="007C03C8"/>
    <w:rsid w:val="007C0994"/>
    <w:rsid w:val="007C1BBF"/>
    <w:rsid w:val="007C501A"/>
    <w:rsid w:val="007C55CF"/>
    <w:rsid w:val="007C5DFF"/>
    <w:rsid w:val="007D18C1"/>
    <w:rsid w:val="007D42EC"/>
    <w:rsid w:val="007D4C73"/>
    <w:rsid w:val="007D69F3"/>
    <w:rsid w:val="007D6E9B"/>
    <w:rsid w:val="007E2291"/>
    <w:rsid w:val="007E48B5"/>
    <w:rsid w:val="007F08BF"/>
    <w:rsid w:val="007F167A"/>
    <w:rsid w:val="007F2B4E"/>
    <w:rsid w:val="007F3F73"/>
    <w:rsid w:val="0080032F"/>
    <w:rsid w:val="008061CA"/>
    <w:rsid w:val="00806A77"/>
    <w:rsid w:val="00806E7F"/>
    <w:rsid w:val="008127B5"/>
    <w:rsid w:val="00812E89"/>
    <w:rsid w:val="00815BAE"/>
    <w:rsid w:val="00816CBE"/>
    <w:rsid w:val="0082424D"/>
    <w:rsid w:val="00825895"/>
    <w:rsid w:val="00826FCA"/>
    <w:rsid w:val="008308DA"/>
    <w:rsid w:val="00834944"/>
    <w:rsid w:val="008349D2"/>
    <w:rsid w:val="00837FD9"/>
    <w:rsid w:val="0084017D"/>
    <w:rsid w:val="008426C4"/>
    <w:rsid w:val="008432C1"/>
    <w:rsid w:val="008451E2"/>
    <w:rsid w:val="00847D8F"/>
    <w:rsid w:val="0085188C"/>
    <w:rsid w:val="0085297B"/>
    <w:rsid w:val="0085311B"/>
    <w:rsid w:val="00853188"/>
    <w:rsid w:val="0085434F"/>
    <w:rsid w:val="00854941"/>
    <w:rsid w:val="00855802"/>
    <w:rsid w:val="0085625D"/>
    <w:rsid w:val="00856DA7"/>
    <w:rsid w:val="008570F4"/>
    <w:rsid w:val="00857697"/>
    <w:rsid w:val="00860821"/>
    <w:rsid w:val="00865A22"/>
    <w:rsid w:val="0086721F"/>
    <w:rsid w:val="00870C28"/>
    <w:rsid w:val="008722A5"/>
    <w:rsid w:val="00877AB2"/>
    <w:rsid w:val="00883613"/>
    <w:rsid w:val="0088414E"/>
    <w:rsid w:val="008846A7"/>
    <w:rsid w:val="0088732B"/>
    <w:rsid w:val="00887DC2"/>
    <w:rsid w:val="00891AD5"/>
    <w:rsid w:val="00894AF0"/>
    <w:rsid w:val="00895DFE"/>
    <w:rsid w:val="0089637F"/>
    <w:rsid w:val="008A1E7B"/>
    <w:rsid w:val="008A4AE8"/>
    <w:rsid w:val="008A4DE8"/>
    <w:rsid w:val="008B16FF"/>
    <w:rsid w:val="008B361A"/>
    <w:rsid w:val="008B3F27"/>
    <w:rsid w:val="008B5CFB"/>
    <w:rsid w:val="008B6DAE"/>
    <w:rsid w:val="008B7BF0"/>
    <w:rsid w:val="008C3BBF"/>
    <w:rsid w:val="008C52D5"/>
    <w:rsid w:val="008C618A"/>
    <w:rsid w:val="008C644D"/>
    <w:rsid w:val="008C6EA7"/>
    <w:rsid w:val="008D039F"/>
    <w:rsid w:val="008D0E83"/>
    <w:rsid w:val="008D0F17"/>
    <w:rsid w:val="008D1343"/>
    <w:rsid w:val="008D1B0B"/>
    <w:rsid w:val="008D5C4B"/>
    <w:rsid w:val="008D750C"/>
    <w:rsid w:val="008D78C6"/>
    <w:rsid w:val="008E0C11"/>
    <w:rsid w:val="008E5BE1"/>
    <w:rsid w:val="008E5F1F"/>
    <w:rsid w:val="008F0020"/>
    <w:rsid w:val="008F00C6"/>
    <w:rsid w:val="008F4BA8"/>
    <w:rsid w:val="008F6FEE"/>
    <w:rsid w:val="00900BF5"/>
    <w:rsid w:val="00901066"/>
    <w:rsid w:val="009028DC"/>
    <w:rsid w:val="0090302F"/>
    <w:rsid w:val="00910249"/>
    <w:rsid w:val="0091416C"/>
    <w:rsid w:val="00914ABE"/>
    <w:rsid w:val="009157D0"/>
    <w:rsid w:val="00915932"/>
    <w:rsid w:val="00916F68"/>
    <w:rsid w:val="0092027C"/>
    <w:rsid w:val="00920AB9"/>
    <w:rsid w:val="00925B29"/>
    <w:rsid w:val="009308B5"/>
    <w:rsid w:val="009308E2"/>
    <w:rsid w:val="009325BC"/>
    <w:rsid w:val="009332E2"/>
    <w:rsid w:val="00933BD3"/>
    <w:rsid w:val="0093463B"/>
    <w:rsid w:val="009351CB"/>
    <w:rsid w:val="0093717E"/>
    <w:rsid w:val="00942915"/>
    <w:rsid w:val="00942B28"/>
    <w:rsid w:val="009467D5"/>
    <w:rsid w:val="00947D58"/>
    <w:rsid w:val="009521DD"/>
    <w:rsid w:val="00957C46"/>
    <w:rsid w:val="009603CD"/>
    <w:rsid w:val="00964372"/>
    <w:rsid w:val="00965A96"/>
    <w:rsid w:val="009723A8"/>
    <w:rsid w:val="0097338B"/>
    <w:rsid w:val="0097376B"/>
    <w:rsid w:val="00977509"/>
    <w:rsid w:val="0098462E"/>
    <w:rsid w:val="009862D2"/>
    <w:rsid w:val="00987139"/>
    <w:rsid w:val="009877F0"/>
    <w:rsid w:val="00990372"/>
    <w:rsid w:val="00990B67"/>
    <w:rsid w:val="00991D3F"/>
    <w:rsid w:val="00991FE8"/>
    <w:rsid w:val="00992B63"/>
    <w:rsid w:val="00994F1E"/>
    <w:rsid w:val="009A56AC"/>
    <w:rsid w:val="009B15BC"/>
    <w:rsid w:val="009B2296"/>
    <w:rsid w:val="009B2C22"/>
    <w:rsid w:val="009B3194"/>
    <w:rsid w:val="009B382C"/>
    <w:rsid w:val="009B6563"/>
    <w:rsid w:val="009B6876"/>
    <w:rsid w:val="009B73D4"/>
    <w:rsid w:val="009C03C9"/>
    <w:rsid w:val="009C2A0B"/>
    <w:rsid w:val="009C2D4B"/>
    <w:rsid w:val="009C304F"/>
    <w:rsid w:val="009C5003"/>
    <w:rsid w:val="009D1527"/>
    <w:rsid w:val="009D28E2"/>
    <w:rsid w:val="009D7530"/>
    <w:rsid w:val="009E02E4"/>
    <w:rsid w:val="009E2029"/>
    <w:rsid w:val="009E6737"/>
    <w:rsid w:val="009E6C5A"/>
    <w:rsid w:val="009E6E2E"/>
    <w:rsid w:val="009F1AE6"/>
    <w:rsid w:val="009F236A"/>
    <w:rsid w:val="009F2B34"/>
    <w:rsid w:val="009F2D5F"/>
    <w:rsid w:val="009F41EA"/>
    <w:rsid w:val="009F5C32"/>
    <w:rsid w:val="00A0538A"/>
    <w:rsid w:val="00A05C3C"/>
    <w:rsid w:val="00A07565"/>
    <w:rsid w:val="00A12069"/>
    <w:rsid w:val="00A14965"/>
    <w:rsid w:val="00A14C41"/>
    <w:rsid w:val="00A20B34"/>
    <w:rsid w:val="00A21D70"/>
    <w:rsid w:val="00A22E85"/>
    <w:rsid w:val="00A23490"/>
    <w:rsid w:val="00A2380A"/>
    <w:rsid w:val="00A310D1"/>
    <w:rsid w:val="00A32294"/>
    <w:rsid w:val="00A44544"/>
    <w:rsid w:val="00A456A1"/>
    <w:rsid w:val="00A46262"/>
    <w:rsid w:val="00A509E9"/>
    <w:rsid w:val="00A52E29"/>
    <w:rsid w:val="00A537E2"/>
    <w:rsid w:val="00A5472A"/>
    <w:rsid w:val="00A558CB"/>
    <w:rsid w:val="00A55C6D"/>
    <w:rsid w:val="00A56844"/>
    <w:rsid w:val="00A60503"/>
    <w:rsid w:val="00A60563"/>
    <w:rsid w:val="00A6193B"/>
    <w:rsid w:val="00A65FBA"/>
    <w:rsid w:val="00A70889"/>
    <w:rsid w:val="00A72513"/>
    <w:rsid w:val="00A73B36"/>
    <w:rsid w:val="00A7503D"/>
    <w:rsid w:val="00A763C4"/>
    <w:rsid w:val="00A76466"/>
    <w:rsid w:val="00A76FC8"/>
    <w:rsid w:val="00A7726B"/>
    <w:rsid w:val="00A77F3E"/>
    <w:rsid w:val="00A80760"/>
    <w:rsid w:val="00A83EDE"/>
    <w:rsid w:val="00A8432F"/>
    <w:rsid w:val="00A92808"/>
    <w:rsid w:val="00A935BC"/>
    <w:rsid w:val="00A97C0C"/>
    <w:rsid w:val="00AA0015"/>
    <w:rsid w:val="00AA0226"/>
    <w:rsid w:val="00AA5889"/>
    <w:rsid w:val="00AB08C0"/>
    <w:rsid w:val="00AB10EA"/>
    <w:rsid w:val="00AB21CA"/>
    <w:rsid w:val="00AB6D38"/>
    <w:rsid w:val="00AB707F"/>
    <w:rsid w:val="00AC0C87"/>
    <w:rsid w:val="00AC0F87"/>
    <w:rsid w:val="00AC1578"/>
    <w:rsid w:val="00AD00A5"/>
    <w:rsid w:val="00AD0FC4"/>
    <w:rsid w:val="00AD206C"/>
    <w:rsid w:val="00AD48DC"/>
    <w:rsid w:val="00AE0481"/>
    <w:rsid w:val="00AE0688"/>
    <w:rsid w:val="00AE3838"/>
    <w:rsid w:val="00AE5513"/>
    <w:rsid w:val="00AE5AE2"/>
    <w:rsid w:val="00AF35FD"/>
    <w:rsid w:val="00AF3706"/>
    <w:rsid w:val="00AF7757"/>
    <w:rsid w:val="00AF7F9A"/>
    <w:rsid w:val="00B061A7"/>
    <w:rsid w:val="00B061FD"/>
    <w:rsid w:val="00B07626"/>
    <w:rsid w:val="00B23A3A"/>
    <w:rsid w:val="00B2557A"/>
    <w:rsid w:val="00B32873"/>
    <w:rsid w:val="00B32909"/>
    <w:rsid w:val="00B32E9E"/>
    <w:rsid w:val="00B367AE"/>
    <w:rsid w:val="00B3693D"/>
    <w:rsid w:val="00B36FC8"/>
    <w:rsid w:val="00B37525"/>
    <w:rsid w:val="00B404B6"/>
    <w:rsid w:val="00B41EC2"/>
    <w:rsid w:val="00B463A4"/>
    <w:rsid w:val="00B46554"/>
    <w:rsid w:val="00B5097D"/>
    <w:rsid w:val="00B51431"/>
    <w:rsid w:val="00B520B1"/>
    <w:rsid w:val="00B531C2"/>
    <w:rsid w:val="00B63C4F"/>
    <w:rsid w:val="00B641A3"/>
    <w:rsid w:val="00B641B1"/>
    <w:rsid w:val="00B645E2"/>
    <w:rsid w:val="00B65084"/>
    <w:rsid w:val="00B72F85"/>
    <w:rsid w:val="00B7664A"/>
    <w:rsid w:val="00B80ACE"/>
    <w:rsid w:val="00B80CED"/>
    <w:rsid w:val="00B82544"/>
    <w:rsid w:val="00B8396E"/>
    <w:rsid w:val="00B840C0"/>
    <w:rsid w:val="00B902DC"/>
    <w:rsid w:val="00B90A67"/>
    <w:rsid w:val="00B93CDD"/>
    <w:rsid w:val="00B95327"/>
    <w:rsid w:val="00BA0D47"/>
    <w:rsid w:val="00BB10C2"/>
    <w:rsid w:val="00BB38BF"/>
    <w:rsid w:val="00BC3339"/>
    <w:rsid w:val="00BC3F3B"/>
    <w:rsid w:val="00BC4A48"/>
    <w:rsid w:val="00BC5A32"/>
    <w:rsid w:val="00BC73E4"/>
    <w:rsid w:val="00BD05ED"/>
    <w:rsid w:val="00BD2677"/>
    <w:rsid w:val="00BD2AF8"/>
    <w:rsid w:val="00BD4068"/>
    <w:rsid w:val="00BD4095"/>
    <w:rsid w:val="00BD5C84"/>
    <w:rsid w:val="00BD7906"/>
    <w:rsid w:val="00BE3982"/>
    <w:rsid w:val="00BE434E"/>
    <w:rsid w:val="00BE53DB"/>
    <w:rsid w:val="00BF0FA7"/>
    <w:rsid w:val="00BF69FD"/>
    <w:rsid w:val="00BF7A9A"/>
    <w:rsid w:val="00C05247"/>
    <w:rsid w:val="00C06ECA"/>
    <w:rsid w:val="00C11E1C"/>
    <w:rsid w:val="00C146FE"/>
    <w:rsid w:val="00C147B7"/>
    <w:rsid w:val="00C22441"/>
    <w:rsid w:val="00C250A9"/>
    <w:rsid w:val="00C251BE"/>
    <w:rsid w:val="00C32663"/>
    <w:rsid w:val="00C33757"/>
    <w:rsid w:val="00C355FE"/>
    <w:rsid w:val="00C36457"/>
    <w:rsid w:val="00C37247"/>
    <w:rsid w:val="00C37255"/>
    <w:rsid w:val="00C40233"/>
    <w:rsid w:val="00C41420"/>
    <w:rsid w:val="00C4277A"/>
    <w:rsid w:val="00C4341B"/>
    <w:rsid w:val="00C43903"/>
    <w:rsid w:val="00C44F84"/>
    <w:rsid w:val="00C471BC"/>
    <w:rsid w:val="00C5009B"/>
    <w:rsid w:val="00C50377"/>
    <w:rsid w:val="00C51501"/>
    <w:rsid w:val="00C5195C"/>
    <w:rsid w:val="00C521E9"/>
    <w:rsid w:val="00C52736"/>
    <w:rsid w:val="00C5301C"/>
    <w:rsid w:val="00C60073"/>
    <w:rsid w:val="00C6062B"/>
    <w:rsid w:val="00C61610"/>
    <w:rsid w:val="00C662B4"/>
    <w:rsid w:val="00C669CB"/>
    <w:rsid w:val="00C66F0E"/>
    <w:rsid w:val="00C711D8"/>
    <w:rsid w:val="00C71E99"/>
    <w:rsid w:val="00C729B5"/>
    <w:rsid w:val="00C73D2C"/>
    <w:rsid w:val="00C82560"/>
    <w:rsid w:val="00C8340E"/>
    <w:rsid w:val="00C83E8D"/>
    <w:rsid w:val="00C848D9"/>
    <w:rsid w:val="00C85498"/>
    <w:rsid w:val="00C8741A"/>
    <w:rsid w:val="00C953EF"/>
    <w:rsid w:val="00C95A69"/>
    <w:rsid w:val="00CA0774"/>
    <w:rsid w:val="00CA0FEA"/>
    <w:rsid w:val="00CA62FF"/>
    <w:rsid w:val="00CA6C22"/>
    <w:rsid w:val="00CA7900"/>
    <w:rsid w:val="00CB2E1C"/>
    <w:rsid w:val="00CB5941"/>
    <w:rsid w:val="00CB7D03"/>
    <w:rsid w:val="00CC1224"/>
    <w:rsid w:val="00CC339B"/>
    <w:rsid w:val="00CC501E"/>
    <w:rsid w:val="00CC5B5C"/>
    <w:rsid w:val="00CD04AA"/>
    <w:rsid w:val="00CD0883"/>
    <w:rsid w:val="00CD16E4"/>
    <w:rsid w:val="00CD2D7B"/>
    <w:rsid w:val="00CD52D4"/>
    <w:rsid w:val="00CD59CD"/>
    <w:rsid w:val="00CD5DBF"/>
    <w:rsid w:val="00CE2381"/>
    <w:rsid w:val="00CE4C9D"/>
    <w:rsid w:val="00CE4E24"/>
    <w:rsid w:val="00CE5857"/>
    <w:rsid w:val="00CE70BD"/>
    <w:rsid w:val="00CF32A3"/>
    <w:rsid w:val="00CF539C"/>
    <w:rsid w:val="00D02FCE"/>
    <w:rsid w:val="00D03305"/>
    <w:rsid w:val="00D07A1D"/>
    <w:rsid w:val="00D103A3"/>
    <w:rsid w:val="00D12069"/>
    <w:rsid w:val="00D12797"/>
    <w:rsid w:val="00D17B44"/>
    <w:rsid w:val="00D2251C"/>
    <w:rsid w:val="00D22DBD"/>
    <w:rsid w:val="00D258F2"/>
    <w:rsid w:val="00D3360D"/>
    <w:rsid w:val="00D36407"/>
    <w:rsid w:val="00D36A57"/>
    <w:rsid w:val="00D402DC"/>
    <w:rsid w:val="00D41109"/>
    <w:rsid w:val="00D41844"/>
    <w:rsid w:val="00D46C21"/>
    <w:rsid w:val="00D505D4"/>
    <w:rsid w:val="00D510D6"/>
    <w:rsid w:val="00D5284A"/>
    <w:rsid w:val="00D54BD3"/>
    <w:rsid w:val="00D558BF"/>
    <w:rsid w:val="00D730B9"/>
    <w:rsid w:val="00D80258"/>
    <w:rsid w:val="00D806D0"/>
    <w:rsid w:val="00D83775"/>
    <w:rsid w:val="00D83FC5"/>
    <w:rsid w:val="00D85896"/>
    <w:rsid w:val="00D93AF7"/>
    <w:rsid w:val="00D968CD"/>
    <w:rsid w:val="00D96CF1"/>
    <w:rsid w:val="00D97AF5"/>
    <w:rsid w:val="00DA0822"/>
    <w:rsid w:val="00DA1B47"/>
    <w:rsid w:val="00DA349E"/>
    <w:rsid w:val="00DA37C1"/>
    <w:rsid w:val="00DA7DCE"/>
    <w:rsid w:val="00DB0831"/>
    <w:rsid w:val="00DB1272"/>
    <w:rsid w:val="00DB6827"/>
    <w:rsid w:val="00DB6C14"/>
    <w:rsid w:val="00DC46D4"/>
    <w:rsid w:val="00DC7F1D"/>
    <w:rsid w:val="00DD09D2"/>
    <w:rsid w:val="00DD4BF9"/>
    <w:rsid w:val="00DD74BA"/>
    <w:rsid w:val="00DE16A4"/>
    <w:rsid w:val="00DE1A5E"/>
    <w:rsid w:val="00DE4CC2"/>
    <w:rsid w:val="00DE62FB"/>
    <w:rsid w:val="00DE6995"/>
    <w:rsid w:val="00DE7D2D"/>
    <w:rsid w:val="00DF03D5"/>
    <w:rsid w:val="00DF2D1A"/>
    <w:rsid w:val="00E009ED"/>
    <w:rsid w:val="00E019B6"/>
    <w:rsid w:val="00E03B23"/>
    <w:rsid w:val="00E0444B"/>
    <w:rsid w:val="00E06098"/>
    <w:rsid w:val="00E10445"/>
    <w:rsid w:val="00E14136"/>
    <w:rsid w:val="00E1507C"/>
    <w:rsid w:val="00E15E23"/>
    <w:rsid w:val="00E20A8C"/>
    <w:rsid w:val="00E20F17"/>
    <w:rsid w:val="00E232B5"/>
    <w:rsid w:val="00E23CDC"/>
    <w:rsid w:val="00E27888"/>
    <w:rsid w:val="00E31E56"/>
    <w:rsid w:val="00E3518F"/>
    <w:rsid w:val="00E36AA1"/>
    <w:rsid w:val="00E37205"/>
    <w:rsid w:val="00E40BE0"/>
    <w:rsid w:val="00E41194"/>
    <w:rsid w:val="00E4277C"/>
    <w:rsid w:val="00E431B5"/>
    <w:rsid w:val="00E43D15"/>
    <w:rsid w:val="00E43D76"/>
    <w:rsid w:val="00E45232"/>
    <w:rsid w:val="00E45F52"/>
    <w:rsid w:val="00E50E52"/>
    <w:rsid w:val="00E51FAA"/>
    <w:rsid w:val="00E5498E"/>
    <w:rsid w:val="00E55018"/>
    <w:rsid w:val="00E5551A"/>
    <w:rsid w:val="00E56189"/>
    <w:rsid w:val="00E611B4"/>
    <w:rsid w:val="00E62C78"/>
    <w:rsid w:val="00E64C1D"/>
    <w:rsid w:val="00E71412"/>
    <w:rsid w:val="00E7280E"/>
    <w:rsid w:val="00E74251"/>
    <w:rsid w:val="00E74820"/>
    <w:rsid w:val="00E764A7"/>
    <w:rsid w:val="00E77A38"/>
    <w:rsid w:val="00E77A5D"/>
    <w:rsid w:val="00E77DB5"/>
    <w:rsid w:val="00E817FC"/>
    <w:rsid w:val="00E83A13"/>
    <w:rsid w:val="00E8518A"/>
    <w:rsid w:val="00E85A72"/>
    <w:rsid w:val="00E867F6"/>
    <w:rsid w:val="00E91B7A"/>
    <w:rsid w:val="00E9262B"/>
    <w:rsid w:val="00E92A5D"/>
    <w:rsid w:val="00E9345F"/>
    <w:rsid w:val="00E9635A"/>
    <w:rsid w:val="00EA2A9D"/>
    <w:rsid w:val="00EA7332"/>
    <w:rsid w:val="00EA7CCA"/>
    <w:rsid w:val="00EB3E7C"/>
    <w:rsid w:val="00EB7C7B"/>
    <w:rsid w:val="00EC3ED8"/>
    <w:rsid w:val="00EC4C2F"/>
    <w:rsid w:val="00EC5322"/>
    <w:rsid w:val="00EC5DBA"/>
    <w:rsid w:val="00EC6341"/>
    <w:rsid w:val="00EC7A22"/>
    <w:rsid w:val="00ED3870"/>
    <w:rsid w:val="00ED434F"/>
    <w:rsid w:val="00ED6276"/>
    <w:rsid w:val="00EE2DD7"/>
    <w:rsid w:val="00EE3497"/>
    <w:rsid w:val="00EE6140"/>
    <w:rsid w:val="00EE6153"/>
    <w:rsid w:val="00EF0CAF"/>
    <w:rsid w:val="00EF2594"/>
    <w:rsid w:val="00EF4E62"/>
    <w:rsid w:val="00EF4EE0"/>
    <w:rsid w:val="00EF5421"/>
    <w:rsid w:val="00EF6ABD"/>
    <w:rsid w:val="00EF7213"/>
    <w:rsid w:val="00F0139F"/>
    <w:rsid w:val="00F053A1"/>
    <w:rsid w:val="00F063DB"/>
    <w:rsid w:val="00F069C0"/>
    <w:rsid w:val="00F1099D"/>
    <w:rsid w:val="00F145D2"/>
    <w:rsid w:val="00F14D73"/>
    <w:rsid w:val="00F151D4"/>
    <w:rsid w:val="00F17BE7"/>
    <w:rsid w:val="00F2139C"/>
    <w:rsid w:val="00F221FF"/>
    <w:rsid w:val="00F24B2E"/>
    <w:rsid w:val="00F24D95"/>
    <w:rsid w:val="00F25690"/>
    <w:rsid w:val="00F259CA"/>
    <w:rsid w:val="00F317FE"/>
    <w:rsid w:val="00F32580"/>
    <w:rsid w:val="00F338DC"/>
    <w:rsid w:val="00F35058"/>
    <w:rsid w:val="00F35834"/>
    <w:rsid w:val="00F37E1C"/>
    <w:rsid w:val="00F402A0"/>
    <w:rsid w:val="00F41FC7"/>
    <w:rsid w:val="00F42EC1"/>
    <w:rsid w:val="00F46342"/>
    <w:rsid w:val="00F46F0C"/>
    <w:rsid w:val="00F50FBB"/>
    <w:rsid w:val="00F52001"/>
    <w:rsid w:val="00F54231"/>
    <w:rsid w:val="00F543DC"/>
    <w:rsid w:val="00F5538B"/>
    <w:rsid w:val="00F56B8C"/>
    <w:rsid w:val="00F60C3E"/>
    <w:rsid w:val="00F62A13"/>
    <w:rsid w:val="00F65100"/>
    <w:rsid w:val="00F6586C"/>
    <w:rsid w:val="00F71024"/>
    <w:rsid w:val="00F716B3"/>
    <w:rsid w:val="00F721A1"/>
    <w:rsid w:val="00F726C3"/>
    <w:rsid w:val="00F7613D"/>
    <w:rsid w:val="00F763FB"/>
    <w:rsid w:val="00F833C3"/>
    <w:rsid w:val="00F835C6"/>
    <w:rsid w:val="00F8471A"/>
    <w:rsid w:val="00F84DEB"/>
    <w:rsid w:val="00F85889"/>
    <w:rsid w:val="00F909B2"/>
    <w:rsid w:val="00F92226"/>
    <w:rsid w:val="00F93511"/>
    <w:rsid w:val="00F95B36"/>
    <w:rsid w:val="00FA25E0"/>
    <w:rsid w:val="00FA3473"/>
    <w:rsid w:val="00FA61A4"/>
    <w:rsid w:val="00FA61FA"/>
    <w:rsid w:val="00FA7B0A"/>
    <w:rsid w:val="00FB44BD"/>
    <w:rsid w:val="00FB47CB"/>
    <w:rsid w:val="00FC44F6"/>
    <w:rsid w:val="00FC71D5"/>
    <w:rsid w:val="00FC73FB"/>
    <w:rsid w:val="00FD0282"/>
    <w:rsid w:val="00FD1366"/>
    <w:rsid w:val="00FD21A8"/>
    <w:rsid w:val="00FD2885"/>
    <w:rsid w:val="00FD3988"/>
    <w:rsid w:val="00FD40C3"/>
    <w:rsid w:val="00FD44FC"/>
    <w:rsid w:val="00FD4B57"/>
    <w:rsid w:val="00FD6EA0"/>
    <w:rsid w:val="00FE2498"/>
    <w:rsid w:val="00FE300F"/>
    <w:rsid w:val="00FE3C3A"/>
    <w:rsid w:val="00FF0088"/>
    <w:rsid w:val="00FF1A5E"/>
    <w:rsid w:val="00FF71A5"/>
    <w:rsid w:val="00FF71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80"/>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1"/>
    <w:basedOn w:val="Normal"/>
    <w:next w:val="Heading2"/>
    <w:link w:val="Heading1Char"/>
    <w:qFormat/>
    <w:rsid w:val="00106280"/>
    <w:pPr>
      <w:keepNext/>
      <w:keepLines/>
      <w:numPr>
        <w:numId w:val="3"/>
      </w:numPr>
      <w:spacing w:after="240"/>
      <w:jc w:val="both"/>
      <w:outlineLvl w:val="0"/>
    </w:pPr>
    <w:rPr>
      <w:rFonts w:ascii="Arial" w:eastAsia="Batang" w:hAnsi="Arial"/>
      <w:b/>
      <w:caps/>
      <w:spacing w:val="20"/>
      <w:sz w:val="26"/>
      <w:szCs w:val="20"/>
      <w:u w:val="single"/>
      <w:lang w:eastAsia="en-US"/>
    </w:rPr>
  </w:style>
  <w:style w:type="paragraph" w:styleId="Heading2">
    <w:name w:val="heading 2"/>
    <w:aliases w:val="Heading 21"/>
    <w:basedOn w:val="Normal"/>
    <w:next w:val="Normal"/>
    <w:link w:val="Heading2Char"/>
    <w:qFormat/>
    <w:rsid w:val="00106280"/>
    <w:pPr>
      <w:keepNext/>
      <w:keepLines/>
      <w:numPr>
        <w:ilvl w:val="1"/>
        <w:numId w:val="3"/>
      </w:numPr>
      <w:spacing w:after="240"/>
      <w:jc w:val="both"/>
      <w:outlineLvl w:val="1"/>
    </w:pPr>
    <w:rPr>
      <w:rFonts w:ascii="Arial" w:eastAsia="Batang" w:hAnsi="Arial"/>
      <w:b/>
      <w:caps/>
      <w:szCs w:val="20"/>
      <w:lang w:eastAsia="en-US"/>
    </w:rPr>
  </w:style>
  <w:style w:type="paragraph" w:styleId="Heading3">
    <w:name w:val="heading 3"/>
    <w:basedOn w:val="Normal"/>
    <w:next w:val="Normal"/>
    <w:link w:val="Heading3Char"/>
    <w:qFormat/>
    <w:rsid w:val="00106280"/>
    <w:pPr>
      <w:keepNext/>
      <w:keepLines/>
      <w:numPr>
        <w:ilvl w:val="2"/>
        <w:numId w:val="3"/>
      </w:numPr>
      <w:spacing w:after="240"/>
      <w:jc w:val="both"/>
      <w:outlineLvl w:val="2"/>
    </w:pPr>
    <w:rPr>
      <w:rFonts w:ascii="Arial" w:eastAsia="Batang" w:hAnsi="Arial"/>
      <w:b/>
      <w:szCs w:val="20"/>
      <w:u w:val="single"/>
      <w:lang w:eastAsia="en-US"/>
    </w:rPr>
  </w:style>
  <w:style w:type="paragraph" w:styleId="Heading4">
    <w:name w:val="heading 4"/>
    <w:basedOn w:val="Normal"/>
    <w:next w:val="Normal"/>
    <w:link w:val="Heading4Char"/>
    <w:qFormat/>
    <w:rsid w:val="00106280"/>
    <w:pPr>
      <w:keepNext/>
      <w:numPr>
        <w:ilvl w:val="3"/>
        <w:numId w:val="3"/>
      </w:numPr>
      <w:spacing w:before="240" w:after="60"/>
      <w:jc w:val="both"/>
      <w:outlineLvl w:val="3"/>
    </w:pPr>
    <w:rPr>
      <w:rFonts w:eastAsia="Batang"/>
      <w:b/>
      <w:i/>
      <w:szCs w:val="20"/>
      <w:lang w:eastAsia="en-US"/>
    </w:rPr>
  </w:style>
  <w:style w:type="paragraph" w:styleId="Heading5">
    <w:name w:val="heading 5"/>
    <w:basedOn w:val="Normal"/>
    <w:next w:val="Normal"/>
    <w:link w:val="Heading5Char"/>
    <w:qFormat/>
    <w:rsid w:val="00106280"/>
    <w:pPr>
      <w:numPr>
        <w:ilvl w:val="4"/>
        <w:numId w:val="3"/>
      </w:numPr>
      <w:spacing w:before="240" w:after="60"/>
      <w:jc w:val="both"/>
      <w:outlineLvl w:val="4"/>
    </w:pPr>
    <w:rPr>
      <w:rFonts w:ascii="Arial" w:eastAsia="Batang" w:hAnsi="Arial"/>
      <w:sz w:val="22"/>
      <w:szCs w:val="20"/>
      <w:lang w:eastAsia="en-US"/>
    </w:rPr>
  </w:style>
  <w:style w:type="paragraph" w:styleId="Heading6">
    <w:name w:val="heading 6"/>
    <w:basedOn w:val="Normal"/>
    <w:next w:val="Normal"/>
    <w:link w:val="Heading6Char"/>
    <w:qFormat/>
    <w:rsid w:val="00106280"/>
    <w:pPr>
      <w:numPr>
        <w:ilvl w:val="5"/>
        <w:numId w:val="3"/>
      </w:numPr>
      <w:spacing w:before="240" w:after="60"/>
      <w:jc w:val="both"/>
      <w:outlineLvl w:val="5"/>
    </w:pPr>
    <w:rPr>
      <w:rFonts w:ascii="Arial" w:eastAsia="Batang" w:hAnsi="Arial"/>
      <w:i/>
      <w:sz w:val="22"/>
      <w:szCs w:val="20"/>
      <w:lang w:eastAsia="en-US"/>
    </w:rPr>
  </w:style>
  <w:style w:type="paragraph" w:styleId="Heading7">
    <w:name w:val="heading 7"/>
    <w:basedOn w:val="Normal"/>
    <w:next w:val="Normal"/>
    <w:link w:val="Heading7Char"/>
    <w:qFormat/>
    <w:rsid w:val="00106280"/>
    <w:pPr>
      <w:numPr>
        <w:ilvl w:val="6"/>
        <w:numId w:val="3"/>
      </w:numPr>
      <w:spacing w:before="240" w:after="60"/>
      <w:jc w:val="both"/>
      <w:outlineLvl w:val="6"/>
    </w:pPr>
    <w:rPr>
      <w:rFonts w:ascii="Arial" w:eastAsia="Batang" w:hAnsi="Arial"/>
      <w:sz w:val="20"/>
      <w:szCs w:val="20"/>
      <w:lang w:eastAsia="en-US"/>
    </w:rPr>
  </w:style>
  <w:style w:type="paragraph" w:styleId="Heading8">
    <w:name w:val="heading 8"/>
    <w:basedOn w:val="Normal"/>
    <w:next w:val="Normal"/>
    <w:link w:val="Heading8Char"/>
    <w:qFormat/>
    <w:rsid w:val="00106280"/>
    <w:pPr>
      <w:numPr>
        <w:ilvl w:val="7"/>
        <w:numId w:val="3"/>
      </w:numPr>
      <w:spacing w:before="240" w:after="60"/>
      <w:jc w:val="both"/>
      <w:outlineLvl w:val="7"/>
    </w:pPr>
    <w:rPr>
      <w:rFonts w:ascii="Arial" w:eastAsia="Batang" w:hAnsi="Arial"/>
      <w:i/>
      <w:sz w:val="20"/>
      <w:szCs w:val="20"/>
      <w:lang w:eastAsia="en-US"/>
    </w:rPr>
  </w:style>
  <w:style w:type="paragraph" w:styleId="Heading9">
    <w:name w:val="heading 9"/>
    <w:basedOn w:val="Normal"/>
    <w:next w:val="Normal"/>
    <w:link w:val="Heading9Char"/>
    <w:qFormat/>
    <w:rsid w:val="00106280"/>
    <w:pPr>
      <w:numPr>
        <w:ilvl w:val="8"/>
        <w:numId w:val="3"/>
      </w:numPr>
      <w:spacing w:before="240" w:after="60"/>
      <w:jc w:val="both"/>
      <w:outlineLvl w:val="8"/>
    </w:pPr>
    <w:rPr>
      <w:rFonts w:ascii="Arial" w:eastAsia="Batang"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106280"/>
    <w:rPr>
      <w:rFonts w:ascii="Arial" w:eastAsia="Batang" w:hAnsi="Arial" w:cs="Times New Roman"/>
      <w:b/>
      <w:caps/>
      <w:sz w:val="24"/>
      <w:szCs w:val="20"/>
    </w:rPr>
  </w:style>
  <w:style w:type="character" w:customStyle="1" w:styleId="Heading1Char">
    <w:name w:val="Heading 1 Char"/>
    <w:aliases w:val="Heading 11 Char"/>
    <w:basedOn w:val="DefaultParagraphFont"/>
    <w:link w:val="Heading1"/>
    <w:rsid w:val="00106280"/>
    <w:rPr>
      <w:rFonts w:ascii="Arial" w:eastAsia="Batang" w:hAnsi="Arial" w:cs="Times New Roman"/>
      <w:b/>
      <w:caps/>
      <w:spacing w:val="20"/>
      <w:sz w:val="26"/>
      <w:szCs w:val="20"/>
      <w:u w:val="single"/>
    </w:rPr>
  </w:style>
  <w:style w:type="character" w:customStyle="1" w:styleId="Heading3Char">
    <w:name w:val="Heading 3 Char"/>
    <w:basedOn w:val="DefaultParagraphFont"/>
    <w:link w:val="Heading3"/>
    <w:rsid w:val="00106280"/>
    <w:rPr>
      <w:rFonts w:ascii="Arial" w:eastAsia="Batang" w:hAnsi="Arial" w:cs="Times New Roman"/>
      <w:b/>
      <w:sz w:val="24"/>
      <w:szCs w:val="20"/>
      <w:u w:val="single"/>
    </w:rPr>
  </w:style>
  <w:style w:type="character" w:customStyle="1" w:styleId="Heading4Char">
    <w:name w:val="Heading 4 Char"/>
    <w:basedOn w:val="DefaultParagraphFont"/>
    <w:link w:val="Heading4"/>
    <w:rsid w:val="00106280"/>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106280"/>
    <w:rPr>
      <w:rFonts w:ascii="Arial" w:eastAsia="Batang" w:hAnsi="Arial" w:cs="Times New Roman"/>
      <w:szCs w:val="20"/>
    </w:rPr>
  </w:style>
  <w:style w:type="character" w:customStyle="1" w:styleId="Heading6Char">
    <w:name w:val="Heading 6 Char"/>
    <w:basedOn w:val="DefaultParagraphFont"/>
    <w:link w:val="Heading6"/>
    <w:rsid w:val="00106280"/>
    <w:rPr>
      <w:rFonts w:ascii="Arial" w:eastAsia="Batang" w:hAnsi="Arial" w:cs="Times New Roman"/>
      <w:i/>
      <w:szCs w:val="20"/>
    </w:rPr>
  </w:style>
  <w:style w:type="character" w:customStyle="1" w:styleId="Heading7Char">
    <w:name w:val="Heading 7 Char"/>
    <w:basedOn w:val="DefaultParagraphFont"/>
    <w:link w:val="Heading7"/>
    <w:rsid w:val="00106280"/>
    <w:rPr>
      <w:rFonts w:ascii="Arial" w:eastAsia="Batang" w:hAnsi="Arial" w:cs="Times New Roman"/>
      <w:sz w:val="20"/>
      <w:szCs w:val="20"/>
    </w:rPr>
  </w:style>
  <w:style w:type="character" w:customStyle="1" w:styleId="Heading8Char">
    <w:name w:val="Heading 8 Char"/>
    <w:basedOn w:val="DefaultParagraphFont"/>
    <w:link w:val="Heading8"/>
    <w:rsid w:val="00106280"/>
    <w:rPr>
      <w:rFonts w:ascii="Arial" w:eastAsia="Batang" w:hAnsi="Arial" w:cs="Times New Roman"/>
      <w:i/>
      <w:sz w:val="20"/>
      <w:szCs w:val="20"/>
    </w:rPr>
  </w:style>
  <w:style w:type="character" w:customStyle="1" w:styleId="Heading9Char">
    <w:name w:val="Heading 9 Char"/>
    <w:basedOn w:val="DefaultParagraphFont"/>
    <w:link w:val="Heading9"/>
    <w:rsid w:val="00106280"/>
    <w:rPr>
      <w:rFonts w:ascii="Arial" w:eastAsia="Batang" w:hAnsi="Arial" w:cs="Times New Roman"/>
      <w:i/>
      <w:sz w:val="18"/>
      <w:szCs w:val="20"/>
    </w:rPr>
  </w:style>
  <w:style w:type="paragraph" w:customStyle="1" w:styleId="NumberedListing">
    <w:name w:val="Numbered Listing"/>
    <w:basedOn w:val="Normal"/>
    <w:autoRedefine/>
    <w:rsid w:val="00106280"/>
    <w:pPr>
      <w:spacing w:line="280" w:lineRule="exact"/>
      <w:jc w:val="both"/>
    </w:pPr>
    <w:rPr>
      <w:rFonts w:ascii="Arial" w:hAnsi="Arial" w:cs="Arial"/>
      <w:b/>
      <w:sz w:val="22"/>
      <w:szCs w:val="22"/>
    </w:rPr>
  </w:style>
  <w:style w:type="paragraph" w:customStyle="1" w:styleId="BodySingle">
    <w:name w:val="Body Single"/>
    <w:rsid w:val="00106280"/>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106280"/>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06280"/>
    <w:rPr>
      <w:rFonts w:ascii="Arial Black" w:eastAsia="Times New Roman" w:hAnsi="Arial Black" w:cs="Times New Roman"/>
      <w:caps/>
      <w:color w:val="022B69"/>
      <w:sz w:val="30"/>
      <w:szCs w:val="30"/>
      <w:lang w:eastAsia="en-GB"/>
    </w:rPr>
  </w:style>
  <w:style w:type="table" w:styleId="TableGrid">
    <w:name w:val="Table Grid"/>
    <w:basedOn w:val="TableNormal"/>
    <w:uiPriority w:val="59"/>
    <w:rsid w:val="001062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6280"/>
    <w:pPr>
      <w:tabs>
        <w:tab w:val="center" w:pos="4153"/>
        <w:tab w:val="right" w:pos="8306"/>
      </w:tabs>
    </w:pPr>
  </w:style>
  <w:style w:type="character" w:customStyle="1" w:styleId="FooterChar">
    <w:name w:val="Footer Char"/>
    <w:basedOn w:val="DefaultParagraphFont"/>
    <w:link w:val="Footer"/>
    <w:uiPriority w:val="99"/>
    <w:rsid w:val="00106280"/>
    <w:rPr>
      <w:rFonts w:ascii="Times New Roman" w:eastAsia="Times New Roman" w:hAnsi="Times New Roman" w:cs="Times New Roman"/>
      <w:sz w:val="24"/>
      <w:szCs w:val="24"/>
      <w:lang w:val="en-GB" w:eastAsia="en-GB"/>
    </w:rPr>
  </w:style>
  <w:style w:type="character" w:styleId="PageNumber">
    <w:name w:val="page number"/>
    <w:basedOn w:val="DefaultParagraphFont"/>
    <w:rsid w:val="00106280"/>
  </w:style>
  <w:style w:type="paragraph" w:styleId="Header">
    <w:name w:val="header"/>
    <w:basedOn w:val="Normal"/>
    <w:link w:val="HeaderChar"/>
    <w:rsid w:val="00106280"/>
    <w:pPr>
      <w:tabs>
        <w:tab w:val="center" w:pos="4153"/>
        <w:tab w:val="right" w:pos="8306"/>
      </w:tabs>
    </w:pPr>
  </w:style>
  <w:style w:type="character" w:customStyle="1" w:styleId="HeaderChar">
    <w:name w:val="Header Char"/>
    <w:basedOn w:val="DefaultParagraphFont"/>
    <w:link w:val="Header"/>
    <w:rsid w:val="00106280"/>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uiPriority w:val="34"/>
    <w:qFormat/>
    <w:rsid w:val="00106280"/>
    <w:pPr>
      <w:ind w:left="720"/>
    </w:pPr>
  </w:style>
  <w:style w:type="character" w:customStyle="1" w:styleId="ListParagraphChar">
    <w:name w:val="List Paragraph Char"/>
    <w:aliases w:val="List Paragraph 1 Char,Bullets Char"/>
    <w:basedOn w:val="DefaultParagraphFont"/>
    <w:link w:val="ListParagraph"/>
    <w:uiPriority w:val="34"/>
    <w:locked/>
    <w:rsid w:val="00106280"/>
    <w:rPr>
      <w:rFonts w:ascii="Times New Roman" w:eastAsia="Times New Roman" w:hAnsi="Times New Roman" w:cs="Times New Roman"/>
      <w:sz w:val="24"/>
      <w:szCs w:val="24"/>
      <w:lang w:val="en-GB" w:eastAsia="en-GB"/>
    </w:rPr>
  </w:style>
  <w:style w:type="character" w:styleId="Hyperlink">
    <w:name w:val="Hyperlink"/>
    <w:basedOn w:val="DefaultParagraphFont"/>
    <w:rsid w:val="00106280"/>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106280"/>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106280"/>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106280"/>
    <w:rPr>
      <w:rFonts w:cs="Times New Roman"/>
      <w:vertAlign w:val="superscript"/>
    </w:rPr>
  </w:style>
  <w:style w:type="paragraph" w:customStyle="1" w:styleId="Default">
    <w:name w:val="Default"/>
    <w:rsid w:val="0010628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106280"/>
    <w:pPr>
      <w:jc w:val="both"/>
    </w:pPr>
    <w:rPr>
      <w:rFonts w:ascii="Arial" w:hAnsi="Arial" w:cs="Arial"/>
      <w:lang w:eastAsia="en-US"/>
    </w:rPr>
  </w:style>
  <w:style w:type="character" w:customStyle="1" w:styleId="BodyTextChar">
    <w:name w:val="Body Text Char"/>
    <w:basedOn w:val="DefaultParagraphFont"/>
    <w:link w:val="BodyText"/>
    <w:rsid w:val="00106280"/>
    <w:rPr>
      <w:rFonts w:ascii="Arial" w:eastAsia="Times New Roman" w:hAnsi="Arial" w:cs="Arial"/>
      <w:sz w:val="24"/>
      <w:szCs w:val="24"/>
    </w:rPr>
  </w:style>
  <w:style w:type="paragraph" w:styleId="NormalWeb">
    <w:name w:val="Normal (Web)"/>
    <w:basedOn w:val="Normal"/>
    <w:uiPriority w:val="99"/>
    <w:rsid w:val="00106280"/>
    <w:pPr>
      <w:spacing w:before="120" w:after="216"/>
    </w:pPr>
  </w:style>
  <w:style w:type="character" w:styleId="Strong">
    <w:name w:val="Strong"/>
    <w:basedOn w:val="DefaultParagraphFont"/>
    <w:qFormat/>
    <w:rsid w:val="00106280"/>
    <w:rPr>
      <w:b/>
      <w:bCs/>
    </w:rPr>
  </w:style>
  <w:style w:type="paragraph" w:customStyle="1" w:styleId="ColorfulList-Accent11">
    <w:name w:val="Colorful List - Accent 11"/>
    <w:basedOn w:val="Normal"/>
    <w:qFormat/>
    <w:rsid w:val="00106280"/>
    <w:pPr>
      <w:spacing w:after="200" w:line="276" w:lineRule="auto"/>
      <w:ind w:left="720"/>
      <w:contextualSpacing/>
    </w:pPr>
    <w:rPr>
      <w:rFonts w:ascii="Calibri" w:eastAsia="Calibri" w:hAnsi="Calibri"/>
      <w:sz w:val="22"/>
      <w:szCs w:val="22"/>
      <w:lang w:eastAsia="en-US"/>
    </w:rPr>
  </w:style>
  <w:style w:type="paragraph" w:customStyle="1" w:styleId="Style0">
    <w:name w:val="Style0"/>
    <w:rsid w:val="00106280"/>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106280"/>
  </w:style>
  <w:style w:type="character" w:styleId="Emphasis">
    <w:name w:val="Emphasis"/>
    <w:basedOn w:val="DefaultParagraphFont"/>
    <w:uiPriority w:val="20"/>
    <w:qFormat/>
    <w:rsid w:val="00106280"/>
    <w:rPr>
      <w:i/>
      <w:iCs/>
    </w:rPr>
  </w:style>
  <w:style w:type="character" w:customStyle="1" w:styleId="apple-converted-space">
    <w:name w:val="apple-converted-space"/>
    <w:basedOn w:val="DefaultParagraphFont"/>
    <w:rsid w:val="00106280"/>
  </w:style>
  <w:style w:type="paragraph" w:styleId="BalloonText">
    <w:name w:val="Balloon Text"/>
    <w:basedOn w:val="Normal"/>
    <w:link w:val="BalloonTextChar"/>
    <w:rsid w:val="00106280"/>
    <w:rPr>
      <w:rFonts w:ascii="Tahoma" w:hAnsi="Tahoma" w:cs="Tahoma"/>
      <w:sz w:val="16"/>
      <w:szCs w:val="16"/>
    </w:rPr>
  </w:style>
  <w:style w:type="character" w:customStyle="1" w:styleId="BalloonTextChar">
    <w:name w:val="Balloon Text Char"/>
    <w:basedOn w:val="DefaultParagraphFont"/>
    <w:link w:val="BalloonText"/>
    <w:rsid w:val="00106280"/>
    <w:rPr>
      <w:rFonts w:ascii="Tahoma" w:eastAsia="Times New Roman" w:hAnsi="Tahoma" w:cs="Tahoma"/>
      <w:sz w:val="16"/>
      <w:szCs w:val="16"/>
      <w:lang w:val="en-GB" w:eastAsia="en-GB"/>
    </w:rPr>
  </w:style>
  <w:style w:type="character" w:customStyle="1" w:styleId="CommentTextChar">
    <w:name w:val="Comment Text Char"/>
    <w:basedOn w:val="DefaultParagraphFont"/>
    <w:link w:val="CommentText"/>
    <w:uiPriority w:val="99"/>
    <w:semiHidden/>
    <w:rsid w:val="00106280"/>
    <w:rPr>
      <w:sz w:val="20"/>
      <w:szCs w:val="20"/>
    </w:rPr>
  </w:style>
  <w:style w:type="paragraph" w:styleId="CommentText">
    <w:name w:val="annotation text"/>
    <w:basedOn w:val="Normal"/>
    <w:link w:val="CommentTextChar"/>
    <w:uiPriority w:val="99"/>
    <w:semiHidden/>
    <w:unhideWhenUsed/>
    <w:rsid w:val="00106280"/>
    <w:pPr>
      <w:spacing w:after="160"/>
    </w:pPr>
    <w:rPr>
      <w:rFonts w:asciiTheme="minorHAnsi" w:eastAsiaTheme="minorHAnsi" w:hAnsiTheme="minorHAnsi" w:cstheme="minorBidi"/>
      <w:sz w:val="20"/>
      <w:szCs w:val="20"/>
      <w:lang w:eastAsia="en-US"/>
    </w:rPr>
  </w:style>
  <w:style w:type="character" w:styleId="CommentReference">
    <w:name w:val="annotation reference"/>
    <w:basedOn w:val="DefaultParagraphFont"/>
    <w:semiHidden/>
    <w:unhideWhenUsed/>
    <w:rsid w:val="00FF0088"/>
    <w:rPr>
      <w:sz w:val="16"/>
      <w:szCs w:val="16"/>
    </w:rPr>
  </w:style>
  <w:style w:type="paragraph" w:styleId="CommentSubject">
    <w:name w:val="annotation subject"/>
    <w:basedOn w:val="CommentText"/>
    <w:next w:val="CommentText"/>
    <w:link w:val="CommentSubjectChar"/>
    <w:uiPriority w:val="99"/>
    <w:semiHidden/>
    <w:unhideWhenUsed/>
    <w:rsid w:val="00FF0088"/>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F0088"/>
    <w:rPr>
      <w:rFonts w:ascii="Times New Roman" w:eastAsia="Times New Roman" w:hAnsi="Times New Roman" w:cs="Times New Roman"/>
      <w:b/>
      <w:bCs/>
      <w:sz w:val="20"/>
      <w:szCs w:val="20"/>
      <w:lang w:eastAsia="en-GB"/>
    </w:rPr>
  </w:style>
  <w:style w:type="paragraph" w:styleId="Revision">
    <w:name w:val="Revision"/>
    <w:hidden/>
    <w:uiPriority w:val="99"/>
    <w:semiHidden/>
    <w:rsid w:val="00546D85"/>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23507D"/>
    <w:pPr>
      <w:spacing w:after="200"/>
    </w:pPr>
    <w:rPr>
      <w:rFonts w:ascii="Calibri" w:eastAsia="Calibri" w:hAnsi="Calibri"/>
      <w:i/>
      <w:iCs/>
      <w:color w:val="44546A"/>
      <w:sz w:val="18"/>
      <w:szCs w:val="18"/>
      <w:lang w:eastAsia="en-US"/>
    </w:rPr>
  </w:style>
  <w:style w:type="paragraph" w:styleId="NoSpacing">
    <w:name w:val="No Spacing"/>
    <w:uiPriority w:val="1"/>
    <w:qFormat/>
    <w:rsid w:val="0086721F"/>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80"/>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1"/>
    <w:basedOn w:val="Normal"/>
    <w:next w:val="Heading2"/>
    <w:link w:val="Heading1Char"/>
    <w:qFormat/>
    <w:rsid w:val="00106280"/>
    <w:pPr>
      <w:keepNext/>
      <w:keepLines/>
      <w:numPr>
        <w:numId w:val="3"/>
      </w:numPr>
      <w:spacing w:after="240"/>
      <w:jc w:val="both"/>
      <w:outlineLvl w:val="0"/>
    </w:pPr>
    <w:rPr>
      <w:rFonts w:ascii="Arial" w:eastAsia="Batang" w:hAnsi="Arial"/>
      <w:b/>
      <w:caps/>
      <w:spacing w:val="20"/>
      <w:sz w:val="26"/>
      <w:szCs w:val="20"/>
      <w:u w:val="single"/>
      <w:lang w:eastAsia="en-US"/>
    </w:rPr>
  </w:style>
  <w:style w:type="paragraph" w:styleId="Heading2">
    <w:name w:val="heading 2"/>
    <w:aliases w:val="Heading 21"/>
    <w:basedOn w:val="Normal"/>
    <w:next w:val="Normal"/>
    <w:link w:val="Heading2Char"/>
    <w:qFormat/>
    <w:rsid w:val="00106280"/>
    <w:pPr>
      <w:keepNext/>
      <w:keepLines/>
      <w:numPr>
        <w:ilvl w:val="1"/>
        <w:numId w:val="3"/>
      </w:numPr>
      <w:spacing w:after="240"/>
      <w:jc w:val="both"/>
      <w:outlineLvl w:val="1"/>
    </w:pPr>
    <w:rPr>
      <w:rFonts w:ascii="Arial" w:eastAsia="Batang" w:hAnsi="Arial"/>
      <w:b/>
      <w:caps/>
      <w:szCs w:val="20"/>
      <w:lang w:eastAsia="en-US"/>
    </w:rPr>
  </w:style>
  <w:style w:type="paragraph" w:styleId="Heading3">
    <w:name w:val="heading 3"/>
    <w:basedOn w:val="Normal"/>
    <w:next w:val="Normal"/>
    <w:link w:val="Heading3Char"/>
    <w:qFormat/>
    <w:rsid w:val="00106280"/>
    <w:pPr>
      <w:keepNext/>
      <w:keepLines/>
      <w:numPr>
        <w:ilvl w:val="2"/>
        <w:numId w:val="3"/>
      </w:numPr>
      <w:spacing w:after="240"/>
      <w:jc w:val="both"/>
      <w:outlineLvl w:val="2"/>
    </w:pPr>
    <w:rPr>
      <w:rFonts w:ascii="Arial" w:eastAsia="Batang" w:hAnsi="Arial"/>
      <w:b/>
      <w:szCs w:val="20"/>
      <w:u w:val="single"/>
      <w:lang w:eastAsia="en-US"/>
    </w:rPr>
  </w:style>
  <w:style w:type="paragraph" w:styleId="Heading4">
    <w:name w:val="heading 4"/>
    <w:basedOn w:val="Normal"/>
    <w:next w:val="Normal"/>
    <w:link w:val="Heading4Char"/>
    <w:qFormat/>
    <w:rsid w:val="00106280"/>
    <w:pPr>
      <w:keepNext/>
      <w:numPr>
        <w:ilvl w:val="3"/>
        <w:numId w:val="3"/>
      </w:numPr>
      <w:spacing w:before="240" w:after="60"/>
      <w:jc w:val="both"/>
      <w:outlineLvl w:val="3"/>
    </w:pPr>
    <w:rPr>
      <w:rFonts w:eastAsia="Batang"/>
      <w:b/>
      <w:i/>
      <w:szCs w:val="20"/>
      <w:lang w:eastAsia="en-US"/>
    </w:rPr>
  </w:style>
  <w:style w:type="paragraph" w:styleId="Heading5">
    <w:name w:val="heading 5"/>
    <w:basedOn w:val="Normal"/>
    <w:next w:val="Normal"/>
    <w:link w:val="Heading5Char"/>
    <w:qFormat/>
    <w:rsid w:val="00106280"/>
    <w:pPr>
      <w:numPr>
        <w:ilvl w:val="4"/>
        <w:numId w:val="3"/>
      </w:numPr>
      <w:spacing w:before="240" w:after="60"/>
      <w:jc w:val="both"/>
      <w:outlineLvl w:val="4"/>
    </w:pPr>
    <w:rPr>
      <w:rFonts w:ascii="Arial" w:eastAsia="Batang" w:hAnsi="Arial"/>
      <w:sz w:val="22"/>
      <w:szCs w:val="20"/>
      <w:lang w:eastAsia="en-US"/>
    </w:rPr>
  </w:style>
  <w:style w:type="paragraph" w:styleId="Heading6">
    <w:name w:val="heading 6"/>
    <w:basedOn w:val="Normal"/>
    <w:next w:val="Normal"/>
    <w:link w:val="Heading6Char"/>
    <w:qFormat/>
    <w:rsid w:val="00106280"/>
    <w:pPr>
      <w:numPr>
        <w:ilvl w:val="5"/>
        <w:numId w:val="3"/>
      </w:numPr>
      <w:spacing w:before="240" w:after="60"/>
      <w:jc w:val="both"/>
      <w:outlineLvl w:val="5"/>
    </w:pPr>
    <w:rPr>
      <w:rFonts w:ascii="Arial" w:eastAsia="Batang" w:hAnsi="Arial"/>
      <w:i/>
      <w:sz w:val="22"/>
      <w:szCs w:val="20"/>
      <w:lang w:eastAsia="en-US"/>
    </w:rPr>
  </w:style>
  <w:style w:type="paragraph" w:styleId="Heading7">
    <w:name w:val="heading 7"/>
    <w:basedOn w:val="Normal"/>
    <w:next w:val="Normal"/>
    <w:link w:val="Heading7Char"/>
    <w:qFormat/>
    <w:rsid w:val="00106280"/>
    <w:pPr>
      <w:numPr>
        <w:ilvl w:val="6"/>
        <w:numId w:val="3"/>
      </w:numPr>
      <w:spacing w:before="240" w:after="60"/>
      <w:jc w:val="both"/>
      <w:outlineLvl w:val="6"/>
    </w:pPr>
    <w:rPr>
      <w:rFonts w:ascii="Arial" w:eastAsia="Batang" w:hAnsi="Arial"/>
      <w:sz w:val="20"/>
      <w:szCs w:val="20"/>
      <w:lang w:eastAsia="en-US"/>
    </w:rPr>
  </w:style>
  <w:style w:type="paragraph" w:styleId="Heading8">
    <w:name w:val="heading 8"/>
    <w:basedOn w:val="Normal"/>
    <w:next w:val="Normal"/>
    <w:link w:val="Heading8Char"/>
    <w:qFormat/>
    <w:rsid w:val="00106280"/>
    <w:pPr>
      <w:numPr>
        <w:ilvl w:val="7"/>
        <w:numId w:val="3"/>
      </w:numPr>
      <w:spacing w:before="240" w:after="60"/>
      <w:jc w:val="both"/>
      <w:outlineLvl w:val="7"/>
    </w:pPr>
    <w:rPr>
      <w:rFonts w:ascii="Arial" w:eastAsia="Batang" w:hAnsi="Arial"/>
      <w:i/>
      <w:sz w:val="20"/>
      <w:szCs w:val="20"/>
      <w:lang w:eastAsia="en-US"/>
    </w:rPr>
  </w:style>
  <w:style w:type="paragraph" w:styleId="Heading9">
    <w:name w:val="heading 9"/>
    <w:basedOn w:val="Normal"/>
    <w:next w:val="Normal"/>
    <w:link w:val="Heading9Char"/>
    <w:qFormat/>
    <w:rsid w:val="00106280"/>
    <w:pPr>
      <w:numPr>
        <w:ilvl w:val="8"/>
        <w:numId w:val="3"/>
      </w:numPr>
      <w:spacing w:before="240" w:after="60"/>
      <w:jc w:val="both"/>
      <w:outlineLvl w:val="8"/>
    </w:pPr>
    <w:rPr>
      <w:rFonts w:ascii="Arial" w:eastAsia="Batang"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106280"/>
    <w:rPr>
      <w:rFonts w:ascii="Arial" w:eastAsia="Batang" w:hAnsi="Arial" w:cs="Times New Roman"/>
      <w:b/>
      <w:caps/>
      <w:sz w:val="24"/>
      <w:szCs w:val="20"/>
    </w:rPr>
  </w:style>
  <w:style w:type="character" w:customStyle="1" w:styleId="Heading1Char">
    <w:name w:val="Heading 1 Char"/>
    <w:aliases w:val="Heading 11 Char"/>
    <w:basedOn w:val="DefaultParagraphFont"/>
    <w:link w:val="Heading1"/>
    <w:rsid w:val="00106280"/>
    <w:rPr>
      <w:rFonts w:ascii="Arial" w:eastAsia="Batang" w:hAnsi="Arial" w:cs="Times New Roman"/>
      <w:b/>
      <w:caps/>
      <w:spacing w:val="20"/>
      <w:sz w:val="26"/>
      <w:szCs w:val="20"/>
      <w:u w:val="single"/>
    </w:rPr>
  </w:style>
  <w:style w:type="character" w:customStyle="1" w:styleId="Heading3Char">
    <w:name w:val="Heading 3 Char"/>
    <w:basedOn w:val="DefaultParagraphFont"/>
    <w:link w:val="Heading3"/>
    <w:rsid w:val="00106280"/>
    <w:rPr>
      <w:rFonts w:ascii="Arial" w:eastAsia="Batang" w:hAnsi="Arial" w:cs="Times New Roman"/>
      <w:b/>
      <w:sz w:val="24"/>
      <w:szCs w:val="20"/>
      <w:u w:val="single"/>
    </w:rPr>
  </w:style>
  <w:style w:type="character" w:customStyle="1" w:styleId="Heading4Char">
    <w:name w:val="Heading 4 Char"/>
    <w:basedOn w:val="DefaultParagraphFont"/>
    <w:link w:val="Heading4"/>
    <w:rsid w:val="00106280"/>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106280"/>
    <w:rPr>
      <w:rFonts w:ascii="Arial" w:eastAsia="Batang" w:hAnsi="Arial" w:cs="Times New Roman"/>
      <w:szCs w:val="20"/>
    </w:rPr>
  </w:style>
  <w:style w:type="character" w:customStyle="1" w:styleId="Heading6Char">
    <w:name w:val="Heading 6 Char"/>
    <w:basedOn w:val="DefaultParagraphFont"/>
    <w:link w:val="Heading6"/>
    <w:rsid w:val="00106280"/>
    <w:rPr>
      <w:rFonts w:ascii="Arial" w:eastAsia="Batang" w:hAnsi="Arial" w:cs="Times New Roman"/>
      <w:i/>
      <w:szCs w:val="20"/>
    </w:rPr>
  </w:style>
  <w:style w:type="character" w:customStyle="1" w:styleId="Heading7Char">
    <w:name w:val="Heading 7 Char"/>
    <w:basedOn w:val="DefaultParagraphFont"/>
    <w:link w:val="Heading7"/>
    <w:rsid w:val="00106280"/>
    <w:rPr>
      <w:rFonts w:ascii="Arial" w:eastAsia="Batang" w:hAnsi="Arial" w:cs="Times New Roman"/>
      <w:sz w:val="20"/>
      <w:szCs w:val="20"/>
    </w:rPr>
  </w:style>
  <w:style w:type="character" w:customStyle="1" w:styleId="Heading8Char">
    <w:name w:val="Heading 8 Char"/>
    <w:basedOn w:val="DefaultParagraphFont"/>
    <w:link w:val="Heading8"/>
    <w:rsid w:val="00106280"/>
    <w:rPr>
      <w:rFonts w:ascii="Arial" w:eastAsia="Batang" w:hAnsi="Arial" w:cs="Times New Roman"/>
      <w:i/>
      <w:sz w:val="20"/>
      <w:szCs w:val="20"/>
    </w:rPr>
  </w:style>
  <w:style w:type="character" w:customStyle="1" w:styleId="Heading9Char">
    <w:name w:val="Heading 9 Char"/>
    <w:basedOn w:val="DefaultParagraphFont"/>
    <w:link w:val="Heading9"/>
    <w:rsid w:val="00106280"/>
    <w:rPr>
      <w:rFonts w:ascii="Arial" w:eastAsia="Batang" w:hAnsi="Arial" w:cs="Times New Roman"/>
      <w:i/>
      <w:sz w:val="18"/>
      <w:szCs w:val="20"/>
    </w:rPr>
  </w:style>
  <w:style w:type="paragraph" w:customStyle="1" w:styleId="NumberedListing">
    <w:name w:val="Numbered Listing"/>
    <w:basedOn w:val="Normal"/>
    <w:autoRedefine/>
    <w:rsid w:val="00106280"/>
    <w:pPr>
      <w:spacing w:line="280" w:lineRule="exact"/>
      <w:jc w:val="both"/>
    </w:pPr>
    <w:rPr>
      <w:rFonts w:ascii="Arial" w:hAnsi="Arial" w:cs="Arial"/>
      <w:b/>
      <w:sz w:val="22"/>
      <w:szCs w:val="22"/>
    </w:rPr>
  </w:style>
  <w:style w:type="paragraph" w:customStyle="1" w:styleId="BodySingle">
    <w:name w:val="Body Single"/>
    <w:rsid w:val="00106280"/>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106280"/>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06280"/>
    <w:rPr>
      <w:rFonts w:ascii="Arial Black" w:eastAsia="Times New Roman" w:hAnsi="Arial Black" w:cs="Times New Roman"/>
      <w:caps/>
      <w:color w:val="022B69"/>
      <w:sz w:val="30"/>
      <w:szCs w:val="30"/>
      <w:lang w:eastAsia="en-GB"/>
    </w:rPr>
  </w:style>
  <w:style w:type="table" w:styleId="TableGrid">
    <w:name w:val="Table Grid"/>
    <w:basedOn w:val="TableNormal"/>
    <w:uiPriority w:val="59"/>
    <w:rsid w:val="001062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6280"/>
    <w:pPr>
      <w:tabs>
        <w:tab w:val="center" w:pos="4153"/>
        <w:tab w:val="right" w:pos="8306"/>
      </w:tabs>
    </w:pPr>
  </w:style>
  <w:style w:type="character" w:customStyle="1" w:styleId="FooterChar">
    <w:name w:val="Footer Char"/>
    <w:basedOn w:val="DefaultParagraphFont"/>
    <w:link w:val="Footer"/>
    <w:uiPriority w:val="99"/>
    <w:rsid w:val="00106280"/>
    <w:rPr>
      <w:rFonts w:ascii="Times New Roman" w:eastAsia="Times New Roman" w:hAnsi="Times New Roman" w:cs="Times New Roman"/>
      <w:sz w:val="24"/>
      <w:szCs w:val="24"/>
      <w:lang w:val="en-GB" w:eastAsia="en-GB"/>
    </w:rPr>
  </w:style>
  <w:style w:type="character" w:styleId="PageNumber">
    <w:name w:val="page number"/>
    <w:basedOn w:val="DefaultParagraphFont"/>
    <w:rsid w:val="00106280"/>
  </w:style>
  <w:style w:type="paragraph" w:styleId="Header">
    <w:name w:val="header"/>
    <w:basedOn w:val="Normal"/>
    <w:link w:val="HeaderChar"/>
    <w:rsid w:val="00106280"/>
    <w:pPr>
      <w:tabs>
        <w:tab w:val="center" w:pos="4153"/>
        <w:tab w:val="right" w:pos="8306"/>
      </w:tabs>
    </w:pPr>
  </w:style>
  <w:style w:type="character" w:customStyle="1" w:styleId="HeaderChar">
    <w:name w:val="Header Char"/>
    <w:basedOn w:val="DefaultParagraphFont"/>
    <w:link w:val="Header"/>
    <w:rsid w:val="00106280"/>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uiPriority w:val="34"/>
    <w:qFormat/>
    <w:rsid w:val="00106280"/>
    <w:pPr>
      <w:ind w:left="720"/>
    </w:pPr>
  </w:style>
  <w:style w:type="character" w:customStyle="1" w:styleId="ListParagraphChar">
    <w:name w:val="List Paragraph Char"/>
    <w:aliases w:val="List Paragraph 1 Char,Bullets Char"/>
    <w:basedOn w:val="DefaultParagraphFont"/>
    <w:link w:val="ListParagraph"/>
    <w:uiPriority w:val="34"/>
    <w:locked/>
    <w:rsid w:val="00106280"/>
    <w:rPr>
      <w:rFonts w:ascii="Times New Roman" w:eastAsia="Times New Roman" w:hAnsi="Times New Roman" w:cs="Times New Roman"/>
      <w:sz w:val="24"/>
      <w:szCs w:val="24"/>
      <w:lang w:val="en-GB" w:eastAsia="en-GB"/>
    </w:rPr>
  </w:style>
  <w:style w:type="character" w:styleId="Hyperlink">
    <w:name w:val="Hyperlink"/>
    <w:basedOn w:val="DefaultParagraphFont"/>
    <w:rsid w:val="00106280"/>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106280"/>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106280"/>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106280"/>
    <w:rPr>
      <w:rFonts w:cs="Times New Roman"/>
      <w:vertAlign w:val="superscript"/>
    </w:rPr>
  </w:style>
  <w:style w:type="paragraph" w:customStyle="1" w:styleId="Default">
    <w:name w:val="Default"/>
    <w:rsid w:val="0010628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106280"/>
    <w:pPr>
      <w:jc w:val="both"/>
    </w:pPr>
    <w:rPr>
      <w:rFonts w:ascii="Arial" w:hAnsi="Arial" w:cs="Arial"/>
      <w:lang w:eastAsia="en-US"/>
    </w:rPr>
  </w:style>
  <w:style w:type="character" w:customStyle="1" w:styleId="BodyTextChar">
    <w:name w:val="Body Text Char"/>
    <w:basedOn w:val="DefaultParagraphFont"/>
    <w:link w:val="BodyText"/>
    <w:rsid w:val="00106280"/>
    <w:rPr>
      <w:rFonts w:ascii="Arial" w:eastAsia="Times New Roman" w:hAnsi="Arial" w:cs="Arial"/>
      <w:sz w:val="24"/>
      <w:szCs w:val="24"/>
    </w:rPr>
  </w:style>
  <w:style w:type="paragraph" w:styleId="NormalWeb">
    <w:name w:val="Normal (Web)"/>
    <w:basedOn w:val="Normal"/>
    <w:uiPriority w:val="99"/>
    <w:rsid w:val="00106280"/>
    <w:pPr>
      <w:spacing w:before="120" w:after="216"/>
    </w:pPr>
  </w:style>
  <w:style w:type="character" w:styleId="Strong">
    <w:name w:val="Strong"/>
    <w:basedOn w:val="DefaultParagraphFont"/>
    <w:qFormat/>
    <w:rsid w:val="00106280"/>
    <w:rPr>
      <w:b/>
      <w:bCs/>
    </w:rPr>
  </w:style>
  <w:style w:type="paragraph" w:customStyle="1" w:styleId="ColorfulList-Accent11">
    <w:name w:val="Colorful List - Accent 11"/>
    <w:basedOn w:val="Normal"/>
    <w:qFormat/>
    <w:rsid w:val="00106280"/>
    <w:pPr>
      <w:spacing w:after="200" w:line="276" w:lineRule="auto"/>
      <w:ind w:left="720"/>
      <w:contextualSpacing/>
    </w:pPr>
    <w:rPr>
      <w:rFonts w:ascii="Calibri" w:eastAsia="Calibri" w:hAnsi="Calibri"/>
      <w:sz w:val="22"/>
      <w:szCs w:val="22"/>
      <w:lang w:eastAsia="en-US"/>
    </w:rPr>
  </w:style>
  <w:style w:type="paragraph" w:customStyle="1" w:styleId="Style0">
    <w:name w:val="Style0"/>
    <w:rsid w:val="00106280"/>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106280"/>
  </w:style>
  <w:style w:type="character" w:styleId="Emphasis">
    <w:name w:val="Emphasis"/>
    <w:basedOn w:val="DefaultParagraphFont"/>
    <w:uiPriority w:val="20"/>
    <w:qFormat/>
    <w:rsid w:val="00106280"/>
    <w:rPr>
      <w:i/>
      <w:iCs/>
    </w:rPr>
  </w:style>
  <w:style w:type="character" w:customStyle="1" w:styleId="apple-converted-space">
    <w:name w:val="apple-converted-space"/>
    <w:basedOn w:val="DefaultParagraphFont"/>
    <w:rsid w:val="00106280"/>
  </w:style>
  <w:style w:type="paragraph" w:styleId="BalloonText">
    <w:name w:val="Balloon Text"/>
    <w:basedOn w:val="Normal"/>
    <w:link w:val="BalloonTextChar"/>
    <w:rsid w:val="00106280"/>
    <w:rPr>
      <w:rFonts w:ascii="Tahoma" w:hAnsi="Tahoma" w:cs="Tahoma"/>
      <w:sz w:val="16"/>
      <w:szCs w:val="16"/>
    </w:rPr>
  </w:style>
  <w:style w:type="character" w:customStyle="1" w:styleId="BalloonTextChar">
    <w:name w:val="Balloon Text Char"/>
    <w:basedOn w:val="DefaultParagraphFont"/>
    <w:link w:val="BalloonText"/>
    <w:rsid w:val="00106280"/>
    <w:rPr>
      <w:rFonts w:ascii="Tahoma" w:eastAsia="Times New Roman" w:hAnsi="Tahoma" w:cs="Tahoma"/>
      <w:sz w:val="16"/>
      <w:szCs w:val="16"/>
      <w:lang w:val="en-GB" w:eastAsia="en-GB"/>
    </w:rPr>
  </w:style>
  <w:style w:type="character" w:customStyle="1" w:styleId="CommentTextChar">
    <w:name w:val="Comment Text Char"/>
    <w:basedOn w:val="DefaultParagraphFont"/>
    <w:link w:val="CommentText"/>
    <w:uiPriority w:val="99"/>
    <w:semiHidden/>
    <w:rsid w:val="00106280"/>
    <w:rPr>
      <w:sz w:val="20"/>
      <w:szCs w:val="20"/>
    </w:rPr>
  </w:style>
  <w:style w:type="paragraph" w:styleId="CommentText">
    <w:name w:val="annotation text"/>
    <w:basedOn w:val="Normal"/>
    <w:link w:val="CommentTextChar"/>
    <w:uiPriority w:val="99"/>
    <w:semiHidden/>
    <w:unhideWhenUsed/>
    <w:rsid w:val="00106280"/>
    <w:pPr>
      <w:spacing w:after="160"/>
    </w:pPr>
    <w:rPr>
      <w:rFonts w:asciiTheme="minorHAnsi" w:eastAsiaTheme="minorHAnsi" w:hAnsiTheme="minorHAnsi" w:cstheme="minorBidi"/>
      <w:sz w:val="20"/>
      <w:szCs w:val="20"/>
      <w:lang w:eastAsia="en-US"/>
    </w:rPr>
  </w:style>
  <w:style w:type="character" w:styleId="CommentReference">
    <w:name w:val="annotation reference"/>
    <w:basedOn w:val="DefaultParagraphFont"/>
    <w:semiHidden/>
    <w:unhideWhenUsed/>
    <w:rsid w:val="00FF0088"/>
    <w:rPr>
      <w:sz w:val="16"/>
      <w:szCs w:val="16"/>
    </w:rPr>
  </w:style>
  <w:style w:type="paragraph" w:styleId="CommentSubject">
    <w:name w:val="annotation subject"/>
    <w:basedOn w:val="CommentText"/>
    <w:next w:val="CommentText"/>
    <w:link w:val="CommentSubjectChar"/>
    <w:uiPriority w:val="99"/>
    <w:semiHidden/>
    <w:unhideWhenUsed/>
    <w:rsid w:val="00FF0088"/>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F0088"/>
    <w:rPr>
      <w:rFonts w:ascii="Times New Roman" w:eastAsia="Times New Roman" w:hAnsi="Times New Roman" w:cs="Times New Roman"/>
      <w:b/>
      <w:bCs/>
      <w:sz w:val="20"/>
      <w:szCs w:val="20"/>
      <w:lang w:eastAsia="en-GB"/>
    </w:rPr>
  </w:style>
  <w:style w:type="paragraph" w:styleId="Revision">
    <w:name w:val="Revision"/>
    <w:hidden/>
    <w:uiPriority w:val="99"/>
    <w:semiHidden/>
    <w:rsid w:val="00546D85"/>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23507D"/>
    <w:pPr>
      <w:spacing w:after="200"/>
    </w:pPr>
    <w:rPr>
      <w:rFonts w:ascii="Calibri" w:eastAsia="Calibri" w:hAnsi="Calibri"/>
      <w:i/>
      <w:iCs/>
      <w:color w:val="44546A"/>
      <w:sz w:val="18"/>
      <w:szCs w:val="18"/>
      <w:lang w:eastAsia="en-US"/>
    </w:rPr>
  </w:style>
  <w:style w:type="paragraph" w:styleId="NoSpacing">
    <w:name w:val="No Spacing"/>
    <w:uiPriority w:val="1"/>
    <w:qFormat/>
    <w:rsid w:val="0086721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19">
      <w:bodyDiv w:val="1"/>
      <w:marLeft w:val="0"/>
      <w:marRight w:val="0"/>
      <w:marTop w:val="0"/>
      <w:marBottom w:val="0"/>
      <w:divBdr>
        <w:top w:val="none" w:sz="0" w:space="0" w:color="auto"/>
        <w:left w:val="none" w:sz="0" w:space="0" w:color="auto"/>
        <w:bottom w:val="none" w:sz="0" w:space="0" w:color="auto"/>
        <w:right w:val="none" w:sz="0" w:space="0" w:color="auto"/>
      </w:divBdr>
      <w:divsChild>
        <w:div w:id="601839147">
          <w:marLeft w:val="547"/>
          <w:marRight w:val="0"/>
          <w:marTop w:val="0"/>
          <w:marBottom w:val="0"/>
          <w:divBdr>
            <w:top w:val="none" w:sz="0" w:space="0" w:color="auto"/>
            <w:left w:val="none" w:sz="0" w:space="0" w:color="auto"/>
            <w:bottom w:val="none" w:sz="0" w:space="0" w:color="auto"/>
            <w:right w:val="none" w:sz="0" w:space="0" w:color="auto"/>
          </w:divBdr>
        </w:div>
        <w:div w:id="763837888">
          <w:marLeft w:val="547"/>
          <w:marRight w:val="0"/>
          <w:marTop w:val="0"/>
          <w:marBottom w:val="0"/>
          <w:divBdr>
            <w:top w:val="none" w:sz="0" w:space="0" w:color="auto"/>
            <w:left w:val="none" w:sz="0" w:space="0" w:color="auto"/>
            <w:bottom w:val="none" w:sz="0" w:space="0" w:color="auto"/>
            <w:right w:val="none" w:sz="0" w:space="0" w:color="auto"/>
          </w:divBdr>
        </w:div>
      </w:divsChild>
    </w:div>
    <w:div w:id="17320462">
      <w:bodyDiv w:val="1"/>
      <w:marLeft w:val="0"/>
      <w:marRight w:val="0"/>
      <w:marTop w:val="0"/>
      <w:marBottom w:val="0"/>
      <w:divBdr>
        <w:top w:val="none" w:sz="0" w:space="0" w:color="auto"/>
        <w:left w:val="none" w:sz="0" w:space="0" w:color="auto"/>
        <w:bottom w:val="none" w:sz="0" w:space="0" w:color="auto"/>
        <w:right w:val="none" w:sz="0" w:space="0" w:color="auto"/>
      </w:divBdr>
    </w:div>
    <w:div w:id="100609770">
      <w:bodyDiv w:val="1"/>
      <w:marLeft w:val="0"/>
      <w:marRight w:val="0"/>
      <w:marTop w:val="0"/>
      <w:marBottom w:val="0"/>
      <w:divBdr>
        <w:top w:val="none" w:sz="0" w:space="0" w:color="auto"/>
        <w:left w:val="none" w:sz="0" w:space="0" w:color="auto"/>
        <w:bottom w:val="none" w:sz="0" w:space="0" w:color="auto"/>
        <w:right w:val="none" w:sz="0" w:space="0" w:color="auto"/>
      </w:divBdr>
      <w:divsChild>
        <w:div w:id="1963267171">
          <w:marLeft w:val="547"/>
          <w:marRight w:val="0"/>
          <w:marTop w:val="0"/>
          <w:marBottom w:val="0"/>
          <w:divBdr>
            <w:top w:val="none" w:sz="0" w:space="0" w:color="auto"/>
            <w:left w:val="none" w:sz="0" w:space="0" w:color="auto"/>
            <w:bottom w:val="none" w:sz="0" w:space="0" w:color="auto"/>
            <w:right w:val="none" w:sz="0" w:space="0" w:color="auto"/>
          </w:divBdr>
        </w:div>
        <w:div w:id="983004574">
          <w:marLeft w:val="547"/>
          <w:marRight w:val="0"/>
          <w:marTop w:val="0"/>
          <w:marBottom w:val="0"/>
          <w:divBdr>
            <w:top w:val="none" w:sz="0" w:space="0" w:color="auto"/>
            <w:left w:val="none" w:sz="0" w:space="0" w:color="auto"/>
            <w:bottom w:val="none" w:sz="0" w:space="0" w:color="auto"/>
            <w:right w:val="none" w:sz="0" w:space="0" w:color="auto"/>
          </w:divBdr>
        </w:div>
        <w:div w:id="789711317">
          <w:marLeft w:val="547"/>
          <w:marRight w:val="0"/>
          <w:marTop w:val="0"/>
          <w:marBottom w:val="0"/>
          <w:divBdr>
            <w:top w:val="none" w:sz="0" w:space="0" w:color="auto"/>
            <w:left w:val="none" w:sz="0" w:space="0" w:color="auto"/>
            <w:bottom w:val="none" w:sz="0" w:space="0" w:color="auto"/>
            <w:right w:val="none" w:sz="0" w:space="0" w:color="auto"/>
          </w:divBdr>
        </w:div>
        <w:div w:id="1202672773">
          <w:marLeft w:val="547"/>
          <w:marRight w:val="0"/>
          <w:marTop w:val="0"/>
          <w:marBottom w:val="0"/>
          <w:divBdr>
            <w:top w:val="none" w:sz="0" w:space="0" w:color="auto"/>
            <w:left w:val="none" w:sz="0" w:space="0" w:color="auto"/>
            <w:bottom w:val="none" w:sz="0" w:space="0" w:color="auto"/>
            <w:right w:val="none" w:sz="0" w:space="0" w:color="auto"/>
          </w:divBdr>
        </w:div>
        <w:div w:id="8026948">
          <w:marLeft w:val="547"/>
          <w:marRight w:val="0"/>
          <w:marTop w:val="0"/>
          <w:marBottom w:val="0"/>
          <w:divBdr>
            <w:top w:val="none" w:sz="0" w:space="0" w:color="auto"/>
            <w:left w:val="none" w:sz="0" w:space="0" w:color="auto"/>
            <w:bottom w:val="none" w:sz="0" w:space="0" w:color="auto"/>
            <w:right w:val="none" w:sz="0" w:space="0" w:color="auto"/>
          </w:divBdr>
        </w:div>
      </w:divsChild>
    </w:div>
    <w:div w:id="569270719">
      <w:bodyDiv w:val="1"/>
      <w:marLeft w:val="0"/>
      <w:marRight w:val="0"/>
      <w:marTop w:val="0"/>
      <w:marBottom w:val="0"/>
      <w:divBdr>
        <w:top w:val="none" w:sz="0" w:space="0" w:color="auto"/>
        <w:left w:val="none" w:sz="0" w:space="0" w:color="auto"/>
        <w:bottom w:val="none" w:sz="0" w:space="0" w:color="auto"/>
        <w:right w:val="none" w:sz="0" w:space="0" w:color="auto"/>
      </w:divBdr>
      <w:divsChild>
        <w:div w:id="723720078">
          <w:marLeft w:val="1886"/>
          <w:marRight w:val="0"/>
          <w:marTop w:val="0"/>
          <w:marBottom w:val="0"/>
          <w:divBdr>
            <w:top w:val="none" w:sz="0" w:space="0" w:color="auto"/>
            <w:left w:val="none" w:sz="0" w:space="0" w:color="auto"/>
            <w:bottom w:val="none" w:sz="0" w:space="0" w:color="auto"/>
            <w:right w:val="none" w:sz="0" w:space="0" w:color="auto"/>
          </w:divBdr>
        </w:div>
      </w:divsChild>
    </w:div>
    <w:div w:id="601031312">
      <w:bodyDiv w:val="1"/>
      <w:marLeft w:val="0"/>
      <w:marRight w:val="0"/>
      <w:marTop w:val="0"/>
      <w:marBottom w:val="0"/>
      <w:divBdr>
        <w:top w:val="none" w:sz="0" w:space="0" w:color="auto"/>
        <w:left w:val="none" w:sz="0" w:space="0" w:color="auto"/>
        <w:bottom w:val="none" w:sz="0" w:space="0" w:color="auto"/>
        <w:right w:val="none" w:sz="0" w:space="0" w:color="auto"/>
      </w:divBdr>
    </w:div>
    <w:div w:id="735201145">
      <w:bodyDiv w:val="1"/>
      <w:marLeft w:val="0"/>
      <w:marRight w:val="0"/>
      <w:marTop w:val="0"/>
      <w:marBottom w:val="0"/>
      <w:divBdr>
        <w:top w:val="none" w:sz="0" w:space="0" w:color="auto"/>
        <w:left w:val="none" w:sz="0" w:space="0" w:color="auto"/>
        <w:bottom w:val="none" w:sz="0" w:space="0" w:color="auto"/>
        <w:right w:val="none" w:sz="0" w:space="0" w:color="auto"/>
      </w:divBdr>
      <w:divsChild>
        <w:div w:id="1898203317">
          <w:marLeft w:val="1886"/>
          <w:marRight w:val="0"/>
          <w:marTop w:val="0"/>
          <w:marBottom w:val="0"/>
          <w:divBdr>
            <w:top w:val="none" w:sz="0" w:space="0" w:color="auto"/>
            <w:left w:val="none" w:sz="0" w:space="0" w:color="auto"/>
            <w:bottom w:val="none" w:sz="0" w:space="0" w:color="auto"/>
            <w:right w:val="none" w:sz="0" w:space="0" w:color="auto"/>
          </w:divBdr>
        </w:div>
        <w:div w:id="331378633">
          <w:marLeft w:val="1886"/>
          <w:marRight w:val="0"/>
          <w:marTop w:val="0"/>
          <w:marBottom w:val="0"/>
          <w:divBdr>
            <w:top w:val="none" w:sz="0" w:space="0" w:color="auto"/>
            <w:left w:val="none" w:sz="0" w:space="0" w:color="auto"/>
            <w:bottom w:val="none" w:sz="0" w:space="0" w:color="auto"/>
            <w:right w:val="none" w:sz="0" w:space="0" w:color="auto"/>
          </w:divBdr>
        </w:div>
        <w:div w:id="1686134284">
          <w:marLeft w:val="1886"/>
          <w:marRight w:val="0"/>
          <w:marTop w:val="0"/>
          <w:marBottom w:val="0"/>
          <w:divBdr>
            <w:top w:val="none" w:sz="0" w:space="0" w:color="auto"/>
            <w:left w:val="none" w:sz="0" w:space="0" w:color="auto"/>
            <w:bottom w:val="none" w:sz="0" w:space="0" w:color="auto"/>
            <w:right w:val="none" w:sz="0" w:space="0" w:color="auto"/>
          </w:divBdr>
        </w:div>
        <w:div w:id="149642144">
          <w:marLeft w:val="1886"/>
          <w:marRight w:val="0"/>
          <w:marTop w:val="0"/>
          <w:marBottom w:val="0"/>
          <w:divBdr>
            <w:top w:val="none" w:sz="0" w:space="0" w:color="auto"/>
            <w:left w:val="none" w:sz="0" w:space="0" w:color="auto"/>
            <w:bottom w:val="none" w:sz="0" w:space="0" w:color="auto"/>
            <w:right w:val="none" w:sz="0" w:space="0" w:color="auto"/>
          </w:divBdr>
        </w:div>
        <w:div w:id="1247880726">
          <w:marLeft w:val="1886"/>
          <w:marRight w:val="0"/>
          <w:marTop w:val="0"/>
          <w:marBottom w:val="0"/>
          <w:divBdr>
            <w:top w:val="none" w:sz="0" w:space="0" w:color="auto"/>
            <w:left w:val="none" w:sz="0" w:space="0" w:color="auto"/>
            <w:bottom w:val="none" w:sz="0" w:space="0" w:color="auto"/>
            <w:right w:val="none" w:sz="0" w:space="0" w:color="auto"/>
          </w:divBdr>
        </w:div>
      </w:divsChild>
    </w:div>
    <w:div w:id="907761149">
      <w:bodyDiv w:val="1"/>
      <w:marLeft w:val="0"/>
      <w:marRight w:val="0"/>
      <w:marTop w:val="0"/>
      <w:marBottom w:val="0"/>
      <w:divBdr>
        <w:top w:val="none" w:sz="0" w:space="0" w:color="auto"/>
        <w:left w:val="none" w:sz="0" w:space="0" w:color="auto"/>
        <w:bottom w:val="none" w:sz="0" w:space="0" w:color="auto"/>
        <w:right w:val="none" w:sz="0" w:space="0" w:color="auto"/>
      </w:divBdr>
    </w:div>
    <w:div w:id="1035274423">
      <w:bodyDiv w:val="1"/>
      <w:marLeft w:val="0"/>
      <w:marRight w:val="0"/>
      <w:marTop w:val="0"/>
      <w:marBottom w:val="0"/>
      <w:divBdr>
        <w:top w:val="none" w:sz="0" w:space="0" w:color="auto"/>
        <w:left w:val="none" w:sz="0" w:space="0" w:color="auto"/>
        <w:bottom w:val="none" w:sz="0" w:space="0" w:color="auto"/>
        <w:right w:val="none" w:sz="0" w:space="0" w:color="auto"/>
      </w:divBdr>
    </w:div>
    <w:div w:id="1667437400">
      <w:bodyDiv w:val="1"/>
      <w:marLeft w:val="0"/>
      <w:marRight w:val="0"/>
      <w:marTop w:val="0"/>
      <w:marBottom w:val="0"/>
      <w:divBdr>
        <w:top w:val="none" w:sz="0" w:space="0" w:color="auto"/>
        <w:left w:val="none" w:sz="0" w:space="0" w:color="auto"/>
        <w:bottom w:val="none" w:sz="0" w:space="0" w:color="auto"/>
        <w:right w:val="none" w:sz="0" w:space="0" w:color="auto"/>
      </w:divBdr>
      <w:divsChild>
        <w:div w:id="1086923359">
          <w:marLeft w:val="0"/>
          <w:marRight w:val="0"/>
          <w:marTop w:val="0"/>
          <w:marBottom w:val="0"/>
          <w:divBdr>
            <w:top w:val="none" w:sz="0" w:space="0" w:color="auto"/>
            <w:left w:val="none" w:sz="0" w:space="0" w:color="auto"/>
            <w:bottom w:val="none" w:sz="0" w:space="0" w:color="auto"/>
            <w:right w:val="none" w:sz="0" w:space="0" w:color="auto"/>
          </w:divBdr>
        </w:div>
        <w:div w:id="650250782">
          <w:marLeft w:val="0"/>
          <w:marRight w:val="0"/>
          <w:marTop w:val="0"/>
          <w:marBottom w:val="0"/>
          <w:divBdr>
            <w:top w:val="none" w:sz="0" w:space="0" w:color="auto"/>
            <w:left w:val="none" w:sz="0" w:space="0" w:color="auto"/>
            <w:bottom w:val="none" w:sz="0" w:space="0" w:color="auto"/>
            <w:right w:val="none" w:sz="0" w:space="0" w:color="auto"/>
          </w:divBdr>
        </w:div>
        <w:div w:id="722292611">
          <w:marLeft w:val="0"/>
          <w:marRight w:val="0"/>
          <w:marTop w:val="0"/>
          <w:marBottom w:val="0"/>
          <w:divBdr>
            <w:top w:val="none" w:sz="0" w:space="0" w:color="auto"/>
            <w:left w:val="none" w:sz="0" w:space="0" w:color="auto"/>
            <w:bottom w:val="none" w:sz="0" w:space="0" w:color="auto"/>
            <w:right w:val="none" w:sz="0" w:space="0" w:color="auto"/>
          </w:divBdr>
        </w:div>
        <w:div w:id="1844468902">
          <w:marLeft w:val="0"/>
          <w:marRight w:val="0"/>
          <w:marTop w:val="0"/>
          <w:marBottom w:val="0"/>
          <w:divBdr>
            <w:top w:val="none" w:sz="0" w:space="0" w:color="auto"/>
            <w:left w:val="none" w:sz="0" w:space="0" w:color="auto"/>
            <w:bottom w:val="none" w:sz="0" w:space="0" w:color="auto"/>
            <w:right w:val="none" w:sz="0" w:space="0" w:color="auto"/>
          </w:divBdr>
        </w:div>
        <w:div w:id="1684937514">
          <w:marLeft w:val="0"/>
          <w:marRight w:val="0"/>
          <w:marTop w:val="0"/>
          <w:marBottom w:val="0"/>
          <w:divBdr>
            <w:top w:val="none" w:sz="0" w:space="0" w:color="auto"/>
            <w:left w:val="none" w:sz="0" w:space="0" w:color="auto"/>
            <w:bottom w:val="none" w:sz="0" w:space="0" w:color="auto"/>
            <w:right w:val="none" w:sz="0" w:space="0" w:color="auto"/>
          </w:divBdr>
        </w:div>
        <w:div w:id="712194731">
          <w:marLeft w:val="0"/>
          <w:marRight w:val="0"/>
          <w:marTop w:val="0"/>
          <w:marBottom w:val="0"/>
          <w:divBdr>
            <w:top w:val="none" w:sz="0" w:space="0" w:color="auto"/>
            <w:left w:val="none" w:sz="0" w:space="0" w:color="auto"/>
            <w:bottom w:val="none" w:sz="0" w:space="0" w:color="auto"/>
            <w:right w:val="none" w:sz="0" w:space="0" w:color="auto"/>
          </w:divBdr>
        </w:div>
        <w:div w:id="1042052229">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
        <w:div w:id="367533868">
          <w:marLeft w:val="0"/>
          <w:marRight w:val="0"/>
          <w:marTop w:val="0"/>
          <w:marBottom w:val="0"/>
          <w:divBdr>
            <w:top w:val="none" w:sz="0" w:space="0" w:color="auto"/>
            <w:left w:val="none" w:sz="0" w:space="0" w:color="auto"/>
            <w:bottom w:val="none" w:sz="0" w:space="0" w:color="auto"/>
            <w:right w:val="none" w:sz="0" w:space="0" w:color="auto"/>
          </w:divBdr>
        </w:div>
        <w:div w:id="1693653136">
          <w:marLeft w:val="0"/>
          <w:marRight w:val="0"/>
          <w:marTop w:val="0"/>
          <w:marBottom w:val="0"/>
          <w:divBdr>
            <w:top w:val="none" w:sz="0" w:space="0" w:color="auto"/>
            <w:left w:val="none" w:sz="0" w:space="0" w:color="auto"/>
            <w:bottom w:val="none" w:sz="0" w:space="0" w:color="auto"/>
            <w:right w:val="none" w:sz="0" w:space="0" w:color="auto"/>
          </w:divBdr>
        </w:div>
      </w:divsChild>
    </w:div>
    <w:div w:id="17137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0B5A-50D1-4489-940E-BD306F69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17649</Words>
  <Characters>100605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Asanda</cp:lastModifiedBy>
  <cp:revision>2</cp:revision>
  <cp:lastPrinted>2018-10-24T13:09:00Z</cp:lastPrinted>
  <dcterms:created xsi:type="dcterms:W3CDTF">2019-10-31T08:21:00Z</dcterms:created>
  <dcterms:modified xsi:type="dcterms:W3CDTF">2019-10-31T08:21:00Z</dcterms:modified>
</cp:coreProperties>
</file>