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86664" w14:textId="3429F115" w:rsidR="009E10FE" w:rsidRPr="000D5F03" w:rsidRDefault="009E10FE" w:rsidP="000D5F03">
      <w:pPr>
        <w:pStyle w:val="char"/>
        <w:tabs>
          <w:tab w:val="left" w:pos="7380"/>
        </w:tabs>
        <w:spacing w:line="360" w:lineRule="auto"/>
        <w:jc w:val="both"/>
        <w:rPr>
          <w:rFonts w:ascii="Times New Roman" w:hAnsi="Times New Roman" w:cs="Times New Roman"/>
        </w:rPr>
      </w:pPr>
    </w:p>
    <w:p w14:paraId="6ACCEE35" w14:textId="5D50B0DC" w:rsidR="009E10FE" w:rsidRPr="00720B68" w:rsidRDefault="00720B68" w:rsidP="000D5F03">
      <w:pPr>
        <w:spacing w:line="360" w:lineRule="auto"/>
        <w:jc w:val="both"/>
        <w:rPr>
          <w:rFonts w:ascii="Times New Roman" w:hAnsi="Times New Roman"/>
          <w:b/>
          <w:sz w:val="28"/>
          <w:szCs w:val="28"/>
          <w:lang w:eastAsia="en-ZA"/>
        </w:rPr>
      </w:pPr>
      <w:r>
        <w:rPr>
          <w:rFonts w:ascii="Times New Roman" w:hAnsi="Times New Roman"/>
          <w:b/>
          <w:sz w:val="28"/>
          <w:szCs w:val="28"/>
          <w:lang w:eastAsia="en-ZA"/>
        </w:rPr>
        <w:t xml:space="preserve">4. </w:t>
      </w:r>
      <w:r w:rsidR="009E10FE" w:rsidRPr="00720B68">
        <w:rPr>
          <w:rFonts w:ascii="Times New Roman" w:hAnsi="Times New Roman"/>
          <w:b/>
          <w:sz w:val="28"/>
          <w:szCs w:val="28"/>
          <w:lang w:eastAsia="en-ZA"/>
        </w:rPr>
        <w:t xml:space="preserve">BUDGETARY REVIEW AND RECOMMENDATION REPORT OF THE PORTFOLIO COMMITTEE ON </w:t>
      </w:r>
      <w:bookmarkStart w:id="0" w:name="_GoBack"/>
      <w:r w:rsidR="009E10FE" w:rsidRPr="00720B68">
        <w:rPr>
          <w:rFonts w:ascii="Times New Roman" w:hAnsi="Times New Roman"/>
          <w:b/>
          <w:sz w:val="28"/>
          <w:szCs w:val="28"/>
          <w:lang w:eastAsia="en-ZA"/>
        </w:rPr>
        <w:t>MINERAL RESOURCES</w:t>
      </w:r>
      <w:r w:rsidR="00BA5EA4" w:rsidRPr="00720B68">
        <w:rPr>
          <w:rFonts w:ascii="Times New Roman" w:hAnsi="Times New Roman"/>
          <w:b/>
          <w:sz w:val="28"/>
          <w:szCs w:val="28"/>
          <w:lang w:eastAsia="en-ZA"/>
        </w:rPr>
        <w:t xml:space="preserve"> AND ENERGY</w:t>
      </w:r>
      <w:r w:rsidR="00295BFA" w:rsidRPr="00720B68">
        <w:rPr>
          <w:rFonts w:ascii="Times New Roman" w:hAnsi="Times New Roman"/>
          <w:b/>
          <w:sz w:val="28"/>
          <w:szCs w:val="28"/>
          <w:lang w:eastAsia="en-ZA"/>
        </w:rPr>
        <w:t xml:space="preserve"> (VOTE 29)</w:t>
      </w:r>
      <w:bookmarkEnd w:id="0"/>
      <w:r w:rsidR="009E10FE" w:rsidRPr="00720B68">
        <w:rPr>
          <w:rFonts w:ascii="Times New Roman" w:hAnsi="Times New Roman"/>
          <w:b/>
          <w:sz w:val="28"/>
          <w:szCs w:val="28"/>
          <w:lang w:eastAsia="en-ZA"/>
        </w:rPr>
        <w:t xml:space="preserve"> DATED</w:t>
      </w:r>
      <w:r w:rsidR="00F31203" w:rsidRPr="00720B68">
        <w:rPr>
          <w:rFonts w:ascii="Times New Roman" w:hAnsi="Times New Roman"/>
          <w:b/>
          <w:sz w:val="28"/>
          <w:szCs w:val="28"/>
          <w:lang w:eastAsia="en-ZA"/>
        </w:rPr>
        <w:t xml:space="preserve"> </w:t>
      </w:r>
      <w:r w:rsidR="000D5F03" w:rsidRPr="00720B68">
        <w:rPr>
          <w:rFonts w:ascii="Times New Roman" w:hAnsi="Times New Roman"/>
          <w:b/>
          <w:sz w:val="28"/>
          <w:szCs w:val="28"/>
          <w:lang w:eastAsia="en-ZA"/>
        </w:rPr>
        <w:t>22 OCTOBER 2019</w:t>
      </w:r>
    </w:p>
    <w:p w14:paraId="52DB460A" w14:textId="77777777" w:rsidR="009E10FE" w:rsidRPr="000D5F03" w:rsidRDefault="009E10FE" w:rsidP="000D5F03">
      <w:pPr>
        <w:spacing w:line="360" w:lineRule="auto"/>
        <w:jc w:val="both"/>
        <w:rPr>
          <w:rFonts w:ascii="Times New Roman" w:hAnsi="Times New Roman"/>
          <w:b/>
          <w:sz w:val="24"/>
          <w:szCs w:val="24"/>
          <w:u w:val="single"/>
          <w:lang w:eastAsia="en-ZA"/>
        </w:rPr>
      </w:pPr>
    </w:p>
    <w:p w14:paraId="411ABEEE" w14:textId="69AE7914" w:rsidR="009E10F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The Portfolio Committee on Mineral Resources</w:t>
      </w:r>
      <w:r w:rsidR="000434EB" w:rsidRPr="000D5F03">
        <w:rPr>
          <w:rFonts w:ascii="Times New Roman" w:hAnsi="Times New Roman"/>
          <w:sz w:val="24"/>
          <w:szCs w:val="24"/>
        </w:rPr>
        <w:t xml:space="preserve"> and Energy,</w:t>
      </w:r>
      <w:r w:rsidRPr="000D5F03">
        <w:rPr>
          <w:rFonts w:ascii="Times New Roman" w:hAnsi="Times New Roman"/>
          <w:sz w:val="24"/>
          <w:szCs w:val="24"/>
        </w:rPr>
        <w:t xml:space="preserve"> having considered the performance and submission to National Treasury for the medium term period of the Department of Mineral Resources reports as follows:</w:t>
      </w:r>
    </w:p>
    <w:p w14:paraId="3A1B8D5F" w14:textId="77777777" w:rsidR="009E10FE" w:rsidRPr="000D5F03" w:rsidRDefault="009E10FE" w:rsidP="000D5F03">
      <w:pPr>
        <w:spacing w:line="360" w:lineRule="auto"/>
        <w:jc w:val="both"/>
        <w:rPr>
          <w:rFonts w:ascii="Times New Roman" w:hAnsi="Times New Roman"/>
          <w:sz w:val="24"/>
          <w:szCs w:val="24"/>
        </w:rPr>
      </w:pPr>
    </w:p>
    <w:p w14:paraId="4E0B5857" w14:textId="77777777" w:rsidR="009E10FE" w:rsidRPr="000D5F03" w:rsidRDefault="009E10FE" w:rsidP="000D5F03">
      <w:pPr>
        <w:pStyle w:val="ListParagraph"/>
        <w:numPr>
          <w:ilvl w:val="0"/>
          <w:numId w:val="1"/>
        </w:numPr>
        <w:suppressAutoHyphens w:val="0"/>
        <w:autoSpaceDN/>
        <w:spacing w:line="360" w:lineRule="auto"/>
        <w:contextualSpacing/>
        <w:jc w:val="both"/>
        <w:textAlignment w:val="auto"/>
        <w:rPr>
          <w:rFonts w:ascii="Times New Roman" w:hAnsi="Times New Roman"/>
          <w:b/>
          <w:caps/>
          <w:sz w:val="24"/>
          <w:szCs w:val="24"/>
          <w:u w:val="single"/>
        </w:rPr>
      </w:pPr>
      <w:r w:rsidRPr="000D5F03">
        <w:rPr>
          <w:rFonts w:ascii="Times New Roman" w:hAnsi="Times New Roman"/>
          <w:b/>
          <w:caps/>
          <w:sz w:val="24"/>
          <w:szCs w:val="24"/>
          <w:u w:val="single"/>
        </w:rPr>
        <w:t xml:space="preserve">Introduction </w:t>
      </w:r>
    </w:p>
    <w:p w14:paraId="2448F1DA" w14:textId="77777777" w:rsidR="009E10FE" w:rsidRPr="000D5F03" w:rsidRDefault="009E10FE" w:rsidP="000D5F03">
      <w:pPr>
        <w:pStyle w:val="ListParagraph"/>
        <w:spacing w:line="360" w:lineRule="auto"/>
        <w:ind w:left="360"/>
        <w:jc w:val="both"/>
        <w:rPr>
          <w:rFonts w:ascii="Times New Roman" w:hAnsi="Times New Roman"/>
          <w:b/>
          <w:sz w:val="24"/>
          <w:szCs w:val="24"/>
        </w:rPr>
      </w:pPr>
    </w:p>
    <w:p w14:paraId="1D72EF6B" w14:textId="77777777" w:rsidR="009E10FE" w:rsidRPr="000D5F03" w:rsidRDefault="009E10FE" w:rsidP="000D5F03">
      <w:pPr>
        <w:pStyle w:val="ListParagraph"/>
        <w:numPr>
          <w:ilvl w:val="1"/>
          <w:numId w:val="1"/>
        </w:numPr>
        <w:suppressAutoHyphens w:val="0"/>
        <w:autoSpaceDN/>
        <w:spacing w:line="360" w:lineRule="auto"/>
        <w:contextualSpacing/>
        <w:jc w:val="both"/>
        <w:textAlignment w:val="auto"/>
        <w:rPr>
          <w:rFonts w:ascii="Times New Roman" w:hAnsi="Times New Roman"/>
          <w:b/>
          <w:sz w:val="24"/>
          <w:szCs w:val="24"/>
        </w:rPr>
      </w:pPr>
      <w:r w:rsidRPr="000D5F03">
        <w:rPr>
          <w:rFonts w:ascii="Times New Roman" w:hAnsi="Times New Roman"/>
          <w:b/>
          <w:sz w:val="24"/>
          <w:szCs w:val="24"/>
        </w:rPr>
        <w:t xml:space="preserve">Mandate of Committee </w:t>
      </w:r>
    </w:p>
    <w:p w14:paraId="5D57B0B0" w14:textId="77777777" w:rsidR="009E10FE" w:rsidRPr="000D5F03" w:rsidRDefault="009E10FE" w:rsidP="000D5F03">
      <w:pPr>
        <w:pStyle w:val="ListParagraph"/>
        <w:tabs>
          <w:tab w:val="left" w:pos="6555"/>
        </w:tabs>
        <w:spacing w:line="360" w:lineRule="auto"/>
        <w:jc w:val="both"/>
        <w:rPr>
          <w:rFonts w:ascii="Times New Roman" w:hAnsi="Times New Roman"/>
          <w:sz w:val="24"/>
          <w:szCs w:val="24"/>
        </w:rPr>
      </w:pPr>
      <w:r w:rsidRPr="000D5F03">
        <w:rPr>
          <w:rFonts w:ascii="Times New Roman" w:hAnsi="Times New Roman"/>
          <w:sz w:val="24"/>
          <w:szCs w:val="24"/>
        </w:rPr>
        <w:tab/>
      </w:r>
    </w:p>
    <w:p w14:paraId="08224175" w14:textId="77777777" w:rsidR="00530F13"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 xml:space="preserve">In terms of the Constitution of the Republic of South Africa, 1996 (the Constitution), Portfolio Committees </w:t>
      </w:r>
      <w:r w:rsidR="001359EB" w:rsidRPr="000D5F03">
        <w:rPr>
          <w:rFonts w:ascii="Times New Roman" w:hAnsi="Times New Roman"/>
          <w:sz w:val="24"/>
          <w:szCs w:val="24"/>
        </w:rPr>
        <w:t xml:space="preserve">have </w:t>
      </w:r>
      <w:r w:rsidRPr="000D5F03">
        <w:rPr>
          <w:rFonts w:ascii="Times New Roman" w:hAnsi="Times New Roman"/>
          <w:sz w:val="24"/>
          <w:szCs w:val="24"/>
        </w:rPr>
        <w:t xml:space="preserve">a mandate to legislate, conduct oversight over the Executive and facilitate public participation. </w:t>
      </w:r>
      <w:proofErr w:type="gramStart"/>
      <w:r w:rsidRPr="000D5F03">
        <w:rPr>
          <w:rFonts w:ascii="Times New Roman" w:hAnsi="Times New Roman"/>
          <w:sz w:val="24"/>
          <w:szCs w:val="24"/>
        </w:rPr>
        <w:t>The Portfolio Committee on Mineral Resources mandate is governed by Parliament’s mission and vision statements, the rules of Parliament and its Constitutional obligations</w:t>
      </w:r>
      <w:proofErr w:type="gramEnd"/>
      <w:r w:rsidRPr="000D5F03">
        <w:rPr>
          <w:rFonts w:ascii="Times New Roman" w:hAnsi="Times New Roman"/>
          <w:sz w:val="24"/>
          <w:szCs w:val="24"/>
        </w:rPr>
        <w:t xml:space="preserve">. </w:t>
      </w:r>
    </w:p>
    <w:p w14:paraId="2535E01A" w14:textId="77777777" w:rsidR="00530F13" w:rsidRPr="000D5F03" w:rsidRDefault="00530F13" w:rsidP="000D5F03">
      <w:pPr>
        <w:spacing w:line="360" w:lineRule="auto"/>
        <w:jc w:val="both"/>
        <w:rPr>
          <w:rFonts w:ascii="Times New Roman" w:hAnsi="Times New Roman"/>
          <w:sz w:val="24"/>
          <w:szCs w:val="24"/>
        </w:rPr>
      </w:pPr>
    </w:p>
    <w:p w14:paraId="1EE2FA92" w14:textId="77777777" w:rsidR="009E10F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 xml:space="preserve">The mission of the Portfolio Committee is to contribute to the realisation of a developmental state and ensure effective </w:t>
      </w:r>
      <w:r w:rsidR="00530F13" w:rsidRPr="000D5F03">
        <w:rPr>
          <w:rFonts w:ascii="Times New Roman" w:hAnsi="Times New Roman"/>
          <w:sz w:val="24"/>
          <w:szCs w:val="24"/>
        </w:rPr>
        <w:t>s</w:t>
      </w:r>
      <w:r w:rsidRPr="000D5F03">
        <w:rPr>
          <w:rFonts w:ascii="Times New Roman" w:hAnsi="Times New Roman"/>
          <w:sz w:val="24"/>
          <w:szCs w:val="24"/>
        </w:rPr>
        <w:t xml:space="preserve">ervice </w:t>
      </w:r>
      <w:r w:rsidR="00530F13" w:rsidRPr="000D5F03">
        <w:rPr>
          <w:rFonts w:ascii="Times New Roman" w:hAnsi="Times New Roman"/>
          <w:sz w:val="24"/>
          <w:szCs w:val="24"/>
        </w:rPr>
        <w:t>d</w:t>
      </w:r>
      <w:r w:rsidRPr="000D5F03">
        <w:rPr>
          <w:rFonts w:ascii="Times New Roman" w:hAnsi="Times New Roman"/>
          <w:sz w:val="24"/>
          <w:szCs w:val="24"/>
        </w:rPr>
        <w:t xml:space="preserve">elivery through discharging its responsibility as a Portfolio Committee of Parliament. Its vision includes enhancing and developing the capacity of Committee Members in the exercise of effective oversight over the Executive Authority. One of the Committee’s core objectives is to oversee, scrutinise and influence the action of the Executive and its agencies. This implies holding the Executive and related entities accountable through oversight of objectives of its programmes, scrutinising its budget and expenditure (annually), and recommending through Parliament actions it should take in order to attain its strategic goals and contribute to service delivery. </w:t>
      </w:r>
    </w:p>
    <w:p w14:paraId="04B38491" w14:textId="77777777" w:rsidR="009E10FE" w:rsidRPr="000D5F03" w:rsidRDefault="009E10FE" w:rsidP="000D5F03">
      <w:pPr>
        <w:spacing w:line="360" w:lineRule="auto"/>
        <w:jc w:val="both"/>
        <w:rPr>
          <w:rFonts w:ascii="Times New Roman" w:hAnsi="Times New Roman"/>
          <w:sz w:val="24"/>
          <w:szCs w:val="24"/>
        </w:rPr>
      </w:pPr>
    </w:p>
    <w:p w14:paraId="75F153C3" w14:textId="77777777" w:rsidR="00C440E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 xml:space="preserve">The stakeholders </w:t>
      </w:r>
      <w:r w:rsidR="001359EB" w:rsidRPr="000D5F03">
        <w:rPr>
          <w:rFonts w:ascii="Times New Roman" w:hAnsi="Times New Roman"/>
          <w:sz w:val="24"/>
          <w:szCs w:val="24"/>
        </w:rPr>
        <w:t>in the mining sector</w:t>
      </w:r>
      <w:r w:rsidRPr="000D5F03">
        <w:rPr>
          <w:rFonts w:ascii="Times New Roman" w:hAnsi="Times New Roman"/>
          <w:sz w:val="24"/>
          <w:szCs w:val="24"/>
        </w:rPr>
        <w:t xml:space="preserve"> confront a highly challenged industry. The necessity for transformation away from the discriminatory past </w:t>
      </w:r>
      <w:proofErr w:type="gramStart"/>
      <w:r w:rsidRPr="000D5F03">
        <w:rPr>
          <w:rFonts w:ascii="Times New Roman" w:hAnsi="Times New Roman"/>
          <w:sz w:val="24"/>
          <w:szCs w:val="24"/>
        </w:rPr>
        <w:t>is made</w:t>
      </w:r>
      <w:proofErr w:type="gramEnd"/>
      <w:r w:rsidRPr="000D5F03">
        <w:rPr>
          <w:rFonts w:ascii="Times New Roman" w:hAnsi="Times New Roman"/>
          <w:sz w:val="24"/>
          <w:szCs w:val="24"/>
        </w:rPr>
        <w:t xml:space="preserve"> much more difficult by the </w:t>
      </w:r>
      <w:r w:rsidR="001359EB" w:rsidRPr="000D5F03">
        <w:rPr>
          <w:rFonts w:ascii="Times New Roman" w:hAnsi="Times New Roman"/>
          <w:sz w:val="24"/>
          <w:szCs w:val="24"/>
        </w:rPr>
        <w:t>volatility</w:t>
      </w:r>
      <w:r w:rsidRPr="000D5F03">
        <w:rPr>
          <w:rFonts w:ascii="Times New Roman" w:hAnsi="Times New Roman"/>
          <w:sz w:val="24"/>
          <w:szCs w:val="24"/>
        </w:rPr>
        <w:t xml:space="preserve"> commodity prices, </w:t>
      </w:r>
      <w:r w:rsidR="005B3EBE" w:rsidRPr="000D5F03">
        <w:rPr>
          <w:rFonts w:ascii="Times New Roman" w:hAnsi="Times New Roman"/>
          <w:sz w:val="24"/>
          <w:szCs w:val="24"/>
        </w:rPr>
        <w:t>fluctuating</w:t>
      </w:r>
      <w:r w:rsidRPr="000D5F03">
        <w:rPr>
          <w:rFonts w:ascii="Times New Roman" w:hAnsi="Times New Roman"/>
          <w:sz w:val="24"/>
          <w:szCs w:val="24"/>
        </w:rPr>
        <w:t xml:space="preserve"> export markets, expensive electrical energy and deep mines where the ‘zero harm’ principle is costly and elusive.</w:t>
      </w:r>
      <w:r w:rsidR="00C40C76" w:rsidRPr="000D5F03">
        <w:rPr>
          <w:rFonts w:ascii="Times New Roman" w:hAnsi="Times New Roman"/>
          <w:sz w:val="24"/>
          <w:szCs w:val="24"/>
        </w:rPr>
        <w:t xml:space="preserve"> </w:t>
      </w:r>
    </w:p>
    <w:p w14:paraId="46275CAC" w14:textId="77777777" w:rsidR="00C440EE" w:rsidRPr="000D5F03" w:rsidRDefault="00C440EE" w:rsidP="000D5F03">
      <w:pPr>
        <w:spacing w:line="360" w:lineRule="auto"/>
        <w:jc w:val="both"/>
        <w:rPr>
          <w:rFonts w:ascii="Times New Roman" w:hAnsi="Times New Roman"/>
          <w:sz w:val="24"/>
          <w:szCs w:val="24"/>
        </w:rPr>
      </w:pPr>
    </w:p>
    <w:p w14:paraId="6F1AFDA3" w14:textId="6785C699" w:rsidR="009E10FE" w:rsidRPr="000D5F03" w:rsidRDefault="00C40C76" w:rsidP="000D5F03">
      <w:pPr>
        <w:spacing w:line="360" w:lineRule="auto"/>
        <w:jc w:val="both"/>
        <w:rPr>
          <w:rFonts w:ascii="Times New Roman" w:hAnsi="Times New Roman"/>
          <w:sz w:val="24"/>
          <w:szCs w:val="24"/>
        </w:rPr>
      </w:pPr>
      <w:r w:rsidRPr="000D5F03">
        <w:rPr>
          <w:rFonts w:ascii="Times New Roman" w:hAnsi="Times New Roman"/>
          <w:sz w:val="24"/>
          <w:szCs w:val="24"/>
        </w:rPr>
        <w:lastRenderedPageBreak/>
        <w:t>The labour market is unsettled by job insecurity</w:t>
      </w:r>
      <w:r w:rsidR="000922FA" w:rsidRPr="000D5F03">
        <w:rPr>
          <w:rFonts w:ascii="Times New Roman" w:hAnsi="Times New Roman"/>
          <w:sz w:val="24"/>
          <w:szCs w:val="24"/>
        </w:rPr>
        <w:t xml:space="preserve"> arising from the reactions to the threats of </w:t>
      </w:r>
      <w:proofErr w:type="gramStart"/>
      <w:r w:rsidR="000922FA" w:rsidRPr="000D5F03">
        <w:rPr>
          <w:rFonts w:ascii="Times New Roman" w:hAnsi="Times New Roman"/>
          <w:sz w:val="24"/>
          <w:szCs w:val="24"/>
        </w:rPr>
        <w:t xml:space="preserve">mine </w:t>
      </w:r>
      <w:r w:rsidR="005B3EBE" w:rsidRPr="000D5F03">
        <w:rPr>
          <w:rFonts w:ascii="Times New Roman" w:hAnsi="Times New Roman"/>
          <w:sz w:val="24"/>
          <w:szCs w:val="24"/>
        </w:rPr>
        <w:t>shaft</w:t>
      </w:r>
      <w:proofErr w:type="gramEnd"/>
      <w:r w:rsidR="005B3EBE" w:rsidRPr="000D5F03">
        <w:rPr>
          <w:rFonts w:ascii="Times New Roman" w:hAnsi="Times New Roman"/>
          <w:sz w:val="24"/>
          <w:szCs w:val="24"/>
        </w:rPr>
        <w:t xml:space="preserve"> </w:t>
      </w:r>
      <w:r w:rsidR="000922FA" w:rsidRPr="000D5F03">
        <w:rPr>
          <w:rFonts w:ascii="Times New Roman" w:hAnsi="Times New Roman"/>
          <w:sz w:val="24"/>
          <w:szCs w:val="24"/>
        </w:rPr>
        <w:t>closures from the mining companies</w:t>
      </w:r>
      <w:r w:rsidR="005B3EBE" w:rsidRPr="000D5F03">
        <w:rPr>
          <w:rFonts w:ascii="Times New Roman" w:hAnsi="Times New Roman"/>
          <w:sz w:val="24"/>
          <w:szCs w:val="24"/>
        </w:rPr>
        <w:t xml:space="preserve"> (e.g. Sibanye Platinum)</w:t>
      </w:r>
      <w:r w:rsidR="000922FA" w:rsidRPr="000D5F03">
        <w:rPr>
          <w:rFonts w:ascii="Times New Roman" w:hAnsi="Times New Roman"/>
          <w:sz w:val="24"/>
          <w:szCs w:val="24"/>
        </w:rPr>
        <w:t>.</w:t>
      </w:r>
      <w:r w:rsidR="009E10FE" w:rsidRPr="000D5F03">
        <w:rPr>
          <w:rFonts w:ascii="Times New Roman" w:hAnsi="Times New Roman"/>
          <w:sz w:val="24"/>
          <w:szCs w:val="24"/>
        </w:rPr>
        <w:t xml:space="preserve"> </w:t>
      </w:r>
      <w:r w:rsidR="00DA2294" w:rsidRPr="000D5F03">
        <w:rPr>
          <w:rFonts w:ascii="Times New Roman" w:hAnsi="Times New Roman"/>
          <w:sz w:val="24"/>
          <w:szCs w:val="24"/>
        </w:rPr>
        <w:t xml:space="preserve">Recent announcements on looming job losses at </w:t>
      </w:r>
      <w:proofErr w:type="spellStart"/>
      <w:r w:rsidR="00DA2294" w:rsidRPr="000D5F03">
        <w:rPr>
          <w:rFonts w:ascii="Times New Roman" w:hAnsi="Times New Roman"/>
          <w:sz w:val="24"/>
          <w:szCs w:val="24"/>
        </w:rPr>
        <w:t>Marikana</w:t>
      </w:r>
      <w:proofErr w:type="spellEnd"/>
      <w:r w:rsidR="00DA2294" w:rsidRPr="000D5F03">
        <w:rPr>
          <w:rFonts w:ascii="Times New Roman" w:hAnsi="Times New Roman"/>
          <w:sz w:val="24"/>
          <w:szCs w:val="24"/>
        </w:rPr>
        <w:t xml:space="preserve"> Platinum </w:t>
      </w:r>
      <w:r w:rsidR="005B3EBE" w:rsidRPr="000D5F03">
        <w:rPr>
          <w:rFonts w:ascii="Times New Roman" w:hAnsi="Times New Roman"/>
          <w:sz w:val="24"/>
          <w:szCs w:val="24"/>
        </w:rPr>
        <w:t>m</w:t>
      </w:r>
      <w:r w:rsidR="00DA2294" w:rsidRPr="000D5F03">
        <w:rPr>
          <w:rFonts w:ascii="Times New Roman" w:hAnsi="Times New Roman"/>
          <w:sz w:val="24"/>
          <w:szCs w:val="24"/>
        </w:rPr>
        <w:t>ines estimated at 5</w:t>
      </w:r>
      <w:r w:rsidR="005B3EBE" w:rsidRPr="000D5F03">
        <w:rPr>
          <w:rFonts w:ascii="Times New Roman" w:hAnsi="Times New Roman"/>
          <w:sz w:val="24"/>
          <w:szCs w:val="24"/>
        </w:rPr>
        <w:t xml:space="preserve"> </w:t>
      </w:r>
      <w:r w:rsidR="00DA2294" w:rsidRPr="000D5F03">
        <w:rPr>
          <w:rFonts w:ascii="Times New Roman" w:hAnsi="Times New Roman"/>
          <w:sz w:val="24"/>
          <w:szCs w:val="24"/>
        </w:rPr>
        <w:t xml:space="preserve">270 by Sibanye is testament to instability in the job market within the </w:t>
      </w:r>
      <w:r w:rsidR="005B3EBE" w:rsidRPr="000D5F03">
        <w:rPr>
          <w:rFonts w:ascii="Times New Roman" w:hAnsi="Times New Roman"/>
          <w:sz w:val="24"/>
          <w:szCs w:val="24"/>
        </w:rPr>
        <w:t xml:space="preserve">mining </w:t>
      </w:r>
      <w:r w:rsidR="00DA2294" w:rsidRPr="000D5F03">
        <w:rPr>
          <w:rFonts w:ascii="Times New Roman" w:hAnsi="Times New Roman"/>
          <w:sz w:val="24"/>
          <w:szCs w:val="24"/>
        </w:rPr>
        <w:t>industry.</w:t>
      </w:r>
      <w:r w:rsidR="001359EB" w:rsidRPr="000D5F03">
        <w:rPr>
          <w:rFonts w:ascii="Times New Roman" w:hAnsi="Times New Roman"/>
          <w:sz w:val="24"/>
          <w:szCs w:val="24"/>
        </w:rPr>
        <w:t xml:space="preserve"> </w:t>
      </w:r>
      <w:r w:rsidR="009E10FE" w:rsidRPr="000D5F03">
        <w:rPr>
          <w:rFonts w:ascii="Times New Roman" w:hAnsi="Times New Roman"/>
          <w:sz w:val="24"/>
          <w:szCs w:val="24"/>
        </w:rPr>
        <w:t xml:space="preserve">The industry </w:t>
      </w:r>
      <w:r w:rsidR="005B3EBE" w:rsidRPr="000D5F03">
        <w:rPr>
          <w:rFonts w:ascii="Times New Roman" w:hAnsi="Times New Roman"/>
          <w:sz w:val="24"/>
          <w:szCs w:val="24"/>
        </w:rPr>
        <w:t xml:space="preserve">also need to find ways of dealing </w:t>
      </w:r>
      <w:r w:rsidR="00940B17" w:rsidRPr="000D5F03">
        <w:rPr>
          <w:rFonts w:ascii="Times New Roman" w:hAnsi="Times New Roman"/>
          <w:sz w:val="24"/>
          <w:szCs w:val="24"/>
        </w:rPr>
        <w:t xml:space="preserve">with </w:t>
      </w:r>
      <w:r w:rsidR="005B3EBE" w:rsidRPr="000D5F03">
        <w:rPr>
          <w:rFonts w:ascii="Times New Roman" w:hAnsi="Times New Roman"/>
          <w:sz w:val="24"/>
          <w:szCs w:val="24"/>
        </w:rPr>
        <w:t>challenges of the fourth industrial revolution, which will require a comprehensive and integrated response, in dealing with further job losses as mining houses continue to mechanise at a rapid pace in order to remain competitive.</w:t>
      </w:r>
      <w:r w:rsidR="00706A6C" w:rsidRPr="000D5F03">
        <w:rPr>
          <w:rFonts w:ascii="Times New Roman" w:hAnsi="Times New Roman"/>
          <w:sz w:val="24"/>
          <w:szCs w:val="24"/>
        </w:rPr>
        <w:t xml:space="preserve"> </w:t>
      </w:r>
      <w:r w:rsidR="009E10FE" w:rsidRPr="000D5F03">
        <w:rPr>
          <w:rFonts w:ascii="Times New Roman" w:hAnsi="Times New Roman"/>
          <w:sz w:val="24"/>
          <w:szCs w:val="24"/>
        </w:rPr>
        <w:t xml:space="preserve">Government needs to support the industry through this demanding adjustment </w:t>
      </w:r>
      <w:proofErr w:type="gramStart"/>
      <w:r w:rsidR="009E10FE" w:rsidRPr="000D5F03">
        <w:rPr>
          <w:rFonts w:ascii="Times New Roman" w:hAnsi="Times New Roman"/>
          <w:sz w:val="24"/>
          <w:szCs w:val="24"/>
        </w:rPr>
        <w:t>process</w:t>
      </w:r>
      <w:r w:rsidR="00706A6C" w:rsidRPr="000D5F03">
        <w:rPr>
          <w:rFonts w:ascii="Times New Roman" w:hAnsi="Times New Roman"/>
          <w:sz w:val="24"/>
          <w:szCs w:val="24"/>
        </w:rPr>
        <w:t>,</w:t>
      </w:r>
      <w:proofErr w:type="gramEnd"/>
      <w:r w:rsidR="00706A6C" w:rsidRPr="000D5F03">
        <w:rPr>
          <w:rFonts w:ascii="Times New Roman" w:hAnsi="Times New Roman"/>
          <w:sz w:val="24"/>
          <w:szCs w:val="24"/>
        </w:rPr>
        <w:t xml:space="preserve"> this will be difficult given the shrinking fiscal space currently facing the </w:t>
      </w:r>
      <w:proofErr w:type="spellStart"/>
      <w:r w:rsidR="00706A6C" w:rsidRPr="000D5F03">
        <w:rPr>
          <w:rFonts w:ascii="Times New Roman" w:hAnsi="Times New Roman"/>
          <w:sz w:val="24"/>
          <w:szCs w:val="24"/>
        </w:rPr>
        <w:t>fiscus</w:t>
      </w:r>
      <w:proofErr w:type="spellEnd"/>
      <w:r w:rsidR="009E10FE" w:rsidRPr="000D5F03">
        <w:rPr>
          <w:rFonts w:ascii="Times New Roman" w:hAnsi="Times New Roman"/>
          <w:sz w:val="24"/>
          <w:szCs w:val="24"/>
        </w:rPr>
        <w:t>.</w:t>
      </w:r>
    </w:p>
    <w:p w14:paraId="7981372B" w14:textId="77777777" w:rsidR="009E10FE" w:rsidRPr="000D5F03" w:rsidRDefault="009E10FE" w:rsidP="000D5F03">
      <w:pPr>
        <w:spacing w:line="360" w:lineRule="auto"/>
        <w:jc w:val="both"/>
        <w:rPr>
          <w:rFonts w:ascii="Times New Roman" w:hAnsi="Times New Roman"/>
          <w:sz w:val="24"/>
          <w:szCs w:val="24"/>
        </w:rPr>
      </w:pPr>
    </w:p>
    <w:p w14:paraId="6D2E6E9F" w14:textId="77777777" w:rsidR="009E10FE" w:rsidRPr="000D5F03" w:rsidRDefault="009E10FE" w:rsidP="000D5F03">
      <w:pPr>
        <w:pStyle w:val="ListParagraph"/>
        <w:numPr>
          <w:ilvl w:val="1"/>
          <w:numId w:val="1"/>
        </w:numPr>
        <w:suppressAutoHyphens w:val="0"/>
        <w:autoSpaceDN/>
        <w:spacing w:line="360" w:lineRule="auto"/>
        <w:contextualSpacing/>
        <w:jc w:val="both"/>
        <w:textAlignment w:val="auto"/>
        <w:rPr>
          <w:rFonts w:ascii="Times New Roman" w:hAnsi="Times New Roman"/>
          <w:b/>
          <w:sz w:val="24"/>
          <w:szCs w:val="24"/>
          <w:lang w:val="en-US"/>
        </w:rPr>
      </w:pPr>
      <w:r w:rsidRPr="000D5F03">
        <w:rPr>
          <w:rFonts w:ascii="Times New Roman" w:hAnsi="Times New Roman"/>
          <w:b/>
          <w:sz w:val="24"/>
          <w:szCs w:val="24"/>
        </w:rPr>
        <w:t>The Mandate of the Department, and its five entities</w:t>
      </w:r>
    </w:p>
    <w:p w14:paraId="2956A94C" w14:textId="77777777" w:rsidR="009E10FE" w:rsidRPr="000D5F03" w:rsidRDefault="009E10FE" w:rsidP="000D5F03">
      <w:pPr>
        <w:pStyle w:val="ListParagraph"/>
        <w:spacing w:line="360" w:lineRule="auto"/>
        <w:ind w:left="0"/>
        <w:jc w:val="both"/>
        <w:rPr>
          <w:rFonts w:ascii="Times New Roman" w:hAnsi="Times New Roman"/>
          <w:b/>
          <w:sz w:val="24"/>
          <w:szCs w:val="24"/>
        </w:rPr>
      </w:pPr>
    </w:p>
    <w:p w14:paraId="7CA992DC" w14:textId="77777777" w:rsidR="009E10FE" w:rsidRPr="000D5F03" w:rsidRDefault="009E10FE" w:rsidP="000D5F03">
      <w:pPr>
        <w:pStyle w:val="ListParagraph"/>
        <w:spacing w:line="360" w:lineRule="auto"/>
        <w:ind w:left="0"/>
        <w:jc w:val="both"/>
        <w:rPr>
          <w:rFonts w:ascii="Times New Roman" w:hAnsi="Times New Roman"/>
          <w:b/>
          <w:sz w:val="24"/>
          <w:szCs w:val="24"/>
        </w:rPr>
      </w:pPr>
      <w:r w:rsidRPr="000D5F03">
        <w:rPr>
          <w:rFonts w:ascii="Times New Roman" w:hAnsi="Times New Roman"/>
          <w:b/>
          <w:sz w:val="24"/>
          <w:szCs w:val="24"/>
        </w:rPr>
        <w:t>The Department</w:t>
      </w:r>
    </w:p>
    <w:p w14:paraId="1074025A" w14:textId="77777777" w:rsidR="0085110F" w:rsidRPr="000D5F03" w:rsidRDefault="0085110F" w:rsidP="000D5F03">
      <w:pPr>
        <w:pStyle w:val="ListParagraph"/>
        <w:spacing w:line="360" w:lineRule="auto"/>
        <w:ind w:left="0"/>
        <w:jc w:val="both"/>
        <w:rPr>
          <w:rFonts w:ascii="Times New Roman" w:hAnsi="Times New Roman"/>
          <w:b/>
          <w:sz w:val="24"/>
          <w:szCs w:val="24"/>
        </w:rPr>
      </w:pPr>
    </w:p>
    <w:p w14:paraId="4D8AF70F" w14:textId="77777777" w:rsidR="0085110F" w:rsidRPr="000D5F03" w:rsidRDefault="0085110F"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The aim of the Department of Mineral Resources (DMR) is to “Promote and regulate the mi</w:t>
      </w:r>
      <w:r w:rsidRPr="000D5F03">
        <w:rPr>
          <w:rFonts w:ascii="Times New Roman" w:hAnsi="Times New Roman"/>
          <w:sz w:val="24"/>
          <w:szCs w:val="24"/>
          <w:lang w:val="en-ZA"/>
        </w:rPr>
        <w:t>n</w:t>
      </w:r>
      <w:r w:rsidRPr="000D5F03">
        <w:rPr>
          <w:rFonts w:ascii="Times New Roman" w:hAnsi="Times New Roman"/>
          <w:sz w:val="24"/>
          <w:szCs w:val="24"/>
          <w:lang w:val="en-ZA"/>
        </w:rPr>
        <w:t>erals and mining sector for transformation, growth, development” and to “Ensure that all South Africans derive sustainable benefits from the country’s mineral wealth.”</w:t>
      </w:r>
    </w:p>
    <w:p w14:paraId="6734D569" w14:textId="77777777" w:rsidR="0085110F" w:rsidRPr="000D5F03" w:rsidRDefault="0085110F" w:rsidP="000D5F03">
      <w:pPr>
        <w:suppressAutoHyphens w:val="0"/>
        <w:autoSpaceDN/>
        <w:spacing w:line="360" w:lineRule="auto"/>
        <w:jc w:val="both"/>
        <w:textAlignment w:val="auto"/>
        <w:rPr>
          <w:rFonts w:ascii="Times New Roman" w:hAnsi="Times New Roman"/>
          <w:sz w:val="24"/>
          <w:szCs w:val="24"/>
          <w:lang w:val="en-ZA"/>
        </w:rPr>
      </w:pPr>
    </w:p>
    <w:p w14:paraId="70EC0A9D" w14:textId="77777777" w:rsidR="0085110F" w:rsidRPr="000D5F03" w:rsidRDefault="0085110F"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 xml:space="preserve">The mining industry employed </w:t>
      </w:r>
      <w:r w:rsidR="003236F1" w:rsidRPr="000D5F03">
        <w:rPr>
          <w:rFonts w:ascii="Times New Roman" w:hAnsi="Times New Roman"/>
          <w:sz w:val="24"/>
          <w:szCs w:val="24"/>
          <w:lang w:val="en-ZA"/>
        </w:rPr>
        <w:t>453 534</w:t>
      </w:r>
      <w:r w:rsidRPr="000D5F03">
        <w:rPr>
          <w:rFonts w:ascii="Times New Roman" w:hAnsi="Times New Roman"/>
          <w:sz w:val="24"/>
          <w:szCs w:val="24"/>
          <w:lang w:val="en-ZA"/>
        </w:rPr>
        <w:t xml:space="preserve"> people in </w:t>
      </w:r>
      <w:r w:rsidR="00706A6C" w:rsidRPr="000D5F03">
        <w:rPr>
          <w:rFonts w:ascii="Times New Roman" w:hAnsi="Times New Roman"/>
          <w:sz w:val="24"/>
          <w:szCs w:val="24"/>
          <w:lang w:val="en-ZA"/>
        </w:rPr>
        <w:t>2018</w:t>
      </w:r>
      <w:r w:rsidRPr="000D5F03">
        <w:rPr>
          <w:rFonts w:ascii="Times New Roman" w:hAnsi="Times New Roman"/>
          <w:sz w:val="24"/>
          <w:szCs w:val="24"/>
          <w:lang w:val="en-ZA"/>
        </w:rPr>
        <w:t xml:space="preserve">, a reduction from </w:t>
      </w:r>
      <w:r w:rsidR="003236F1" w:rsidRPr="000D5F03">
        <w:rPr>
          <w:rFonts w:ascii="Times New Roman" w:hAnsi="Times New Roman"/>
          <w:sz w:val="24"/>
          <w:szCs w:val="24"/>
          <w:lang w:val="en-ZA"/>
        </w:rPr>
        <w:t>509 909</w:t>
      </w:r>
      <w:r w:rsidRPr="000D5F03">
        <w:rPr>
          <w:rFonts w:ascii="Times New Roman" w:hAnsi="Times New Roman"/>
          <w:sz w:val="24"/>
          <w:szCs w:val="24"/>
          <w:lang w:val="en-ZA"/>
        </w:rPr>
        <w:t xml:space="preserve"> </w:t>
      </w:r>
      <w:r w:rsidR="003236F1" w:rsidRPr="000D5F03">
        <w:rPr>
          <w:rFonts w:ascii="Times New Roman" w:hAnsi="Times New Roman"/>
          <w:sz w:val="24"/>
          <w:szCs w:val="24"/>
          <w:lang w:val="en-ZA"/>
        </w:rPr>
        <w:t xml:space="preserve">five years ago </w:t>
      </w:r>
      <w:r w:rsidRPr="000D5F03">
        <w:rPr>
          <w:rFonts w:ascii="Times New Roman" w:hAnsi="Times New Roman"/>
          <w:sz w:val="24"/>
          <w:szCs w:val="24"/>
          <w:lang w:val="en-ZA"/>
        </w:rPr>
        <w:t xml:space="preserve">in </w:t>
      </w:r>
      <w:r w:rsidR="003236F1" w:rsidRPr="000D5F03">
        <w:rPr>
          <w:rFonts w:ascii="Times New Roman" w:hAnsi="Times New Roman"/>
          <w:sz w:val="24"/>
          <w:szCs w:val="24"/>
          <w:lang w:val="en-ZA"/>
        </w:rPr>
        <w:t>2013</w:t>
      </w:r>
      <w:r w:rsidRPr="000D5F03">
        <w:rPr>
          <w:rFonts w:ascii="Times New Roman" w:hAnsi="Times New Roman"/>
          <w:sz w:val="24"/>
          <w:szCs w:val="24"/>
          <w:lang w:val="en-ZA"/>
        </w:rPr>
        <w:t xml:space="preserve">, </w:t>
      </w:r>
      <w:r w:rsidR="003236F1" w:rsidRPr="000D5F03">
        <w:rPr>
          <w:rFonts w:ascii="Times New Roman" w:hAnsi="Times New Roman"/>
          <w:sz w:val="24"/>
          <w:szCs w:val="24"/>
          <w:lang w:val="en-ZA"/>
        </w:rPr>
        <w:t>net job loss in 2018 in the industry was estimated by the Minerals Council to be 11 217</w:t>
      </w:r>
      <w:r w:rsidRPr="000D5F03">
        <w:rPr>
          <w:rFonts w:ascii="Times New Roman" w:hAnsi="Times New Roman"/>
          <w:sz w:val="24"/>
          <w:szCs w:val="24"/>
          <w:lang w:val="en-ZA"/>
        </w:rPr>
        <w:t>.</w:t>
      </w:r>
    </w:p>
    <w:p w14:paraId="2A601156" w14:textId="77777777" w:rsidR="0085110F" w:rsidRPr="000D5F03" w:rsidRDefault="0085110F" w:rsidP="000D5F03">
      <w:pPr>
        <w:suppressAutoHyphens w:val="0"/>
        <w:autoSpaceDN/>
        <w:spacing w:line="360" w:lineRule="auto"/>
        <w:jc w:val="both"/>
        <w:textAlignment w:val="auto"/>
        <w:rPr>
          <w:rFonts w:ascii="Times New Roman" w:hAnsi="Times New Roman"/>
          <w:sz w:val="24"/>
          <w:szCs w:val="24"/>
          <w:lang w:val="en-ZA"/>
        </w:rPr>
      </w:pPr>
    </w:p>
    <w:p w14:paraId="4285E416" w14:textId="77777777" w:rsidR="0085110F" w:rsidRPr="000D5F03" w:rsidRDefault="0085110F"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 xml:space="preserve">Further severe job losses are an ongoing threat, as the industry faces variable commodity prices, mounting costs and logistics issues.  </w:t>
      </w:r>
      <w:r w:rsidRPr="000D5F03">
        <w:rPr>
          <w:rFonts w:ascii="Times New Roman" w:hAnsi="Times New Roman"/>
          <w:sz w:val="24"/>
          <w:szCs w:val="24"/>
        </w:rPr>
        <w:t xml:space="preserve">The minerals sector is a key contributor to the South African economy </w:t>
      </w:r>
      <w:r w:rsidR="003236F1" w:rsidRPr="000D5F03">
        <w:rPr>
          <w:rFonts w:ascii="Times New Roman" w:hAnsi="Times New Roman"/>
          <w:sz w:val="24"/>
          <w:szCs w:val="24"/>
        </w:rPr>
        <w:t>contributing about 7 percent to the Gross Value Added of the country</w:t>
      </w:r>
      <w:r w:rsidRPr="000D5F03">
        <w:rPr>
          <w:rFonts w:ascii="Times New Roman" w:hAnsi="Times New Roman"/>
          <w:sz w:val="24"/>
          <w:szCs w:val="24"/>
        </w:rPr>
        <w:t>. It is also responsible for more than a quarter of South Africa’s earnings from exports and is critical to the ability of the economy to earn foreign exchange. The good stewardship of the DMR over the minerals sector is of exceptional importance.</w:t>
      </w:r>
      <w:r w:rsidRPr="000D5F03" w:rsidDel="0067312D">
        <w:rPr>
          <w:rFonts w:ascii="Times New Roman" w:hAnsi="Times New Roman"/>
          <w:sz w:val="24"/>
          <w:szCs w:val="24"/>
          <w:lang w:val="en-ZA"/>
        </w:rPr>
        <w:t xml:space="preserve"> </w:t>
      </w:r>
    </w:p>
    <w:p w14:paraId="258C03A6" w14:textId="77777777" w:rsidR="001359EB" w:rsidRPr="000D5F03" w:rsidRDefault="001359EB" w:rsidP="000D5F03">
      <w:pPr>
        <w:suppressAutoHyphens w:val="0"/>
        <w:autoSpaceDN/>
        <w:spacing w:line="360" w:lineRule="auto"/>
        <w:jc w:val="both"/>
        <w:textAlignment w:val="auto"/>
        <w:rPr>
          <w:rFonts w:ascii="Times New Roman" w:hAnsi="Times New Roman"/>
          <w:sz w:val="24"/>
          <w:szCs w:val="24"/>
          <w:lang w:val="en-ZA"/>
        </w:rPr>
      </w:pPr>
    </w:p>
    <w:p w14:paraId="0774C11D" w14:textId="77777777" w:rsidR="0085110F" w:rsidRPr="000D5F03" w:rsidRDefault="0085110F" w:rsidP="000D5F03">
      <w:pPr>
        <w:suppressAutoHyphens w:val="0"/>
        <w:autoSpaceDN/>
        <w:spacing w:line="360" w:lineRule="auto"/>
        <w:jc w:val="both"/>
        <w:textAlignment w:val="auto"/>
        <w:rPr>
          <w:rFonts w:ascii="Times New Roman" w:hAnsi="Times New Roman"/>
          <w:bCs/>
          <w:color w:val="auto"/>
          <w:spacing w:val="0"/>
          <w:sz w:val="24"/>
          <w:szCs w:val="24"/>
          <w:lang w:val="en-US"/>
        </w:rPr>
      </w:pPr>
      <w:r w:rsidRPr="000D5F03">
        <w:rPr>
          <w:rFonts w:ascii="Times New Roman" w:hAnsi="Times New Roman"/>
          <w:bCs/>
          <w:color w:val="auto"/>
          <w:spacing w:val="0"/>
          <w:sz w:val="24"/>
          <w:szCs w:val="24"/>
          <w:lang w:val="en-US"/>
        </w:rPr>
        <w:t xml:space="preserve">The strategic outcome-oriented goals of the Department </w:t>
      </w:r>
      <w:proofErr w:type="gramStart"/>
      <w:r w:rsidRPr="000D5F03">
        <w:rPr>
          <w:rFonts w:ascii="Times New Roman" w:hAnsi="Times New Roman"/>
          <w:bCs/>
          <w:color w:val="auto"/>
          <w:spacing w:val="0"/>
          <w:sz w:val="24"/>
          <w:szCs w:val="24"/>
          <w:lang w:val="en-US"/>
        </w:rPr>
        <w:t>were revised</w:t>
      </w:r>
      <w:proofErr w:type="gramEnd"/>
      <w:r w:rsidRPr="000D5F03">
        <w:rPr>
          <w:rFonts w:ascii="Times New Roman" w:hAnsi="Times New Roman"/>
          <w:bCs/>
          <w:color w:val="auto"/>
          <w:spacing w:val="0"/>
          <w:sz w:val="24"/>
          <w:szCs w:val="24"/>
          <w:lang w:val="en-US"/>
        </w:rPr>
        <w:t xml:space="preserve"> in 2014 as follows: </w:t>
      </w:r>
    </w:p>
    <w:p w14:paraId="252125CA" w14:textId="77777777" w:rsidR="0085110F" w:rsidRPr="000D5F03" w:rsidRDefault="0085110F" w:rsidP="000D5F03">
      <w:pPr>
        <w:suppressAutoHyphens w:val="0"/>
        <w:autoSpaceDN/>
        <w:spacing w:line="360" w:lineRule="auto"/>
        <w:jc w:val="both"/>
        <w:textAlignment w:val="auto"/>
        <w:rPr>
          <w:rFonts w:ascii="Times New Roman" w:hAnsi="Times New Roman"/>
          <w:bCs/>
          <w:color w:val="auto"/>
          <w:spacing w:val="0"/>
          <w:sz w:val="24"/>
          <w:szCs w:val="24"/>
          <w:lang w:val="en-US"/>
        </w:rPr>
      </w:pPr>
    </w:p>
    <w:p w14:paraId="03B38F54" w14:textId="77777777" w:rsidR="0085110F" w:rsidRPr="000D5F03" w:rsidRDefault="0085110F" w:rsidP="000D5F03">
      <w:pPr>
        <w:tabs>
          <w:tab w:val="left" w:pos="2368"/>
        </w:tabs>
        <w:suppressAutoHyphens w:val="0"/>
        <w:autoSpaceDN/>
        <w:spacing w:line="360" w:lineRule="auto"/>
        <w:jc w:val="both"/>
        <w:textAlignment w:val="auto"/>
        <w:rPr>
          <w:rFonts w:ascii="Times New Roman" w:hAnsi="Times New Roman"/>
          <w:color w:val="auto"/>
          <w:spacing w:val="0"/>
          <w:sz w:val="24"/>
          <w:szCs w:val="24"/>
          <w:lang w:val="en-US"/>
        </w:rPr>
      </w:pPr>
      <w:r w:rsidRPr="000D5F03">
        <w:rPr>
          <w:rFonts w:ascii="Times New Roman" w:hAnsi="Times New Roman"/>
          <w:b/>
          <w:bCs/>
          <w:color w:val="auto"/>
          <w:spacing w:val="0"/>
          <w:sz w:val="24"/>
          <w:szCs w:val="24"/>
          <w:lang w:val="en-US"/>
        </w:rPr>
        <w:t xml:space="preserve">STRATEGIC GOAL I </w:t>
      </w:r>
      <w:r w:rsidRPr="000D5F03">
        <w:rPr>
          <w:rFonts w:ascii="Times New Roman" w:hAnsi="Times New Roman"/>
          <w:color w:val="auto"/>
          <w:spacing w:val="0"/>
          <w:sz w:val="24"/>
          <w:szCs w:val="24"/>
          <w:lang w:val="en-US"/>
        </w:rPr>
        <w:tab/>
      </w:r>
      <w:r w:rsidRPr="000D5F03">
        <w:rPr>
          <w:rFonts w:ascii="Times New Roman" w:hAnsi="Times New Roman"/>
          <w:b/>
          <w:bCs/>
          <w:color w:val="auto"/>
          <w:spacing w:val="0"/>
          <w:sz w:val="24"/>
          <w:szCs w:val="24"/>
          <w:lang w:val="en-US"/>
        </w:rPr>
        <w:t>Increased investment in the minerals, mining and petroleum se</w:t>
      </w:r>
      <w:r w:rsidRPr="000D5F03">
        <w:rPr>
          <w:rFonts w:ascii="Times New Roman" w:hAnsi="Times New Roman"/>
          <w:b/>
          <w:bCs/>
          <w:color w:val="auto"/>
          <w:spacing w:val="0"/>
          <w:sz w:val="24"/>
          <w:szCs w:val="24"/>
          <w:lang w:val="en-US"/>
        </w:rPr>
        <w:t>c</w:t>
      </w:r>
      <w:r w:rsidRPr="000D5F03">
        <w:rPr>
          <w:rFonts w:ascii="Times New Roman" w:hAnsi="Times New Roman"/>
          <w:b/>
          <w:bCs/>
          <w:color w:val="auto"/>
          <w:spacing w:val="0"/>
          <w:sz w:val="24"/>
          <w:szCs w:val="24"/>
          <w:lang w:val="en-US"/>
        </w:rPr>
        <w:t xml:space="preserve">tors. </w:t>
      </w:r>
    </w:p>
    <w:p w14:paraId="1A8E2DEF" w14:textId="77777777" w:rsidR="0085110F" w:rsidRPr="000D5F03" w:rsidRDefault="0085110F" w:rsidP="000D5F03">
      <w:pPr>
        <w:tabs>
          <w:tab w:val="left" w:pos="2368"/>
        </w:tabs>
        <w:suppressAutoHyphens w:val="0"/>
        <w:autoSpaceDN/>
        <w:spacing w:before="120" w:line="360" w:lineRule="auto"/>
        <w:ind w:left="2368" w:hanging="2368"/>
        <w:jc w:val="both"/>
        <w:textAlignment w:val="auto"/>
        <w:rPr>
          <w:rFonts w:ascii="Times New Roman" w:hAnsi="Times New Roman"/>
          <w:color w:val="auto"/>
          <w:spacing w:val="0"/>
          <w:sz w:val="24"/>
          <w:szCs w:val="24"/>
          <w:lang w:val="en-US"/>
        </w:rPr>
      </w:pPr>
      <w:r w:rsidRPr="000D5F03">
        <w:rPr>
          <w:rFonts w:ascii="Times New Roman" w:hAnsi="Times New Roman"/>
          <w:color w:val="auto"/>
          <w:spacing w:val="0"/>
          <w:sz w:val="24"/>
          <w:szCs w:val="24"/>
          <w:lang w:val="en-US"/>
        </w:rPr>
        <w:tab/>
        <w:t>Promote and facilitate an increase in minerals, mining and petroleum acti</w:t>
      </w:r>
      <w:r w:rsidRPr="000D5F03">
        <w:rPr>
          <w:rFonts w:ascii="Times New Roman" w:hAnsi="Times New Roman"/>
          <w:color w:val="auto"/>
          <w:spacing w:val="0"/>
          <w:sz w:val="24"/>
          <w:szCs w:val="24"/>
          <w:lang w:val="en-US"/>
        </w:rPr>
        <w:t>v</w:t>
      </w:r>
      <w:r w:rsidRPr="000D5F03">
        <w:rPr>
          <w:rFonts w:ascii="Times New Roman" w:hAnsi="Times New Roman"/>
          <w:color w:val="auto"/>
          <w:spacing w:val="0"/>
          <w:sz w:val="24"/>
          <w:szCs w:val="24"/>
          <w:lang w:val="en-US"/>
        </w:rPr>
        <w:t>ity including value addition to mineral resources extracted in the Republic of South Africa.</w:t>
      </w:r>
      <w:r w:rsidRPr="000D5F03">
        <w:rPr>
          <w:rFonts w:ascii="Times New Roman" w:hAnsi="Times New Roman"/>
          <w:color w:val="auto"/>
          <w:spacing w:val="0"/>
          <w:sz w:val="24"/>
          <w:szCs w:val="24"/>
          <w:lang w:val="en-US"/>
        </w:rPr>
        <w:tab/>
      </w:r>
    </w:p>
    <w:p w14:paraId="5B84E7F0" w14:textId="77777777" w:rsidR="0085110F" w:rsidRPr="000D5F03" w:rsidRDefault="0085110F" w:rsidP="000D5F03">
      <w:pPr>
        <w:tabs>
          <w:tab w:val="left" w:pos="2368"/>
        </w:tabs>
        <w:suppressAutoHyphens w:val="0"/>
        <w:autoSpaceDN/>
        <w:spacing w:before="120" w:line="360" w:lineRule="auto"/>
        <w:jc w:val="both"/>
        <w:textAlignment w:val="auto"/>
        <w:rPr>
          <w:rFonts w:ascii="Times New Roman" w:hAnsi="Times New Roman"/>
          <w:color w:val="auto"/>
          <w:spacing w:val="0"/>
          <w:sz w:val="24"/>
          <w:szCs w:val="24"/>
          <w:lang w:val="en-US"/>
        </w:rPr>
      </w:pPr>
      <w:r w:rsidRPr="000D5F03">
        <w:rPr>
          <w:rFonts w:ascii="Times New Roman" w:hAnsi="Times New Roman"/>
          <w:b/>
          <w:bCs/>
          <w:color w:val="auto"/>
          <w:spacing w:val="0"/>
          <w:sz w:val="24"/>
          <w:szCs w:val="24"/>
          <w:lang w:val="en-US"/>
        </w:rPr>
        <w:t>STRATEGIC GOAL 2</w:t>
      </w:r>
      <w:r w:rsidRPr="000D5F03">
        <w:rPr>
          <w:rFonts w:ascii="Times New Roman" w:hAnsi="Times New Roman"/>
          <w:color w:val="auto"/>
          <w:spacing w:val="0"/>
          <w:sz w:val="24"/>
          <w:szCs w:val="24"/>
          <w:lang w:val="en-US"/>
        </w:rPr>
        <w:tab/>
      </w:r>
      <w:r w:rsidRPr="000D5F03">
        <w:rPr>
          <w:rFonts w:ascii="Times New Roman" w:hAnsi="Times New Roman"/>
          <w:b/>
          <w:bCs/>
          <w:color w:val="auto"/>
          <w:spacing w:val="0"/>
          <w:sz w:val="24"/>
          <w:szCs w:val="24"/>
          <w:lang w:val="en-US"/>
        </w:rPr>
        <w:t xml:space="preserve">Transformed minerals sector. </w:t>
      </w:r>
    </w:p>
    <w:p w14:paraId="14C2D248" w14:textId="77777777" w:rsidR="0085110F" w:rsidRPr="000D5F03" w:rsidRDefault="0085110F" w:rsidP="000D5F03">
      <w:pPr>
        <w:tabs>
          <w:tab w:val="left" w:pos="2368"/>
        </w:tabs>
        <w:suppressAutoHyphens w:val="0"/>
        <w:autoSpaceDN/>
        <w:spacing w:line="360" w:lineRule="auto"/>
        <w:ind w:left="2368" w:hanging="2368"/>
        <w:jc w:val="both"/>
        <w:textAlignment w:val="auto"/>
        <w:rPr>
          <w:rFonts w:ascii="Times New Roman" w:hAnsi="Times New Roman"/>
          <w:color w:val="auto"/>
          <w:spacing w:val="0"/>
          <w:sz w:val="24"/>
          <w:szCs w:val="24"/>
          <w:lang w:val="en-US"/>
        </w:rPr>
      </w:pPr>
      <w:r w:rsidRPr="000D5F03">
        <w:rPr>
          <w:rFonts w:ascii="Times New Roman" w:hAnsi="Times New Roman"/>
          <w:color w:val="auto"/>
          <w:spacing w:val="0"/>
          <w:sz w:val="24"/>
          <w:szCs w:val="24"/>
          <w:lang w:val="en-US"/>
        </w:rPr>
        <w:tab/>
        <w:t>Implement transformation policies to redress past imbalances through broader participation in the mineral sector.</w:t>
      </w:r>
    </w:p>
    <w:p w14:paraId="1109E3CF" w14:textId="77777777" w:rsidR="0085110F" w:rsidRPr="000D5F03" w:rsidRDefault="0085110F" w:rsidP="000D5F03">
      <w:pPr>
        <w:pStyle w:val="NormalWeb"/>
        <w:tabs>
          <w:tab w:val="left" w:pos="2368"/>
        </w:tabs>
        <w:spacing w:before="0" w:beforeAutospacing="0" w:after="0" w:afterAutospacing="0" w:line="360" w:lineRule="auto"/>
        <w:ind w:left="2368" w:hanging="2368"/>
        <w:rPr>
          <w:lang w:val="en-US"/>
        </w:rPr>
      </w:pPr>
      <w:r w:rsidRPr="000D5F03">
        <w:rPr>
          <w:lang w:val="en-US"/>
        </w:rPr>
        <w:tab/>
        <w:t>Provide a framework to manage health and safety risks, enforce compl</w:t>
      </w:r>
      <w:r w:rsidRPr="000D5F03">
        <w:rPr>
          <w:lang w:val="en-US"/>
        </w:rPr>
        <w:t>i</w:t>
      </w:r>
      <w:r w:rsidRPr="000D5F03">
        <w:rPr>
          <w:lang w:val="en-US"/>
        </w:rPr>
        <w:t>ance and promote best practice in the mineral sector.</w:t>
      </w:r>
    </w:p>
    <w:p w14:paraId="437532E6" w14:textId="77777777" w:rsidR="0085110F" w:rsidRPr="000D5F03" w:rsidRDefault="0085110F" w:rsidP="000D5F03">
      <w:pPr>
        <w:pStyle w:val="NormalWeb"/>
        <w:tabs>
          <w:tab w:val="left" w:pos="2368"/>
        </w:tabs>
        <w:spacing w:before="120" w:beforeAutospacing="0" w:after="0" w:afterAutospacing="0" w:line="360" w:lineRule="auto"/>
        <w:rPr>
          <w:lang w:val="en-US"/>
        </w:rPr>
      </w:pPr>
      <w:r w:rsidRPr="000D5F03">
        <w:rPr>
          <w:b/>
          <w:bCs/>
          <w:lang w:val="en-US"/>
        </w:rPr>
        <w:t xml:space="preserve">STRATEGIC GOAL 3 </w:t>
      </w:r>
      <w:r w:rsidRPr="000D5F03">
        <w:rPr>
          <w:lang w:val="en-US"/>
        </w:rPr>
        <w:tab/>
      </w:r>
      <w:r w:rsidRPr="000D5F03">
        <w:rPr>
          <w:b/>
          <w:bCs/>
          <w:lang w:val="en-US"/>
        </w:rPr>
        <w:t xml:space="preserve">Equitable and sustainable benefit from mineral resources. </w:t>
      </w:r>
    </w:p>
    <w:p w14:paraId="022E6BF6" w14:textId="77777777" w:rsidR="0085110F" w:rsidRPr="000D5F03" w:rsidRDefault="0085110F" w:rsidP="000D5F03">
      <w:pPr>
        <w:pStyle w:val="NormalWeb"/>
        <w:tabs>
          <w:tab w:val="left" w:pos="2368"/>
        </w:tabs>
        <w:spacing w:before="0" w:beforeAutospacing="0" w:after="0" w:afterAutospacing="0" w:line="360" w:lineRule="auto"/>
        <w:ind w:left="2368" w:hanging="2368"/>
        <w:rPr>
          <w:lang w:val="en-US"/>
        </w:rPr>
      </w:pPr>
      <w:r w:rsidRPr="000D5F03">
        <w:rPr>
          <w:lang w:val="en-US"/>
        </w:rPr>
        <w:tab/>
        <w:t>Promote sustainable resource management; contribute to skills develo</w:t>
      </w:r>
      <w:r w:rsidRPr="000D5F03">
        <w:rPr>
          <w:lang w:val="en-US"/>
        </w:rPr>
        <w:t>p</w:t>
      </w:r>
      <w:r w:rsidRPr="000D5F03">
        <w:rPr>
          <w:lang w:val="en-US"/>
        </w:rPr>
        <w:t xml:space="preserve">ment and the creation of sustainable jobs. </w:t>
      </w:r>
    </w:p>
    <w:p w14:paraId="49F07E01" w14:textId="77777777" w:rsidR="0085110F" w:rsidRPr="000D5F03" w:rsidRDefault="0085110F" w:rsidP="000D5F03">
      <w:pPr>
        <w:pStyle w:val="NormalWeb"/>
        <w:tabs>
          <w:tab w:val="left" w:pos="2368"/>
        </w:tabs>
        <w:spacing w:before="0" w:beforeAutospacing="0" w:after="0" w:afterAutospacing="0" w:line="360" w:lineRule="auto"/>
        <w:ind w:left="2368" w:hanging="2368"/>
        <w:rPr>
          <w:lang w:val="en-US"/>
        </w:rPr>
      </w:pPr>
      <w:r w:rsidRPr="000D5F03">
        <w:rPr>
          <w:lang w:val="en-US"/>
        </w:rPr>
        <w:tab/>
        <w:t>Contribute to the reduction of adverse impacts of mining on the enviro</w:t>
      </w:r>
      <w:r w:rsidRPr="000D5F03">
        <w:rPr>
          <w:lang w:val="en-US"/>
        </w:rPr>
        <w:t>n</w:t>
      </w:r>
      <w:r w:rsidRPr="000D5F03">
        <w:rPr>
          <w:lang w:val="en-US"/>
        </w:rPr>
        <w:t>ment.</w:t>
      </w:r>
    </w:p>
    <w:p w14:paraId="2A1ECAB4" w14:textId="77777777" w:rsidR="0085110F" w:rsidRPr="000D5F03" w:rsidRDefault="0085110F" w:rsidP="000D5F03">
      <w:pPr>
        <w:pStyle w:val="NormalWeb"/>
        <w:tabs>
          <w:tab w:val="left" w:pos="2368"/>
        </w:tabs>
        <w:spacing w:before="120" w:beforeAutospacing="0" w:after="0" w:afterAutospacing="0" w:line="360" w:lineRule="auto"/>
        <w:rPr>
          <w:lang w:val="en-US"/>
        </w:rPr>
      </w:pPr>
      <w:r w:rsidRPr="000D5F03">
        <w:rPr>
          <w:b/>
          <w:bCs/>
          <w:lang w:val="en-US"/>
        </w:rPr>
        <w:t xml:space="preserve">STRATEGIC GOAL 4 </w:t>
      </w:r>
      <w:r w:rsidRPr="000D5F03">
        <w:rPr>
          <w:lang w:val="en-US"/>
        </w:rPr>
        <w:tab/>
      </w:r>
      <w:r w:rsidRPr="000D5F03">
        <w:rPr>
          <w:b/>
          <w:bCs/>
          <w:lang w:val="en-US"/>
        </w:rPr>
        <w:t xml:space="preserve">Efficient, effective and development-oriented department. </w:t>
      </w:r>
    </w:p>
    <w:p w14:paraId="7A5319CD" w14:textId="77777777" w:rsidR="0085110F" w:rsidRPr="000D5F03" w:rsidRDefault="0085110F" w:rsidP="000D5F03">
      <w:pPr>
        <w:pStyle w:val="NormalWeb"/>
        <w:tabs>
          <w:tab w:val="left" w:pos="2368"/>
        </w:tabs>
        <w:spacing w:before="0" w:beforeAutospacing="0" w:after="0" w:afterAutospacing="0" w:line="360" w:lineRule="auto"/>
        <w:ind w:left="2368" w:hanging="2368"/>
        <w:rPr>
          <w:lang w:val="en-US"/>
        </w:rPr>
      </w:pPr>
      <w:r w:rsidRPr="000D5F03">
        <w:rPr>
          <w:lang w:val="en-US"/>
        </w:rPr>
        <w:t xml:space="preserve"> </w:t>
      </w:r>
      <w:r w:rsidRPr="000D5F03">
        <w:rPr>
          <w:lang w:val="en-US"/>
        </w:rPr>
        <w:tab/>
      </w:r>
      <w:r w:rsidR="00551530" w:rsidRPr="000D5F03">
        <w:rPr>
          <w:lang w:val="en-US"/>
        </w:rPr>
        <w:t>Optimize</w:t>
      </w:r>
      <w:r w:rsidRPr="000D5F03">
        <w:rPr>
          <w:lang w:val="en-US"/>
        </w:rPr>
        <w:t xml:space="preserve"> internal processes.</w:t>
      </w:r>
    </w:p>
    <w:p w14:paraId="6111D970" w14:textId="77777777" w:rsidR="0085110F" w:rsidRPr="000D5F03" w:rsidRDefault="0085110F" w:rsidP="000D5F03">
      <w:pPr>
        <w:pStyle w:val="NormalWeb"/>
        <w:tabs>
          <w:tab w:val="left" w:pos="2368"/>
        </w:tabs>
        <w:spacing w:before="0" w:beforeAutospacing="0" w:after="0" w:afterAutospacing="0" w:line="360" w:lineRule="auto"/>
        <w:ind w:left="2368" w:hanging="2368"/>
        <w:rPr>
          <w:lang w:val="en-US"/>
        </w:rPr>
      </w:pPr>
      <w:r w:rsidRPr="000D5F03">
        <w:rPr>
          <w:lang w:val="en-US"/>
        </w:rPr>
        <w:tab/>
        <w:t xml:space="preserve">Attract, develop and retain appropriate skills and ensure optimal </w:t>
      </w:r>
      <w:r w:rsidR="00551530" w:rsidRPr="000D5F03">
        <w:rPr>
          <w:lang w:val="en-US"/>
        </w:rPr>
        <w:t>utilization</w:t>
      </w:r>
      <w:r w:rsidRPr="000D5F03">
        <w:rPr>
          <w:lang w:val="en-US"/>
        </w:rPr>
        <w:t xml:space="preserve"> of resources </w:t>
      </w:r>
    </w:p>
    <w:p w14:paraId="04CF8338" w14:textId="77777777" w:rsidR="0085110F" w:rsidRPr="000D5F03" w:rsidRDefault="0085110F" w:rsidP="000D5F03">
      <w:pPr>
        <w:pStyle w:val="NormalWeb"/>
        <w:tabs>
          <w:tab w:val="left" w:pos="2368"/>
        </w:tabs>
        <w:spacing w:before="0" w:beforeAutospacing="0" w:after="0" w:afterAutospacing="0" w:line="360" w:lineRule="auto"/>
        <w:ind w:left="2368" w:hanging="2368"/>
        <w:rPr>
          <w:lang w:val="en-US"/>
        </w:rPr>
      </w:pPr>
      <w:r w:rsidRPr="000D5F03">
        <w:rPr>
          <w:lang w:val="en-US"/>
        </w:rPr>
        <w:tab/>
        <w:t>Implement risk management strategies and promoting corporate gover</w:t>
      </w:r>
      <w:r w:rsidRPr="000D5F03">
        <w:rPr>
          <w:lang w:val="en-US"/>
        </w:rPr>
        <w:t>n</w:t>
      </w:r>
      <w:r w:rsidRPr="000D5F03">
        <w:rPr>
          <w:lang w:val="en-US"/>
        </w:rPr>
        <w:t xml:space="preserve">ance. </w:t>
      </w:r>
    </w:p>
    <w:p w14:paraId="27E9B38B" w14:textId="77777777" w:rsidR="0085110F" w:rsidRPr="000D5F03" w:rsidRDefault="0085110F" w:rsidP="000D5F03">
      <w:pPr>
        <w:spacing w:line="360" w:lineRule="auto"/>
        <w:rPr>
          <w:rFonts w:ascii="Times New Roman" w:hAnsi="Times New Roman"/>
          <w:sz w:val="24"/>
          <w:szCs w:val="24"/>
        </w:rPr>
      </w:pPr>
    </w:p>
    <w:p w14:paraId="4B9997D0" w14:textId="77777777" w:rsidR="00F854B4" w:rsidRPr="000D5F03" w:rsidRDefault="0085110F" w:rsidP="000D5F03">
      <w:pPr>
        <w:pStyle w:val="BodyText2"/>
        <w:spacing w:line="360" w:lineRule="auto"/>
        <w:jc w:val="both"/>
        <w:rPr>
          <w:rFonts w:ascii="Times New Roman" w:hAnsi="Times New Roman"/>
          <w:b/>
          <w:sz w:val="24"/>
          <w:szCs w:val="24"/>
        </w:rPr>
      </w:pPr>
      <w:r w:rsidRPr="000D5F03">
        <w:rPr>
          <w:rFonts w:ascii="Times New Roman" w:hAnsi="Times New Roman"/>
          <w:sz w:val="24"/>
          <w:szCs w:val="24"/>
        </w:rPr>
        <w:t>In framing the revised set of goals in 2014, the DMR took account of the National Development Plan (NDP) and the priorities outlined in the Medium Term Strategic Framework (MTSF). MTSF</w:t>
      </w:r>
      <w:r w:rsidRPr="000D5F03">
        <w:rPr>
          <w:rFonts w:ascii="Times New Roman" w:hAnsi="Times New Roman"/>
          <w:bCs/>
          <w:sz w:val="24"/>
          <w:szCs w:val="24"/>
          <w:lang w:val="en-US"/>
        </w:rPr>
        <w:t>, c</w:t>
      </w:r>
      <w:r w:rsidR="003236F1" w:rsidRPr="000D5F03">
        <w:rPr>
          <w:rFonts w:ascii="Times New Roman" w:hAnsi="Times New Roman"/>
          <w:bCs/>
          <w:sz w:val="24"/>
          <w:szCs w:val="24"/>
          <w:lang w:val="en-US"/>
        </w:rPr>
        <w:t>ontain</w:t>
      </w:r>
      <w:r w:rsidRPr="000D5F03">
        <w:rPr>
          <w:rFonts w:ascii="Times New Roman" w:hAnsi="Times New Roman"/>
          <w:bCs/>
          <w:sz w:val="24"/>
          <w:szCs w:val="24"/>
          <w:lang w:val="en-US"/>
        </w:rPr>
        <w:t xml:space="preserve"> outcome 4 (decent employment through inclusive growth), outcome 6 (an efficient, competitive and responsive economic infrastructure network) and outcome 10 (protect and enhance our environmental assets and natural resources).</w:t>
      </w:r>
    </w:p>
    <w:p w14:paraId="5E61E8DE" w14:textId="77777777" w:rsidR="00F854B4" w:rsidRPr="000D5F03" w:rsidRDefault="00976A66" w:rsidP="000D5F03">
      <w:pPr>
        <w:suppressAutoHyphens w:val="0"/>
        <w:autoSpaceDN/>
        <w:spacing w:line="360" w:lineRule="auto"/>
        <w:jc w:val="both"/>
        <w:textAlignment w:val="auto"/>
        <w:rPr>
          <w:rFonts w:ascii="Times New Roman" w:hAnsi="Times New Roman"/>
          <w:bCs/>
          <w:color w:val="auto"/>
          <w:spacing w:val="0"/>
          <w:sz w:val="24"/>
          <w:szCs w:val="24"/>
          <w:lang w:val="en-US"/>
        </w:rPr>
      </w:pPr>
      <w:r w:rsidRPr="000D5F03">
        <w:rPr>
          <w:rFonts w:ascii="Times New Roman" w:hAnsi="Times New Roman"/>
          <w:bCs/>
          <w:color w:val="auto"/>
          <w:spacing w:val="0"/>
          <w:sz w:val="24"/>
          <w:szCs w:val="24"/>
          <w:lang w:val="en-US"/>
        </w:rPr>
        <w:t xml:space="preserve">The goals of the Department </w:t>
      </w:r>
      <w:proofErr w:type="gramStart"/>
      <w:r w:rsidRPr="000D5F03">
        <w:rPr>
          <w:rFonts w:ascii="Times New Roman" w:hAnsi="Times New Roman"/>
          <w:bCs/>
          <w:color w:val="auto"/>
          <w:spacing w:val="0"/>
          <w:sz w:val="24"/>
          <w:szCs w:val="24"/>
          <w:lang w:val="en-US"/>
        </w:rPr>
        <w:t>are supported</w:t>
      </w:r>
      <w:proofErr w:type="gramEnd"/>
      <w:r w:rsidRPr="000D5F03">
        <w:rPr>
          <w:rFonts w:ascii="Times New Roman" w:hAnsi="Times New Roman"/>
          <w:bCs/>
          <w:color w:val="auto"/>
          <w:spacing w:val="0"/>
          <w:sz w:val="24"/>
          <w:szCs w:val="24"/>
          <w:lang w:val="en-US"/>
        </w:rPr>
        <w:t xml:space="preserve"> by five entities:</w:t>
      </w:r>
    </w:p>
    <w:p w14:paraId="6D2F7279" w14:textId="77777777" w:rsidR="00976A66" w:rsidRPr="000D5F03" w:rsidRDefault="00976A66" w:rsidP="000D5F03">
      <w:pPr>
        <w:suppressAutoHyphens w:val="0"/>
        <w:autoSpaceDN/>
        <w:spacing w:line="360" w:lineRule="auto"/>
        <w:jc w:val="both"/>
        <w:textAlignment w:val="auto"/>
        <w:rPr>
          <w:rFonts w:ascii="Times New Roman" w:hAnsi="Times New Roman"/>
          <w:bCs/>
          <w:color w:val="auto"/>
          <w:spacing w:val="0"/>
          <w:sz w:val="24"/>
          <w:szCs w:val="24"/>
          <w:lang w:val="en-US"/>
        </w:rPr>
      </w:pPr>
    </w:p>
    <w:p w14:paraId="50478664" w14:textId="77777777" w:rsidR="009E10FE" w:rsidRPr="000D5F03" w:rsidRDefault="009E10FE" w:rsidP="000D5F03">
      <w:pPr>
        <w:spacing w:line="360" w:lineRule="auto"/>
        <w:rPr>
          <w:rFonts w:ascii="Times New Roman" w:hAnsi="Times New Roman"/>
          <w:b/>
          <w:sz w:val="24"/>
          <w:szCs w:val="24"/>
        </w:rPr>
      </w:pPr>
      <w:proofErr w:type="spellStart"/>
      <w:r w:rsidRPr="000D5F03">
        <w:rPr>
          <w:rFonts w:ascii="Times New Roman" w:hAnsi="Times New Roman"/>
          <w:b/>
          <w:sz w:val="24"/>
          <w:szCs w:val="24"/>
        </w:rPr>
        <w:t>Mintek</w:t>
      </w:r>
      <w:proofErr w:type="spellEnd"/>
    </w:p>
    <w:p w14:paraId="62FB7CAC" w14:textId="77777777" w:rsidR="009E10FE" w:rsidRPr="000D5F03" w:rsidRDefault="009E10FE" w:rsidP="000D5F03">
      <w:pPr>
        <w:spacing w:line="360" w:lineRule="auto"/>
        <w:rPr>
          <w:rFonts w:ascii="Times New Roman" w:hAnsi="Times New Roman"/>
          <w:b/>
          <w:sz w:val="24"/>
          <w:szCs w:val="24"/>
        </w:rPr>
      </w:pPr>
    </w:p>
    <w:p w14:paraId="64EAC439" w14:textId="77777777" w:rsidR="009E10F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 xml:space="preserve">The Council for Mineral Technology Research (MINTEK), also a science council, </w:t>
      </w:r>
      <w:proofErr w:type="gramStart"/>
      <w:r w:rsidRPr="000D5F03">
        <w:rPr>
          <w:rFonts w:ascii="Times New Roman" w:hAnsi="Times New Roman"/>
          <w:sz w:val="24"/>
          <w:szCs w:val="24"/>
        </w:rPr>
        <w:t>is mandated</w:t>
      </w:r>
      <w:proofErr w:type="gramEnd"/>
      <w:r w:rsidRPr="000D5F03">
        <w:rPr>
          <w:rFonts w:ascii="Times New Roman" w:hAnsi="Times New Roman"/>
          <w:sz w:val="24"/>
          <w:szCs w:val="24"/>
        </w:rPr>
        <w:t xml:space="preserve"> to provide research, development and technology that foster the development of businesses in the mineral and mineral products industries.</w:t>
      </w:r>
    </w:p>
    <w:p w14:paraId="1D76B492" w14:textId="77777777" w:rsidR="009E10FE" w:rsidRPr="000D5F03" w:rsidRDefault="009E10FE" w:rsidP="000D5F03">
      <w:pPr>
        <w:spacing w:line="360" w:lineRule="auto"/>
        <w:jc w:val="both"/>
        <w:rPr>
          <w:rFonts w:ascii="Times New Roman" w:hAnsi="Times New Roman"/>
          <w:sz w:val="24"/>
          <w:szCs w:val="24"/>
        </w:rPr>
      </w:pPr>
    </w:p>
    <w:p w14:paraId="6DFA1429" w14:textId="77777777" w:rsidR="009E10FE" w:rsidRPr="000D5F03" w:rsidRDefault="009E10FE" w:rsidP="000D5F03">
      <w:pPr>
        <w:spacing w:line="360" w:lineRule="auto"/>
        <w:rPr>
          <w:rFonts w:ascii="Times New Roman" w:hAnsi="Times New Roman"/>
          <w:b/>
          <w:sz w:val="24"/>
          <w:szCs w:val="24"/>
        </w:rPr>
      </w:pPr>
      <w:r w:rsidRPr="000D5F03">
        <w:rPr>
          <w:rFonts w:ascii="Times New Roman" w:hAnsi="Times New Roman"/>
          <w:b/>
          <w:sz w:val="24"/>
          <w:szCs w:val="24"/>
        </w:rPr>
        <w:t>Mine Health and Safety Council</w:t>
      </w:r>
    </w:p>
    <w:p w14:paraId="2DE461E8" w14:textId="77777777" w:rsidR="00A96BE6" w:rsidRPr="000D5F03" w:rsidRDefault="00A96BE6" w:rsidP="000D5F03">
      <w:pPr>
        <w:spacing w:line="360" w:lineRule="auto"/>
        <w:rPr>
          <w:rFonts w:ascii="Times New Roman" w:hAnsi="Times New Roman"/>
          <w:b/>
          <w:sz w:val="24"/>
          <w:szCs w:val="24"/>
        </w:rPr>
      </w:pPr>
    </w:p>
    <w:p w14:paraId="2D8CC23F" w14:textId="77777777" w:rsidR="009E10F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The Mine Health and Safety Council (MHSC) provides a research and advisory function to the Minister in terms of mine health and safety, as well as promoting a culture of health and safety in the mining industry.</w:t>
      </w:r>
    </w:p>
    <w:p w14:paraId="2B022784" w14:textId="11192D33" w:rsidR="00C440EE" w:rsidRPr="000D5F03" w:rsidRDefault="00C440EE" w:rsidP="000D5F03">
      <w:pPr>
        <w:spacing w:line="360" w:lineRule="auto"/>
        <w:rPr>
          <w:rFonts w:ascii="Times New Roman" w:hAnsi="Times New Roman"/>
          <w:b/>
          <w:sz w:val="24"/>
          <w:szCs w:val="24"/>
        </w:rPr>
      </w:pPr>
    </w:p>
    <w:p w14:paraId="0CB2B7E4" w14:textId="77777777" w:rsidR="009E10FE" w:rsidRPr="000D5F03" w:rsidRDefault="009E10FE" w:rsidP="000D5F03">
      <w:pPr>
        <w:spacing w:line="360" w:lineRule="auto"/>
        <w:rPr>
          <w:rFonts w:ascii="Times New Roman" w:hAnsi="Times New Roman"/>
          <w:b/>
          <w:sz w:val="24"/>
          <w:szCs w:val="24"/>
        </w:rPr>
      </w:pPr>
      <w:r w:rsidRPr="000D5F03">
        <w:rPr>
          <w:rFonts w:ascii="Times New Roman" w:hAnsi="Times New Roman"/>
          <w:b/>
          <w:sz w:val="24"/>
          <w:szCs w:val="24"/>
        </w:rPr>
        <w:t xml:space="preserve">State Diamond Trader </w:t>
      </w:r>
    </w:p>
    <w:p w14:paraId="3F455D80" w14:textId="77777777" w:rsidR="00A96BE6" w:rsidRPr="000D5F03" w:rsidRDefault="00A96BE6" w:rsidP="000D5F03">
      <w:pPr>
        <w:spacing w:line="360" w:lineRule="auto"/>
        <w:rPr>
          <w:rFonts w:ascii="Times New Roman" w:hAnsi="Times New Roman"/>
          <w:b/>
          <w:sz w:val="24"/>
          <w:szCs w:val="24"/>
        </w:rPr>
      </w:pPr>
    </w:p>
    <w:p w14:paraId="6320CFC4" w14:textId="77777777" w:rsidR="009E10F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The State Diamond Trader (SDT) promotes equitable access to, and beneficiation of, diamond resources, addresses distortions in the diamond industry and corrects historical market failures to develop and grow South Africa’s diamond cutting and polishing industry.</w:t>
      </w:r>
    </w:p>
    <w:p w14:paraId="7CCF6AFD" w14:textId="77777777" w:rsidR="009E10FE" w:rsidRPr="000D5F03" w:rsidRDefault="009E10FE" w:rsidP="000D5F03">
      <w:pPr>
        <w:spacing w:line="360" w:lineRule="auto"/>
        <w:jc w:val="both"/>
        <w:rPr>
          <w:rFonts w:ascii="Times New Roman" w:hAnsi="Times New Roman"/>
          <w:sz w:val="24"/>
          <w:szCs w:val="24"/>
        </w:rPr>
      </w:pPr>
    </w:p>
    <w:p w14:paraId="3C48757B" w14:textId="77777777" w:rsidR="009E10FE" w:rsidRPr="000D5F03" w:rsidRDefault="009E10FE" w:rsidP="000D5F03">
      <w:pPr>
        <w:spacing w:line="360" w:lineRule="auto"/>
        <w:rPr>
          <w:rFonts w:ascii="Times New Roman" w:hAnsi="Times New Roman"/>
          <w:b/>
          <w:sz w:val="24"/>
          <w:szCs w:val="24"/>
        </w:rPr>
      </w:pPr>
      <w:r w:rsidRPr="000D5F03">
        <w:rPr>
          <w:rFonts w:ascii="Times New Roman" w:hAnsi="Times New Roman"/>
          <w:b/>
          <w:sz w:val="24"/>
          <w:szCs w:val="24"/>
        </w:rPr>
        <w:t>South African Diamond and Precious Metals Regulator</w:t>
      </w:r>
    </w:p>
    <w:p w14:paraId="42CFB60B" w14:textId="77777777" w:rsidR="00A96BE6" w:rsidRPr="000D5F03" w:rsidRDefault="00A96BE6" w:rsidP="000D5F03">
      <w:pPr>
        <w:spacing w:line="360" w:lineRule="auto"/>
        <w:rPr>
          <w:rFonts w:ascii="Times New Roman" w:hAnsi="Times New Roman"/>
          <w:b/>
          <w:sz w:val="24"/>
          <w:szCs w:val="24"/>
        </w:rPr>
      </w:pPr>
    </w:p>
    <w:p w14:paraId="35878CFA" w14:textId="77777777" w:rsidR="009E10F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 xml:space="preserve">The South African Diamond and Precious Metals Regulator (SADPMR) </w:t>
      </w:r>
      <w:r w:rsidR="00E53DB4" w:rsidRPr="000D5F03">
        <w:rPr>
          <w:rFonts w:ascii="Times New Roman" w:hAnsi="Times New Roman"/>
          <w:sz w:val="24"/>
          <w:szCs w:val="24"/>
        </w:rPr>
        <w:t>regulate</w:t>
      </w:r>
      <w:r w:rsidRPr="000D5F03">
        <w:rPr>
          <w:rFonts w:ascii="Times New Roman" w:hAnsi="Times New Roman"/>
          <w:sz w:val="24"/>
          <w:szCs w:val="24"/>
        </w:rPr>
        <w:t xml:space="preserve"> </w:t>
      </w:r>
      <w:r w:rsidR="00976A66" w:rsidRPr="000D5F03">
        <w:rPr>
          <w:rFonts w:ascii="Times New Roman" w:hAnsi="Times New Roman"/>
          <w:sz w:val="24"/>
          <w:szCs w:val="24"/>
        </w:rPr>
        <w:t xml:space="preserve">business development and trade in </w:t>
      </w:r>
      <w:r w:rsidRPr="000D5F03">
        <w:rPr>
          <w:rFonts w:ascii="Times New Roman" w:hAnsi="Times New Roman"/>
          <w:sz w:val="24"/>
          <w:szCs w:val="24"/>
        </w:rPr>
        <w:t>diamond</w:t>
      </w:r>
      <w:r w:rsidR="00976A66" w:rsidRPr="000D5F03">
        <w:rPr>
          <w:rFonts w:ascii="Times New Roman" w:hAnsi="Times New Roman"/>
          <w:sz w:val="24"/>
          <w:szCs w:val="24"/>
        </w:rPr>
        <w:t>s</w:t>
      </w:r>
      <w:r w:rsidRPr="000D5F03">
        <w:rPr>
          <w:rFonts w:ascii="Times New Roman" w:hAnsi="Times New Roman"/>
          <w:sz w:val="24"/>
          <w:szCs w:val="24"/>
        </w:rPr>
        <w:t>, platinum and gold.</w:t>
      </w:r>
    </w:p>
    <w:p w14:paraId="7F6579AC" w14:textId="77777777" w:rsidR="009E10FE" w:rsidRPr="000D5F03" w:rsidRDefault="009E10FE" w:rsidP="000D5F03">
      <w:pPr>
        <w:spacing w:line="360" w:lineRule="auto"/>
        <w:jc w:val="both"/>
        <w:rPr>
          <w:rFonts w:ascii="Times New Roman" w:hAnsi="Times New Roman"/>
          <w:sz w:val="24"/>
          <w:szCs w:val="24"/>
        </w:rPr>
      </w:pPr>
    </w:p>
    <w:p w14:paraId="72F9AB93" w14:textId="77777777" w:rsidR="009E10FE" w:rsidRPr="000D5F03" w:rsidRDefault="009E10FE" w:rsidP="000D5F03">
      <w:pPr>
        <w:pStyle w:val="ListParagraph"/>
        <w:numPr>
          <w:ilvl w:val="1"/>
          <w:numId w:val="1"/>
        </w:numPr>
        <w:tabs>
          <w:tab w:val="left" w:pos="567"/>
        </w:tabs>
        <w:suppressAutoHyphens w:val="0"/>
        <w:autoSpaceDN/>
        <w:spacing w:line="360" w:lineRule="auto"/>
        <w:contextualSpacing/>
        <w:jc w:val="both"/>
        <w:textAlignment w:val="auto"/>
        <w:rPr>
          <w:rFonts w:ascii="Times New Roman" w:hAnsi="Times New Roman"/>
          <w:b/>
          <w:sz w:val="24"/>
          <w:szCs w:val="24"/>
        </w:rPr>
      </w:pPr>
      <w:r w:rsidRPr="000D5F03">
        <w:rPr>
          <w:rFonts w:ascii="Times New Roman" w:hAnsi="Times New Roman"/>
          <w:b/>
          <w:sz w:val="24"/>
          <w:szCs w:val="24"/>
        </w:rPr>
        <w:t xml:space="preserve">Purpose of the BRR Report </w:t>
      </w:r>
    </w:p>
    <w:p w14:paraId="6F381C69" w14:textId="77777777" w:rsidR="009E10FE" w:rsidRPr="000D5F03" w:rsidRDefault="009E10FE" w:rsidP="000D5F03">
      <w:pPr>
        <w:pStyle w:val="ListParagraph"/>
        <w:spacing w:line="360" w:lineRule="auto"/>
        <w:jc w:val="both"/>
        <w:rPr>
          <w:rFonts w:ascii="Times New Roman" w:hAnsi="Times New Roman"/>
          <w:b/>
          <w:sz w:val="24"/>
          <w:szCs w:val="24"/>
        </w:rPr>
      </w:pPr>
    </w:p>
    <w:p w14:paraId="56A6EBA5" w14:textId="77777777" w:rsidR="009E10F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Section 77(3) of the Constitution stipulates that an Act of Parliament must provide for a procedure to amend money bills before Parliament. This constitutional provision gave birth to the Money Bills Amendment Procedure and Related Matters Act, No. 9 of 2009 (the Act), which sets out the process that allows Parliament to make recommendations to the Minister of Finance to amend the budget of a national department.</w:t>
      </w:r>
    </w:p>
    <w:p w14:paraId="5CAAEA63" w14:textId="77777777" w:rsidR="00530F13" w:rsidRPr="000D5F03" w:rsidRDefault="00530F13" w:rsidP="000D5F03">
      <w:pPr>
        <w:spacing w:line="360" w:lineRule="auto"/>
        <w:jc w:val="both"/>
        <w:rPr>
          <w:rFonts w:ascii="Times New Roman" w:hAnsi="Times New Roman"/>
          <w:sz w:val="24"/>
          <w:szCs w:val="24"/>
        </w:rPr>
      </w:pPr>
    </w:p>
    <w:p w14:paraId="23EEC2D1" w14:textId="77777777" w:rsidR="009E10FE" w:rsidRPr="000D5F03" w:rsidRDefault="009E10FE" w:rsidP="000D5F03">
      <w:pPr>
        <w:spacing w:line="360" w:lineRule="auto"/>
        <w:jc w:val="both"/>
        <w:rPr>
          <w:rFonts w:ascii="Times New Roman" w:hAnsi="Times New Roman"/>
          <w:i/>
          <w:sz w:val="24"/>
          <w:szCs w:val="24"/>
        </w:rPr>
      </w:pPr>
      <w:r w:rsidRPr="000D5F03">
        <w:rPr>
          <w:rFonts w:ascii="Times New Roman" w:hAnsi="Times New Roman"/>
          <w:i/>
          <w:sz w:val="24"/>
          <w:szCs w:val="24"/>
        </w:rPr>
        <w:t xml:space="preserve">Section </w:t>
      </w:r>
      <w:proofErr w:type="gramStart"/>
      <w:r w:rsidRPr="000D5F03">
        <w:rPr>
          <w:rFonts w:ascii="Times New Roman" w:hAnsi="Times New Roman"/>
          <w:i/>
          <w:sz w:val="24"/>
          <w:szCs w:val="24"/>
        </w:rPr>
        <w:t>5</w:t>
      </w:r>
      <w:proofErr w:type="gramEnd"/>
      <w:r w:rsidRPr="000D5F03">
        <w:rPr>
          <w:rFonts w:ascii="Times New Roman" w:hAnsi="Times New Roman"/>
          <w:i/>
          <w:sz w:val="24"/>
          <w:szCs w:val="24"/>
        </w:rPr>
        <w:t xml:space="preserve"> of the Act, states that the National Assembly, through its Committees, must annually assess the performance of each national department with reference to the following:</w:t>
      </w:r>
    </w:p>
    <w:p w14:paraId="19B48027" w14:textId="77777777" w:rsidR="009E10FE" w:rsidRPr="000D5F03" w:rsidRDefault="009E10FE" w:rsidP="000D5F03">
      <w:pPr>
        <w:numPr>
          <w:ilvl w:val="0"/>
          <w:numId w:val="3"/>
        </w:numPr>
        <w:suppressAutoHyphens w:val="0"/>
        <w:autoSpaceDN/>
        <w:spacing w:after="200" w:line="360" w:lineRule="auto"/>
        <w:ind w:left="426" w:hanging="426"/>
        <w:contextualSpacing/>
        <w:jc w:val="both"/>
        <w:textAlignment w:val="auto"/>
        <w:rPr>
          <w:rFonts w:ascii="Times New Roman" w:hAnsi="Times New Roman"/>
          <w:sz w:val="24"/>
          <w:szCs w:val="24"/>
        </w:rPr>
      </w:pPr>
      <w:r w:rsidRPr="000D5F03">
        <w:rPr>
          <w:rFonts w:ascii="Times New Roman" w:hAnsi="Times New Roman"/>
          <w:sz w:val="24"/>
          <w:szCs w:val="24"/>
        </w:rPr>
        <w:t>The medium term estimates of expenditure of each national department, its strategic pr</w:t>
      </w:r>
      <w:r w:rsidRPr="000D5F03">
        <w:rPr>
          <w:rFonts w:ascii="Times New Roman" w:hAnsi="Times New Roman"/>
          <w:sz w:val="24"/>
          <w:szCs w:val="24"/>
        </w:rPr>
        <w:t>i</w:t>
      </w:r>
      <w:r w:rsidRPr="000D5F03">
        <w:rPr>
          <w:rFonts w:ascii="Times New Roman" w:hAnsi="Times New Roman"/>
          <w:sz w:val="24"/>
          <w:szCs w:val="24"/>
        </w:rPr>
        <w:t>orities and measurable objectives, as tabled in the National Assembly with the national budget;</w:t>
      </w:r>
    </w:p>
    <w:p w14:paraId="3CA522CC" w14:textId="77777777" w:rsidR="009E10FE" w:rsidRPr="000D5F03" w:rsidRDefault="009E10FE" w:rsidP="000D5F03">
      <w:pPr>
        <w:numPr>
          <w:ilvl w:val="0"/>
          <w:numId w:val="3"/>
        </w:numPr>
        <w:suppressAutoHyphens w:val="0"/>
        <w:autoSpaceDN/>
        <w:spacing w:after="200" w:line="360" w:lineRule="auto"/>
        <w:ind w:left="426" w:hanging="426"/>
        <w:contextualSpacing/>
        <w:jc w:val="both"/>
        <w:textAlignment w:val="auto"/>
        <w:rPr>
          <w:rFonts w:ascii="Times New Roman" w:hAnsi="Times New Roman"/>
          <w:sz w:val="24"/>
          <w:szCs w:val="24"/>
        </w:rPr>
      </w:pPr>
      <w:r w:rsidRPr="000D5F03">
        <w:rPr>
          <w:rFonts w:ascii="Times New Roman" w:hAnsi="Times New Roman"/>
          <w:sz w:val="24"/>
          <w:szCs w:val="24"/>
        </w:rPr>
        <w:t>Prevailing strategic plans;</w:t>
      </w:r>
    </w:p>
    <w:p w14:paraId="2634C2A7" w14:textId="77777777" w:rsidR="009E10FE" w:rsidRPr="000D5F03" w:rsidRDefault="009E10FE" w:rsidP="000D5F03">
      <w:pPr>
        <w:numPr>
          <w:ilvl w:val="0"/>
          <w:numId w:val="3"/>
        </w:numPr>
        <w:suppressAutoHyphens w:val="0"/>
        <w:autoSpaceDN/>
        <w:spacing w:after="200" w:line="360" w:lineRule="auto"/>
        <w:ind w:left="426" w:hanging="426"/>
        <w:contextualSpacing/>
        <w:jc w:val="both"/>
        <w:textAlignment w:val="auto"/>
        <w:rPr>
          <w:rFonts w:ascii="Times New Roman" w:hAnsi="Times New Roman"/>
          <w:sz w:val="24"/>
          <w:szCs w:val="24"/>
        </w:rPr>
      </w:pPr>
      <w:r w:rsidRPr="000D5F03">
        <w:rPr>
          <w:rFonts w:ascii="Times New Roman" w:hAnsi="Times New Roman"/>
          <w:sz w:val="24"/>
          <w:szCs w:val="24"/>
        </w:rPr>
        <w:t>The expenditure report relating to such department published by the National Treasury in terms of section 32 reports of the Public Finance Management Act, No 1 of 1999 (PFMA), as amended in 2009;</w:t>
      </w:r>
    </w:p>
    <w:p w14:paraId="511C52A4" w14:textId="77777777" w:rsidR="009E10FE" w:rsidRPr="000D5F03" w:rsidRDefault="009E10FE" w:rsidP="000D5F03">
      <w:pPr>
        <w:numPr>
          <w:ilvl w:val="0"/>
          <w:numId w:val="3"/>
        </w:numPr>
        <w:suppressAutoHyphens w:val="0"/>
        <w:autoSpaceDN/>
        <w:spacing w:after="200" w:line="360" w:lineRule="auto"/>
        <w:ind w:left="426" w:hanging="426"/>
        <w:contextualSpacing/>
        <w:jc w:val="both"/>
        <w:textAlignment w:val="auto"/>
        <w:rPr>
          <w:rFonts w:ascii="Times New Roman" w:hAnsi="Times New Roman"/>
          <w:sz w:val="24"/>
          <w:szCs w:val="24"/>
        </w:rPr>
      </w:pPr>
      <w:r w:rsidRPr="000D5F03">
        <w:rPr>
          <w:rFonts w:ascii="Times New Roman" w:hAnsi="Times New Roman"/>
          <w:sz w:val="24"/>
          <w:szCs w:val="24"/>
        </w:rPr>
        <w:t>The financial statements and annual report of such department;</w:t>
      </w:r>
    </w:p>
    <w:p w14:paraId="469B2C7A" w14:textId="77777777" w:rsidR="009E10FE" w:rsidRPr="000D5F03" w:rsidRDefault="009E10FE" w:rsidP="000D5F03">
      <w:pPr>
        <w:numPr>
          <w:ilvl w:val="0"/>
          <w:numId w:val="3"/>
        </w:numPr>
        <w:suppressAutoHyphens w:val="0"/>
        <w:autoSpaceDN/>
        <w:spacing w:after="200" w:line="360" w:lineRule="auto"/>
        <w:ind w:left="426" w:hanging="426"/>
        <w:contextualSpacing/>
        <w:jc w:val="both"/>
        <w:textAlignment w:val="auto"/>
        <w:rPr>
          <w:rFonts w:ascii="Times New Roman" w:hAnsi="Times New Roman"/>
          <w:sz w:val="24"/>
          <w:szCs w:val="24"/>
        </w:rPr>
      </w:pPr>
      <w:r w:rsidRPr="000D5F03">
        <w:rPr>
          <w:rFonts w:ascii="Times New Roman" w:hAnsi="Times New Roman"/>
          <w:sz w:val="24"/>
          <w:szCs w:val="24"/>
        </w:rPr>
        <w:t>The report of the Committee on Public Accounts relating to the department; and</w:t>
      </w:r>
    </w:p>
    <w:p w14:paraId="4A06286D" w14:textId="77777777" w:rsidR="009E10FE" w:rsidRPr="000D5F03" w:rsidRDefault="009E10FE" w:rsidP="000D5F03">
      <w:pPr>
        <w:numPr>
          <w:ilvl w:val="0"/>
          <w:numId w:val="3"/>
        </w:numPr>
        <w:suppressAutoHyphens w:val="0"/>
        <w:autoSpaceDN/>
        <w:spacing w:after="200" w:line="360" w:lineRule="auto"/>
        <w:ind w:left="426" w:hanging="426"/>
        <w:contextualSpacing/>
        <w:jc w:val="both"/>
        <w:textAlignment w:val="auto"/>
        <w:rPr>
          <w:rFonts w:ascii="Times New Roman" w:hAnsi="Times New Roman"/>
          <w:sz w:val="24"/>
          <w:szCs w:val="24"/>
        </w:rPr>
      </w:pPr>
      <w:r w:rsidRPr="000D5F03">
        <w:rPr>
          <w:rFonts w:ascii="Times New Roman" w:hAnsi="Times New Roman"/>
          <w:sz w:val="24"/>
          <w:szCs w:val="24"/>
        </w:rPr>
        <w:t>Any other information requested by or presented to a House or Parliament.</w:t>
      </w:r>
    </w:p>
    <w:p w14:paraId="6949AAD9" w14:textId="77777777" w:rsidR="009E10FE" w:rsidRPr="000D5F03" w:rsidRDefault="009E10FE" w:rsidP="000D5F03">
      <w:pPr>
        <w:spacing w:line="360" w:lineRule="auto"/>
        <w:ind w:left="720"/>
        <w:contextualSpacing/>
        <w:jc w:val="both"/>
        <w:rPr>
          <w:rFonts w:ascii="Times New Roman" w:hAnsi="Times New Roman"/>
          <w:sz w:val="24"/>
          <w:szCs w:val="24"/>
        </w:rPr>
      </w:pPr>
    </w:p>
    <w:p w14:paraId="4A2C2B16" w14:textId="77777777" w:rsidR="009E10F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Committees must submit the Budgetary Review and Recommendation Report (BRRR) annually to the National Assembly. The BRRR assesses the effectiveness and efficiency of a department’s use and forward allocation of available resources and may include recommendation on the use of resources in the medium term.</w:t>
      </w:r>
    </w:p>
    <w:p w14:paraId="1B7DC62F" w14:textId="77777777" w:rsidR="00530F13" w:rsidRPr="000D5F03" w:rsidRDefault="00530F13" w:rsidP="000D5F03">
      <w:pPr>
        <w:spacing w:line="360" w:lineRule="auto"/>
        <w:jc w:val="both"/>
        <w:rPr>
          <w:rFonts w:ascii="Times New Roman" w:hAnsi="Times New Roman"/>
          <w:sz w:val="24"/>
          <w:szCs w:val="24"/>
        </w:rPr>
      </w:pPr>
    </w:p>
    <w:p w14:paraId="4328AEB9" w14:textId="77777777" w:rsidR="009E10F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Committees must submit the BRRR after the adoption of the budget and before the adoption of the reports on the Medium Term Budget Policy Statement (MTBPS) by the respective Houses in November of each year.</w:t>
      </w:r>
    </w:p>
    <w:p w14:paraId="0AC3CB26" w14:textId="77777777" w:rsidR="00530F13" w:rsidRPr="000D5F03" w:rsidRDefault="00530F13" w:rsidP="000D5F03">
      <w:pPr>
        <w:spacing w:line="360" w:lineRule="auto"/>
        <w:jc w:val="both"/>
        <w:rPr>
          <w:rFonts w:ascii="Times New Roman" w:hAnsi="Times New Roman"/>
          <w:sz w:val="24"/>
          <w:szCs w:val="24"/>
        </w:rPr>
      </w:pPr>
    </w:p>
    <w:p w14:paraId="14551F6A" w14:textId="4B5B0BB8" w:rsidR="009E10F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 xml:space="preserve">The Act therefore makes it obligatory for Parliament to assess the Department’s budgetary needs and shortfalls vis-à-vis the Department’s operational efficiency and performance. This </w:t>
      </w:r>
      <w:proofErr w:type="gramStart"/>
      <w:r w:rsidRPr="000D5F03">
        <w:rPr>
          <w:rFonts w:ascii="Times New Roman" w:hAnsi="Times New Roman"/>
          <w:sz w:val="24"/>
          <w:szCs w:val="24"/>
        </w:rPr>
        <w:t>is done</w:t>
      </w:r>
      <w:proofErr w:type="gramEnd"/>
      <w:r w:rsidRPr="000D5F03">
        <w:rPr>
          <w:rFonts w:ascii="Times New Roman" w:hAnsi="Times New Roman"/>
          <w:sz w:val="24"/>
          <w:szCs w:val="24"/>
        </w:rPr>
        <w:t xml:space="preserve"> taking into consideration the fact that the Department has oversight responsibilities over five entities.</w:t>
      </w:r>
    </w:p>
    <w:p w14:paraId="7EDD6130" w14:textId="0DE67C5B" w:rsidR="00826682" w:rsidRPr="000D5F03" w:rsidRDefault="00826682" w:rsidP="000D5F03">
      <w:pPr>
        <w:spacing w:line="360" w:lineRule="auto"/>
        <w:jc w:val="both"/>
        <w:rPr>
          <w:rFonts w:ascii="Times New Roman" w:hAnsi="Times New Roman"/>
          <w:sz w:val="24"/>
          <w:szCs w:val="24"/>
        </w:rPr>
      </w:pPr>
    </w:p>
    <w:p w14:paraId="21887DF3" w14:textId="1ACAAC60" w:rsidR="00BA5EA4" w:rsidRPr="000D5F03" w:rsidRDefault="00BA5EA4" w:rsidP="000D5F03">
      <w:pPr>
        <w:spacing w:line="360" w:lineRule="auto"/>
        <w:jc w:val="both"/>
        <w:rPr>
          <w:rFonts w:ascii="Times New Roman" w:hAnsi="Times New Roman"/>
          <w:b/>
          <w:sz w:val="24"/>
          <w:szCs w:val="24"/>
          <w:lang w:val="en-US"/>
        </w:rPr>
      </w:pPr>
    </w:p>
    <w:p w14:paraId="224E4E84" w14:textId="77777777" w:rsidR="009E10FE" w:rsidRPr="000D5F03" w:rsidRDefault="009E10FE" w:rsidP="000D5F03">
      <w:pPr>
        <w:pStyle w:val="ListParagraph"/>
        <w:numPr>
          <w:ilvl w:val="1"/>
          <w:numId w:val="1"/>
        </w:numPr>
        <w:suppressAutoHyphens w:val="0"/>
        <w:autoSpaceDN/>
        <w:spacing w:line="360" w:lineRule="auto"/>
        <w:contextualSpacing/>
        <w:jc w:val="both"/>
        <w:textAlignment w:val="auto"/>
        <w:rPr>
          <w:rFonts w:ascii="Times New Roman" w:hAnsi="Times New Roman"/>
          <w:b/>
          <w:sz w:val="24"/>
          <w:szCs w:val="24"/>
        </w:rPr>
      </w:pPr>
      <w:r w:rsidRPr="000D5F03">
        <w:rPr>
          <w:rFonts w:ascii="Times New Roman" w:hAnsi="Times New Roman"/>
          <w:b/>
          <w:sz w:val="24"/>
          <w:szCs w:val="24"/>
        </w:rPr>
        <w:t>Method followed by the Committee in writing the BRR Report</w:t>
      </w:r>
    </w:p>
    <w:p w14:paraId="3126D3D4" w14:textId="77777777" w:rsidR="009E10FE" w:rsidRPr="000D5F03" w:rsidRDefault="009E10FE" w:rsidP="000D5F03">
      <w:pPr>
        <w:pStyle w:val="ListParagraph"/>
        <w:spacing w:line="360" w:lineRule="auto"/>
        <w:jc w:val="both"/>
        <w:rPr>
          <w:rFonts w:ascii="Times New Roman" w:hAnsi="Times New Roman"/>
          <w:b/>
          <w:sz w:val="24"/>
          <w:szCs w:val="24"/>
        </w:rPr>
      </w:pPr>
    </w:p>
    <w:p w14:paraId="3999367F" w14:textId="1ED7483E" w:rsidR="00E960B7" w:rsidRPr="000D5F03" w:rsidRDefault="00E960B7" w:rsidP="000D5F03">
      <w:pPr>
        <w:spacing w:line="360" w:lineRule="auto"/>
        <w:jc w:val="both"/>
        <w:rPr>
          <w:rFonts w:ascii="Times New Roman" w:hAnsi="Times New Roman"/>
          <w:sz w:val="24"/>
          <w:szCs w:val="24"/>
        </w:rPr>
      </w:pPr>
      <w:proofErr w:type="gramStart"/>
      <w:r w:rsidRPr="000D5F03">
        <w:rPr>
          <w:rFonts w:ascii="Times New Roman" w:hAnsi="Times New Roman"/>
          <w:sz w:val="24"/>
          <w:szCs w:val="24"/>
        </w:rPr>
        <w:t xml:space="preserve">On May 29, in 2019, the President of South Africa, President Cyril </w:t>
      </w:r>
      <w:proofErr w:type="spellStart"/>
      <w:r w:rsidRPr="000D5F03">
        <w:rPr>
          <w:rFonts w:ascii="Times New Roman" w:hAnsi="Times New Roman"/>
          <w:sz w:val="24"/>
          <w:szCs w:val="24"/>
        </w:rPr>
        <w:t>Ramaphosa</w:t>
      </w:r>
      <w:proofErr w:type="spellEnd"/>
      <w:r w:rsidRPr="000D5F03">
        <w:rPr>
          <w:rFonts w:ascii="Times New Roman" w:hAnsi="Times New Roman"/>
          <w:sz w:val="24"/>
          <w:szCs w:val="24"/>
        </w:rPr>
        <w:t xml:space="preserve"> announced a reconfigured executive, which merged the former Department of Mineral Resources with that of </w:t>
      </w:r>
      <w:r w:rsidR="00097D13" w:rsidRPr="000D5F03">
        <w:rPr>
          <w:rFonts w:ascii="Times New Roman" w:hAnsi="Times New Roman"/>
          <w:sz w:val="24"/>
          <w:szCs w:val="24"/>
        </w:rPr>
        <w:t xml:space="preserve">the </w:t>
      </w:r>
      <w:r w:rsidRPr="000D5F03">
        <w:rPr>
          <w:rFonts w:ascii="Times New Roman" w:hAnsi="Times New Roman"/>
          <w:sz w:val="24"/>
          <w:szCs w:val="24"/>
        </w:rPr>
        <w:t xml:space="preserve">Department of Energy, giving birth to a new Department known as the Department of Mineral Resources and Energy (DMRE), hence even though the two respective Departments are still reporting as separate entities, going forward both Departments will be reporting as a single entity </w:t>
      </w:r>
      <w:r w:rsidR="00A009A0" w:rsidRPr="000D5F03">
        <w:rPr>
          <w:rFonts w:ascii="Times New Roman" w:hAnsi="Times New Roman"/>
          <w:sz w:val="24"/>
          <w:szCs w:val="24"/>
        </w:rPr>
        <w:t>to the Portfolio Committee of Minerals and Energy</w:t>
      </w:r>
      <w:r w:rsidR="00097D13" w:rsidRPr="000D5F03">
        <w:rPr>
          <w:rFonts w:ascii="Times New Roman" w:hAnsi="Times New Roman"/>
          <w:sz w:val="24"/>
          <w:szCs w:val="24"/>
        </w:rPr>
        <w:t xml:space="preserve"> (PCMRE)</w:t>
      </w:r>
      <w:r w:rsidR="00A009A0" w:rsidRPr="000D5F03">
        <w:rPr>
          <w:rFonts w:ascii="Times New Roman" w:hAnsi="Times New Roman"/>
          <w:sz w:val="24"/>
          <w:szCs w:val="24"/>
        </w:rPr>
        <w:t xml:space="preserve">, </w:t>
      </w:r>
      <w:r w:rsidRPr="000D5F03">
        <w:rPr>
          <w:rFonts w:ascii="Times New Roman" w:hAnsi="Times New Roman"/>
          <w:sz w:val="24"/>
          <w:szCs w:val="24"/>
        </w:rPr>
        <w:t>the merger is expected to be finalised by March 2020.</w:t>
      </w:r>
      <w:proofErr w:type="gramEnd"/>
      <w:r w:rsidR="00826682" w:rsidRPr="000D5F03">
        <w:rPr>
          <w:rFonts w:ascii="Times New Roman" w:hAnsi="Times New Roman"/>
          <w:sz w:val="24"/>
          <w:szCs w:val="24"/>
        </w:rPr>
        <w:t xml:space="preserve"> DMRE (Vote 29) </w:t>
      </w:r>
      <w:proofErr w:type="gramStart"/>
      <w:r w:rsidR="00826682" w:rsidRPr="000D5F03">
        <w:rPr>
          <w:rFonts w:ascii="Times New Roman" w:hAnsi="Times New Roman"/>
          <w:sz w:val="24"/>
          <w:szCs w:val="24"/>
        </w:rPr>
        <w:t>will be used</w:t>
      </w:r>
      <w:proofErr w:type="gramEnd"/>
      <w:r w:rsidR="00826682" w:rsidRPr="000D5F03">
        <w:rPr>
          <w:rFonts w:ascii="Times New Roman" w:hAnsi="Times New Roman"/>
          <w:sz w:val="24"/>
          <w:szCs w:val="24"/>
        </w:rPr>
        <w:t xml:space="preserve"> to refer to the former Mineral Resource component of the new Department.</w:t>
      </w:r>
    </w:p>
    <w:p w14:paraId="45CC6EBE" w14:textId="77777777" w:rsidR="00E960B7" w:rsidRPr="000D5F03" w:rsidRDefault="00E960B7" w:rsidP="000D5F03">
      <w:pPr>
        <w:spacing w:line="360" w:lineRule="auto"/>
        <w:jc w:val="both"/>
        <w:rPr>
          <w:rFonts w:ascii="Times New Roman" w:hAnsi="Times New Roman"/>
          <w:sz w:val="24"/>
          <w:szCs w:val="24"/>
        </w:rPr>
      </w:pPr>
    </w:p>
    <w:p w14:paraId="4EC1493D" w14:textId="77777777" w:rsidR="009E10FE" w:rsidRPr="000D5F03" w:rsidRDefault="009E10FE" w:rsidP="000D5F03">
      <w:pPr>
        <w:spacing w:line="360" w:lineRule="auto"/>
        <w:jc w:val="both"/>
        <w:rPr>
          <w:rFonts w:ascii="Times New Roman" w:hAnsi="Times New Roman"/>
          <w:sz w:val="24"/>
          <w:szCs w:val="24"/>
        </w:rPr>
      </w:pPr>
      <w:r w:rsidRPr="000D5F03">
        <w:rPr>
          <w:rFonts w:ascii="Times New Roman" w:hAnsi="Times New Roman"/>
          <w:sz w:val="24"/>
          <w:szCs w:val="24"/>
        </w:rPr>
        <w:t>The Committee has scrutinised and interrogated all available documents as outlined in Section 5 of the Act. The Committee has assessed the performance of the Departme</w:t>
      </w:r>
      <w:r w:rsidR="00101561" w:rsidRPr="000D5F03">
        <w:rPr>
          <w:rFonts w:ascii="Times New Roman" w:hAnsi="Times New Roman"/>
          <w:sz w:val="24"/>
          <w:szCs w:val="24"/>
        </w:rPr>
        <w:t xml:space="preserve">nt in the </w:t>
      </w:r>
      <w:r w:rsidR="00976A66" w:rsidRPr="000D5F03">
        <w:rPr>
          <w:rFonts w:ascii="Times New Roman" w:hAnsi="Times New Roman"/>
          <w:sz w:val="24"/>
          <w:szCs w:val="24"/>
        </w:rPr>
        <w:t>201</w:t>
      </w:r>
      <w:r w:rsidR="00A009A0" w:rsidRPr="000D5F03">
        <w:rPr>
          <w:rFonts w:ascii="Times New Roman" w:hAnsi="Times New Roman"/>
          <w:sz w:val="24"/>
          <w:szCs w:val="24"/>
        </w:rPr>
        <w:t>8</w:t>
      </w:r>
      <w:r w:rsidR="00101561" w:rsidRPr="000D5F03">
        <w:rPr>
          <w:rFonts w:ascii="Times New Roman" w:hAnsi="Times New Roman"/>
          <w:sz w:val="24"/>
          <w:szCs w:val="24"/>
        </w:rPr>
        <w:t>/</w:t>
      </w:r>
      <w:r w:rsidR="00976A66" w:rsidRPr="000D5F03">
        <w:rPr>
          <w:rFonts w:ascii="Times New Roman" w:hAnsi="Times New Roman"/>
          <w:sz w:val="24"/>
          <w:szCs w:val="24"/>
        </w:rPr>
        <w:t>1</w:t>
      </w:r>
      <w:r w:rsidR="00A009A0" w:rsidRPr="000D5F03">
        <w:rPr>
          <w:rFonts w:ascii="Times New Roman" w:hAnsi="Times New Roman"/>
          <w:sz w:val="24"/>
          <w:szCs w:val="24"/>
        </w:rPr>
        <w:t>9</w:t>
      </w:r>
      <w:r w:rsidR="00976A66" w:rsidRPr="000D5F03">
        <w:rPr>
          <w:rFonts w:ascii="Times New Roman" w:hAnsi="Times New Roman"/>
          <w:sz w:val="24"/>
          <w:szCs w:val="24"/>
        </w:rPr>
        <w:t xml:space="preserve"> </w:t>
      </w:r>
      <w:r w:rsidRPr="000D5F03">
        <w:rPr>
          <w:rFonts w:ascii="Times New Roman" w:hAnsi="Times New Roman"/>
          <w:sz w:val="24"/>
          <w:szCs w:val="24"/>
        </w:rPr>
        <w:t xml:space="preserve">financial year, as well as performance in the first quarter of the </w:t>
      </w:r>
      <w:r w:rsidR="00976A66" w:rsidRPr="000D5F03">
        <w:rPr>
          <w:rFonts w:ascii="Times New Roman" w:hAnsi="Times New Roman"/>
          <w:sz w:val="24"/>
          <w:szCs w:val="24"/>
        </w:rPr>
        <w:t>201</w:t>
      </w:r>
      <w:r w:rsidR="00A009A0" w:rsidRPr="000D5F03">
        <w:rPr>
          <w:rFonts w:ascii="Times New Roman" w:hAnsi="Times New Roman"/>
          <w:sz w:val="24"/>
          <w:szCs w:val="24"/>
        </w:rPr>
        <w:t>9</w:t>
      </w:r>
      <w:r w:rsidRPr="000D5F03">
        <w:rPr>
          <w:rFonts w:ascii="Times New Roman" w:hAnsi="Times New Roman"/>
          <w:sz w:val="24"/>
          <w:szCs w:val="24"/>
        </w:rPr>
        <w:t>/</w:t>
      </w:r>
      <w:r w:rsidR="00A009A0" w:rsidRPr="000D5F03">
        <w:rPr>
          <w:rFonts w:ascii="Times New Roman" w:hAnsi="Times New Roman"/>
          <w:sz w:val="24"/>
          <w:szCs w:val="24"/>
        </w:rPr>
        <w:t>20</w:t>
      </w:r>
      <w:r w:rsidR="00976A66" w:rsidRPr="000D5F03">
        <w:rPr>
          <w:rFonts w:ascii="Times New Roman" w:hAnsi="Times New Roman"/>
          <w:sz w:val="24"/>
          <w:szCs w:val="24"/>
        </w:rPr>
        <w:t xml:space="preserve"> </w:t>
      </w:r>
      <w:r w:rsidRPr="000D5F03">
        <w:rPr>
          <w:rFonts w:ascii="Times New Roman" w:hAnsi="Times New Roman"/>
          <w:sz w:val="24"/>
          <w:szCs w:val="24"/>
        </w:rPr>
        <w:t xml:space="preserve">financial year where information was available. </w:t>
      </w:r>
    </w:p>
    <w:p w14:paraId="6823774F" w14:textId="77777777" w:rsidR="00530F13" w:rsidRPr="000D5F03" w:rsidRDefault="00530F13" w:rsidP="000D5F03">
      <w:pPr>
        <w:spacing w:line="360" w:lineRule="auto"/>
        <w:jc w:val="both"/>
        <w:rPr>
          <w:rFonts w:ascii="Times New Roman" w:hAnsi="Times New Roman"/>
          <w:sz w:val="24"/>
          <w:szCs w:val="24"/>
        </w:rPr>
      </w:pPr>
    </w:p>
    <w:p w14:paraId="33A4FCD9" w14:textId="5E5D7B8D" w:rsidR="009E10FE" w:rsidRPr="000D5F03" w:rsidRDefault="009E10FE" w:rsidP="000D5F03">
      <w:pPr>
        <w:spacing w:line="360" w:lineRule="auto"/>
        <w:jc w:val="both"/>
        <w:rPr>
          <w:rFonts w:ascii="Times New Roman" w:hAnsi="Times New Roman"/>
          <w:sz w:val="24"/>
          <w:szCs w:val="24"/>
          <w:lang w:val="en-US"/>
        </w:rPr>
      </w:pPr>
      <w:r w:rsidRPr="000D5F03">
        <w:rPr>
          <w:rFonts w:ascii="Times New Roman" w:hAnsi="Times New Roman"/>
          <w:sz w:val="24"/>
          <w:szCs w:val="24"/>
          <w:lang w:val="en-US"/>
        </w:rPr>
        <w:t>The Portfolio Committee on Mineral Resources held a meeting on the 201</w:t>
      </w:r>
      <w:r w:rsidR="003F4F24" w:rsidRPr="000D5F03">
        <w:rPr>
          <w:rFonts w:ascii="Times New Roman" w:hAnsi="Times New Roman"/>
          <w:sz w:val="24"/>
          <w:szCs w:val="24"/>
          <w:lang w:val="en-US"/>
        </w:rPr>
        <w:t>8</w:t>
      </w:r>
      <w:r w:rsidR="00EC7C98" w:rsidRPr="000D5F03">
        <w:rPr>
          <w:rFonts w:ascii="Times New Roman" w:hAnsi="Times New Roman"/>
          <w:sz w:val="24"/>
          <w:szCs w:val="24"/>
          <w:lang w:val="en-US"/>
        </w:rPr>
        <w:t>/201</w:t>
      </w:r>
      <w:r w:rsidR="003F4F24" w:rsidRPr="000D5F03">
        <w:rPr>
          <w:rFonts w:ascii="Times New Roman" w:hAnsi="Times New Roman"/>
          <w:sz w:val="24"/>
          <w:szCs w:val="24"/>
          <w:lang w:val="en-US"/>
        </w:rPr>
        <w:t>9</w:t>
      </w:r>
      <w:r w:rsidRPr="000D5F03">
        <w:rPr>
          <w:rFonts w:ascii="Times New Roman" w:hAnsi="Times New Roman"/>
          <w:sz w:val="24"/>
          <w:szCs w:val="24"/>
          <w:lang w:val="en-US"/>
        </w:rPr>
        <w:t xml:space="preserve"> Annual Report of the Depar</w:t>
      </w:r>
      <w:r w:rsidR="00101561" w:rsidRPr="000D5F03">
        <w:rPr>
          <w:rFonts w:ascii="Times New Roman" w:hAnsi="Times New Roman"/>
          <w:sz w:val="24"/>
          <w:szCs w:val="24"/>
          <w:lang w:val="en-US"/>
        </w:rPr>
        <w:t>tment of Mineral</w:t>
      </w:r>
      <w:r w:rsidR="00EC7C98" w:rsidRPr="000D5F03">
        <w:rPr>
          <w:rFonts w:ascii="Times New Roman" w:hAnsi="Times New Roman"/>
          <w:sz w:val="24"/>
          <w:szCs w:val="24"/>
          <w:lang w:val="en-US"/>
        </w:rPr>
        <w:t xml:space="preserve"> Resources and its entities on </w:t>
      </w:r>
      <w:r w:rsidR="00E83EE9" w:rsidRPr="000D5F03">
        <w:rPr>
          <w:rFonts w:ascii="Times New Roman" w:hAnsi="Times New Roman"/>
          <w:sz w:val="24"/>
          <w:szCs w:val="24"/>
          <w:lang w:val="en-US"/>
        </w:rPr>
        <w:t>the</w:t>
      </w:r>
      <w:r w:rsidR="003F4F24" w:rsidRPr="000D5F03">
        <w:rPr>
          <w:rFonts w:ascii="Times New Roman" w:hAnsi="Times New Roman"/>
          <w:sz w:val="24"/>
          <w:szCs w:val="24"/>
          <w:lang w:val="en-US"/>
        </w:rPr>
        <w:t xml:space="preserve"> </w:t>
      </w:r>
      <w:proofErr w:type="gramStart"/>
      <w:r w:rsidR="003F4F24" w:rsidRPr="000D5F03">
        <w:rPr>
          <w:rFonts w:ascii="Times New Roman" w:hAnsi="Times New Roman"/>
          <w:sz w:val="24"/>
          <w:szCs w:val="24"/>
          <w:lang w:val="en-US"/>
        </w:rPr>
        <w:t>8</w:t>
      </w:r>
      <w:r w:rsidR="003F4F24" w:rsidRPr="000D5F03">
        <w:rPr>
          <w:rFonts w:ascii="Times New Roman" w:hAnsi="Times New Roman"/>
          <w:sz w:val="24"/>
          <w:szCs w:val="24"/>
          <w:vertAlign w:val="superscript"/>
          <w:lang w:val="en-US"/>
        </w:rPr>
        <w:t>th</w:t>
      </w:r>
      <w:r w:rsidR="003F4F24" w:rsidRPr="000D5F03">
        <w:rPr>
          <w:rFonts w:ascii="Times New Roman" w:hAnsi="Times New Roman"/>
          <w:sz w:val="24"/>
          <w:szCs w:val="24"/>
          <w:lang w:val="en-US"/>
        </w:rPr>
        <w:t xml:space="preserve"> ,</w:t>
      </w:r>
      <w:proofErr w:type="gramEnd"/>
      <w:r w:rsidR="003F4F24" w:rsidRPr="000D5F03">
        <w:rPr>
          <w:rFonts w:ascii="Times New Roman" w:hAnsi="Times New Roman"/>
          <w:sz w:val="24"/>
          <w:szCs w:val="24"/>
          <w:lang w:val="en-US"/>
        </w:rPr>
        <w:t xml:space="preserve"> 9</w:t>
      </w:r>
      <w:r w:rsidR="003F4F24" w:rsidRPr="000D5F03">
        <w:rPr>
          <w:rFonts w:ascii="Times New Roman" w:hAnsi="Times New Roman"/>
          <w:sz w:val="24"/>
          <w:szCs w:val="24"/>
          <w:vertAlign w:val="superscript"/>
          <w:lang w:val="en-US"/>
        </w:rPr>
        <w:t>th</w:t>
      </w:r>
      <w:r w:rsidR="003F4F24" w:rsidRPr="000D5F03">
        <w:rPr>
          <w:rFonts w:ascii="Times New Roman" w:hAnsi="Times New Roman"/>
          <w:sz w:val="24"/>
          <w:szCs w:val="24"/>
          <w:lang w:val="en-US"/>
        </w:rPr>
        <w:t xml:space="preserve"> an</w:t>
      </w:r>
      <w:r w:rsidR="00EE4A9D" w:rsidRPr="000D5F03">
        <w:rPr>
          <w:rFonts w:ascii="Times New Roman" w:hAnsi="Times New Roman"/>
          <w:sz w:val="24"/>
          <w:szCs w:val="24"/>
          <w:lang w:val="en-US"/>
        </w:rPr>
        <w:t>d</w:t>
      </w:r>
      <w:r w:rsidR="00EC7C98" w:rsidRPr="000D5F03">
        <w:rPr>
          <w:rFonts w:ascii="Times New Roman" w:hAnsi="Times New Roman"/>
          <w:sz w:val="24"/>
          <w:szCs w:val="24"/>
          <w:lang w:val="en-US"/>
        </w:rPr>
        <w:t xml:space="preserve"> </w:t>
      </w:r>
      <w:r w:rsidR="003F4F24" w:rsidRPr="000D5F03">
        <w:rPr>
          <w:rFonts w:ascii="Times New Roman" w:hAnsi="Times New Roman"/>
          <w:sz w:val="24"/>
          <w:szCs w:val="24"/>
          <w:lang w:val="en-US"/>
        </w:rPr>
        <w:t>1</w:t>
      </w:r>
      <w:r w:rsidR="00EC7C98" w:rsidRPr="000D5F03">
        <w:rPr>
          <w:rFonts w:ascii="Times New Roman" w:hAnsi="Times New Roman"/>
          <w:sz w:val="24"/>
          <w:szCs w:val="24"/>
          <w:lang w:val="en-US"/>
        </w:rPr>
        <w:t xml:space="preserve">0 </w:t>
      </w:r>
      <w:r w:rsidR="003F4F24" w:rsidRPr="000D5F03">
        <w:rPr>
          <w:rFonts w:ascii="Times New Roman" w:hAnsi="Times New Roman"/>
          <w:sz w:val="24"/>
          <w:szCs w:val="24"/>
          <w:lang w:val="en-US"/>
        </w:rPr>
        <w:t xml:space="preserve">of </w:t>
      </w:r>
      <w:r w:rsidR="00EC7C98" w:rsidRPr="000D5F03">
        <w:rPr>
          <w:rFonts w:ascii="Times New Roman" w:hAnsi="Times New Roman"/>
          <w:sz w:val="24"/>
          <w:szCs w:val="24"/>
          <w:lang w:val="en-US"/>
        </w:rPr>
        <w:t>October 201</w:t>
      </w:r>
      <w:r w:rsidR="003F4F24" w:rsidRPr="000D5F03">
        <w:rPr>
          <w:rFonts w:ascii="Times New Roman" w:hAnsi="Times New Roman"/>
          <w:sz w:val="24"/>
          <w:szCs w:val="24"/>
          <w:lang w:val="en-US"/>
        </w:rPr>
        <w:t>9</w:t>
      </w:r>
      <w:r w:rsidRPr="000D5F03">
        <w:rPr>
          <w:rFonts w:ascii="Times New Roman" w:hAnsi="Times New Roman"/>
          <w:sz w:val="24"/>
          <w:szCs w:val="24"/>
          <w:lang w:val="en-US"/>
        </w:rPr>
        <w:t xml:space="preserve">, which was addressed by the </w:t>
      </w:r>
      <w:r w:rsidR="00530F13" w:rsidRPr="000D5F03">
        <w:rPr>
          <w:rFonts w:ascii="Times New Roman" w:hAnsi="Times New Roman"/>
          <w:sz w:val="24"/>
          <w:szCs w:val="24"/>
          <w:lang w:val="en-US"/>
        </w:rPr>
        <w:t>senior</w:t>
      </w:r>
      <w:r w:rsidRPr="000D5F03">
        <w:rPr>
          <w:rFonts w:ascii="Times New Roman" w:hAnsi="Times New Roman"/>
          <w:sz w:val="24"/>
          <w:szCs w:val="24"/>
          <w:lang w:val="en-US"/>
        </w:rPr>
        <w:t xml:space="preserve"> leadership of the DMR</w:t>
      </w:r>
      <w:r w:rsidR="003F4F24" w:rsidRPr="000D5F03">
        <w:rPr>
          <w:rFonts w:ascii="Times New Roman" w:hAnsi="Times New Roman"/>
          <w:sz w:val="24"/>
          <w:szCs w:val="24"/>
          <w:lang w:val="en-US"/>
        </w:rPr>
        <w:t>E</w:t>
      </w:r>
      <w:r w:rsidRPr="000D5F03">
        <w:rPr>
          <w:rFonts w:ascii="Times New Roman" w:hAnsi="Times New Roman"/>
          <w:sz w:val="24"/>
          <w:szCs w:val="24"/>
          <w:lang w:val="en-US"/>
        </w:rPr>
        <w:t xml:space="preserve">. </w:t>
      </w:r>
    </w:p>
    <w:p w14:paraId="5B84E0EE" w14:textId="77777777" w:rsidR="00530F13" w:rsidRPr="000D5F03" w:rsidRDefault="00530F13" w:rsidP="000D5F03">
      <w:pPr>
        <w:spacing w:line="360" w:lineRule="auto"/>
        <w:jc w:val="both"/>
        <w:rPr>
          <w:rFonts w:ascii="Times New Roman" w:hAnsi="Times New Roman"/>
          <w:sz w:val="24"/>
          <w:szCs w:val="24"/>
          <w:lang w:val="en-US"/>
        </w:rPr>
      </w:pPr>
    </w:p>
    <w:p w14:paraId="13B5EAF9" w14:textId="5E2CE0B2" w:rsidR="009E10FE" w:rsidRPr="000D5F03" w:rsidRDefault="009E10FE" w:rsidP="000D5F03">
      <w:pPr>
        <w:spacing w:line="360" w:lineRule="auto"/>
        <w:jc w:val="both"/>
        <w:rPr>
          <w:rFonts w:ascii="Times New Roman" w:hAnsi="Times New Roman"/>
          <w:sz w:val="24"/>
          <w:szCs w:val="24"/>
          <w:lang w:val="en-US"/>
        </w:rPr>
      </w:pPr>
      <w:r w:rsidRPr="000D5F03">
        <w:rPr>
          <w:rFonts w:ascii="Times New Roman" w:hAnsi="Times New Roman"/>
          <w:sz w:val="24"/>
          <w:szCs w:val="24"/>
          <w:lang w:val="en-US"/>
        </w:rPr>
        <w:t xml:space="preserve">The office of the Auditor General gave input during the budget review and recommendation report process. Moreover, the Committee undertook visits to the </w:t>
      </w:r>
      <w:r w:rsidR="003F4F24" w:rsidRPr="000D5F03">
        <w:rPr>
          <w:rFonts w:ascii="Times New Roman" w:hAnsi="Times New Roman"/>
          <w:sz w:val="24"/>
          <w:szCs w:val="24"/>
          <w:lang w:val="en-US"/>
        </w:rPr>
        <w:t xml:space="preserve">Department’s entities </w:t>
      </w:r>
      <w:r w:rsidR="00E83EE9" w:rsidRPr="000D5F03">
        <w:rPr>
          <w:rFonts w:ascii="Times New Roman" w:hAnsi="Times New Roman"/>
          <w:sz w:val="24"/>
          <w:szCs w:val="24"/>
          <w:lang w:val="en-US"/>
        </w:rPr>
        <w:t>in Gauteng</w:t>
      </w:r>
      <w:r w:rsidRPr="000D5F03">
        <w:rPr>
          <w:rFonts w:ascii="Times New Roman" w:hAnsi="Times New Roman"/>
          <w:sz w:val="24"/>
          <w:szCs w:val="24"/>
          <w:lang w:val="en-US"/>
        </w:rPr>
        <w:t xml:space="preserve"> Province, to look at issues pertaining to the role played by the Department of Mineral Resources</w:t>
      </w:r>
      <w:r w:rsidR="003F4F24" w:rsidRPr="000D5F03">
        <w:rPr>
          <w:rFonts w:ascii="Times New Roman" w:hAnsi="Times New Roman"/>
          <w:sz w:val="24"/>
          <w:szCs w:val="24"/>
          <w:lang w:val="en-US"/>
        </w:rPr>
        <w:t xml:space="preserve"> and Energy</w:t>
      </w:r>
      <w:r w:rsidRPr="000D5F03">
        <w:rPr>
          <w:rFonts w:ascii="Times New Roman" w:hAnsi="Times New Roman"/>
          <w:sz w:val="24"/>
          <w:szCs w:val="24"/>
          <w:lang w:val="en-US"/>
        </w:rPr>
        <w:t xml:space="preserve"> in regulating the mining industry in areas such as community consultation, the environment, illegal mining and mine health and safety. </w:t>
      </w:r>
    </w:p>
    <w:p w14:paraId="45040422" w14:textId="77777777" w:rsidR="00976A66" w:rsidRPr="000D5F03" w:rsidRDefault="00976A66" w:rsidP="000D5F03">
      <w:pPr>
        <w:spacing w:line="360" w:lineRule="auto"/>
        <w:jc w:val="both"/>
        <w:rPr>
          <w:rFonts w:ascii="Times New Roman" w:hAnsi="Times New Roman"/>
          <w:sz w:val="24"/>
          <w:szCs w:val="24"/>
          <w:lang w:val="en-US"/>
        </w:rPr>
      </w:pPr>
    </w:p>
    <w:p w14:paraId="461F769A" w14:textId="77777777" w:rsidR="009E10FE" w:rsidRPr="000D5F03" w:rsidRDefault="009E10FE" w:rsidP="000D5F03">
      <w:pPr>
        <w:spacing w:line="360" w:lineRule="auto"/>
        <w:jc w:val="both"/>
        <w:rPr>
          <w:rFonts w:ascii="Times New Roman" w:hAnsi="Times New Roman"/>
          <w:sz w:val="24"/>
          <w:szCs w:val="24"/>
          <w:lang w:val="en-US"/>
        </w:rPr>
      </w:pPr>
      <w:r w:rsidRPr="000D5F03">
        <w:rPr>
          <w:rFonts w:ascii="Times New Roman" w:hAnsi="Times New Roman"/>
          <w:sz w:val="24"/>
          <w:szCs w:val="24"/>
          <w:lang w:val="en-US"/>
        </w:rPr>
        <w:t>The Committee, in undertaking this process, used a number of source documents, including the 2014-2019 Strategic Plan of the DMR</w:t>
      </w:r>
      <w:r w:rsidR="003F4F24" w:rsidRPr="000D5F03">
        <w:rPr>
          <w:rFonts w:ascii="Times New Roman" w:hAnsi="Times New Roman"/>
          <w:sz w:val="24"/>
          <w:szCs w:val="24"/>
          <w:lang w:val="en-US"/>
        </w:rPr>
        <w:t>E</w:t>
      </w:r>
      <w:r w:rsidRPr="000D5F03">
        <w:rPr>
          <w:rFonts w:ascii="Times New Roman" w:hAnsi="Times New Roman"/>
          <w:sz w:val="24"/>
          <w:szCs w:val="24"/>
          <w:lang w:val="en-US"/>
        </w:rPr>
        <w:t xml:space="preserve">, </w:t>
      </w:r>
      <w:r w:rsidRPr="000D5F03">
        <w:rPr>
          <w:rFonts w:ascii="Times New Roman" w:hAnsi="Times New Roman"/>
          <w:sz w:val="24"/>
          <w:szCs w:val="24"/>
        </w:rPr>
        <w:t xml:space="preserve">Annual Performance Plans, </w:t>
      </w:r>
      <w:r w:rsidRPr="000D5F03">
        <w:rPr>
          <w:rFonts w:ascii="Times New Roman" w:hAnsi="Times New Roman"/>
          <w:sz w:val="24"/>
          <w:szCs w:val="24"/>
          <w:lang w:val="en-US"/>
        </w:rPr>
        <w:t>Annual Rep</w:t>
      </w:r>
      <w:r w:rsidR="00EC7C98" w:rsidRPr="000D5F03">
        <w:rPr>
          <w:rFonts w:ascii="Times New Roman" w:hAnsi="Times New Roman"/>
          <w:sz w:val="24"/>
          <w:szCs w:val="24"/>
          <w:lang w:val="en-US"/>
        </w:rPr>
        <w:t>orts, Financial Statements, 201</w:t>
      </w:r>
      <w:r w:rsidR="00A009A0" w:rsidRPr="000D5F03">
        <w:rPr>
          <w:rFonts w:ascii="Times New Roman" w:hAnsi="Times New Roman"/>
          <w:sz w:val="24"/>
          <w:szCs w:val="24"/>
          <w:lang w:val="en-US"/>
        </w:rPr>
        <w:t>8</w:t>
      </w:r>
      <w:r w:rsidR="00EC7C98" w:rsidRPr="000D5F03">
        <w:rPr>
          <w:rFonts w:ascii="Times New Roman" w:hAnsi="Times New Roman"/>
          <w:sz w:val="24"/>
          <w:szCs w:val="24"/>
          <w:lang w:val="en-US"/>
        </w:rPr>
        <w:t>/1</w:t>
      </w:r>
      <w:r w:rsidR="00A009A0" w:rsidRPr="000D5F03">
        <w:rPr>
          <w:rFonts w:ascii="Times New Roman" w:hAnsi="Times New Roman"/>
          <w:sz w:val="24"/>
          <w:szCs w:val="24"/>
          <w:lang w:val="en-US"/>
        </w:rPr>
        <w:t>9</w:t>
      </w:r>
      <w:r w:rsidR="00EC7C98" w:rsidRPr="000D5F03">
        <w:rPr>
          <w:rFonts w:ascii="Times New Roman" w:hAnsi="Times New Roman"/>
          <w:sz w:val="24"/>
          <w:szCs w:val="24"/>
          <w:lang w:val="en-US"/>
        </w:rPr>
        <w:t xml:space="preserve"> and the 201</w:t>
      </w:r>
      <w:r w:rsidR="00A009A0" w:rsidRPr="000D5F03">
        <w:rPr>
          <w:rFonts w:ascii="Times New Roman" w:hAnsi="Times New Roman"/>
          <w:sz w:val="24"/>
          <w:szCs w:val="24"/>
          <w:lang w:val="en-US"/>
        </w:rPr>
        <w:t>8</w:t>
      </w:r>
      <w:r w:rsidRPr="000D5F03">
        <w:rPr>
          <w:rFonts w:ascii="Times New Roman" w:hAnsi="Times New Roman"/>
          <w:sz w:val="24"/>
          <w:szCs w:val="24"/>
          <w:lang w:val="en-US"/>
        </w:rPr>
        <w:t xml:space="preserve"> Estimates of the National Expenditure (ENE)</w:t>
      </w:r>
      <w:r w:rsidR="00976A66" w:rsidRPr="000D5F03">
        <w:rPr>
          <w:rFonts w:ascii="Times New Roman" w:hAnsi="Times New Roman"/>
          <w:sz w:val="24"/>
          <w:szCs w:val="24"/>
          <w:lang w:val="en-US"/>
        </w:rPr>
        <w:t>.</w:t>
      </w:r>
      <w:r w:rsidRPr="000D5F03">
        <w:rPr>
          <w:rFonts w:ascii="Times New Roman" w:hAnsi="Times New Roman"/>
          <w:sz w:val="24"/>
          <w:szCs w:val="24"/>
          <w:lang w:val="en-US"/>
        </w:rPr>
        <w:t xml:space="preserve"> It also reviewed briefings by the Department and its entities during the course of the year, as well as the State of the Nation Address. The Committee also used the Constitution as a reference point. </w:t>
      </w:r>
    </w:p>
    <w:p w14:paraId="4015BB27" w14:textId="77777777" w:rsidR="009E10FE" w:rsidRPr="000D5F03" w:rsidRDefault="009E10FE" w:rsidP="000D5F03">
      <w:pPr>
        <w:spacing w:line="360" w:lineRule="auto"/>
        <w:jc w:val="both"/>
        <w:rPr>
          <w:rFonts w:ascii="Times New Roman" w:hAnsi="Times New Roman"/>
          <w:b/>
          <w:sz w:val="24"/>
          <w:szCs w:val="24"/>
          <w:lang w:val="en-US"/>
        </w:rPr>
      </w:pPr>
    </w:p>
    <w:p w14:paraId="1CB98C67" w14:textId="77777777" w:rsidR="009E10FE" w:rsidRPr="000D5F03" w:rsidRDefault="009E10FE" w:rsidP="000D5F03">
      <w:pPr>
        <w:pStyle w:val="ListParagraph"/>
        <w:numPr>
          <w:ilvl w:val="1"/>
          <w:numId w:val="1"/>
        </w:numPr>
        <w:suppressAutoHyphens w:val="0"/>
        <w:autoSpaceDN/>
        <w:spacing w:line="360" w:lineRule="auto"/>
        <w:contextualSpacing/>
        <w:jc w:val="both"/>
        <w:textAlignment w:val="auto"/>
        <w:rPr>
          <w:rFonts w:ascii="Times New Roman" w:hAnsi="Times New Roman"/>
          <w:b/>
          <w:sz w:val="24"/>
          <w:szCs w:val="24"/>
        </w:rPr>
      </w:pPr>
      <w:r w:rsidRPr="000D5F03">
        <w:rPr>
          <w:rFonts w:ascii="Times New Roman" w:hAnsi="Times New Roman"/>
          <w:b/>
          <w:sz w:val="24"/>
          <w:szCs w:val="24"/>
        </w:rPr>
        <w:t>Outline of the contents of the Report.</w:t>
      </w:r>
    </w:p>
    <w:p w14:paraId="154C1EF7" w14:textId="77777777" w:rsidR="009E10FE" w:rsidRPr="000D5F03" w:rsidRDefault="009E10FE" w:rsidP="000D5F03">
      <w:pPr>
        <w:pStyle w:val="ListParagraph"/>
        <w:spacing w:line="360" w:lineRule="auto"/>
        <w:ind w:left="0"/>
        <w:jc w:val="both"/>
        <w:rPr>
          <w:rFonts w:ascii="Times New Roman" w:hAnsi="Times New Roman"/>
          <w:sz w:val="24"/>
          <w:szCs w:val="24"/>
          <w:lang w:val="en-US"/>
        </w:rPr>
      </w:pPr>
    </w:p>
    <w:p w14:paraId="244CB184" w14:textId="77777777" w:rsidR="009E10FE" w:rsidRPr="000D5F03" w:rsidRDefault="008B4C12" w:rsidP="000D5F03">
      <w:pPr>
        <w:numPr>
          <w:ilvl w:val="0"/>
          <w:numId w:val="2"/>
        </w:numPr>
        <w:suppressAutoHyphens w:val="0"/>
        <w:autoSpaceDN/>
        <w:spacing w:line="360" w:lineRule="auto"/>
        <w:ind w:left="357" w:hanging="357"/>
        <w:jc w:val="both"/>
        <w:textAlignment w:val="auto"/>
        <w:rPr>
          <w:rFonts w:ascii="Times New Roman" w:hAnsi="Times New Roman"/>
          <w:sz w:val="24"/>
          <w:szCs w:val="24"/>
          <w:lang w:val="en-US"/>
        </w:rPr>
      </w:pPr>
      <w:r w:rsidRPr="000D5F03">
        <w:rPr>
          <w:rFonts w:ascii="Times New Roman" w:hAnsi="Times New Roman"/>
          <w:sz w:val="24"/>
          <w:szCs w:val="24"/>
          <w:lang w:val="en-US"/>
        </w:rPr>
        <w:t>An overview and analysis of the Department’s strategic priorities and measurable obje</w:t>
      </w:r>
      <w:r w:rsidRPr="000D5F03">
        <w:rPr>
          <w:rFonts w:ascii="Times New Roman" w:hAnsi="Times New Roman"/>
          <w:sz w:val="24"/>
          <w:szCs w:val="24"/>
          <w:lang w:val="en-US"/>
        </w:rPr>
        <w:t>c</w:t>
      </w:r>
      <w:r w:rsidRPr="000D5F03">
        <w:rPr>
          <w:rFonts w:ascii="Times New Roman" w:hAnsi="Times New Roman"/>
          <w:sz w:val="24"/>
          <w:szCs w:val="24"/>
          <w:lang w:val="en-US"/>
        </w:rPr>
        <w:t>tives;</w:t>
      </w:r>
    </w:p>
    <w:p w14:paraId="2D42C8E1" w14:textId="77777777" w:rsidR="009E10FE" w:rsidRPr="000D5F03" w:rsidRDefault="008B4C12" w:rsidP="000D5F03">
      <w:pPr>
        <w:numPr>
          <w:ilvl w:val="0"/>
          <w:numId w:val="2"/>
        </w:numPr>
        <w:suppressAutoHyphens w:val="0"/>
        <w:autoSpaceDN/>
        <w:spacing w:line="360" w:lineRule="auto"/>
        <w:ind w:left="357" w:hanging="357"/>
        <w:jc w:val="both"/>
        <w:textAlignment w:val="auto"/>
        <w:rPr>
          <w:rFonts w:ascii="Times New Roman" w:hAnsi="Times New Roman"/>
          <w:sz w:val="24"/>
          <w:szCs w:val="24"/>
          <w:lang w:val="en-US"/>
        </w:rPr>
      </w:pPr>
      <w:r w:rsidRPr="000D5F03">
        <w:rPr>
          <w:rFonts w:ascii="Times New Roman" w:hAnsi="Times New Roman"/>
          <w:sz w:val="24"/>
          <w:szCs w:val="24"/>
          <w:lang w:val="en-US"/>
        </w:rPr>
        <w:t>An assessment of the overall financial performance for 201</w:t>
      </w:r>
      <w:r w:rsidR="00A009A0" w:rsidRPr="000D5F03">
        <w:rPr>
          <w:rFonts w:ascii="Times New Roman" w:hAnsi="Times New Roman"/>
          <w:sz w:val="24"/>
          <w:szCs w:val="24"/>
          <w:lang w:val="en-US"/>
        </w:rPr>
        <w:t>8</w:t>
      </w:r>
      <w:r w:rsidRPr="000D5F03">
        <w:rPr>
          <w:rFonts w:ascii="Times New Roman" w:hAnsi="Times New Roman"/>
          <w:sz w:val="24"/>
          <w:szCs w:val="24"/>
          <w:lang w:val="en-US"/>
        </w:rPr>
        <w:t>/1</w:t>
      </w:r>
      <w:r w:rsidR="00A009A0" w:rsidRPr="000D5F03">
        <w:rPr>
          <w:rFonts w:ascii="Times New Roman" w:hAnsi="Times New Roman"/>
          <w:sz w:val="24"/>
          <w:szCs w:val="24"/>
          <w:lang w:val="en-US"/>
        </w:rPr>
        <w:t>9</w:t>
      </w:r>
      <w:r w:rsidRPr="000D5F03">
        <w:rPr>
          <w:rFonts w:ascii="Times New Roman" w:hAnsi="Times New Roman"/>
          <w:sz w:val="24"/>
          <w:szCs w:val="24"/>
          <w:lang w:val="en-US"/>
        </w:rPr>
        <w:t xml:space="preserve"> and </w:t>
      </w:r>
      <w:r w:rsidR="00976A66" w:rsidRPr="000D5F03">
        <w:rPr>
          <w:rFonts w:ascii="Times New Roman" w:hAnsi="Times New Roman"/>
          <w:sz w:val="24"/>
          <w:szCs w:val="24"/>
          <w:lang w:val="en-US"/>
        </w:rPr>
        <w:t xml:space="preserve">the </w:t>
      </w:r>
      <w:r w:rsidRPr="000D5F03">
        <w:rPr>
          <w:rFonts w:ascii="Times New Roman" w:hAnsi="Times New Roman"/>
          <w:sz w:val="24"/>
          <w:szCs w:val="24"/>
          <w:lang w:val="en-US"/>
        </w:rPr>
        <w:t xml:space="preserve">first </w:t>
      </w:r>
      <w:r w:rsidR="00A009A0" w:rsidRPr="000D5F03">
        <w:rPr>
          <w:rFonts w:ascii="Times New Roman" w:hAnsi="Times New Roman"/>
          <w:sz w:val="24"/>
          <w:szCs w:val="24"/>
          <w:lang w:val="en-US"/>
        </w:rPr>
        <w:t>quarter</w:t>
      </w:r>
      <w:r w:rsidRPr="000D5F03">
        <w:rPr>
          <w:rFonts w:ascii="Times New Roman" w:hAnsi="Times New Roman"/>
          <w:sz w:val="24"/>
          <w:szCs w:val="24"/>
          <w:lang w:val="en-US"/>
        </w:rPr>
        <w:t xml:space="preserve"> of 201</w:t>
      </w:r>
      <w:r w:rsidR="00A009A0" w:rsidRPr="000D5F03">
        <w:rPr>
          <w:rFonts w:ascii="Times New Roman" w:hAnsi="Times New Roman"/>
          <w:sz w:val="24"/>
          <w:szCs w:val="24"/>
          <w:lang w:val="en-US"/>
        </w:rPr>
        <w:t>9</w:t>
      </w:r>
      <w:r w:rsidRPr="000D5F03">
        <w:rPr>
          <w:rFonts w:ascii="Times New Roman" w:hAnsi="Times New Roman"/>
          <w:sz w:val="24"/>
          <w:szCs w:val="24"/>
          <w:lang w:val="en-US"/>
        </w:rPr>
        <w:t>/</w:t>
      </w:r>
      <w:r w:rsidR="00A009A0" w:rsidRPr="000D5F03">
        <w:rPr>
          <w:rFonts w:ascii="Times New Roman" w:hAnsi="Times New Roman"/>
          <w:sz w:val="24"/>
          <w:szCs w:val="24"/>
          <w:lang w:val="en-US"/>
        </w:rPr>
        <w:t>20</w:t>
      </w:r>
      <w:r w:rsidRPr="000D5F03">
        <w:rPr>
          <w:rFonts w:ascii="Times New Roman" w:hAnsi="Times New Roman"/>
          <w:sz w:val="24"/>
          <w:szCs w:val="24"/>
          <w:lang w:val="en-US"/>
        </w:rPr>
        <w:t>;</w:t>
      </w:r>
    </w:p>
    <w:p w14:paraId="762134DB" w14:textId="77777777" w:rsidR="009E10FE" w:rsidRPr="000D5F03" w:rsidRDefault="008B4C12" w:rsidP="000D5F03">
      <w:pPr>
        <w:numPr>
          <w:ilvl w:val="0"/>
          <w:numId w:val="2"/>
        </w:numPr>
        <w:suppressAutoHyphens w:val="0"/>
        <w:autoSpaceDN/>
        <w:spacing w:line="360" w:lineRule="auto"/>
        <w:ind w:left="357" w:hanging="357"/>
        <w:jc w:val="both"/>
        <w:textAlignment w:val="auto"/>
        <w:rPr>
          <w:rFonts w:ascii="Times New Roman" w:hAnsi="Times New Roman"/>
          <w:sz w:val="24"/>
          <w:szCs w:val="24"/>
          <w:lang w:val="en-US"/>
        </w:rPr>
      </w:pPr>
      <w:r w:rsidRPr="000D5F03">
        <w:rPr>
          <w:rFonts w:ascii="Times New Roman" w:hAnsi="Times New Roman"/>
          <w:sz w:val="24"/>
          <w:szCs w:val="24"/>
          <w:lang w:val="en-US"/>
        </w:rPr>
        <w:t xml:space="preserve">An assessment of the overall service delivery performance for </w:t>
      </w:r>
      <w:r w:rsidR="00976A66" w:rsidRPr="000D5F03">
        <w:rPr>
          <w:rFonts w:ascii="Times New Roman" w:hAnsi="Times New Roman"/>
          <w:sz w:val="24"/>
          <w:szCs w:val="24"/>
          <w:lang w:val="en-US"/>
        </w:rPr>
        <w:t>201</w:t>
      </w:r>
      <w:r w:rsidR="00A009A0" w:rsidRPr="000D5F03">
        <w:rPr>
          <w:rFonts w:ascii="Times New Roman" w:hAnsi="Times New Roman"/>
          <w:sz w:val="24"/>
          <w:szCs w:val="24"/>
          <w:lang w:val="en-US"/>
        </w:rPr>
        <w:t>8</w:t>
      </w:r>
      <w:r w:rsidR="00976A66" w:rsidRPr="000D5F03">
        <w:rPr>
          <w:rFonts w:ascii="Times New Roman" w:hAnsi="Times New Roman"/>
          <w:sz w:val="24"/>
          <w:szCs w:val="24"/>
          <w:lang w:val="en-US"/>
        </w:rPr>
        <w:t>/1</w:t>
      </w:r>
      <w:r w:rsidR="00A009A0" w:rsidRPr="000D5F03">
        <w:rPr>
          <w:rFonts w:ascii="Times New Roman" w:hAnsi="Times New Roman"/>
          <w:sz w:val="24"/>
          <w:szCs w:val="24"/>
          <w:lang w:val="en-US"/>
        </w:rPr>
        <w:t>9</w:t>
      </w:r>
      <w:r w:rsidR="00976A66" w:rsidRPr="000D5F03">
        <w:rPr>
          <w:rFonts w:ascii="Times New Roman" w:hAnsi="Times New Roman"/>
          <w:sz w:val="24"/>
          <w:szCs w:val="24"/>
          <w:lang w:val="en-US"/>
        </w:rPr>
        <w:t xml:space="preserve"> and the first </w:t>
      </w:r>
      <w:r w:rsidR="00A009A0" w:rsidRPr="000D5F03">
        <w:rPr>
          <w:rFonts w:ascii="Times New Roman" w:hAnsi="Times New Roman"/>
          <w:sz w:val="24"/>
          <w:szCs w:val="24"/>
          <w:lang w:val="en-US"/>
        </w:rPr>
        <w:t>qua</w:t>
      </w:r>
      <w:r w:rsidR="00A009A0" w:rsidRPr="000D5F03">
        <w:rPr>
          <w:rFonts w:ascii="Times New Roman" w:hAnsi="Times New Roman"/>
          <w:sz w:val="24"/>
          <w:szCs w:val="24"/>
          <w:lang w:val="en-US"/>
        </w:rPr>
        <w:t>r</w:t>
      </w:r>
      <w:r w:rsidR="00A009A0" w:rsidRPr="000D5F03">
        <w:rPr>
          <w:rFonts w:ascii="Times New Roman" w:hAnsi="Times New Roman"/>
          <w:sz w:val="24"/>
          <w:szCs w:val="24"/>
          <w:lang w:val="en-US"/>
        </w:rPr>
        <w:t>ter</w:t>
      </w:r>
      <w:r w:rsidR="00976A66" w:rsidRPr="000D5F03">
        <w:rPr>
          <w:rFonts w:ascii="Times New Roman" w:hAnsi="Times New Roman"/>
          <w:sz w:val="24"/>
          <w:szCs w:val="24"/>
          <w:lang w:val="en-US"/>
        </w:rPr>
        <w:t xml:space="preserve"> of 201</w:t>
      </w:r>
      <w:r w:rsidR="00A009A0" w:rsidRPr="000D5F03">
        <w:rPr>
          <w:rFonts w:ascii="Times New Roman" w:hAnsi="Times New Roman"/>
          <w:sz w:val="24"/>
          <w:szCs w:val="24"/>
          <w:lang w:val="en-US"/>
        </w:rPr>
        <w:t>9</w:t>
      </w:r>
      <w:r w:rsidR="00976A66" w:rsidRPr="000D5F03">
        <w:rPr>
          <w:rFonts w:ascii="Times New Roman" w:hAnsi="Times New Roman"/>
          <w:sz w:val="24"/>
          <w:szCs w:val="24"/>
          <w:lang w:val="en-US"/>
        </w:rPr>
        <w:t>/</w:t>
      </w:r>
      <w:r w:rsidR="00A009A0" w:rsidRPr="000D5F03">
        <w:rPr>
          <w:rFonts w:ascii="Times New Roman" w:hAnsi="Times New Roman"/>
          <w:sz w:val="24"/>
          <w:szCs w:val="24"/>
          <w:lang w:val="en-US"/>
        </w:rPr>
        <w:t>20</w:t>
      </w:r>
      <w:r w:rsidRPr="000D5F03">
        <w:rPr>
          <w:rFonts w:ascii="Times New Roman" w:hAnsi="Times New Roman"/>
          <w:sz w:val="24"/>
          <w:szCs w:val="24"/>
          <w:lang w:val="en-US"/>
        </w:rPr>
        <w:t>;</w:t>
      </w:r>
    </w:p>
    <w:p w14:paraId="72F59C95" w14:textId="77777777" w:rsidR="009E10FE" w:rsidRPr="000D5F03" w:rsidRDefault="008B4C12" w:rsidP="000D5F03">
      <w:pPr>
        <w:numPr>
          <w:ilvl w:val="0"/>
          <w:numId w:val="2"/>
        </w:numPr>
        <w:suppressAutoHyphens w:val="0"/>
        <w:autoSpaceDN/>
        <w:spacing w:line="360" w:lineRule="auto"/>
        <w:ind w:left="357" w:hanging="357"/>
        <w:jc w:val="both"/>
        <w:textAlignment w:val="auto"/>
        <w:rPr>
          <w:rFonts w:ascii="Times New Roman" w:hAnsi="Times New Roman"/>
          <w:sz w:val="24"/>
          <w:szCs w:val="24"/>
          <w:lang w:val="en-US"/>
        </w:rPr>
      </w:pPr>
      <w:r w:rsidRPr="000D5F03">
        <w:rPr>
          <w:rFonts w:ascii="Times New Roman" w:hAnsi="Times New Roman"/>
          <w:sz w:val="24"/>
          <w:szCs w:val="24"/>
          <w:lang w:val="en-US"/>
        </w:rPr>
        <w:t>Consideration of the Auditor-General’s findings in relation to the Department;</w:t>
      </w:r>
    </w:p>
    <w:p w14:paraId="5384F70A" w14:textId="77777777" w:rsidR="009E10FE" w:rsidRPr="000D5F03" w:rsidRDefault="008B4C12" w:rsidP="000D5F03">
      <w:pPr>
        <w:numPr>
          <w:ilvl w:val="0"/>
          <w:numId w:val="2"/>
        </w:numPr>
        <w:suppressAutoHyphens w:val="0"/>
        <w:autoSpaceDN/>
        <w:spacing w:line="360" w:lineRule="auto"/>
        <w:ind w:left="357" w:hanging="357"/>
        <w:jc w:val="both"/>
        <w:textAlignment w:val="auto"/>
        <w:rPr>
          <w:rFonts w:ascii="Times New Roman" w:hAnsi="Times New Roman"/>
          <w:sz w:val="24"/>
          <w:szCs w:val="24"/>
          <w:lang w:val="en-US"/>
        </w:rPr>
      </w:pPr>
      <w:r w:rsidRPr="000D5F03">
        <w:rPr>
          <w:rFonts w:ascii="Times New Roman" w:hAnsi="Times New Roman"/>
          <w:sz w:val="24"/>
          <w:szCs w:val="24"/>
          <w:lang w:val="en-US"/>
        </w:rPr>
        <w:t>Consideration of oversight reports and other engagements held with the Department;</w:t>
      </w:r>
    </w:p>
    <w:p w14:paraId="2F061EAA" w14:textId="77777777" w:rsidR="009E10FE" w:rsidRPr="000D5F03" w:rsidRDefault="008B4C12" w:rsidP="000D5F03">
      <w:pPr>
        <w:numPr>
          <w:ilvl w:val="0"/>
          <w:numId w:val="2"/>
        </w:numPr>
        <w:suppressAutoHyphens w:val="0"/>
        <w:autoSpaceDN/>
        <w:spacing w:line="360" w:lineRule="auto"/>
        <w:ind w:left="357" w:hanging="357"/>
        <w:jc w:val="both"/>
        <w:textAlignment w:val="auto"/>
        <w:rPr>
          <w:rFonts w:ascii="Times New Roman" w:hAnsi="Times New Roman"/>
          <w:sz w:val="24"/>
          <w:szCs w:val="24"/>
          <w:lang w:val="en-US"/>
        </w:rPr>
      </w:pPr>
      <w:r w:rsidRPr="000D5F03">
        <w:rPr>
          <w:rFonts w:ascii="Times New Roman" w:hAnsi="Times New Roman"/>
          <w:sz w:val="24"/>
          <w:szCs w:val="24"/>
          <w:lang w:val="en-US"/>
        </w:rPr>
        <w:t>Committee observations on overall performance of the Department; and</w:t>
      </w:r>
    </w:p>
    <w:p w14:paraId="18D3260B" w14:textId="77777777" w:rsidR="009E10FE" w:rsidRPr="000D5F03" w:rsidRDefault="008B4C12" w:rsidP="000D5F03">
      <w:pPr>
        <w:numPr>
          <w:ilvl w:val="0"/>
          <w:numId w:val="2"/>
        </w:numPr>
        <w:suppressAutoHyphens w:val="0"/>
        <w:autoSpaceDN/>
        <w:spacing w:line="360" w:lineRule="auto"/>
        <w:jc w:val="both"/>
        <w:textAlignment w:val="auto"/>
        <w:rPr>
          <w:rFonts w:ascii="Times New Roman" w:hAnsi="Times New Roman"/>
          <w:sz w:val="24"/>
          <w:szCs w:val="24"/>
          <w:lang w:val="en-US"/>
        </w:rPr>
      </w:pPr>
      <w:r w:rsidRPr="000D5F03">
        <w:rPr>
          <w:rFonts w:ascii="Times New Roman" w:hAnsi="Times New Roman"/>
          <w:sz w:val="24"/>
          <w:szCs w:val="24"/>
          <w:lang w:val="en-US"/>
        </w:rPr>
        <w:t>Recommendations.</w:t>
      </w:r>
    </w:p>
    <w:p w14:paraId="77673601" w14:textId="77777777" w:rsidR="009E10FE" w:rsidRPr="000D5F03" w:rsidRDefault="009E10FE" w:rsidP="000D5F03">
      <w:pPr>
        <w:spacing w:line="360" w:lineRule="auto"/>
        <w:rPr>
          <w:rFonts w:ascii="Times New Roman" w:hAnsi="Times New Roman"/>
          <w:sz w:val="24"/>
          <w:szCs w:val="24"/>
        </w:rPr>
      </w:pPr>
    </w:p>
    <w:p w14:paraId="4D8FC58A" w14:textId="77777777" w:rsidR="009E10FE" w:rsidRPr="000D5F03" w:rsidRDefault="009E10FE" w:rsidP="000D5F03">
      <w:pPr>
        <w:pStyle w:val="ListParagraph"/>
        <w:keepNext/>
        <w:keepLines/>
        <w:numPr>
          <w:ilvl w:val="0"/>
          <w:numId w:val="1"/>
        </w:numPr>
        <w:suppressAutoHyphens w:val="0"/>
        <w:autoSpaceDN/>
        <w:spacing w:line="360" w:lineRule="auto"/>
        <w:contextualSpacing/>
        <w:jc w:val="both"/>
        <w:textAlignment w:val="auto"/>
        <w:rPr>
          <w:rFonts w:ascii="Times New Roman" w:hAnsi="Times New Roman"/>
          <w:b/>
          <w:caps/>
          <w:sz w:val="24"/>
          <w:szCs w:val="24"/>
          <w:u w:val="single"/>
        </w:rPr>
      </w:pPr>
      <w:r w:rsidRPr="000D5F03">
        <w:rPr>
          <w:rFonts w:ascii="Times New Roman" w:hAnsi="Times New Roman"/>
          <w:b/>
          <w:caps/>
          <w:sz w:val="24"/>
          <w:szCs w:val="24"/>
          <w:u w:val="single"/>
        </w:rPr>
        <w:t xml:space="preserve">Overview of the key relevant policy focus areas </w:t>
      </w:r>
    </w:p>
    <w:p w14:paraId="1F9A1EAB" w14:textId="77777777" w:rsidR="009E10FE" w:rsidRPr="000D5F03" w:rsidRDefault="009E10FE" w:rsidP="000D5F03">
      <w:pPr>
        <w:keepNext/>
        <w:keepLines/>
        <w:spacing w:line="360" w:lineRule="auto"/>
        <w:jc w:val="both"/>
        <w:rPr>
          <w:rFonts w:ascii="Times New Roman" w:hAnsi="Times New Roman"/>
          <w:b/>
          <w:caps/>
          <w:sz w:val="24"/>
          <w:szCs w:val="24"/>
          <w:u w:val="single"/>
        </w:rPr>
      </w:pPr>
    </w:p>
    <w:p w14:paraId="7697504C" w14:textId="19098CD9" w:rsidR="00F854B4" w:rsidRPr="000D5F03" w:rsidRDefault="00F854B4" w:rsidP="000D5F03">
      <w:pPr>
        <w:suppressAutoHyphens w:val="0"/>
        <w:autoSpaceDN/>
        <w:spacing w:line="360" w:lineRule="auto"/>
        <w:jc w:val="both"/>
        <w:textAlignment w:val="auto"/>
        <w:rPr>
          <w:rFonts w:ascii="Times New Roman" w:hAnsi="Times New Roman"/>
          <w:b/>
          <w:bCs/>
          <w:sz w:val="24"/>
          <w:szCs w:val="24"/>
          <w:lang w:val="en-US"/>
        </w:rPr>
      </w:pPr>
      <w:r w:rsidRPr="000D5F03">
        <w:rPr>
          <w:rFonts w:ascii="Times New Roman" w:hAnsi="Times New Roman"/>
          <w:b/>
          <w:sz w:val="24"/>
          <w:szCs w:val="24"/>
        </w:rPr>
        <w:t xml:space="preserve">Key priorities identified for the </w:t>
      </w:r>
      <w:r w:rsidR="00976A66" w:rsidRPr="000D5F03">
        <w:rPr>
          <w:rFonts w:ascii="Times New Roman" w:hAnsi="Times New Roman"/>
          <w:b/>
          <w:sz w:val="24"/>
          <w:szCs w:val="24"/>
        </w:rPr>
        <w:t>201</w:t>
      </w:r>
      <w:r w:rsidR="00F47620" w:rsidRPr="000D5F03">
        <w:rPr>
          <w:rFonts w:ascii="Times New Roman" w:hAnsi="Times New Roman"/>
          <w:b/>
          <w:sz w:val="24"/>
          <w:szCs w:val="24"/>
        </w:rPr>
        <w:t>8</w:t>
      </w:r>
      <w:r w:rsidRPr="000D5F03">
        <w:rPr>
          <w:rFonts w:ascii="Times New Roman" w:hAnsi="Times New Roman"/>
          <w:b/>
          <w:sz w:val="24"/>
          <w:szCs w:val="24"/>
        </w:rPr>
        <w:t>/</w:t>
      </w:r>
      <w:r w:rsidR="00976A66" w:rsidRPr="000D5F03">
        <w:rPr>
          <w:rFonts w:ascii="Times New Roman" w:hAnsi="Times New Roman"/>
          <w:b/>
          <w:sz w:val="24"/>
          <w:szCs w:val="24"/>
        </w:rPr>
        <w:t>1</w:t>
      </w:r>
      <w:r w:rsidR="00F47620" w:rsidRPr="000D5F03">
        <w:rPr>
          <w:rFonts w:ascii="Times New Roman" w:hAnsi="Times New Roman"/>
          <w:b/>
          <w:sz w:val="24"/>
          <w:szCs w:val="24"/>
        </w:rPr>
        <w:t>9</w:t>
      </w:r>
      <w:r w:rsidR="00976A66" w:rsidRPr="000D5F03">
        <w:rPr>
          <w:rFonts w:ascii="Times New Roman" w:hAnsi="Times New Roman"/>
          <w:b/>
          <w:sz w:val="24"/>
          <w:szCs w:val="24"/>
        </w:rPr>
        <w:t xml:space="preserve"> </w:t>
      </w:r>
      <w:r w:rsidRPr="000D5F03">
        <w:rPr>
          <w:rFonts w:ascii="Times New Roman" w:hAnsi="Times New Roman"/>
          <w:b/>
          <w:sz w:val="24"/>
          <w:szCs w:val="24"/>
        </w:rPr>
        <w:t>Financial Year</w:t>
      </w:r>
    </w:p>
    <w:p w14:paraId="25F06D12" w14:textId="77777777" w:rsidR="00F854B4" w:rsidRPr="000D5F03" w:rsidRDefault="00F854B4" w:rsidP="000D5F03">
      <w:pPr>
        <w:suppressAutoHyphens w:val="0"/>
        <w:autoSpaceDN/>
        <w:spacing w:line="360" w:lineRule="auto"/>
        <w:jc w:val="both"/>
        <w:textAlignment w:val="auto"/>
        <w:rPr>
          <w:rFonts w:ascii="Times New Roman" w:hAnsi="Times New Roman"/>
          <w:sz w:val="24"/>
          <w:szCs w:val="24"/>
        </w:rPr>
      </w:pPr>
    </w:p>
    <w:p w14:paraId="13950FF4" w14:textId="77777777" w:rsidR="00EC7C98" w:rsidRPr="000D5F03" w:rsidRDefault="00EC7C98"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The DMR’s priorities for 201</w:t>
      </w:r>
      <w:r w:rsidR="00A009A0" w:rsidRPr="000D5F03">
        <w:rPr>
          <w:rFonts w:ascii="Times New Roman" w:hAnsi="Times New Roman"/>
          <w:sz w:val="24"/>
          <w:szCs w:val="24"/>
        </w:rPr>
        <w:t>8</w:t>
      </w:r>
      <w:r w:rsidRPr="000D5F03">
        <w:rPr>
          <w:rFonts w:ascii="Times New Roman" w:hAnsi="Times New Roman"/>
          <w:sz w:val="24"/>
          <w:szCs w:val="24"/>
        </w:rPr>
        <w:t>/1</w:t>
      </w:r>
      <w:r w:rsidR="00A009A0" w:rsidRPr="000D5F03">
        <w:rPr>
          <w:rFonts w:ascii="Times New Roman" w:hAnsi="Times New Roman"/>
          <w:sz w:val="24"/>
          <w:szCs w:val="24"/>
        </w:rPr>
        <w:t>9</w:t>
      </w:r>
      <w:r w:rsidRPr="000D5F03">
        <w:rPr>
          <w:rFonts w:ascii="Times New Roman" w:hAnsi="Times New Roman"/>
          <w:sz w:val="24"/>
          <w:szCs w:val="24"/>
        </w:rPr>
        <w:t xml:space="preserve"> were set out in the 2014/19 Strategic Plan</w:t>
      </w:r>
      <w:r w:rsidR="00EE4A9D" w:rsidRPr="000D5F03">
        <w:rPr>
          <w:rFonts w:ascii="Times New Roman" w:hAnsi="Times New Roman"/>
          <w:sz w:val="24"/>
          <w:szCs w:val="24"/>
        </w:rPr>
        <w:t xml:space="preserve"> </w:t>
      </w:r>
      <w:r w:rsidRPr="000D5F03">
        <w:rPr>
          <w:rFonts w:ascii="Times New Roman" w:hAnsi="Times New Roman"/>
          <w:sz w:val="24"/>
          <w:szCs w:val="24"/>
        </w:rPr>
        <w:t>and Annual Pe</w:t>
      </w:r>
      <w:r w:rsidRPr="000D5F03">
        <w:rPr>
          <w:rFonts w:ascii="Times New Roman" w:hAnsi="Times New Roman"/>
          <w:sz w:val="24"/>
          <w:szCs w:val="24"/>
        </w:rPr>
        <w:t>r</w:t>
      </w:r>
      <w:r w:rsidRPr="000D5F03">
        <w:rPr>
          <w:rFonts w:ascii="Times New Roman" w:hAnsi="Times New Roman"/>
          <w:sz w:val="24"/>
          <w:szCs w:val="24"/>
        </w:rPr>
        <w:t>formance Plan 20</w:t>
      </w:r>
      <w:r w:rsidR="00A009A0" w:rsidRPr="000D5F03">
        <w:rPr>
          <w:rFonts w:ascii="Times New Roman" w:hAnsi="Times New Roman"/>
          <w:sz w:val="24"/>
          <w:szCs w:val="24"/>
        </w:rPr>
        <w:t>17</w:t>
      </w:r>
      <w:r w:rsidRPr="000D5F03">
        <w:rPr>
          <w:rFonts w:ascii="Times New Roman" w:hAnsi="Times New Roman"/>
          <w:sz w:val="24"/>
          <w:szCs w:val="24"/>
        </w:rPr>
        <w:t>/1</w:t>
      </w:r>
      <w:r w:rsidR="00A009A0" w:rsidRPr="000D5F03">
        <w:rPr>
          <w:rFonts w:ascii="Times New Roman" w:hAnsi="Times New Roman"/>
          <w:sz w:val="24"/>
          <w:szCs w:val="24"/>
        </w:rPr>
        <w:t>8</w:t>
      </w:r>
      <w:r w:rsidRPr="000D5F03">
        <w:rPr>
          <w:rFonts w:ascii="Times New Roman" w:hAnsi="Times New Roman"/>
          <w:sz w:val="24"/>
          <w:szCs w:val="24"/>
        </w:rPr>
        <w:t>.</w:t>
      </w:r>
    </w:p>
    <w:p w14:paraId="5891B0E5" w14:textId="77777777" w:rsidR="00EC7C98" w:rsidRPr="000D5F03" w:rsidRDefault="00EC7C98" w:rsidP="000D5F03">
      <w:pPr>
        <w:suppressAutoHyphens w:val="0"/>
        <w:autoSpaceDN/>
        <w:spacing w:line="360" w:lineRule="auto"/>
        <w:jc w:val="both"/>
        <w:textAlignment w:val="auto"/>
        <w:rPr>
          <w:rFonts w:ascii="Times New Roman" w:hAnsi="Times New Roman"/>
          <w:sz w:val="24"/>
          <w:szCs w:val="24"/>
        </w:rPr>
      </w:pPr>
    </w:p>
    <w:p w14:paraId="683C364D" w14:textId="77777777" w:rsidR="00EC7C98" w:rsidRPr="000D5F03" w:rsidRDefault="00EC7C98"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At the highest level, the priority is to align the activities of the Department with the vision of the National Development Plan (NDP) through the implementation of the New Growth Path (NGP), the Industrial Policy Action Plan (IPAP) and the National Infrastructure Plan.</w:t>
      </w:r>
    </w:p>
    <w:p w14:paraId="68FC2480" w14:textId="77777777" w:rsidR="00EC7C98" w:rsidRPr="000D5F03" w:rsidRDefault="00EC7C98" w:rsidP="000D5F03">
      <w:pPr>
        <w:suppressAutoHyphens w:val="0"/>
        <w:autoSpaceDN/>
        <w:spacing w:line="360" w:lineRule="auto"/>
        <w:jc w:val="both"/>
        <w:textAlignment w:val="auto"/>
        <w:rPr>
          <w:rFonts w:ascii="Times New Roman" w:hAnsi="Times New Roman"/>
          <w:sz w:val="24"/>
          <w:szCs w:val="24"/>
        </w:rPr>
      </w:pPr>
    </w:p>
    <w:p w14:paraId="2C113E5C" w14:textId="77777777" w:rsidR="00EC7C98" w:rsidRPr="000D5F03" w:rsidRDefault="00EC7C98"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The aim, in the light of the NDP, is “to create a globally competitive mining industry that r</w:t>
      </w:r>
      <w:r w:rsidRPr="000D5F03">
        <w:rPr>
          <w:rFonts w:ascii="Times New Roman" w:hAnsi="Times New Roman"/>
          <w:sz w:val="24"/>
          <w:szCs w:val="24"/>
        </w:rPr>
        <w:t>e</w:t>
      </w:r>
      <w:r w:rsidRPr="000D5F03">
        <w:rPr>
          <w:rFonts w:ascii="Times New Roman" w:hAnsi="Times New Roman"/>
          <w:sz w:val="24"/>
          <w:szCs w:val="24"/>
        </w:rPr>
        <w:t xml:space="preserve">flects a non-racial South Africa and draws on the human and financial resources of, and offers real benefit to, all South Africans by stimulating local economic development”. </w:t>
      </w:r>
    </w:p>
    <w:p w14:paraId="2C920C91" w14:textId="77777777" w:rsidR="00EC7C98" w:rsidRPr="000D5F03" w:rsidRDefault="00EC7C98" w:rsidP="000D5F03">
      <w:pPr>
        <w:suppressAutoHyphens w:val="0"/>
        <w:autoSpaceDN/>
        <w:spacing w:line="360" w:lineRule="auto"/>
        <w:jc w:val="both"/>
        <w:textAlignment w:val="auto"/>
        <w:rPr>
          <w:rFonts w:ascii="Times New Roman" w:hAnsi="Times New Roman"/>
          <w:sz w:val="24"/>
          <w:szCs w:val="24"/>
        </w:rPr>
      </w:pPr>
    </w:p>
    <w:p w14:paraId="79F8D28A" w14:textId="77777777" w:rsidR="00EC7C98" w:rsidRPr="000D5F03" w:rsidRDefault="00EC7C98"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In the period to 2019, the </w:t>
      </w:r>
      <w:proofErr w:type="gramStart"/>
      <w:r w:rsidRPr="000D5F03">
        <w:rPr>
          <w:rFonts w:ascii="Times New Roman" w:hAnsi="Times New Roman"/>
          <w:sz w:val="24"/>
          <w:szCs w:val="24"/>
        </w:rPr>
        <w:t>Department’s</w:t>
      </w:r>
      <w:proofErr w:type="gramEnd"/>
      <w:r w:rsidRPr="000D5F03">
        <w:rPr>
          <w:rFonts w:ascii="Times New Roman" w:hAnsi="Times New Roman"/>
          <w:sz w:val="24"/>
          <w:szCs w:val="24"/>
        </w:rPr>
        <w:t xml:space="preserve"> planned policy initiatives are to:</w:t>
      </w:r>
    </w:p>
    <w:p w14:paraId="59B1FD5B" w14:textId="77777777" w:rsidR="00EC7C98" w:rsidRPr="000D5F03" w:rsidRDefault="00EC7C98" w:rsidP="000D5F03">
      <w:pPr>
        <w:numPr>
          <w:ilvl w:val="0"/>
          <w:numId w:val="10"/>
        </w:numPr>
        <w:suppressAutoHyphens w:val="0"/>
        <w:autoSpaceDN/>
        <w:spacing w:before="120" w:after="120" w:line="360" w:lineRule="auto"/>
        <w:ind w:left="426" w:hanging="426"/>
        <w:jc w:val="both"/>
        <w:textAlignment w:val="auto"/>
        <w:rPr>
          <w:rFonts w:ascii="Times New Roman" w:hAnsi="Times New Roman"/>
          <w:sz w:val="24"/>
          <w:szCs w:val="24"/>
        </w:rPr>
      </w:pPr>
      <w:r w:rsidRPr="000D5F03">
        <w:rPr>
          <w:rFonts w:ascii="Times New Roman" w:hAnsi="Times New Roman"/>
          <w:sz w:val="24"/>
          <w:szCs w:val="24"/>
        </w:rPr>
        <w:t xml:space="preserve">Review the Minerals and Petroleum Resources Development Act (MPRDA), including its </w:t>
      </w:r>
      <w:r w:rsidR="00A009A0" w:rsidRPr="000D5F03">
        <w:rPr>
          <w:rFonts w:ascii="Times New Roman" w:hAnsi="Times New Roman"/>
          <w:sz w:val="24"/>
          <w:szCs w:val="24"/>
        </w:rPr>
        <w:t xml:space="preserve">regulations. </w:t>
      </w:r>
    </w:p>
    <w:p w14:paraId="1C516467" w14:textId="77777777" w:rsidR="00EC7C98" w:rsidRPr="000D5F03" w:rsidRDefault="00EC7C98" w:rsidP="000D5F03">
      <w:pPr>
        <w:numPr>
          <w:ilvl w:val="0"/>
          <w:numId w:val="10"/>
        </w:numPr>
        <w:suppressAutoHyphens w:val="0"/>
        <w:autoSpaceDN/>
        <w:spacing w:before="120" w:after="120" w:line="360" w:lineRule="auto"/>
        <w:ind w:left="426" w:hanging="426"/>
        <w:jc w:val="both"/>
        <w:textAlignment w:val="auto"/>
        <w:rPr>
          <w:rFonts w:ascii="Times New Roman" w:hAnsi="Times New Roman"/>
          <w:sz w:val="24"/>
          <w:szCs w:val="24"/>
        </w:rPr>
      </w:pPr>
      <w:r w:rsidRPr="000D5F03">
        <w:rPr>
          <w:rFonts w:ascii="Times New Roman" w:hAnsi="Times New Roman"/>
          <w:sz w:val="24"/>
          <w:szCs w:val="24"/>
        </w:rPr>
        <w:t>Review and amend the Precious Metals Act.</w:t>
      </w:r>
    </w:p>
    <w:p w14:paraId="79857CCF" w14:textId="77777777" w:rsidR="00EC7C98" w:rsidRPr="000D5F03" w:rsidRDefault="00EC7C98" w:rsidP="000D5F03">
      <w:pPr>
        <w:numPr>
          <w:ilvl w:val="0"/>
          <w:numId w:val="10"/>
        </w:numPr>
        <w:suppressAutoHyphens w:val="0"/>
        <w:autoSpaceDN/>
        <w:spacing w:before="120" w:after="120" w:line="360" w:lineRule="auto"/>
        <w:ind w:left="426" w:hanging="426"/>
        <w:jc w:val="both"/>
        <w:textAlignment w:val="auto"/>
        <w:rPr>
          <w:rFonts w:ascii="Times New Roman" w:hAnsi="Times New Roman"/>
          <w:sz w:val="24"/>
          <w:szCs w:val="24"/>
        </w:rPr>
      </w:pPr>
      <w:r w:rsidRPr="000D5F03">
        <w:rPr>
          <w:rFonts w:ascii="Times New Roman" w:hAnsi="Times New Roman"/>
          <w:sz w:val="24"/>
          <w:szCs w:val="24"/>
        </w:rPr>
        <w:t>Review and amend the Diamond Act.</w:t>
      </w:r>
    </w:p>
    <w:p w14:paraId="111216A6" w14:textId="77777777" w:rsidR="00EC7C98" w:rsidRPr="000D5F03" w:rsidRDefault="00EC7C98" w:rsidP="000D5F03">
      <w:pPr>
        <w:numPr>
          <w:ilvl w:val="0"/>
          <w:numId w:val="10"/>
        </w:numPr>
        <w:suppressAutoHyphens w:val="0"/>
        <w:autoSpaceDN/>
        <w:spacing w:before="120" w:after="120" w:line="360" w:lineRule="auto"/>
        <w:ind w:left="426" w:hanging="426"/>
        <w:jc w:val="both"/>
        <w:textAlignment w:val="auto"/>
        <w:rPr>
          <w:rFonts w:ascii="Times New Roman" w:hAnsi="Times New Roman"/>
          <w:sz w:val="24"/>
          <w:szCs w:val="24"/>
        </w:rPr>
      </w:pPr>
      <w:r w:rsidRPr="000D5F03">
        <w:rPr>
          <w:rFonts w:ascii="Times New Roman" w:hAnsi="Times New Roman"/>
          <w:sz w:val="24"/>
          <w:szCs w:val="24"/>
        </w:rPr>
        <w:t xml:space="preserve">Review the Mine Health and Safety Act, including its </w:t>
      </w:r>
      <w:r w:rsidR="00EE4A9D" w:rsidRPr="000D5F03">
        <w:rPr>
          <w:rFonts w:ascii="Times New Roman" w:hAnsi="Times New Roman"/>
          <w:sz w:val="24"/>
          <w:szCs w:val="24"/>
        </w:rPr>
        <w:t xml:space="preserve">regulations. </w:t>
      </w:r>
    </w:p>
    <w:p w14:paraId="7DFBA51C" w14:textId="77777777" w:rsidR="00EC7C98" w:rsidRPr="000D5F03" w:rsidRDefault="00EC7C98" w:rsidP="000D5F03">
      <w:pPr>
        <w:numPr>
          <w:ilvl w:val="0"/>
          <w:numId w:val="10"/>
        </w:numPr>
        <w:suppressAutoHyphens w:val="0"/>
        <w:autoSpaceDN/>
        <w:spacing w:before="120" w:after="120" w:line="360" w:lineRule="auto"/>
        <w:ind w:left="426" w:hanging="426"/>
        <w:jc w:val="both"/>
        <w:textAlignment w:val="auto"/>
        <w:rPr>
          <w:rFonts w:ascii="Times New Roman" w:hAnsi="Times New Roman"/>
          <w:sz w:val="24"/>
          <w:szCs w:val="24"/>
        </w:rPr>
      </w:pPr>
      <w:r w:rsidRPr="000D5F03">
        <w:rPr>
          <w:rFonts w:ascii="Times New Roman" w:hAnsi="Times New Roman"/>
          <w:sz w:val="24"/>
          <w:szCs w:val="24"/>
        </w:rPr>
        <w:t>Develop the Geoscience Amendment Act Regulations.</w:t>
      </w:r>
    </w:p>
    <w:p w14:paraId="39FA15F6" w14:textId="77777777" w:rsidR="00EC7C98" w:rsidRPr="000D5F03" w:rsidRDefault="00EC7C98" w:rsidP="000D5F03">
      <w:pPr>
        <w:numPr>
          <w:ilvl w:val="0"/>
          <w:numId w:val="10"/>
        </w:numPr>
        <w:suppressAutoHyphens w:val="0"/>
        <w:autoSpaceDN/>
        <w:spacing w:before="120" w:after="120" w:line="360" w:lineRule="auto"/>
        <w:ind w:left="426" w:hanging="426"/>
        <w:jc w:val="both"/>
        <w:textAlignment w:val="auto"/>
        <w:rPr>
          <w:rFonts w:ascii="Times New Roman" w:hAnsi="Times New Roman"/>
          <w:sz w:val="24"/>
          <w:szCs w:val="24"/>
        </w:rPr>
      </w:pPr>
      <w:r w:rsidRPr="000D5F03">
        <w:rPr>
          <w:rFonts w:ascii="Times New Roman" w:hAnsi="Times New Roman"/>
          <w:sz w:val="24"/>
          <w:szCs w:val="24"/>
        </w:rPr>
        <w:t>Ensure compliance with the Broad-based Socio-economic Empowerment Charter, 2005, as amended.</w:t>
      </w:r>
    </w:p>
    <w:p w14:paraId="4A2962B2" w14:textId="77777777" w:rsidR="00EC7C98" w:rsidRPr="000D5F03" w:rsidRDefault="00EC7C98" w:rsidP="000D5F03">
      <w:pPr>
        <w:numPr>
          <w:ilvl w:val="0"/>
          <w:numId w:val="10"/>
        </w:numPr>
        <w:suppressAutoHyphens w:val="0"/>
        <w:autoSpaceDN/>
        <w:spacing w:before="120" w:after="120" w:line="360" w:lineRule="auto"/>
        <w:ind w:left="426" w:hanging="426"/>
        <w:jc w:val="both"/>
        <w:textAlignment w:val="auto"/>
        <w:rPr>
          <w:rFonts w:ascii="Times New Roman" w:hAnsi="Times New Roman"/>
          <w:sz w:val="24"/>
          <w:szCs w:val="24"/>
        </w:rPr>
      </w:pPr>
      <w:r w:rsidRPr="000D5F03">
        <w:rPr>
          <w:rFonts w:ascii="Times New Roman" w:hAnsi="Times New Roman"/>
          <w:sz w:val="24"/>
          <w:szCs w:val="24"/>
        </w:rPr>
        <w:t>Conduct the regulatory impact assessment of identified legislation.</w:t>
      </w:r>
    </w:p>
    <w:p w14:paraId="30BC28D2" w14:textId="77777777" w:rsidR="00EC7C98" w:rsidRPr="000D5F03" w:rsidRDefault="00EC7C98" w:rsidP="000D5F03">
      <w:pPr>
        <w:numPr>
          <w:ilvl w:val="0"/>
          <w:numId w:val="10"/>
        </w:numPr>
        <w:suppressAutoHyphens w:val="0"/>
        <w:autoSpaceDN/>
        <w:spacing w:before="120" w:after="120" w:line="360" w:lineRule="auto"/>
        <w:ind w:left="426" w:hanging="426"/>
        <w:jc w:val="both"/>
        <w:textAlignment w:val="auto"/>
        <w:rPr>
          <w:rFonts w:ascii="Times New Roman" w:hAnsi="Times New Roman"/>
          <w:sz w:val="24"/>
          <w:szCs w:val="24"/>
        </w:rPr>
      </w:pPr>
      <w:r w:rsidRPr="000D5F03">
        <w:rPr>
          <w:rFonts w:ascii="Times New Roman" w:hAnsi="Times New Roman"/>
          <w:sz w:val="24"/>
          <w:szCs w:val="24"/>
        </w:rPr>
        <w:t>Review and implement the Broad-based Socio-economic Empowerment Charter and u</w:t>
      </w:r>
      <w:r w:rsidRPr="000D5F03">
        <w:rPr>
          <w:rFonts w:ascii="Times New Roman" w:hAnsi="Times New Roman"/>
          <w:sz w:val="24"/>
          <w:szCs w:val="24"/>
        </w:rPr>
        <w:t>p</w:t>
      </w:r>
      <w:r w:rsidRPr="000D5F03">
        <w:rPr>
          <w:rFonts w:ascii="Times New Roman" w:hAnsi="Times New Roman"/>
          <w:sz w:val="24"/>
          <w:szCs w:val="24"/>
        </w:rPr>
        <w:t>date the scorecard with a detailed explanatory memorandum.</w:t>
      </w:r>
    </w:p>
    <w:p w14:paraId="3D76D82E" w14:textId="77777777" w:rsidR="00EC7C98" w:rsidRPr="000D5F03" w:rsidRDefault="00EC7C98" w:rsidP="000D5F03">
      <w:pPr>
        <w:numPr>
          <w:ilvl w:val="0"/>
          <w:numId w:val="10"/>
        </w:numPr>
        <w:suppressAutoHyphens w:val="0"/>
        <w:autoSpaceDN/>
        <w:spacing w:before="120" w:after="120" w:line="360" w:lineRule="auto"/>
        <w:ind w:left="426" w:hanging="426"/>
        <w:jc w:val="both"/>
        <w:textAlignment w:val="auto"/>
        <w:rPr>
          <w:rFonts w:ascii="Times New Roman" w:hAnsi="Times New Roman"/>
          <w:sz w:val="24"/>
          <w:szCs w:val="24"/>
        </w:rPr>
      </w:pPr>
      <w:r w:rsidRPr="000D5F03">
        <w:rPr>
          <w:rFonts w:ascii="Times New Roman" w:hAnsi="Times New Roman"/>
          <w:sz w:val="24"/>
          <w:szCs w:val="24"/>
        </w:rPr>
        <w:t>Review the Mineral Technology Act (Act No. 30 of 1989).</w:t>
      </w:r>
    </w:p>
    <w:p w14:paraId="13503907" w14:textId="568919A3" w:rsidR="00023DF2" w:rsidRPr="000D5F03" w:rsidRDefault="00023DF2" w:rsidP="000D5F03">
      <w:pPr>
        <w:spacing w:line="360" w:lineRule="auto"/>
        <w:ind w:left="426" w:hanging="426"/>
        <w:jc w:val="both"/>
        <w:rPr>
          <w:rFonts w:ascii="Times New Roman" w:hAnsi="Times New Roman"/>
          <w:sz w:val="24"/>
          <w:szCs w:val="24"/>
        </w:rPr>
      </w:pPr>
    </w:p>
    <w:p w14:paraId="07A86CA1" w14:textId="77777777" w:rsidR="00023DF2" w:rsidRPr="000D5F03" w:rsidRDefault="00EC7C98" w:rsidP="000D5F03">
      <w:pPr>
        <w:spacing w:line="360" w:lineRule="auto"/>
        <w:jc w:val="both"/>
        <w:rPr>
          <w:rFonts w:ascii="Times New Roman" w:hAnsi="Times New Roman"/>
          <w:sz w:val="24"/>
          <w:szCs w:val="24"/>
        </w:rPr>
      </w:pPr>
      <w:r w:rsidRPr="000D5F03">
        <w:rPr>
          <w:rFonts w:ascii="Times New Roman" w:hAnsi="Times New Roman"/>
          <w:sz w:val="24"/>
          <w:szCs w:val="24"/>
        </w:rPr>
        <w:t xml:space="preserve">Two additional policy priorities </w:t>
      </w:r>
      <w:proofErr w:type="gramStart"/>
      <w:r w:rsidRPr="000D5F03">
        <w:rPr>
          <w:rFonts w:ascii="Times New Roman" w:hAnsi="Times New Roman"/>
          <w:sz w:val="24"/>
          <w:szCs w:val="24"/>
        </w:rPr>
        <w:t>have since been added</w:t>
      </w:r>
      <w:proofErr w:type="gramEnd"/>
      <w:r w:rsidRPr="000D5F03">
        <w:rPr>
          <w:rFonts w:ascii="Times New Roman" w:hAnsi="Times New Roman"/>
          <w:sz w:val="24"/>
          <w:szCs w:val="24"/>
        </w:rPr>
        <w:t xml:space="preserve"> to the list presented in the strategic plan 2014-2019. These are the “legislative establishment of the AEMFC”</w:t>
      </w:r>
      <w:r w:rsidR="00976A66" w:rsidRPr="000D5F03">
        <w:rPr>
          <w:rFonts w:ascii="Times New Roman" w:hAnsi="Times New Roman"/>
          <w:sz w:val="24"/>
          <w:szCs w:val="24"/>
        </w:rPr>
        <w:t xml:space="preserve"> (the state owned mining company – also called </w:t>
      </w:r>
      <w:proofErr w:type="spellStart"/>
      <w:r w:rsidR="00976A66" w:rsidRPr="000D5F03">
        <w:rPr>
          <w:rFonts w:ascii="Times New Roman" w:hAnsi="Times New Roman"/>
          <w:sz w:val="24"/>
          <w:szCs w:val="24"/>
        </w:rPr>
        <w:t>MinCoSA</w:t>
      </w:r>
      <w:proofErr w:type="spellEnd"/>
      <w:r w:rsidR="009C3148" w:rsidRPr="000D5F03">
        <w:rPr>
          <w:rFonts w:ascii="Times New Roman" w:hAnsi="Times New Roman"/>
          <w:sz w:val="24"/>
          <w:szCs w:val="24"/>
        </w:rPr>
        <w:t>)</w:t>
      </w:r>
      <w:r w:rsidRPr="000D5F03">
        <w:rPr>
          <w:rFonts w:ascii="Times New Roman" w:hAnsi="Times New Roman"/>
          <w:sz w:val="24"/>
          <w:szCs w:val="24"/>
        </w:rPr>
        <w:t xml:space="preserve"> and the development of “the PASA Bill</w:t>
      </w:r>
      <w:r w:rsidR="009C3148" w:rsidRPr="000D5F03">
        <w:rPr>
          <w:rFonts w:ascii="Times New Roman" w:hAnsi="Times New Roman"/>
          <w:sz w:val="24"/>
          <w:szCs w:val="24"/>
        </w:rPr>
        <w:t>”. The Petroleum Agency of South Africa is the agency designated in the MPRDA to regulate the oil and gas sector.</w:t>
      </w:r>
    </w:p>
    <w:p w14:paraId="559F55FD" w14:textId="77777777" w:rsidR="00F854B4" w:rsidRPr="000D5F03" w:rsidRDefault="00F854B4" w:rsidP="000D5F03">
      <w:pPr>
        <w:suppressAutoHyphens w:val="0"/>
        <w:autoSpaceDN/>
        <w:spacing w:line="360" w:lineRule="auto"/>
        <w:jc w:val="both"/>
        <w:textAlignment w:val="auto"/>
        <w:rPr>
          <w:rFonts w:ascii="Times New Roman" w:hAnsi="Times New Roman"/>
          <w:sz w:val="24"/>
          <w:szCs w:val="24"/>
        </w:rPr>
      </w:pPr>
    </w:p>
    <w:p w14:paraId="5CB2A173" w14:textId="5A774372" w:rsidR="00F459C0" w:rsidRPr="000D5F03" w:rsidRDefault="00F459C0" w:rsidP="000D5F03">
      <w:pPr>
        <w:suppressAutoHyphens w:val="0"/>
        <w:autoSpaceDN/>
        <w:spacing w:line="360" w:lineRule="auto"/>
        <w:jc w:val="both"/>
        <w:textAlignment w:val="auto"/>
        <w:rPr>
          <w:rFonts w:ascii="Times New Roman" w:hAnsi="Times New Roman"/>
          <w:b/>
          <w:sz w:val="24"/>
          <w:szCs w:val="24"/>
          <w:lang w:val="en-ZA"/>
        </w:rPr>
      </w:pPr>
      <w:r w:rsidRPr="000D5F03">
        <w:rPr>
          <w:rFonts w:ascii="Times New Roman" w:hAnsi="Times New Roman"/>
          <w:b/>
          <w:sz w:val="24"/>
          <w:szCs w:val="24"/>
          <w:lang w:val="en-ZA"/>
        </w:rPr>
        <w:t xml:space="preserve">3. OVERALL PERFORMANCE AND ACHIEVEMENTS for </w:t>
      </w:r>
      <w:r w:rsidR="009C3148" w:rsidRPr="000D5F03">
        <w:rPr>
          <w:rFonts w:ascii="Times New Roman" w:hAnsi="Times New Roman"/>
          <w:b/>
          <w:sz w:val="24"/>
          <w:szCs w:val="24"/>
          <w:lang w:val="en-ZA"/>
        </w:rPr>
        <w:t>201</w:t>
      </w:r>
      <w:r w:rsidR="00F47620" w:rsidRPr="000D5F03">
        <w:rPr>
          <w:rFonts w:ascii="Times New Roman" w:hAnsi="Times New Roman"/>
          <w:b/>
          <w:sz w:val="24"/>
          <w:szCs w:val="24"/>
          <w:lang w:val="en-ZA"/>
        </w:rPr>
        <w:t>8</w:t>
      </w:r>
      <w:r w:rsidRPr="000D5F03">
        <w:rPr>
          <w:rFonts w:ascii="Times New Roman" w:hAnsi="Times New Roman"/>
          <w:b/>
          <w:sz w:val="24"/>
          <w:szCs w:val="24"/>
          <w:lang w:val="en-ZA"/>
        </w:rPr>
        <w:t>/</w:t>
      </w:r>
      <w:r w:rsidR="009C3148" w:rsidRPr="000D5F03">
        <w:rPr>
          <w:rFonts w:ascii="Times New Roman" w:hAnsi="Times New Roman"/>
          <w:b/>
          <w:sz w:val="24"/>
          <w:szCs w:val="24"/>
          <w:lang w:val="en-ZA"/>
        </w:rPr>
        <w:t>1</w:t>
      </w:r>
      <w:r w:rsidR="00F47620" w:rsidRPr="000D5F03">
        <w:rPr>
          <w:rFonts w:ascii="Times New Roman" w:hAnsi="Times New Roman"/>
          <w:b/>
          <w:sz w:val="24"/>
          <w:szCs w:val="24"/>
          <w:lang w:val="en-ZA"/>
        </w:rPr>
        <w:t>9</w:t>
      </w:r>
    </w:p>
    <w:p w14:paraId="4BE8B11D" w14:textId="77777777" w:rsidR="00F459C0" w:rsidRPr="000D5F03" w:rsidRDefault="00F459C0" w:rsidP="000D5F03">
      <w:pPr>
        <w:suppressAutoHyphens w:val="0"/>
        <w:autoSpaceDN/>
        <w:spacing w:line="360" w:lineRule="auto"/>
        <w:jc w:val="both"/>
        <w:textAlignment w:val="auto"/>
        <w:rPr>
          <w:rFonts w:ascii="Times New Roman" w:hAnsi="Times New Roman"/>
          <w:sz w:val="24"/>
          <w:szCs w:val="24"/>
          <w:lang w:val="en-ZA"/>
        </w:rPr>
      </w:pPr>
    </w:p>
    <w:p w14:paraId="38DF746F" w14:textId="7ADAF721" w:rsidR="00F459C0" w:rsidRPr="000D5F03" w:rsidRDefault="00F459C0"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The achievements of the DMR</w:t>
      </w:r>
      <w:r w:rsidR="007E0AD8" w:rsidRPr="000D5F03">
        <w:rPr>
          <w:rFonts w:ascii="Times New Roman" w:hAnsi="Times New Roman"/>
          <w:sz w:val="24"/>
          <w:szCs w:val="24"/>
          <w:lang w:val="en-ZA"/>
        </w:rPr>
        <w:t>E (Vote 29)</w:t>
      </w:r>
      <w:r w:rsidRPr="000D5F03">
        <w:rPr>
          <w:rFonts w:ascii="Times New Roman" w:hAnsi="Times New Roman"/>
          <w:sz w:val="24"/>
          <w:szCs w:val="24"/>
          <w:lang w:val="en-ZA"/>
        </w:rPr>
        <w:t xml:space="preserve"> for the </w:t>
      </w:r>
      <w:r w:rsidR="009C3148" w:rsidRPr="000D5F03">
        <w:rPr>
          <w:rFonts w:ascii="Times New Roman" w:hAnsi="Times New Roman"/>
          <w:sz w:val="24"/>
          <w:szCs w:val="24"/>
          <w:lang w:val="en-ZA"/>
        </w:rPr>
        <w:t>201</w:t>
      </w:r>
      <w:r w:rsidR="00F47620" w:rsidRPr="000D5F03">
        <w:rPr>
          <w:rFonts w:ascii="Times New Roman" w:hAnsi="Times New Roman"/>
          <w:sz w:val="24"/>
          <w:szCs w:val="24"/>
          <w:lang w:val="en-ZA"/>
        </w:rPr>
        <w:t>8</w:t>
      </w:r>
      <w:r w:rsidRPr="000D5F03">
        <w:rPr>
          <w:rFonts w:ascii="Times New Roman" w:hAnsi="Times New Roman"/>
          <w:sz w:val="24"/>
          <w:szCs w:val="24"/>
          <w:lang w:val="en-ZA"/>
        </w:rPr>
        <w:t>/</w:t>
      </w:r>
      <w:r w:rsidR="009C3148" w:rsidRPr="000D5F03">
        <w:rPr>
          <w:rFonts w:ascii="Times New Roman" w:hAnsi="Times New Roman"/>
          <w:sz w:val="24"/>
          <w:szCs w:val="24"/>
          <w:lang w:val="en-ZA"/>
        </w:rPr>
        <w:t>1</w:t>
      </w:r>
      <w:r w:rsidR="00F47620" w:rsidRPr="000D5F03">
        <w:rPr>
          <w:rFonts w:ascii="Times New Roman" w:hAnsi="Times New Roman"/>
          <w:sz w:val="24"/>
          <w:szCs w:val="24"/>
          <w:lang w:val="en-ZA"/>
        </w:rPr>
        <w:t>9</w:t>
      </w:r>
      <w:r w:rsidR="009C3148" w:rsidRPr="000D5F03">
        <w:rPr>
          <w:rFonts w:ascii="Times New Roman" w:hAnsi="Times New Roman"/>
          <w:sz w:val="24"/>
          <w:szCs w:val="24"/>
          <w:lang w:val="en-ZA"/>
        </w:rPr>
        <w:t xml:space="preserve"> </w:t>
      </w:r>
      <w:r w:rsidRPr="000D5F03">
        <w:rPr>
          <w:rFonts w:ascii="Times New Roman" w:hAnsi="Times New Roman"/>
          <w:sz w:val="24"/>
          <w:szCs w:val="24"/>
          <w:lang w:val="en-ZA"/>
        </w:rPr>
        <w:t xml:space="preserve">financial </w:t>
      </w:r>
      <w:r w:rsidR="00E53DB4" w:rsidRPr="000D5F03">
        <w:rPr>
          <w:rFonts w:ascii="Times New Roman" w:hAnsi="Times New Roman"/>
          <w:sz w:val="24"/>
          <w:szCs w:val="24"/>
          <w:lang w:val="en-ZA"/>
        </w:rPr>
        <w:t>year</w:t>
      </w:r>
      <w:r w:rsidRPr="000D5F03">
        <w:rPr>
          <w:rFonts w:ascii="Times New Roman" w:hAnsi="Times New Roman"/>
          <w:sz w:val="24"/>
          <w:szCs w:val="24"/>
          <w:lang w:val="en-ZA"/>
        </w:rPr>
        <w:t xml:space="preserve"> include:</w:t>
      </w:r>
    </w:p>
    <w:p w14:paraId="6F82AA6D" w14:textId="0383CEB1" w:rsidR="00EC7C98" w:rsidRPr="000D5F03" w:rsidRDefault="00EC7C98" w:rsidP="000D5F03">
      <w:pPr>
        <w:numPr>
          <w:ilvl w:val="0"/>
          <w:numId w:val="5"/>
        </w:numPr>
        <w:suppressAutoHyphens w:val="0"/>
        <w:autoSpaceDN/>
        <w:spacing w:before="120" w:after="120" w:line="360" w:lineRule="auto"/>
        <w:ind w:left="357" w:hanging="357"/>
        <w:jc w:val="both"/>
        <w:textAlignment w:val="auto"/>
        <w:rPr>
          <w:rFonts w:ascii="Times New Roman" w:hAnsi="Times New Roman"/>
          <w:sz w:val="24"/>
          <w:szCs w:val="24"/>
          <w:lang w:val="en-ZA"/>
        </w:rPr>
      </w:pPr>
      <w:r w:rsidRPr="000D5F03">
        <w:rPr>
          <w:rFonts w:ascii="Times New Roman" w:hAnsi="Times New Roman"/>
          <w:sz w:val="24"/>
          <w:szCs w:val="24"/>
          <w:lang w:val="en-ZA"/>
        </w:rPr>
        <w:t xml:space="preserve">The achievement of a </w:t>
      </w:r>
      <w:r w:rsidRPr="000D5F03">
        <w:rPr>
          <w:rFonts w:ascii="Times New Roman" w:hAnsi="Times New Roman"/>
          <w:b/>
          <w:sz w:val="24"/>
          <w:szCs w:val="24"/>
          <w:lang w:val="en-ZA"/>
        </w:rPr>
        <w:t>clean audit</w:t>
      </w:r>
      <w:r w:rsidRPr="000D5F03">
        <w:rPr>
          <w:rFonts w:ascii="Times New Roman" w:hAnsi="Times New Roman"/>
          <w:sz w:val="24"/>
          <w:szCs w:val="24"/>
          <w:lang w:val="en-ZA"/>
        </w:rPr>
        <w:t xml:space="preserve"> following </w:t>
      </w:r>
      <w:r w:rsidR="00CD60DC" w:rsidRPr="000D5F03">
        <w:rPr>
          <w:rFonts w:ascii="Times New Roman" w:hAnsi="Times New Roman"/>
          <w:sz w:val="24"/>
          <w:szCs w:val="24"/>
          <w:lang w:val="en-ZA"/>
        </w:rPr>
        <w:t>an</w:t>
      </w:r>
      <w:r w:rsidRPr="000D5F03">
        <w:rPr>
          <w:rFonts w:ascii="Times New Roman" w:hAnsi="Times New Roman"/>
          <w:sz w:val="24"/>
          <w:szCs w:val="24"/>
          <w:lang w:val="en-ZA"/>
        </w:rPr>
        <w:t xml:space="preserve"> unqualified audit opinion (with findings) from the Auditor General of South Africa (AGSA)</w:t>
      </w:r>
      <w:r w:rsidR="007E0AD8" w:rsidRPr="000D5F03">
        <w:rPr>
          <w:rFonts w:ascii="Times New Roman" w:hAnsi="Times New Roman"/>
          <w:sz w:val="24"/>
          <w:szCs w:val="24"/>
          <w:lang w:val="en-ZA"/>
        </w:rPr>
        <w:t xml:space="preserve"> during the previous financial year</w:t>
      </w:r>
      <w:r w:rsidRPr="000D5F03">
        <w:rPr>
          <w:rFonts w:ascii="Times New Roman" w:hAnsi="Times New Roman"/>
          <w:sz w:val="24"/>
          <w:szCs w:val="24"/>
          <w:lang w:val="en-ZA"/>
        </w:rPr>
        <w:t xml:space="preserve">. This signifies that the financial and performance issues </w:t>
      </w:r>
      <w:proofErr w:type="gramStart"/>
      <w:r w:rsidRPr="000D5F03">
        <w:rPr>
          <w:rFonts w:ascii="Times New Roman" w:hAnsi="Times New Roman"/>
          <w:sz w:val="24"/>
          <w:szCs w:val="24"/>
          <w:lang w:val="en-ZA"/>
        </w:rPr>
        <w:t>raised</w:t>
      </w:r>
      <w:proofErr w:type="gramEnd"/>
      <w:r w:rsidRPr="000D5F03">
        <w:rPr>
          <w:rFonts w:ascii="Times New Roman" w:hAnsi="Times New Roman"/>
          <w:sz w:val="24"/>
          <w:szCs w:val="24"/>
          <w:lang w:val="en-ZA"/>
        </w:rPr>
        <w:t xml:space="preserve"> in the qualified audit report </w:t>
      </w:r>
      <w:r w:rsidR="007E0AD8" w:rsidRPr="000D5F03">
        <w:rPr>
          <w:rFonts w:ascii="Times New Roman" w:hAnsi="Times New Roman"/>
          <w:sz w:val="24"/>
          <w:szCs w:val="24"/>
          <w:lang w:val="en-ZA"/>
        </w:rPr>
        <w:t xml:space="preserve">in the last financial </w:t>
      </w:r>
      <w:r w:rsidRPr="000D5F03">
        <w:rPr>
          <w:rFonts w:ascii="Times New Roman" w:hAnsi="Times New Roman"/>
          <w:sz w:val="24"/>
          <w:szCs w:val="24"/>
          <w:lang w:val="en-ZA"/>
        </w:rPr>
        <w:t>year ago (201</w:t>
      </w:r>
      <w:r w:rsidR="00F47620" w:rsidRPr="000D5F03">
        <w:rPr>
          <w:rFonts w:ascii="Times New Roman" w:hAnsi="Times New Roman"/>
          <w:sz w:val="24"/>
          <w:szCs w:val="24"/>
          <w:lang w:val="en-ZA"/>
        </w:rPr>
        <w:t>7</w:t>
      </w:r>
      <w:r w:rsidRPr="000D5F03">
        <w:rPr>
          <w:rFonts w:ascii="Times New Roman" w:hAnsi="Times New Roman"/>
          <w:sz w:val="24"/>
          <w:szCs w:val="24"/>
          <w:lang w:val="en-ZA"/>
        </w:rPr>
        <w:t>/1</w:t>
      </w:r>
      <w:r w:rsidR="00F47620" w:rsidRPr="000D5F03">
        <w:rPr>
          <w:rFonts w:ascii="Times New Roman" w:hAnsi="Times New Roman"/>
          <w:sz w:val="24"/>
          <w:szCs w:val="24"/>
          <w:lang w:val="en-ZA"/>
        </w:rPr>
        <w:t>8</w:t>
      </w:r>
      <w:r w:rsidRPr="000D5F03">
        <w:rPr>
          <w:rFonts w:ascii="Times New Roman" w:hAnsi="Times New Roman"/>
          <w:sz w:val="24"/>
          <w:szCs w:val="24"/>
          <w:lang w:val="en-ZA"/>
        </w:rPr>
        <w:t>) have been successfully addressed by the DMR</w:t>
      </w:r>
      <w:r w:rsidR="007E0AD8" w:rsidRPr="000D5F03">
        <w:rPr>
          <w:rFonts w:ascii="Times New Roman" w:hAnsi="Times New Roman"/>
          <w:sz w:val="24"/>
          <w:szCs w:val="24"/>
          <w:lang w:val="en-ZA"/>
        </w:rPr>
        <w:t>E (Vote 29)</w:t>
      </w:r>
      <w:r w:rsidRPr="000D5F03">
        <w:rPr>
          <w:rFonts w:ascii="Times New Roman" w:hAnsi="Times New Roman"/>
          <w:sz w:val="24"/>
          <w:szCs w:val="24"/>
          <w:lang w:val="en-ZA"/>
        </w:rPr>
        <w:t>.</w:t>
      </w:r>
    </w:p>
    <w:p w14:paraId="02D10B37" w14:textId="77777777" w:rsidR="00EC7C98" w:rsidRPr="000D5F03" w:rsidRDefault="00EC7C98" w:rsidP="000D5F03">
      <w:pPr>
        <w:numPr>
          <w:ilvl w:val="0"/>
          <w:numId w:val="5"/>
        </w:numPr>
        <w:suppressAutoHyphens w:val="0"/>
        <w:autoSpaceDN/>
        <w:spacing w:before="120" w:after="120" w:line="360" w:lineRule="auto"/>
        <w:ind w:left="357" w:hanging="357"/>
        <w:jc w:val="both"/>
        <w:textAlignment w:val="auto"/>
        <w:rPr>
          <w:rFonts w:ascii="Times New Roman" w:hAnsi="Times New Roman"/>
          <w:sz w:val="24"/>
          <w:szCs w:val="24"/>
          <w:lang w:val="en-ZA"/>
        </w:rPr>
      </w:pPr>
      <w:r w:rsidRPr="000D5F03">
        <w:rPr>
          <w:rFonts w:ascii="Times New Roman" w:hAnsi="Times New Roman"/>
          <w:sz w:val="24"/>
          <w:szCs w:val="24"/>
          <w:lang w:val="en-ZA"/>
        </w:rPr>
        <w:t xml:space="preserve">The annual report indicates that the Department </w:t>
      </w:r>
      <w:r w:rsidRPr="000D5F03">
        <w:rPr>
          <w:rFonts w:ascii="Times New Roman" w:hAnsi="Times New Roman"/>
          <w:b/>
          <w:color w:val="auto"/>
          <w:sz w:val="24"/>
          <w:szCs w:val="24"/>
          <w:lang w:val="en-ZA"/>
        </w:rPr>
        <w:t>met 8</w:t>
      </w:r>
      <w:r w:rsidR="00392773" w:rsidRPr="000D5F03">
        <w:rPr>
          <w:rFonts w:ascii="Times New Roman" w:hAnsi="Times New Roman"/>
          <w:b/>
          <w:color w:val="auto"/>
          <w:sz w:val="24"/>
          <w:szCs w:val="24"/>
          <w:lang w:val="en-ZA"/>
        </w:rPr>
        <w:t>4</w:t>
      </w:r>
      <w:r w:rsidRPr="000D5F03">
        <w:rPr>
          <w:rFonts w:ascii="Times New Roman" w:hAnsi="Times New Roman"/>
          <w:b/>
          <w:color w:val="auto"/>
          <w:sz w:val="24"/>
          <w:szCs w:val="24"/>
          <w:lang w:val="en-ZA"/>
        </w:rPr>
        <w:t xml:space="preserve"> per cent of its performance ta</w:t>
      </w:r>
      <w:r w:rsidRPr="000D5F03">
        <w:rPr>
          <w:rFonts w:ascii="Times New Roman" w:hAnsi="Times New Roman"/>
          <w:b/>
          <w:color w:val="auto"/>
          <w:sz w:val="24"/>
          <w:szCs w:val="24"/>
          <w:lang w:val="en-ZA"/>
        </w:rPr>
        <w:t>r</w:t>
      </w:r>
      <w:r w:rsidRPr="000D5F03">
        <w:rPr>
          <w:rFonts w:ascii="Times New Roman" w:hAnsi="Times New Roman"/>
          <w:b/>
          <w:color w:val="auto"/>
          <w:sz w:val="24"/>
          <w:szCs w:val="24"/>
          <w:lang w:val="en-ZA"/>
        </w:rPr>
        <w:t>gets</w:t>
      </w:r>
      <w:r w:rsidRPr="000D5F03">
        <w:rPr>
          <w:rFonts w:ascii="Times New Roman" w:hAnsi="Times New Roman"/>
          <w:sz w:val="24"/>
          <w:szCs w:val="24"/>
          <w:lang w:val="en-ZA"/>
        </w:rPr>
        <w:t xml:space="preserve">. This continues a trend of commendable management performance, far better than most government departments. </w:t>
      </w:r>
    </w:p>
    <w:p w14:paraId="28A7FAF3" w14:textId="77777777" w:rsidR="00392773" w:rsidRPr="000D5F03" w:rsidRDefault="00392773" w:rsidP="000D5F03">
      <w:pPr>
        <w:numPr>
          <w:ilvl w:val="0"/>
          <w:numId w:val="5"/>
        </w:numPr>
        <w:suppressAutoHyphens w:val="0"/>
        <w:autoSpaceDN/>
        <w:spacing w:before="120" w:after="120" w:line="360" w:lineRule="auto"/>
        <w:ind w:left="357" w:hanging="357"/>
        <w:jc w:val="both"/>
        <w:textAlignment w:val="auto"/>
        <w:rPr>
          <w:rFonts w:ascii="Times New Roman" w:hAnsi="Times New Roman"/>
          <w:sz w:val="24"/>
          <w:szCs w:val="24"/>
          <w:lang w:val="en-ZA"/>
        </w:rPr>
      </w:pPr>
      <w:r w:rsidRPr="000D5F03">
        <w:rPr>
          <w:rFonts w:ascii="Times New Roman" w:hAnsi="Times New Roman"/>
          <w:sz w:val="24"/>
          <w:szCs w:val="24"/>
          <w:lang w:val="en-ZA"/>
        </w:rPr>
        <w:t>Fraser Institute latest ranking of South Africa among mining jurisdictions places South Africa at 56 among 83 countries surveyed in terms of investment attractiveness, resulting in a 25 place overall ranking improvement from 81 in 2017</w:t>
      </w:r>
    </w:p>
    <w:p w14:paraId="4F52F812" w14:textId="77777777" w:rsidR="00EC7C98" w:rsidRPr="000D5F03" w:rsidRDefault="00392773" w:rsidP="000D5F03">
      <w:pPr>
        <w:pStyle w:val="BodyText"/>
        <w:numPr>
          <w:ilvl w:val="0"/>
          <w:numId w:val="5"/>
        </w:numPr>
        <w:suppressAutoHyphens w:val="0"/>
        <w:autoSpaceDN/>
        <w:spacing w:after="0" w:line="360" w:lineRule="auto"/>
        <w:jc w:val="both"/>
        <w:textAlignment w:val="auto"/>
        <w:rPr>
          <w:rFonts w:ascii="Times New Roman" w:hAnsi="Times New Roman"/>
          <w:color w:val="auto"/>
          <w:sz w:val="24"/>
          <w:szCs w:val="24"/>
        </w:rPr>
      </w:pPr>
      <w:r w:rsidRPr="000D5F03">
        <w:rPr>
          <w:rFonts w:ascii="Times New Roman" w:hAnsi="Times New Roman"/>
          <w:color w:val="auto"/>
          <w:sz w:val="24"/>
          <w:szCs w:val="24"/>
        </w:rPr>
        <w:t>There was a noticeable improvement in the mining fatalities statistics</w:t>
      </w:r>
      <w:r w:rsidR="00F06E48" w:rsidRPr="000D5F03">
        <w:rPr>
          <w:rFonts w:ascii="Times New Roman" w:hAnsi="Times New Roman"/>
          <w:color w:val="auto"/>
          <w:sz w:val="24"/>
          <w:szCs w:val="24"/>
        </w:rPr>
        <w:t xml:space="preserve"> during </w:t>
      </w:r>
      <w:r w:rsidR="00EC7C98" w:rsidRPr="000D5F03">
        <w:rPr>
          <w:rFonts w:ascii="Times New Roman" w:hAnsi="Times New Roman"/>
          <w:color w:val="auto"/>
          <w:sz w:val="24"/>
          <w:szCs w:val="24"/>
        </w:rPr>
        <w:t>201</w:t>
      </w:r>
      <w:r w:rsidRPr="000D5F03">
        <w:rPr>
          <w:rFonts w:ascii="Times New Roman" w:hAnsi="Times New Roman"/>
          <w:color w:val="auto"/>
          <w:sz w:val="24"/>
          <w:szCs w:val="24"/>
        </w:rPr>
        <w:t>8</w:t>
      </w:r>
      <w:r w:rsidR="00F06E48" w:rsidRPr="000D5F03">
        <w:rPr>
          <w:rFonts w:ascii="Times New Roman" w:hAnsi="Times New Roman"/>
          <w:color w:val="auto"/>
          <w:sz w:val="24"/>
          <w:szCs w:val="24"/>
        </w:rPr>
        <w:t xml:space="preserve">, with 81 fatalities </w:t>
      </w:r>
      <w:proofErr w:type="gramStart"/>
      <w:r w:rsidR="00F06E48" w:rsidRPr="000D5F03">
        <w:rPr>
          <w:rFonts w:ascii="Times New Roman" w:hAnsi="Times New Roman"/>
          <w:color w:val="auto"/>
          <w:sz w:val="24"/>
          <w:szCs w:val="24"/>
        </w:rPr>
        <w:t>being recorded</w:t>
      </w:r>
      <w:proofErr w:type="gramEnd"/>
      <w:r w:rsidR="00F06E48" w:rsidRPr="000D5F03">
        <w:rPr>
          <w:rFonts w:ascii="Times New Roman" w:hAnsi="Times New Roman"/>
          <w:color w:val="auto"/>
          <w:sz w:val="24"/>
          <w:szCs w:val="24"/>
        </w:rPr>
        <w:t xml:space="preserve"> during the period, reflecting a 19 percent improvement on the f</w:t>
      </w:r>
      <w:r w:rsidR="00F06E48" w:rsidRPr="000D5F03">
        <w:rPr>
          <w:rFonts w:ascii="Times New Roman" w:hAnsi="Times New Roman"/>
          <w:color w:val="auto"/>
          <w:sz w:val="24"/>
          <w:szCs w:val="24"/>
        </w:rPr>
        <w:t>a</w:t>
      </w:r>
      <w:r w:rsidR="00F06E48" w:rsidRPr="000D5F03">
        <w:rPr>
          <w:rFonts w:ascii="Times New Roman" w:hAnsi="Times New Roman"/>
          <w:color w:val="auto"/>
          <w:sz w:val="24"/>
          <w:szCs w:val="24"/>
        </w:rPr>
        <w:t>talities recorded in 2017</w:t>
      </w:r>
      <w:r w:rsidR="00EC7C98" w:rsidRPr="000D5F03">
        <w:rPr>
          <w:rFonts w:ascii="Times New Roman" w:hAnsi="Times New Roman"/>
          <w:color w:val="auto"/>
          <w:sz w:val="24"/>
          <w:szCs w:val="24"/>
        </w:rPr>
        <w:t xml:space="preserve">. The number of injuries reported fell by </w:t>
      </w:r>
      <w:r w:rsidR="00F06E48" w:rsidRPr="000D5F03">
        <w:rPr>
          <w:rFonts w:ascii="Times New Roman" w:hAnsi="Times New Roman"/>
          <w:color w:val="auto"/>
          <w:sz w:val="24"/>
          <w:szCs w:val="24"/>
        </w:rPr>
        <w:t>10</w:t>
      </w:r>
      <w:r w:rsidR="00EC7C98" w:rsidRPr="000D5F03">
        <w:rPr>
          <w:rFonts w:ascii="Times New Roman" w:hAnsi="Times New Roman"/>
          <w:color w:val="auto"/>
          <w:sz w:val="24"/>
          <w:szCs w:val="24"/>
        </w:rPr>
        <w:t xml:space="preserve"> percent and there </w:t>
      </w:r>
      <w:proofErr w:type="gramStart"/>
      <w:r w:rsidR="00EC7C98" w:rsidRPr="000D5F03">
        <w:rPr>
          <w:rFonts w:ascii="Times New Roman" w:hAnsi="Times New Roman"/>
          <w:color w:val="auto"/>
          <w:sz w:val="24"/>
          <w:szCs w:val="24"/>
        </w:rPr>
        <w:t>was also</w:t>
      </w:r>
      <w:proofErr w:type="gramEnd"/>
      <w:r w:rsidR="00EC7C98" w:rsidRPr="000D5F03">
        <w:rPr>
          <w:rFonts w:ascii="Times New Roman" w:hAnsi="Times New Roman"/>
          <w:color w:val="auto"/>
          <w:sz w:val="24"/>
          <w:szCs w:val="24"/>
        </w:rPr>
        <w:t xml:space="preserve"> an encouraging reduction in the number of occupational diseases reported. </w:t>
      </w:r>
      <w:r w:rsidR="00F06E48" w:rsidRPr="000D5F03">
        <w:rPr>
          <w:rFonts w:ascii="Times New Roman" w:hAnsi="Times New Roman"/>
          <w:color w:val="auto"/>
          <w:sz w:val="24"/>
          <w:szCs w:val="24"/>
        </w:rPr>
        <w:t>Seismic and fall of ground</w:t>
      </w:r>
      <w:r w:rsidR="0073347C" w:rsidRPr="000D5F03">
        <w:rPr>
          <w:rFonts w:ascii="Times New Roman" w:hAnsi="Times New Roman"/>
          <w:color w:val="auto"/>
          <w:sz w:val="24"/>
          <w:szCs w:val="24"/>
        </w:rPr>
        <w:t xml:space="preserve"> accidents continue to contribute a highest proportion to mining acc</w:t>
      </w:r>
      <w:r w:rsidR="0073347C" w:rsidRPr="000D5F03">
        <w:rPr>
          <w:rFonts w:ascii="Times New Roman" w:hAnsi="Times New Roman"/>
          <w:color w:val="auto"/>
          <w:sz w:val="24"/>
          <w:szCs w:val="24"/>
        </w:rPr>
        <w:t>i</w:t>
      </w:r>
      <w:r w:rsidR="0073347C" w:rsidRPr="000D5F03">
        <w:rPr>
          <w:rFonts w:ascii="Times New Roman" w:hAnsi="Times New Roman"/>
          <w:color w:val="auto"/>
          <w:sz w:val="24"/>
          <w:szCs w:val="24"/>
        </w:rPr>
        <w:t>dents.</w:t>
      </w:r>
    </w:p>
    <w:p w14:paraId="3D03B96F" w14:textId="77777777" w:rsidR="0073347C" w:rsidRPr="000D5F03" w:rsidRDefault="0073347C" w:rsidP="000D5F03">
      <w:pPr>
        <w:pStyle w:val="BodyText"/>
        <w:suppressAutoHyphens w:val="0"/>
        <w:autoSpaceDN/>
        <w:spacing w:after="0" w:line="360" w:lineRule="auto"/>
        <w:ind w:left="360"/>
        <w:jc w:val="both"/>
        <w:textAlignment w:val="auto"/>
        <w:rPr>
          <w:rFonts w:ascii="Times New Roman" w:hAnsi="Times New Roman"/>
          <w:color w:val="auto"/>
          <w:sz w:val="24"/>
          <w:szCs w:val="24"/>
        </w:rPr>
      </w:pPr>
    </w:p>
    <w:p w14:paraId="52EDAA92" w14:textId="77777777" w:rsidR="0073347C" w:rsidRPr="000D5F03" w:rsidRDefault="0073347C" w:rsidP="000D5F03">
      <w:pPr>
        <w:pStyle w:val="BodyText"/>
        <w:numPr>
          <w:ilvl w:val="0"/>
          <w:numId w:val="5"/>
        </w:numPr>
        <w:suppressAutoHyphens w:val="0"/>
        <w:autoSpaceDN/>
        <w:spacing w:after="0" w:line="360" w:lineRule="auto"/>
        <w:jc w:val="both"/>
        <w:textAlignment w:val="auto"/>
        <w:rPr>
          <w:rFonts w:ascii="Times New Roman" w:hAnsi="Times New Roman"/>
          <w:color w:val="auto"/>
          <w:sz w:val="24"/>
          <w:szCs w:val="24"/>
        </w:rPr>
      </w:pPr>
      <w:r w:rsidRPr="000D5F03">
        <w:rPr>
          <w:rFonts w:ascii="Times New Roman" w:hAnsi="Times New Roman"/>
          <w:color w:val="auto"/>
          <w:sz w:val="24"/>
          <w:szCs w:val="24"/>
        </w:rPr>
        <w:t>The Department has also managed to develop, review and gazetted the Department’s Env</w:t>
      </w:r>
      <w:r w:rsidRPr="000D5F03">
        <w:rPr>
          <w:rFonts w:ascii="Times New Roman" w:hAnsi="Times New Roman"/>
          <w:color w:val="auto"/>
          <w:sz w:val="24"/>
          <w:szCs w:val="24"/>
        </w:rPr>
        <w:t>i</w:t>
      </w:r>
      <w:r w:rsidRPr="000D5F03">
        <w:rPr>
          <w:rFonts w:ascii="Times New Roman" w:hAnsi="Times New Roman"/>
          <w:color w:val="auto"/>
          <w:sz w:val="24"/>
          <w:szCs w:val="24"/>
        </w:rPr>
        <w:t>ronmental Management Plan during the financial year under review, as stipulated in the National Environment Management Act (NEMA).</w:t>
      </w:r>
    </w:p>
    <w:p w14:paraId="02B57550" w14:textId="77777777" w:rsidR="00EC7C98" w:rsidRPr="000D5F03" w:rsidRDefault="00B85B65" w:rsidP="000D5F03">
      <w:pPr>
        <w:pStyle w:val="BodyText"/>
        <w:numPr>
          <w:ilvl w:val="0"/>
          <w:numId w:val="5"/>
        </w:numPr>
        <w:suppressAutoHyphens w:val="0"/>
        <w:autoSpaceDN/>
        <w:spacing w:before="120" w:line="360" w:lineRule="auto"/>
        <w:jc w:val="both"/>
        <w:textAlignment w:val="auto"/>
        <w:rPr>
          <w:rFonts w:ascii="Times New Roman" w:hAnsi="Times New Roman"/>
          <w:color w:val="auto"/>
          <w:sz w:val="24"/>
          <w:szCs w:val="24"/>
        </w:rPr>
      </w:pPr>
      <w:r w:rsidRPr="000D5F03">
        <w:rPr>
          <w:rFonts w:ascii="Times New Roman" w:hAnsi="Times New Roman"/>
          <w:color w:val="auto"/>
          <w:sz w:val="24"/>
          <w:szCs w:val="24"/>
        </w:rPr>
        <w:t xml:space="preserve">Mining investments in the country totalled over R45 </w:t>
      </w:r>
      <w:proofErr w:type="gramStart"/>
      <w:r w:rsidRPr="000D5F03">
        <w:rPr>
          <w:rFonts w:ascii="Times New Roman" w:hAnsi="Times New Roman"/>
          <w:color w:val="auto"/>
          <w:sz w:val="24"/>
          <w:szCs w:val="24"/>
        </w:rPr>
        <w:t>billion</w:t>
      </w:r>
      <w:proofErr w:type="gramEnd"/>
      <w:r w:rsidRPr="000D5F03">
        <w:rPr>
          <w:rFonts w:ascii="Times New Roman" w:hAnsi="Times New Roman"/>
          <w:color w:val="auto"/>
          <w:sz w:val="24"/>
          <w:szCs w:val="24"/>
        </w:rPr>
        <w:t>, resulting in the creation of about 4 000 jobs.</w:t>
      </w:r>
    </w:p>
    <w:p w14:paraId="0662427A" w14:textId="77777777" w:rsidR="00EC7C98" w:rsidRPr="000D5F03" w:rsidRDefault="00B85B65" w:rsidP="000D5F03">
      <w:pPr>
        <w:pStyle w:val="BodyText"/>
        <w:numPr>
          <w:ilvl w:val="0"/>
          <w:numId w:val="5"/>
        </w:numPr>
        <w:suppressAutoHyphens w:val="0"/>
        <w:autoSpaceDN/>
        <w:spacing w:before="120" w:line="360" w:lineRule="auto"/>
        <w:jc w:val="both"/>
        <w:textAlignment w:val="auto"/>
        <w:rPr>
          <w:rFonts w:ascii="Times New Roman" w:hAnsi="Times New Roman"/>
          <w:sz w:val="24"/>
          <w:szCs w:val="24"/>
        </w:rPr>
      </w:pPr>
      <w:r w:rsidRPr="000D5F03">
        <w:rPr>
          <w:rFonts w:ascii="Times New Roman" w:hAnsi="Times New Roman"/>
          <w:sz w:val="24"/>
          <w:szCs w:val="24"/>
        </w:rPr>
        <w:t>The Department issued 169 closure certificates during this financial year, where rehabil</w:t>
      </w:r>
      <w:r w:rsidRPr="000D5F03">
        <w:rPr>
          <w:rFonts w:ascii="Times New Roman" w:hAnsi="Times New Roman"/>
          <w:sz w:val="24"/>
          <w:szCs w:val="24"/>
        </w:rPr>
        <w:t>i</w:t>
      </w:r>
      <w:r w:rsidRPr="000D5F03">
        <w:rPr>
          <w:rFonts w:ascii="Times New Roman" w:hAnsi="Times New Roman"/>
          <w:sz w:val="24"/>
          <w:szCs w:val="24"/>
        </w:rPr>
        <w:t xml:space="preserve">tation of the environment </w:t>
      </w:r>
      <w:proofErr w:type="gramStart"/>
      <w:r w:rsidRPr="000D5F03">
        <w:rPr>
          <w:rFonts w:ascii="Times New Roman" w:hAnsi="Times New Roman"/>
          <w:sz w:val="24"/>
          <w:szCs w:val="24"/>
        </w:rPr>
        <w:t>was completed</w:t>
      </w:r>
      <w:proofErr w:type="gramEnd"/>
      <w:r w:rsidRPr="000D5F03">
        <w:rPr>
          <w:rFonts w:ascii="Times New Roman" w:hAnsi="Times New Roman"/>
          <w:sz w:val="24"/>
          <w:szCs w:val="24"/>
        </w:rPr>
        <w:t xml:space="preserve"> according to the standards set out in NEMA and according to the approved environmental authorisations. In cases where non-compliance </w:t>
      </w:r>
      <w:proofErr w:type="gramStart"/>
      <w:r w:rsidRPr="000D5F03">
        <w:rPr>
          <w:rFonts w:ascii="Times New Roman" w:hAnsi="Times New Roman"/>
          <w:sz w:val="24"/>
          <w:szCs w:val="24"/>
        </w:rPr>
        <w:t>was identified</w:t>
      </w:r>
      <w:proofErr w:type="gramEnd"/>
      <w:r w:rsidRPr="000D5F03">
        <w:rPr>
          <w:rFonts w:ascii="Times New Roman" w:hAnsi="Times New Roman"/>
          <w:sz w:val="24"/>
          <w:szCs w:val="24"/>
        </w:rPr>
        <w:t>, section 93 orders were issued.</w:t>
      </w:r>
      <w:r w:rsidR="00EC7C98" w:rsidRPr="000D5F03">
        <w:rPr>
          <w:rFonts w:ascii="Times New Roman" w:hAnsi="Times New Roman"/>
          <w:sz w:val="24"/>
          <w:szCs w:val="24"/>
        </w:rPr>
        <w:t xml:space="preserve"> </w:t>
      </w:r>
    </w:p>
    <w:p w14:paraId="029CEF95" w14:textId="77777777" w:rsidR="00EC7C98" w:rsidRPr="000D5F03" w:rsidRDefault="00B85B65" w:rsidP="000D5F03">
      <w:pPr>
        <w:pStyle w:val="BodyText"/>
        <w:numPr>
          <w:ilvl w:val="0"/>
          <w:numId w:val="5"/>
        </w:numPr>
        <w:suppressAutoHyphens w:val="0"/>
        <w:autoSpaceDN/>
        <w:spacing w:after="0" w:line="360" w:lineRule="auto"/>
        <w:jc w:val="both"/>
        <w:textAlignment w:val="auto"/>
        <w:rPr>
          <w:rFonts w:ascii="Times New Roman" w:hAnsi="Times New Roman"/>
          <w:sz w:val="24"/>
          <w:szCs w:val="24"/>
        </w:rPr>
      </w:pPr>
      <w:r w:rsidRPr="000D5F03">
        <w:rPr>
          <w:rFonts w:ascii="Times New Roman" w:hAnsi="Times New Roman"/>
          <w:sz w:val="24"/>
          <w:szCs w:val="24"/>
        </w:rPr>
        <w:t>The Department overachieved on its target of 120 rights and permits granted and/or issued to HDSA-controlled entities, granting 183 in the period under review due to proactive support given to these applicants in the acquisition of rights and permits while ensuring compliance to relevant legislation including NEMA.</w:t>
      </w:r>
    </w:p>
    <w:p w14:paraId="599FE682" w14:textId="77777777" w:rsidR="00B85B65" w:rsidRPr="000D5F03" w:rsidRDefault="00B85B65" w:rsidP="000D5F03">
      <w:pPr>
        <w:pStyle w:val="BodyText"/>
        <w:numPr>
          <w:ilvl w:val="0"/>
          <w:numId w:val="5"/>
        </w:numPr>
        <w:suppressAutoHyphens w:val="0"/>
        <w:autoSpaceDN/>
        <w:spacing w:after="0" w:line="360" w:lineRule="auto"/>
        <w:jc w:val="both"/>
        <w:textAlignment w:val="auto"/>
        <w:rPr>
          <w:rFonts w:ascii="Times New Roman" w:hAnsi="Times New Roman"/>
          <w:sz w:val="24"/>
          <w:szCs w:val="24"/>
        </w:rPr>
      </w:pPr>
      <w:r w:rsidRPr="000D5F03">
        <w:rPr>
          <w:rFonts w:ascii="Times New Roman" w:hAnsi="Times New Roman"/>
          <w:sz w:val="24"/>
          <w:szCs w:val="24"/>
        </w:rPr>
        <w:t>The Department overachieved on its target for consultations/engagements and conflict management with communities/ stakeholder and the mining industry, conducting 527 of these against a target of 150. This was due to proactive conflict management, and consu</w:t>
      </w:r>
      <w:r w:rsidRPr="000D5F03">
        <w:rPr>
          <w:rFonts w:ascii="Times New Roman" w:hAnsi="Times New Roman"/>
          <w:sz w:val="24"/>
          <w:szCs w:val="24"/>
        </w:rPr>
        <w:t>l</w:t>
      </w:r>
      <w:r w:rsidRPr="000D5F03">
        <w:rPr>
          <w:rFonts w:ascii="Times New Roman" w:hAnsi="Times New Roman"/>
          <w:sz w:val="24"/>
          <w:szCs w:val="24"/>
        </w:rPr>
        <w:t>tations on the changes to the Mining Charter.</w:t>
      </w:r>
    </w:p>
    <w:p w14:paraId="665AED6F" w14:textId="77777777" w:rsidR="00EC7C98" w:rsidRPr="000D5F03" w:rsidRDefault="00EC7C98" w:rsidP="000D5F03">
      <w:pPr>
        <w:spacing w:line="360" w:lineRule="auto"/>
        <w:rPr>
          <w:rFonts w:ascii="Times New Roman" w:hAnsi="Times New Roman"/>
          <w:sz w:val="24"/>
          <w:szCs w:val="24"/>
        </w:rPr>
      </w:pPr>
    </w:p>
    <w:p w14:paraId="4953ADF7" w14:textId="77777777" w:rsidR="00EC7C98" w:rsidRPr="000D5F03" w:rsidRDefault="00EC7C98" w:rsidP="000D5F03">
      <w:pPr>
        <w:spacing w:line="360" w:lineRule="auto"/>
        <w:rPr>
          <w:rFonts w:ascii="Times New Roman" w:hAnsi="Times New Roman"/>
          <w:sz w:val="24"/>
          <w:szCs w:val="24"/>
          <w:u w:val="single"/>
        </w:rPr>
      </w:pPr>
      <w:r w:rsidRPr="000D5F03">
        <w:rPr>
          <w:rFonts w:ascii="Times New Roman" w:hAnsi="Times New Roman"/>
          <w:sz w:val="24"/>
          <w:szCs w:val="24"/>
          <w:u w:val="single"/>
        </w:rPr>
        <w:t>Note on Overall performance of the DMR</w:t>
      </w:r>
    </w:p>
    <w:p w14:paraId="2A45B320" w14:textId="77777777" w:rsidR="00EC7C98" w:rsidRPr="000D5F03" w:rsidRDefault="00EC7C98" w:rsidP="000D5F03">
      <w:pPr>
        <w:spacing w:line="360" w:lineRule="auto"/>
        <w:rPr>
          <w:rFonts w:ascii="Times New Roman" w:hAnsi="Times New Roman"/>
          <w:sz w:val="24"/>
          <w:szCs w:val="24"/>
        </w:rPr>
      </w:pPr>
    </w:p>
    <w:p w14:paraId="4EF596A9" w14:textId="52E428CD" w:rsidR="00023DF2" w:rsidRPr="000D5F03" w:rsidRDefault="00CC2CBB" w:rsidP="000D5F03">
      <w:pPr>
        <w:spacing w:line="360" w:lineRule="auto"/>
        <w:jc w:val="both"/>
        <w:rPr>
          <w:rFonts w:ascii="Times New Roman" w:hAnsi="Times New Roman"/>
          <w:sz w:val="24"/>
          <w:szCs w:val="24"/>
        </w:rPr>
      </w:pPr>
      <w:r w:rsidRPr="000D5F03">
        <w:rPr>
          <w:rFonts w:ascii="Times New Roman" w:hAnsi="Times New Roman"/>
          <w:sz w:val="24"/>
          <w:szCs w:val="24"/>
        </w:rPr>
        <w:t xml:space="preserve">Despite the significantly improved operational and financial improvement in the Department’s performance during the review period, there is still a concern regarding the performance of the Mineral Regulation </w:t>
      </w:r>
      <w:proofErr w:type="gramStart"/>
      <w:r w:rsidRPr="000D5F03">
        <w:rPr>
          <w:rFonts w:ascii="Times New Roman" w:hAnsi="Times New Roman"/>
          <w:sz w:val="24"/>
          <w:szCs w:val="24"/>
        </w:rPr>
        <w:t>progra</w:t>
      </w:r>
      <w:r w:rsidR="00865832">
        <w:rPr>
          <w:rFonts w:ascii="Times New Roman" w:hAnsi="Times New Roman"/>
          <w:sz w:val="24"/>
          <w:szCs w:val="24"/>
        </w:rPr>
        <w:t>mme which</w:t>
      </w:r>
      <w:proofErr w:type="gramEnd"/>
      <w:r w:rsidR="00865832">
        <w:rPr>
          <w:rFonts w:ascii="Times New Roman" w:hAnsi="Times New Roman"/>
          <w:sz w:val="24"/>
          <w:szCs w:val="24"/>
        </w:rPr>
        <w:t xml:space="preserve"> achieved a score of 70</w:t>
      </w:r>
      <w:r w:rsidRPr="000D5F03">
        <w:rPr>
          <w:rFonts w:ascii="Times New Roman" w:hAnsi="Times New Roman"/>
          <w:sz w:val="24"/>
          <w:szCs w:val="24"/>
        </w:rPr>
        <w:t xml:space="preserve"> percent, making it the least effective programme of the Department in terms of performance</w:t>
      </w:r>
      <w:r w:rsidR="007151E5" w:rsidRPr="000D5F03">
        <w:rPr>
          <w:rFonts w:ascii="Times New Roman" w:hAnsi="Times New Roman"/>
          <w:sz w:val="24"/>
          <w:szCs w:val="24"/>
        </w:rPr>
        <w:t xml:space="preserve">. Issues negatively </w:t>
      </w:r>
      <w:proofErr w:type="gramStart"/>
      <w:r w:rsidR="007151E5" w:rsidRPr="000D5F03">
        <w:rPr>
          <w:rFonts w:ascii="Times New Roman" w:hAnsi="Times New Roman"/>
          <w:sz w:val="24"/>
          <w:szCs w:val="24"/>
        </w:rPr>
        <w:t>affecting  performance</w:t>
      </w:r>
      <w:proofErr w:type="gramEnd"/>
      <w:r w:rsidR="007151E5" w:rsidRPr="000D5F03">
        <w:rPr>
          <w:rFonts w:ascii="Times New Roman" w:hAnsi="Times New Roman"/>
          <w:sz w:val="24"/>
          <w:szCs w:val="24"/>
        </w:rPr>
        <w:t xml:space="preserve"> of the above programme range from capacity constraints to the </w:t>
      </w:r>
      <w:r w:rsidR="004F4601" w:rsidRPr="000D5F03">
        <w:rPr>
          <w:rFonts w:ascii="Times New Roman" w:hAnsi="Times New Roman"/>
          <w:sz w:val="24"/>
          <w:szCs w:val="24"/>
        </w:rPr>
        <w:t xml:space="preserve">residual effect of the Mpumalanga regional office </w:t>
      </w:r>
      <w:r w:rsidR="007151E5" w:rsidRPr="000D5F03">
        <w:rPr>
          <w:rFonts w:ascii="Times New Roman" w:hAnsi="Times New Roman"/>
          <w:sz w:val="24"/>
          <w:szCs w:val="24"/>
        </w:rPr>
        <w:t>closure</w:t>
      </w:r>
      <w:r w:rsidR="004F4601" w:rsidRPr="000D5F03">
        <w:rPr>
          <w:rFonts w:ascii="Times New Roman" w:hAnsi="Times New Roman"/>
          <w:sz w:val="24"/>
          <w:szCs w:val="24"/>
        </w:rPr>
        <w:t>. The above issue warrants special attention from the Department, in order to ensure that the Mineral Regulation branch functions optimally as to be able to fulfil its mandate optimally and deliver to the industry stakeholders in an efficient and timeous manner.</w:t>
      </w:r>
    </w:p>
    <w:p w14:paraId="3EA1A889" w14:textId="77777777" w:rsidR="00023DF2" w:rsidRPr="000D5F03" w:rsidRDefault="00023DF2" w:rsidP="000D5F03">
      <w:pPr>
        <w:spacing w:line="360" w:lineRule="auto"/>
        <w:jc w:val="both"/>
        <w:rPr>
          <w:rFonts w:ascii="Times New Roman" w:hAnsi="Times New Roman"/>
          <w:sz w:val="24"/>
          <w:szCs w:val="24"/>
        </w:rPr>
      </w:pPr>
    </w:p>
    <w:p w14:paraId="5ACB7320" w14:textId="77777777" w:rsidR="00023DF2" w:rsidRPr="000D5F03" w:rsidRDefault="00EC7C98" w:rsidP="000D5F03">
      <w:pPr>
        <w:spacing w:line="360" w:lineRule="auto"/>
        <w:jc w:val="both"/>
        <w:rPr>
          <w:rFonts w:ascii="Times New Roman" w:hAnsi="Times New Roman"/>
          <w:sz w:val="24"/>
          <w:szCs w:val="24"/>
        </w:rPr>
      </w:pPr>
      <w:r w:rsidRPr="000D5F03">
        <w:rPr>
          <w:rFonts w:ascii="Times New Roman" w:hAnsi="Times New Roman"/>
          <w:sz w:val="24"/>
          <w:szCs w:val="24"/>
        </w:rPr>
        <w:t xml:space="preserve">National Treasury advises that Annual Reports </w:t>
      </w:r>
      <w:proofErr w:type="gramStart"/>
      <w:r w:rsidRPr="000D5F03">
        <w:rPr>
          <w:rFonts w:ascii="Times New Roman" w:hAnsi="Times New Roman"/>
          <w:sz w:val="24"/>
          <w:szCs w:val="24"/>
        </w:rPr>
        <w:t>should be evaluated</w:t>
      </w:r>
      <w:proofErr w:type="gramEnd"/>
      <w:r w:rsidRPr="000D5F03">
        <w:rPr>
          <w:rFonts w:ascii="Times New Roman" w:hAnsi="Times New Roman"/>
          <w:sz w:val="24"/>
          <w:szCs w:val="24"/>
        </w:rPr>
        <w:t xml:space="preserve"> strictly against undertakings made to Parliament in Annual Performance Plans and Strategic Plans. That is the approach taken forward in this analysis brief.</w:t>
      </w:r>
    </w:p>
    <w:p w14:paraId="4A0C66EB" w14:textId="77777777" w:rsidR="00023DF2" w:rsidRPr="000D5F03" w:rsidRDefault="00023DF2" w:rsidP="000D5F03">
      <w:pPr>
        <w:spacing w:line="360" w:lineRule="auto"/>
        <w:jc w:val="both"/>
        <w:rPr>
          <w:rFonts w:ascii="Times New Roman" w:hAnsi="Times New Roman"/>
          <w:sz w:val="24"/>
          <w:szCs w:val="24"/>
        </w:rPr>
      </w:pPr>
    </w:p>
    <w:p w14:paraId="58D52C79" w14:textId="77777777" w:rsidR="00023DF2" w:rsidRPr="000D5F03" w:rsidRDefault="00EC7C98" w:rsidP="000D5F03">
      <w:pPr>
        <w:spacing w:line="360" w:lineRule="auto"/>
        <w:jc w:val="both"/>
        <w:rPr>
          <w:rFonts w:ascii="Times New Roman" w:hAnsi="Times New Roman"/>
          <w:sz w:val="24"/>
          <w:szCs w:val="24"/>
        </w:rPr>
      </w:pPr>
      <w:r w:rsidRPr="000D5F03">
        <w:rPr>
          <w:rFonts w:ascii="Times New Roman" w:hAnsi="Times New Roman"/>
          <w:sz w:val="24"/>
          <w:szCs w:val="24"/>
        </w:rPr>
        <w:t xml:space="preserve">However, the almost stellar achievement against management performance measures has to </w:t>
      </w:r>
      <w:proofErr w:type="gramStart"/>
      <w:r w:rsidRPr="000D5F03">
        <w:rPr>
          <w:rFonts w:ascii="Times New Roman" w:hAnsi="Times New Roman"/>
          <w:sz w:val="24"/>
          <w:szCs w:val="24"/>
        </w:rPr>
        <w:t>be balanced</w:t>
      </w:r>
      <w:proofErr w:type="gramEnd"/>
      <w:r w:rsidRPr="000D5F03">
        <w:rPr>
          <w:rFonts w:ascii="Times New Roman" w:hAnsi="Times New Roman"/>
          <w:sz w:val="24"/>
          <w:szCs w:val="24"/>
        </w:rPr>
        <w:t xml:space="preserve"> against the many challenges that confront the Department in its regulation of the mining sector.</w:t>
      </w:r>
      <w:r w:rsidR="004F4601" w:rsidRPr="000D5F03">
        <w:rPr>
          <w:rFonts w:ascii="Times New Roman" w:hAnsi="Times New Roman"/>
          <w:sz w:val="24"/>
          <w:szCs w:val="24"/>
        </w:rPr>
        <w:t xml:space="preserve"> The following issues listed below continue to present risks to continued exceptional performance of the Department.</w:t>
      </w:r>
    </w:p>
    <w:p w14:paraId="0517F567" w14:textId="77777777" w:rsidR="004F4601" w:rsidRPr="000D5F03" w:rsidRDefault="004F4601" w:rsidP="000D5F03">
      <w:pPr>
        <w:spacing w:line="360" w:lineRule="auto"/>
        <w:jc w:val="both"/>
        <w:rPr>
          <w:rFonts w:ascii="Times New Roman" w:hAnsi="Times New Roman"/>
          <w:sz w:val="24"/>
          <w:szCs w:val="24"/>
        </w:rPr>
      </w:pPr>
    </w:p>
    <w:p w14:paraId="032E22EC" w14:textId="5C873DAA" w:rsidR="004F4601" w:rsidRPr="000D5F03" w:rsidRDefault="004F4601" w:rsidP="000D5F03">
      <w:pPr>
        <w:pStyle w:val="ListParagraph"/>
        <w:numPr>
          <w:ilvl w:val="0"/>
          <w:numId w:val="26"/>
        </w:numPr>
        <w:spacing w:line="360" w:lineRule="auto"/>
        <w:jc w:val="both"/>
        <w:rPr>
          <w:rFonts w:ascii="Times New Roman" w:hAnsi="Times New Roman"/>
          <w:sz w:val="24"/>
          <w:szCs w:val="24"/>
        </w:rPr>
      </w:pPr>
      <w:r w:rsidRPr="000D5F03">
        <w:rPr>
          <w:rFonts w:ascii="Times New Roman" w:hAnsi="Times New Roman"/>
          <w:b/>
          <w:bCs/>
          <w:sz w:val="24"/>
          <w:szCs w:val="24"/>
        </w:rPr>
        <w:t>MPRDA Amendment Bill</w:t>
      </w:r>
      <w:r w:rsidRPr="000D5F03">
        <w:rPr>
          <w:rFonts w:ascii="Times New Roman" w:hAnsi="Times New Roman"/>
          <w:sz w:val="24"/>
          <w:szCs w:val="24"/>
        </w:rPr>
        <w:t xml:space="preserve">: although the Minister’s </w:t>
      </w:r>
      <w:r w:rsidR="00865832" w:rsidRPr="000D5F03">
        <w:rPr>
          <w:rFonts w:ascii="Times New Roman" w:hAnsi="Times New Roman"/>
          <w:sz w:val="24"/>
          <w:szCs w:val="24"/>
        </w:rPr>
        <w:t>supports the</w:t>
      </w:r>
      <w:r w:rsidRPr="000D5F03">
        <w:rPr>
          <w:rFonts w:ascii="Times New Roman" w:hAnsi="Times New Roman"/>
          <w:sz w:val="24"/>
          <w:szCs w:val="24"/>
        </w:rPr>
        <w:t xml:space="preserve"> withdrawal of the MPRDA Amendment Bill, it still </w:t>
      </w:r>
      <w:r w:rsidR="00901A65" w:rsidRPr="000D5F03">
        <w:rPr>
          <w:rFonts w:ascii="Times New Roman" w:hAnsi="Times New Roman"/>
          <w:sz w:val="24"/>
          <w:szCs w:val="24"/>
        </w:rPr>
        <w:t xml:space="preserve">has to </w:t>
      </w:r>
      <w:proofErr w:type="gramStart"/>
      <w:r w:rsidR="00901A65" w:rsidRPr="000D5F03">
        <w:rPr>
          <w:rFonts w:ascii="Times New Roman" w:hAnsi="Times New Roman"/>
          <w:sz w:val="24"/>
          <w:szCs w:val="24"/>
        </w:rPr>
        <w:t>be formally</w:t>
      </w:r>
      <w:r w:rsidRPr="000D5F03">
        <w:rPr>
          <w:rFonts w:ascii="Times New Roman" w:hAnsi="Times New Roman"/>
          <w:sz w:val="24"/>
          <w:szCs w:val="24"/>
        </w:rPr>
        <w:t xml:space="preserve"> withdrawn</w:t>
      </w:r>
      <w:proofErr w:type="gramEnd"/>
      <w:r w:rsidRPr="000D5F03">
        <w:rPr>
          <w:rFonts w:ascii="Times New Roman" w:hAnsi="Times New Roman"/>
          <w:sz w:val="24"/>
          <w:szCs w:val="24"/>
        </w:rPr>
        <w:t xml:space="preserve"> by Parliament.</w:t>
      </w:r>
    </w:p>
    <w:p w14:paraId="1BFE7B8C" w14:textId="77777777" w:rsidR="00901A65" w:rsidRPr="000D5F03" w:rsidRDefault="00901A65" w:rsidP="000D5F03">
      <w:pPr>
        <w:pStyle w:val="ListParagraph"/>
        <w:numPr>
          <w:ilvl w:val="0"/>
          <w:numId w:val="26"/>
        </w:numPr>
        <w:spacing w:line="360" w:lineRule="auto"/>
        <w:jc w:val="both"/>
        <w:rPr>
          <w:rFonts w:ascii="Times New Roman" w:hAnsi="Times New Roman"/>
          <w:sz w:val="24"/>
          <w:szCs w:val="24"/>
        </w:rPr>
      </w:pPr>
      <w:r w:rsidRPr="000D5F03">
        <w:rPr>
          <w:rFonts w:ascii="Times New Roman" w:hAnsi="Times New Roman"/>
          <w:b/>
          <w:bCs/>
          <w:sz w:val="24"/>
          <w:szCs w:val="24"/>
        </w:rPr>
        <w:t>Mining Charter III</w:t>
      </w:r>
      <w:r w:rsidRPr="000D5F03">
        <w:rPr>
          <w:rFonts w:ascii="Times New Roman" w:hAnsi="Times New Roman"/>
          <w:sz w:val="24"/>
          <w:szCs w:val="24"/>
        </w:rPr>
        <w:t>: the publication of the final version of the new Mining Charter in September last year provided regulatory certainty but the Minerals Council’s subsequent court application to set aside certain provisions of the Charter might necessitate further discussions with relevant stakeholders.</w:t>
      </w:r>
    </w:p>
    <w:p w14:paraId="0CD66C1A" w14:textId="77777777" w:rsidR="00F60065" w:rsidRPr="000D5F03" w:rsidRDefault="00F60065" w:rsidP="000D5F03">
      <w:pPr>
        <w:pStyle w:val="ListParagraph"/>
        <w:numPr>
          <w:ilvl w:val="0"/>
          <w:numId w:val="26"/>
        </w:numPr>
        <w:spacing w:line="360" w:lineRule="auto"/>
        <w:jc w:val="both"/>
        <w:rPr>
          <w:rFonts w:ascii="Times New Roman" w:hAnsi="Times New Roman"/>
          <w:sz w:val="24"/>
          <w:szCs w:val="24"/>
        </w:rPr>
      </w:pPr>
      <w:r w:rsidRPr="000D5F03">
        <w:rPr>
          <w:rFonts w:ascii="Times New Roman" w:hAnsi="Times New Roman"/>
          <w:b/>
          <w:bCs/>
          <w:sz w:val="24"/>
          <w:szCs w:val="24"/>
        </w:rPr>
        <w:t>Exploration and greenfield projects</w:t>
      </w:r>
      <w:r w:rsidRPr="000D5F03">
        <w:rPr>
          <w:rFonts w:ascii="Times New Roman" w:hAnsi="Times New Roman"/>
          <w:sz w:val="24"/>
          <w:szCs w:val="24"/>
        </w:rPr>
        <w:t>: initiatives aimed at attracting investment into exploration and greenfield projects are critical if South Africa’s mining sector is to be regarded as a sunrise industry’.</w:t>
      </w:r>
    </w:p>
    <w:p w14:paraId="18FDDB71" w14:textId="77777777" w:rsidR="00F60065" w:rsidRPr="000D5F03" w:rsidRDefault="00F60065" w:rsidP="000D5F03">
      <w:pPr>
        <w:pStyle w:val="ListParagraph"/>
        <w:numPr>
          <w:ilvl w:val="0"/>
          <w:numId w:val="26"/>
        </w:numPr>
        <w:spacing w:line="360" w:lineRule="auto"/>
        <w:jc w:val="both"/>
        <w:rPr>
          <w:rFonts w:ascii="Times New Roman" w:hAnsi="Times New Roman"/>
          <w:sz w:val="24"/>
          <w:szCs w:val="24"/>
        </w:rPr>
      </w:pPr>
      <w:r w:rsidRPr="000D5F03">
        <w:rPr>
          <w:rFonts w:ascii="Times New Roman" w:hAnsi="Times New Roman"/>
          <w:b/>
          <w:bCs/>
          <w:sz w:val="24"/>
          <w:szCs w:val="24"/>
        </w:rPr>
        <w:t>Corruption and mal-administration</w:t>
      </w:r>
      <w:r w:rsidRPr="000D5F03">
        <w:rPr>
          <w:rFonts w:ascii="Times New Roman" w:hAnsi="Times New Roman"/>
          <w:sz w:val="24"/>
          <w:szCs w:val="24"/>
        </w:rPr>
        <w:t>: The Minister has made significant progress in this regard but further work is required in order to ensure an administration that is efficient, transparent and accountable.</w:t>
      </w:r>
    </w:p>
    <w:p w14:paraId="27E0205A" w14:textId="77777777" w:rsidR="00F459C0" w:rsidRPr="000D5F03" w:rsidRDefault="00F459C0" w:rsidP="000D5F03">
      <w:pPr>
        <w:pStyle w:val="ListParagraph"/>
        <w:keepNext/>
        <w:keepLines/>
        <w:pageBreakBefore/>
        <w:numPr>
          <w:ilvl w:val="0"/>
          <w:numId w:val="12"/>
        </w:numPr>
        <w:suppressAutoHyphens w:val="0"/>
        <w:autoSpaceDN/>
        <w:spacing w:line="360" w:lineRule="auto"/>
        <w:ind w:hanging="720"/>
        <w:jc w:val="both"/>
        <w:textAlignment w:val="auto"/>
        <w:rPr>
          <w:rFonts w:ascii="Times New Roman" w:hAnsi="Times New Roman"/>
          <w:b/>
          <w:sz w:val="24"/>
          <w:szCs w:val="24"/>
          <w:lang w:val="en-ZA"/>
        </w:rPr>
      </w:pPr>
      <w:r w:rsidRPr="000D5F03">
        <w:rPr>
          <w:rFonts w:ascii="Times New Roman" w:hAnsi="Times New Roman"/>
          <w:b/>
          <w:sz w:val="24"/>
          <w:szCs w:val="24"/>
          <w:lang w:val="en-ZA"/>
        </w:rPr>
        <w:t xml:space="preserve">PROGRAMME PERFORMANCE </w:t>
      </w:r>
    </w:p>
    <w:p w14:paraId="5C45E0BB" w14:textId="77777777" w:rsidR="00F459C0" w:rsidRPr="000D5F03" w:rsidRDefault="00F459C0" w:rsidP="000D5F03">
      <w:pPr>
        <w:suppressAutoHyphens w:val="0"/>
        <w:autoSpaceDN/>
        <w:spacing w:line="360" w:lineRule="auto"/>
        <w:jc w:val="both"/>
        <w:textAlignment w:val="auto"/>
        <w:rPr>
          <w:rFonts w:ascii="Times New Roman" w:hAnsi="Times New Roman"/>
          <w:sz w:val="24"/>
          <w:szCs w:val="24"/>
          <w:lang w:val="en-ZA"/>
        </w:rPr>
      </w:pPr>
    </w:p>
    <w:p w14:paraId="7FCB3D12" w14:textId="0BE0D495"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 xml:space="preserve">The DMR APP specified </w:t>
      </w:r>
      <w:r w:rsidR="00C90EC3" w:rsidRPr="000D5F03">
        <w:rPr>
          <w:rFonts w:ascii="Times New Roman" w:hAnsi="Times New Roman"/>
          <w:sz w:val="24"/>
          <w:szCs w:val="24"/>
          <w:lang w:val="en-ZA"/>
        </w:rPr>
        <w:t>98</w:t>
      </w:r>
      <w:r w:rsidRPr="000D5F03">
        <w:rPr>
          <w:rFonts w:ascii="Times New Roman" w:hAnsi="Times New Roman"/>
          <w:sz w:val="24"/>
          <w:szCs w:val="24"/>
          <w:lang w:val="en-ZA"/>
        </w:rPr>
        <w:t xml:space="preserve"> measures by which to assess the performance of the Department in the 201</w:t>
      </w:r>
      <w:r w:rsidR="00F47620" w:rsidRPr="000D5F03">
        <w:rPr>
          <w:rFonts w:ascii="Times New Roman" w:hAnsi="Times New Roman"/>
          <w:sz w:val="24"/>
          <w:szCs w:val="24"/>
          <w:lang w:val="en-ZA"/>
        </w:rPr>
        <w:t>8</w:t>
      </w:r>
      <w:r w:rsidRPr="000D5F03">
        <w:rPr>
          <w:rFonts w:ascii="Times New Roman" w:hAnsi="Times New Roman"/>
          <w:sz w:val="24"/>
          <w:szCs w:val="24"/>
          <w:lang w:val="en-ZA"/>
        </w:rPr>
        <w:t>/1</w:t>
      </w:r>
      <w:r w:rsidR="00F47620" w:rsidRPr="000D5F03">
        <w:rPr>
          <w:rFonts w:ascii="Times New Roman" w:hAnsi="Times New Roman"/>
          <w:sz w:val="24"/>
          <w:szCs w:val="24"/>
          <w:lang w:val="en-ZA"/>
        </w:rPr>
        <w:t>9</w:t>
      </w:r>
      <w:r w:rsidRPr="000D5F03">
        <w:rPr>
          <w:rFonts w:ascii="Times New Roman" w:hAnsi="Times New Roman"/>
          <w:sz w:val="24"/>
          <w:szCs w:val="24"/>
          <w:lang w:val="en-ZA"/>
        </w:rPr>
        <w:t xml:space="preserve"> period.  </w:t>
      </w:r>
    </w:p>
    <w:p w14:paraId="32F2E542"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p>
    <w:p w14:paraId="2B51E96C"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proofErr w:type="gramStart"/>
      <w:r w:rsidRPr="000D5F03">
        <w:rPr>
          <w:rFonts w:ascii="Times New Roman" w:hAnsi="Times New Roman"/>
          <w:b/>
          <w:sz w:val="24"/>
          <w:szCs w:val="24"/>
          <w:lang w:val="en-ZA"/>
        </w:rPr>
        <w:t>8</w:t>
      </w:r>
      <w:r w:rsidR="00C90EC3" w:rsidRPr="000D5F03">
        <w:rPr>
          <w:rFonts w:ascii="Times New Roman" w:hAnsi="Times New Roman"/>
          <w:b/>
          <w:sz w:val="24"/>
          <w:szCs w:val="24"/>
          <w:lang w:val="en-ZA"/>
        </w:rPr>
        <w:t>4</w:t>
      </w:r>
      <w:r w:rsidRPr="000D5F03">
        <w:rPr>
          <w:rFonts w:ascii="Times New Roman" w:hAnsi="Times New Roman"/>
          <w:b/>
          <w:sz w:val="24"/>
          <w:szCs w:val="24"/>
          <w:lang w:val="en-ZA"/>
        </w:rPr>
        <w:t xml:space="preserve"> per cent</w:t>
      </w:r>
      <w:proofErr w:type="gramEnd"/>
      <w:r w:rsidRPr="000D5F03">
        <w:rPr>
          <w:rFonts w:ascii="Times New Roman" w:hAnsi="Times New Roman"/>
          <w:b/>
          <w:sz w:val="24"/>
          <w:szCs w:val="24"/>
          <w:lang w:val="en-ZA"/>
        </w:rPr>
        <w:t xml:space="preserve"> of the measures were achieved</w:t>
      </w:r>
      <w:r w:rsidRPr="000D5F03">
        <w:rPr>
          <w:rFonts w:ascii="Times New Roman" w:hAnsi="Times New Roman"/>
          <w:sz w:val="24"/>
          <w:szCs w:val="24"/>
          <w:lang w:val="en-ZA"/>
        </w:rPr>
        <w:t xml:space="preserve"> i.e. 8</w:t>
      </w:r>
      <w:r w:rsidR="00C90EC3" w:rsidRPr="000D5F03">
        <w:rPr>
          <w:rFonts w:ascii="Times New Roman" w:hAnsi="Times New Roman"/>
          <w:sz w:val="24"/>
          <w:szCs w:val="24"/>
          <w:lang w:val="en-ZA"/>
        </w:rPr>
        <w:t>2</w:t>
      </w:r>
      <w:r w:rsidRPr="000D5F03">
        <w:rPr>
          <w:rFonts w:ascii="Times New Roman" w:hAnsi="Times New Roman"/>
          <w:sz w:val="24"/>
          <w:szCs w:val="24"/>
          <w:lang w:val="en-ZA"/>
        </w:rPr>
        <w:t xml:space="preserve"> out of 9</w:t>
      </w:r>
      <w:r w:rsidR="00C90EC3" w:rsidRPr="000D5F03">
        <w:rPr>
          <w:rFonts w:ascii="Times New Roman" w:hAnsi="Times New Roman"/>
          <w:sz w:val="24"/>
          <w:szCs w:val="24"/>
          <w:lang w:val="en-ZA"/>
        </w:rPr>
        <w:t>8</w:t>
      </w:r>
      <w:r w:rsidRPr="000D5F03">
        <w:rPr>
          <w:rFonts w:ascii="Times New Roman" w:hAnsi="Times New Roman"/>
          <w:sz w:val="24"/>
          <w:szCs w:val="24"/>
          <w:lang w:val="en-ZA"/>
        </w:rPr>
        <w:t xml:space="preserve"> set targets. This is an improv</w:t>
      </w:r>
      <w:r w:rsidRPr="000D5F03">
        <w:rPr>
          <w:rFonts w:ascii="Times New Roman" w:hAnsi="Times New Roman"/>
          <w:sz w:val="24"/>
          <w:szCs w:val="24"/>
          <w:lang w:val="en-ZA"/>
        </w:rPr>
        <w:t>e</w:t>
      </w:r>
      <w:r w:rsidRPr="000D5F03">
        <w:rPr>
          <w:rFonts w:ascii="Times New Roman" w:hAnsi="Times New Roman"/>
          <w:sz w:val="24"/>
          <w:szCs w:val="24"/>
          <w:lang w:val="en-ZA"/>
        </w:rPr>
        <w:t>ment on the score of 8</w:t>
      </w:r>
      <w:r w:rsidR="00C90EC3" w:rsidRPr="000D5F03">
        <w:rPr>
          <w:rFonts w:ascii="Times New Roman" w:hAnsi="Times New Roman"/>
          <w:sz w:val="24"/>
          <w:szCs w:val="24"/>
          <w:lang w:val="en-ZA"/>
        </w:rPr>
        <w:t>1</w:t>
      </w:r>
      <w:r w:rsidRPr="000D5F03">
        <w:rPr>
          <w:rFonts w:ascii="Times New Roman" w:hAnsi="Times New Roman"/>
          <w:sz w:val="24"/>
          <w:szCs w:val="24"/>
          <w:lang w:val="en-ZA"/>
        </w:rPr>
        <w:t xml:space="preserve"> per cent achieved the previous year. The DMR</w:t>
      </w:r>
      <w:r w:rsidR="00C7051F" w:rsidRPr="000D5F03">
        <w:rPr>
          <w:rFonts w:ascii="Times New Roman" w:hAnsi="Times New Roman"/>
          <w:sz w:val="24"/>
          <w:szCs w:val="24"/>
          <w:lang w:val="en-ZA"/>
        </w:rPr>
        <w:t>E</w:t>
      </w:r>
      <w:r w:rsidRPr="000D5F03">
        <w:rPr>
          <w:rFonts w:ascii="Times New Roman" w:hAnsi="Times New Roman"/>
          <w:sz w:val="24"/>
          <w:szCs w:val="24"/>
          <w:lang w:val="en-ZA"/>
        </w:rPr>
        <w:t xml:space="preserve"> </w:t>
      </w:r>
      <w:r w:rsidR="00C90EC3" w:rsidRPr="000D5F03">
        <w:rPr>
          <w:rFonts w:ascii="Times New Roman" w:hAnsi="Times New Roman"/>
          <w:sz w:val="24"/>
          <w:szCs w:val="24"/>
          <w:lang w:val="en-ZA"/>
        </w:rPr>
        <w:t>ha</w:t>
      </w:r>
      <w:r w:rsidRPr="000D5F03">
        <w:rPr>
          <w:rFonts w:ascii="Times New Roman" w:hAnsi="Times New Roman"/>
          <w:sz w:val="24"/>
          <w:szCs w:val="24"/>
          <w:lang w:val="en-ZA"/>
        </w:rPr>
        <w:t xml:space="preserve">s </w:t>
      </w:r>
      <w:r w:rsidR="00C90EC3" w:rsidRPr="000D5F03">
        <w:rPr>
          <w:rFonts w:ascii="Times New Roman" w:hAnsi="Times New Roman"/>
          <w:sz w:val="24"/>
          <w:szCs w:val="24"/>
          <w:lang w:val="en-ZA"/>
        </w:rPr>
        <w:t xml:space="preserve">been </w:t>
      </w:r>
      <w:r w:rsidRPr="000D5F03">
        <w:rPr>
          <w:rFonts w:ascii="Times New Roman" w:hAnsi="Times New Roman"/>
          <w:sz w:val="24"/>
          <w:szCs w:val="24"/>
          <w:lang w:val="en-ZA"/>
        </w:rPr>
        <w:t>consistent in meeting an acceptable proportion of performance targets</w:t>
      </w:r>
      <w:r w:rsidR="00EE4A9D" w:rsidRPr="000D5F03">
        <w:rPr>
          <w:rFonts w:ascii="Times New Roman" w:hAnsi="Times New Roman"/>
          <w:sz w:val="24"/>
          <w:szCs w:val="24"/>
          <w:lang w:val="en-ZA"/>
        </w:rPr>
        <w:t xml:space="preserve"> </w:t>
      </w:r>
      <w:r w:rsidRPr="000D5F03">
        <w:rPr>
          <w:rFonts w:ascii="Times New Roman" w:hAnsi="Times New Roman"/>
          <w:sz w:val="24"/>
          <w:szCs w:val="24"/>
          <w:lang w:val="en-ZA"/>
        </w:rPr>
        <w:t>every year.</w:t>
      </w:r>
    </w:p>
    <w:p w14:paraId="0074A2EA"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p>
    <w:p w14:paraId="159A93D9"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 xml:space="preserve">Comparability with past results </w:t>
      </w:r>
      <w:proofErr w:type="gramStart"/>
      <w:r w:rsidRPr="000D5F03">
        <w:rPr>
          <w:rFonts w:ascii="Times New Roman" w:hAnsi="Times New Roman"/>
          <w:sz w:val="24"/>
          <w:szCs w:val="24"/>
          <w:lang w:val="en-ZA"/>
        </w:rPr>
        <w:t>is limited</w:t>
      </w:r>
      <w:proofErr w:type="gramEnd"/>
      <w:r w:rsidRPr="000D5F03">
        <w:rPr>
          <w:rFonts w:ascii="Times New Roman" w:hAnsi="Times New Roman"/>
          <w:sz w:val="24"/>
          <w:szCs w:val="24"/>
          <w:lang w:val="en-ZA"/>
        </w:rPr>
        <w:t xml:space="preserve"> by the fact that the DMR</w:t>
      </w:r>
      <w:r w:rsidR="00C7051F" w:rsidRPr="000D5F03">
        <w:rPr>
          <w:rFonts w:ascii="Times New Roman" w:hAnsi="Times New Roman"/>
          <w:sz w:val="24"/>
          <w:szCs w:val="24"/>
          <w:lang w:val="en-ZA"/>
        </w:rPr>
        <w:t>E (Vote 29)</w:t>
      </w:r>
      <w:r w:rsidRPr="000D5F03">
        <w:rPr>
          <w:rFonts w:ascii="Times New Roman" w:hAnsi="Times New Roman"/>
          <w:sz w:val="24"/>
          <w:szCs w:val="24"/>
          <w:lang w:val="en-ZA"/>
        </w:rPr>
        <w:t xml:space="preserve"> reduced the number of targets by over 50 in 2014/15 from 160 targets or more in the past reporting per</w:t>
      </w:r>
      <w:r w:rsidRPr="000D5F03">
        <w:rPr>
          <w:rFonts w:ascii="Times New Roman" w:hAnsi="Times New Roman"/>
          <w:sz w:val="24"/>
          <w:szCs w:val="24"/>
          <w:lang w:val="en-ZA"/>
        </w:rPr>
        <w:t>i</w:t>
      </w:r>
      <w:r w:rsidRPr="000D5F03">
        <w:rPr>
          <w:rFonts w:ascii="Times New Roman" w:hAnsi="Times New Roman"/>
          <w:sz w:val="24"/>
          <w:szCs w:val="24"/>
          <w:lang w:val="en-ZA"/>
        </w:rPr>
        <w:t xml:space="preserve">ods </w:t>
      </w:r>
      <w:r w:rsidR="00C90EC3" w:rsidRPr="000D5F03">
        <w:rPr>
          <w:rFonts w:ascii="Times New Roman" w:hAnsi="Times New Roman"/>
          <w:sz w:val="24"/>
          <w:szCs w:val="24"/>
          <w:lang w:val="en-ZA"/>
        </w:rPr>
        <w:t>a</w:t>
      </w:r>
      <w:r w:rsidRPr="000D5F03">
        <w:rPr>
          <w:rFonts w:ascii="Times New Roman" w:hAnsi="Times New Roman"/>
          <w:sz w:val="24"/>
          <w:szCs w:val="24"/>
          <w:lang w:val="en-ZA"/>
        </w:rPr>
        <w:t xml:space="preserve">nd the content of some indicators have been altered. </w:t>
      </w:r>
    </w:p>
    <w:p w14:paraId="66269F15"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p>
    <w:p w14:paraId="72B1D742"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The 8</w:t>
      </w:r>
      <w:r w:rsidR="00C90EC3" w:rsidRPr="000D5F03">
        <w:rPr>
          <w:rFonts w:ascii="Times New Roman" w:hAnsi="Times New Roman"/>
          <w:sz w:val="24"/>
          <w:szCs w:val="24"/>
          <w:lang w:val="en-ZA"/>
        </w:rPr>
        <w:t>4</w:t>
      </w:r>
      <w:r w:rsidRPr="000D5F03">
        <w:rPr>
          <w:rFonts w:ascii="Times New Roman" w:hAnsi="Times New Roman"/>
          <w:sz w:val="24"/>
          <w:szCs w:val="24"/>
          <w:lang w:val="en-ZA"/>
        </w:rPr>
        <w:t xml:space="preserve"> per cent level of achievement for performance targets is commendable. The DMR</w:t>
      </w:r>
      <w:r w:rsidR="00C7051F" w:rsidRPr="000D5F03">
        <w:rPr>
          <w:rFonts w:ascii="Times New Roman" w:hAnsi="Times New Roman"/>
          <w:sz w:val="24"/>
          <w:szCs w:val="24"/>
          <w:lang w:val="en-ZA"/>
        </w:rPr>
        <w:t>E (Vote 29)</w:t>
      </w:r>
      <w:r w:rsidRPr="000D5F03">
        <w:rPr>
          <w:rFonts w:ascii="Times New Roman" w:hAnsi="Times New Roman"/>
          <w:sz w:val="24"/>
          <w:szCs w:val="24"/>
          <w:lang w:val="en-ZA"/>
        </w:rPr>
        <w:t xml:space="preserve"> consistently achieves its targets at rates far above the reports of most government departments. </w:t>
      </w:r>
    </w:p>
    <w:p w14:paraId="2B9BF36B"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p>
    <w:p w14:paraId="18D60DD7" w14:textId="295623ED" w:rsidR="00B94BA0" w:rsidRPr="000D5F03" w:rsidRDefault="00B94BA0"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The average result in 201</w:t>
      </w:r>
      <w:r w:rsidR="00F47620" w:rsidRPr="000D5F03">
        <w:rPr>
          <w:rFonts w:ascii="Times New Roman" w:hAnsi="Times New Roman"/>
          <w:sz w:val="24"/>
          <w:szCs w:val="24"/>
        </w:rPr>
        <w:t>8</w:t>
      </w:r>
      <w:r w:rsidRPr="000D5F03">
        <w:rPr>
          <w:rFonts w:ascii="Times New Roman" w:hAnsi="Times New Roman"/>
          <w:sz w:val="24"/>
          <w:szCs w:val="24"/>
        </w:rPr>
        <w:t>/1</w:t>
      </w:r>
      <w:r w:rsidR="00F47620" w:rsidRPr="000D5F03">
        <w:rPr>
          <w:rFonts w:ascii="Times New Roman" w:hAnsi="Times New Roman"/>
          <w:sz w:val="24"/>
          <w:szCs w:val="24"/>
        </w:rPr>
        <w:t>9</w:t>
      </w:r>
      <w:r w:rsidRPr="000D5F03">
        <w:rPr>
          <w:rFonts w:ascii="Times New Roman" w:hAnsi="Times New Roman"/>
          <w:sz w:val="24"/>
          <w:szCs w:val="24"/>
        </w:rPr>
        <w:t xml:space="preserve"> was however, </w:t>
      </w:r>
      <w:r w:rsidR="00C90EC3" w:rsidRPr="000D5F03">
        <w:rPr>
          <w:rFonts w:ascii="Times New Roman" w:hAnsi="Times New Roman"/>
          <w:sz w:val="24"/>
          <w:szCs w:val="24"/>
        </w:rPr>
        <w:t>weighed down</w:t>
      </w:r>
      <w:r w:rsidRPr="000D5F03">
        <w:rPr>
          <w:rFonts w:ascii="Times New Roman" w:hAnsi="Times New Roman"/>
          <w:sz w:val="24"/>
          <w:szCs w:val="24"/>
        </w:rPr>
        <w:t xml:space="preserve"> by the </w:t>
      </w:r>
      <w:r w:rsidR="00C7051F" w:rsidRPr="000D5F03">
        <w:rPr>
          <w:rFonts w:ascii="Times New Roman" w:hAnsi="Times New Roman"/>
          <w:sz w:val="24"/>
          <w:szCs w:val="24"/>
        </w:rPr>
        <w:t>underperformance</w:t>
      </w:r>
      <w:r w:rsidR="00C90EC3" w:rsidRPr="000D5F03">
        <w:rPr>
          <w:rFonts w:ascii="Times New Roman" w:hAnsi="Times New Roman"/>
          <w:sz w:val="24"/>
          <w:szCs w:val="24"/>
        </w:rPr>
        <w:t xml:space="preserve"> of the Mineral Regulation programme relative to other three programmes</w:t>
      </w:r>
      <w:r w:rsidRPr="000D5F03">
        <w:rPr>
          <w:rFonts w:ascii="Times New Roman" w:hAnsi="Times New Roman"/>
          <w:sz w:val="24"/>
          <w:szCs w:val="24"/>
        </w:rPr>
        <w:t>.</w:t>
      </w:r>
    </w:p>
    <w:p w14:paraId="66DDACE5"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rPr>
      </w:pPr>
    </w:p>
    <w:tbl>
      <w:tblPr>
        <w:tblW w:w="5000" w:type="pct"/>
        <w:tblLook w:val="04A0" w:firstRow="1" w:lastRow="0" w:firstColumn="1" w:lastColumn="0" w:noHBand="0" w:noVBand="1"/>
      </w:tblPr>
      <w:tblGrid>
        <w:gridCol w:w="324"/>
        <w:gridCol w:w="3444"/>
        <w:gridCol w:w="1447"/>
        <w:gridCol w:w="1401"/>
        <w:gridCol w:w="1263"/>
        <w:gridCol w:w="690"/>
        <w:gridCol w:w="1285"/>
      </w:tblGrid>
      <w:tr w:rsidR="00B94BA0" w:rsidRPr="000D5F03" w14:paraId="7407C18F" w14:textId="77777777" w:rsidTr="00B94BA0">
        <w:trPr>
          <w:trHeight w:val="480"/>
        </w:trPr>
        <w:tc>
          <w:tcPr>
            <w:tcW w:w="164" w:type="pct"/>
            <w:tcBorders>
              <w:top w:val="nil"/>
              <w:left w:val="nil"/>
              <w:bottom w:val="nil"/>
              <w:right w:val="nil"/>
            </w:tcBorders>
            <w:shd w:val="clear" w:color="auto" w:fill="auto"/>
            <w:noWrap/>
            <w:vAlign w:val="bottom"/>
            <w:hideMark/>
          </w:tcPr>
          <w:p w14:paraId="613ECB72" w14:textId="77777777" w:rsidR="00B94BA0" w:rsidRPr="000D5F03" w:rsidRDefault="00B94BA0" w:rsidP="000D5F03">
            <w:pPr>
              <w:suppressAutoHyphens w:val="0"/>
              <w:autoSpaceDN/>
              <w:spacing w:line="360" w:lineRule="auto"/>
              <w:textAlignment w:val="auto"/>
              <w:rPr>
                <w:rFonts w:ascii="Times New Roman" w:hAnsi="Times New Roman"/>
                <w:color w:val="auto"/>
                <w:spacing w:val="0"/>
                <w:lang w:val="en-ZA" w:eastAsia="en-ZA"/>
              </w:rPr>
            </w:pPr>
          </w:p>
        </w:tc>
        <w:tc>
          <w:tcPr>
            <w:tcW w:w="383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10FB0BA" w14:textId="506E2ADD" w:rsidR="00B94BA0" w:rsidRPr="000D5F03" w:rsidRDefault="00B94BA0" w:rsidP="000D5F03">
            <w:pPr>
              <w:suppressAutoHyphens w:val="0"/>
              <w:autoSpaceDN/>
              <w:spacing w:line="360" w:lineRule="auto"/>
              <w:jc w:val="center"/>
              <w:textAlignment w:val="auto"/>
              <w:rPr>
                <w:rFonts w:ascii="Times New Roman" w:hAnsi="Times New Roman"/>
                <w:b/>
                <w:bCs/>
                <w:spacing w:val="0"/>
                <w:lang w:val="en-ZA" w:eastAsia="en-ZA"/>
              </w:rPr>
            </w:pPr>
            <w:r w:rsidRPr="000D5F03">
              <w:rPr>
                <w:rFonts w:ascii="Times New Roman" w:hAnsi="Times New Roman"/>
                <w:b/>
                <w:bCs/>
                <w:spacing w:val="0"/>
                <w:lang w:val="en-ZA" w:eastAsia="en-ZA"/>
              </w:rPr>
              <w:t>Table 4.1: Summary of 201</w:t>
            </w:r>
            <w:r w:rsidR="00F47620" w:rsidRPr="000D5F03">
              <w:rPr>
                <w:rFonts w:ascii="Times New Roman" w:hAnsi="Times New Roman"/>
                <w:b/>
                <w:bCs/>
                <w:spacing w:val="0"/>
                <w:lang w:val="en-ZA" w:eastAsia="en-ZA"/>
              </w:rPr>
              <w:t>8</w:t>
            </w:r>
            <w:r w:rsidRPr="000D5F03">
              <w:rPr>
                <w:rFonts w:ascii="Times New Roman" w:hAnsi="Times New Roman"/>
                <w:b/>
                <w:bCs/>
                <w:spacing w:val="0"/>
                <w:lang w:val="en-ZA" w:eastAsia="en-ZA"/>
              </w:rPr>
              <w:t>/1</w:t>
            </w:r>
            <w:r w:rsidR="00F47620" w:rsidRPr="000D5F03">
              <w:rPr>
                <w:rFonts w:ascii="Times New Roman" w:hAnsi="Times New Roman"/>
                <w:b/>
                <w:bCs/>
                <w:spacing w:val="0"/>
                <w:lang w:val="en-ZA" w:eastAsia="en-ZA"/>
              </w:rPr>
              <w:t>9</w:t>
            </w:r>
            <w:r w:rsidRPr="000D5F03">
              <w:rPr>
                <w:rFonts w:ascii="Times New Roman" w:hAnsi="Times New Roman"/>
                <w:b/>
                <w:bCs/>
                <w:spacing w:val="0"/>
                <w:lang w:val="en-ZA" w:eastAsia="en-ZA"/>
              </w:rPr>
              <w:t xml:space="preserve"> Performance Measures</w:t>
            </w:r>
          </w:p>
        </w:tc>
        <w:tc>
          <w:tcPr>
            <w:tcW w:w="350" w:type="pct"/>
            <w:tcBorders>
              <w:top w:val="nil"/>
              <w:left w:val="nil"/>
              <w:bottom w:val="nil"/>
              <w:right w:val="nil"/>
            </w:tcBorders>
            <w:shd w:val="clear" w:color="auto" w:fill="auto"/>
            <w:noWrap/>
            <w:vAlign w:val="bottom"/>
            <w:hideMark/>
          </w:tcPr>
          <w:p w14:paraId="11FBA105" w14:textId="77777777" w:rsidR="00B94BA0" w:rsidRPr="000D5F03" w:rsidRDefault="00B94BA0" w:rsidP="000D5F03">
            <w:pPr>
              <w:suppressAutoHyphens w:val="0"/>
              <w:autoSpaceDN/>
              <w:spacing w:line="360" w:lineRule="auto"/>
              <w:jc w:val="center"/>
              <w:textAlignment w:val="auto"/>
              <w:rPr>
                <w:rFonts w:ascii="Times New Roman" w:hAnsi="Times New Roman"/>
                <w:b/>
                <w:bCs/>
                <w:spacing w:val="0"/>
                <w:lang w:val="en-ZA" w:eastAsia="en-ZA"/>
              </w:rPr>
            </w:pPr>
          </w:p>
        </w:tc>
        <w:tc>
          <w:tcPr>
            <w:tcW w:w="652" w:type="pct"/>
            <w:tcBorders>
              <w:top w:val="nil"/>
              <w:left w:val="nil"/>
              <w:bottom w:val="nil"/>
              <w:right w:val="nil"/>
            </w:tcBorders>
            <w:shd w:val="clear" w:color="auto" w:fill="auto"/>
            <w:vAlign w:val="center"/>
            <w:hideMark/>
          </w:tcPr>
          <w:p w14:paraId="7D5D014C" w14:textId="77777777" w:rsidR="00B94BA0" w:rsidRPr="000D5F03" w:rsidRDefault="00B94BA0" w:rsidP="000D5F03">
            <w:pPr>
              <w:suppressAutoHyphens w:val="0"/>
              <w:autoSpaceDN/>
              <w:spacing w:line="360" w:lineRule="auto"/>
              <w:textAlignment w:val="auto"/>
              <w:rPr>
                <w:rFonts w:ascii="Times New Roman" w:hAnsi="Times New Roman"/>
                <w:color w:val="auto"/>
                <w:spacing w:val="0"/>
                <w:lang w:val="en-ZA" w:eastAsia="en-ZA"/>
              </w:rPr>
            </w:pPr>
          </w:p>
        </w:tc>
      </w:tr>
      <w:tr w:rsidR="00B94BA0" w:rsidRPr="000D5F03" w14:paraId="63AFEE4A" w14:textId="77777777" w:rsidTr="00B94BA0">
        <w:trPr>
          <w:trHeight w:val="1215"/>
        </w:trPr>
        <w:tc>
          <w:tcPr>
            <w:tcW w:w="164" w:type="pct"/>
            <w:tcBorders>
              <w:top w:val="nil"/>
              <w:left w:val="nil"/>
              <w:bottom w:val="nil"/>
              <w:right w:val="nil"/>
            </w:tcBorders>
            <w:shd w:val="clear" w:color="auto" w:fill="auto"/>
            <w:vAlign w:val="center"/>
            <w:hideMark/>
          </w:tcPr>
          <w:p w14:paraId="68997C04" w14:textId="77777777" w:rsidR="00B94BA0" w:rsidRPr="000D5F03" w:rsidRDefault="00B94BA0" w:rsidP="000D5F03">
            <w:pPr>
              <w:suppressAutoHyphens w:val="0"/>
              <w:autoSpaceDN/>
              <w:spacing w:line="360" w:lineRule="auto"/>
              <w:jc w:val="center"/>
              <w:textAlignment w:val="auto"/>
              <w:rPr>
                <w:rFonts w:ascii="Times New Roman" w:hAnsi="Times New Roman"/>
                <w:color w:val="auto"/>
                <w:spacing w:val="0"/>
                <w:lang w:val="en-ZA" w:eastAsia="en-ZA"/>
              </w:rPr>
            </w:pPr>
          </w:p>
        </w:tc>
        <w:tc>
          <w:tcPr>
            <w:tcW w:w="1747" w:type="pct"/>
            <w:tcBorders>
              <w:top w:val="nil"/>
              <w:left w:val="single" w:sz="8" w:space="0" w:color="auto"/>
              <w:bottom w:val="single" w:sz="8" w:space="0" w:color="auto"/>
              <w:right w:val="single" w:sz="8" w:space="0" w:color="auto"/>
            </w:tcBorders>
            <w:shd w:val="clear" w:color="auto" w:fill="auto"/>
            <w:vAlign w:val="center"/>
            <w:hideMark/>
          </w:tcPr>
          <w:p w14:paraId="63378309" w14:textId="77777777" w:rsidR="00B94BA0" w:rsidRPr="000D5F03" w:rsidRDefault="00B94BA0" w:rsidP="000D5F03">
            <w:pPr>
              <w:suppressAutoHyphens w:val="0"/>
              <w:autoSpaceDN/>
              <w:spacing w:line="360" w:lineRule="auto"/>
              <w:textAlignment w:val="auto"/>
              <w:rPr>
                <w:rFonts w:ascii="Times New Roman" w:hAnsi="Times New Roman"/>
                <w:spacing w:val="0"/>
                <w:lang w:val="en-ZA" w:eastAsia="en-ZA"/>
              </w:rPr>
            </w:pPr>
            <w:r w:rsidRPr="000D5F03">
              <w:rPr>
                <w:rFonts w:ascii="Times New Roman" w:hAnsi="Times New Roman"/>
                <w:spacing w:val="0"/>
                <w:lang w:val="en-ZA" w:eastAsia="en-ZA"/>
              </w:rPr>
              <w:t>Programme</w:t>
            </w:r>
          </w:p>
        </w:tc>
        <w:tc>
          <w:tcPr>
            <w:tcW w:w="734" w:type="pct"/>
            <w:tcBorders>
              <w:top w:val="nil"/>
              <w:left w:val="nil"/>
              <w:bottom w:val="single" w:sz="8" w:space="0" w:color="auto"/>
              <w:right w:val="single" w:sz="8" w:space="0" w:color="auto"/>
            </w:tcBorders>
            <w:shd w:val="clear" w:color="auto" w:fill="auto"/>
            <w:vAlign w:val="center"/>
            <w:hideMark/>
          </w:tcPr>
          <w:p w14:paraId="63AAEB73" w14:textId="77777777" w:rsidR="00B94BA0" w:rsidRPr="000D5F03" w:rsidRDefault="00B94BA0" w:rsidP="000D5F03">
            <w:pPr>
              <w:suppressAutoHyphens w:val="0"/>
              <w:autoSpaceDN/>
              <w:spacing w:line="360" w:lineRule="auto"/>
              <w:textAlignment w:val="auto"/>
              <w:rPr>
                <w:rFonts w:ascii="Times New Roman" w:hAnsi="Times New Roman"/>
                <w:spacing w:val="0"/>
                <w:lang w:val="en-ZA" w:eastAsia="en-ZA"/>
              </w:rPr>
            </w:pPr>
            <w:r w:rsidRPr="000D5F03">
              <w:rPr>
                <w:rFonts w:ascii="Times New Roman" w:hAnsi="Times New Roman"/>
                <w:spacing w:val="0"/>
                <w:lang w:val="en-ZA" w:eastAsia="en-ZA"/>
              </w:rPr>
              <w:t>Total count of measures per programme</w:t>
            </w:r>
          </w:p>
        </w:tc>
        <w:tc>
          <w:tcPr>
            <w:tcW w:w="711" w:type="pct"/>
            <w:tcBorders>
              <w:top w:val="nil"/>
              <w:left w:val="nil"/>
              <w:bottom w:val="single" w:sz="8" w:space="0" w:color="auto"/>
              <w:right w:val="single" w:sz="8" w:space="0" w:color="auto"/>
            </w:tcBorders>
            <w:shd w:val="clear" w:color="auto" w:fill="auto"/>
            <w:vAlign w:val="center"/>
            <w:hideMark/>
          </w:tcPr>
          <w:p w14:paraId="2F178C4C" w14:textId="77777777" w:rsidR="00B94BA0" w:rsidRPr="000D5F03" w:rsidRDefault="00B94BA0" w:rsidP="000D5F03">
            <w:pPr>
              <w:suppressAutoHyphens w:val="0"/>
              <w:autoSpaceDN/>
              <w:spacing w:line="360" w:lineRule="auto"/>
              <w:textAlignment w:val="auto"/>
              <w:rPr>
                <w:rFonts w:ascii="Times New Roman" w:hAnsi="Times New Roman"/>
                <w:b/>
                <w:bCs/>
                <w:spacing w:val="0"/>
                <w:lang w:val="en-ZA" w:eastAsia="en-ZA"/>
              </w:rPr>
            </w:pPr>
            <w:r w:rsidRPr="000D5F03">
              <w:rPr>
                <w:rFonts w:ascii="Times New Roman" w:hAnsi="Times New Roman"/>
                <w:b/>
                <w:bCs/>
                <w:spacing w:val="0"/>
                <w:lang w:val="en-ZA" w:eastAsia="en-ZA"/>
              </w:rPr>
              <w:t>Achieved</w:t>
            </w:r>
          </w:p>
        </w:tc>
        <w:tc>
          <w:tcPr>
            <w:tcW w:w="641" w:type="pct"/>
            <w:tcBorders>
              <w:top w:val="nil"/>
              <w:left w:val="nil"/>
              <w:bottom w:val="single" w:sz="8" w:space="0" w:color="auto"/>
              <w:right w:val="single" w:sz="8" w:space="0" w:color="auto"/>
            </w:tcBorders>
            <w:shd w:val="clear" w:color="auto" w:fill="auto"/>
            <w:vAlign w:val="center"/>
            <w:hideMark/>
          </w:tcPr>
          <w:p w14:paraId="356DFA34" w14:textId="77777777" w:rsidR="00B94BA0" w:rsidRPr="000D5F03" w:rsidRDefault="00B94BA0" w:rsidP="000D5F03">
            <w:pPr>
              <w:suppressAutoHyphens w:val="0"/>
              <w:autoSpaceDN/>
              <w:spacing w:line="360" w:lineRule="auto"/>
              <w:textAlignment w:val="auto"/>
              <w:rPr>
                <w:rFonts w:ascii="Times New Roman" w:hAnsi="Times New Roman"/>
                <w:b/>
                <w:bCs/>
                <w:spacing w:val="0"/>
                <w:lang w:val="en-ZA" w:eastAsia="en-ZA"/>
              </w:rPr>
            </w:pPr>
            <w:r w:rsidRPr="000D5F03">
              <w:rPr>
                <w:rFonts w:ascii="Times New Roman" w:hAnsi="Times New Roman"/>
                <w:b/>
                <w:bCs/>
                <w:spacing w:val="0"/>
                <w:lang w:val="en-ZA" w:eastAsia="en-ZA"/>
              </w:rPr>
              <w:t>Not achieved</w:t>
            </w:r>
            <w:r w:rsidRPr="000D5F03">
              <w:rPr>
                <w:rFonts w:ascii="Times New Roman" w:hAnsi="Times New Roman"/>
                <w:spacing w:val="0"/>
                <w:lang w:val="en-ZA" w:eastAsia="en-ZA"/>
              </w:rPr>
              <w:t xml:space="preserve"> </w:t>
            </w:r>
          </w:p>
        </w:tc>
        <w:tc>
          <w:tcPr>
            <w:tcW w:w="350" w:type="pct"/>
            <w:tcBorders>
              <w:top w:val="single" w:sz="4" w:space="0" w:color="auto"/>
              <w:left w:val="nil"/>
              <w:bottom w:val="nil"/>
              <w:right w:val="single" w:sz="4" w:space="0" w:color="auto"/>
            </w:tcBorders>
            <w:shd w:val="clear" w:color="auto" w:fill="auto"/>
            <w:vAlign w:val="center"/>
            <w:hideMark/>
          </w:tcPr>
          <w:p w14:paraId="57247861" w14:textId="77777777" w:rsidR="00B94BA0" w:rsidRPr="000D5F03" w:rsidRDefault="00B94BA0" w:rsidP="000D5F03">
            <w:pPr>
              <w:suppressAutoHyphens w:val="0"/>
              <w:autoSpaceDN/>
              <w:spacing w:line="360" w:lineRule="auto"/>
              <w:textAlignment w:val="auto"/>
              <w:rPr>
                <w:rFonts w:ascii="Times New Roman" w:hAnsi="Times New Roman"/>
                <w:b/>
                <w:bCs/>
                <w:spacing w:val="0"/>
                <w:lang w:val="en-ZA" w:eastAsia="en-ZA"/>
              </w:rPr>
            </w:pPr>
            <w:r w:rsidRPr="000D5F03">
              <w:rPr>
                <w:rFonts w:ascii="Times New Roman" w:hAnsi="Times New Roman"/>
                <w:b/>
                <w:bCs/>
                <w:spacing w:val="0"/>
                <w:lang w:val="en-ZA" w:eastAsia="en-ZA"/>
              </w:rPr>
              <w:t>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2D2AF2C3" w14:textId="1E917540" w:rsidR="00B94BA0" w:rsidRPr="000D5F03" w:rsidRDefault="00B94BA0" w:rsidP="000D5F03">
            <w:pPr>
              <w:suppressAutoHyphens w:val="0"/>
              <w:autoSpaceDN/>
              <w:spacing w:line="360" w:lineRule="auto"/>
              <w:textAlignment w:val="auto"/>
              <w:rPr>
                <w:rFonts w:ascii="Times New Roman" w:hAnsi="Times New Roman"/>
                <w:i/>
                <w:iCs/>
                <w:spacing w:val="0"/>
                <w:lang w:val="en-ZA" w:eastAsia="en-ZA"/>
              </w:rPr>
            </w:pPr>
            <w:r w:rsidRPr="000D5F03">
              <w:rPr>
                <w:rFonts w:ascii="Times New Roman" w:hAnsi="Times New Roman"/>
                <w:i/>
                <w:iCs/>
                <w:spacing w:val="0"/>
                <w:lang w:val="en-ZA" w:eastAsia="en-ZA"/>
              </w:rPr>
              <w:t>Achievement comparison with 201</w:t>
            </w:r>
            <w:r w:rsidR="00F47620" w:rsidRPr="000D5F03">
              <w:rPr>
                <w:rFonts w:ascii="Times New Roman" w:hAnsi="Times New Roman"/>
                <w:i/>
                <w:iCs/>
                <w:spacing w:val="0"/>
                <w:lang w:val="en-ZA" w:eastAsia="en-ZA"/>
              </w:rPr>
              <w:t>7</w:t>
            </w:r>
            <w:r w:rsidRPr="000D5F03">
              <w:rPr>
                <w:rFonts w:ascii="Times New Roman" w:hAnsi="Times New Roman"/>
                <w:i/>
                <w:iCs/>
                <w:spacing w:val="0"/>
                <w:lang w:val="en-ZA" w:eastAsia="en-ZA"/>
              </w:rPr>
              <w:t>/1</w:t>
            </w:r>
            <w:r w:rsidR="00F47620" w:rsidRPr="000D5F03">
              <w:rPr>
                <w:rFonts w:ascii="Times New Roman" w:hAnsi="Times New Roman"/>
                <w:i/>
                <w:iCs/>
                <w:spacing w:val="0"/>
                <w:lang w:val="en-ZA" w:eastAsia="en-ZA"/>
              </w:rPr>
              <w:t>8</w:t>
            </w:r>
            <w:r w:rsidRPr="000D5F03">
              <w:rPr>
                <w:rFonts w:ascii="Times New Roman" w:hAnsi="Times New Roman"/>
                <w:i/>
                <w:iCs/>
                <w:spacing w:val="0"/>
                <w:lang w:val="en-ZA" w:eastAsia="en-ZA"/>
              </w:rPr>
              <w:t xml:space="preserve"> </w:t>
            </w:r>
          </w:p>
        </w:tc>
      </w:tr>
      <w:tr w:rsidR="00B94BA0" w:rsidRPr="000D5F03" w14:paraId="0A292753" w14:textId="77777777" w:rsidTr="00B94BA0">
        <w:trPr>
          <w:trHeight w:val="345"/>
        </w:trPr>
        <w:tc>
          <w:tcPr>
            <w:tcW w:w="164" w:type="pct"/>
            <w:tcBorders>
              <w:top w:val="nil"/>
              <w:left w:val="nil"/>
              <w:bottom w:val="nil"/>
              <w:right w:val="nil"/>
            </w:tcBorders>
            <w:shd w:val="clear" w:color="auto" w:fill="auto"/>
            <w:noWrap/>
            <w:vAlign w:val="center"/>
            <w:hideMark/>
          </w:tcPr>
          <w:p w14:paraId="6F5589B6" w14:textId="77777777" w:rsidR="00B94BA0" w:rsidRPr="000D5F03" w:rsidRDefault="00B94BA0" w:rsidP="000D5F03">
            <w:pPr>
              <w:suppressAutoHyphens w:val="0"/>
              <w:autoSpaceDN/>
              <w:spacing w:line="360" w:lineRule="auto"/>
              <w:textAlignment w:val="auto"/>
              <w:rPr>
                <w:rFonts w:ascii="Times New Roman" w:hAnsi="Times New Roman"/>
                <w:spacing w:val="0"/>
                <w:lang w:val="en-ZA" w:eastAsia="en-ZA"/>
              </w:rPr>
            </w:pPr>
            <w:r w:rsidRPr="000D5F03">
              <w:rPr>
                <w:rFonts w:ascii="Times New Roman" w:hAnsi="Times New Roman"/>
                <w:spacing w:val="0"/>
                <w:lang w:val="en-ZA" w:eastAsia="en-ZA"/>
              </w:rPr>
              <w:t>1</w:t>
            </w:r>
          </w:p>
        </w:tc>
        <w:tc>
          <w:tcPr>
            <w:tcW w:w="1747" w:type="pct"/>
            <w:tcBorders>
              <w:top w:val="nil"/>
              <w:left w:val="single" w:sz="8" w:space="0" w:color="auto"/>
              <w:bottom w:val="single" w:sz="8" w:space="0" w:color="auto"/>
              <w:right w:val="single" w:sz="8" w:space="0" w:color="auto"/>
            </w:tcBorders>
            <w:shd w:val="clear" w:color="auto" w:fill="auto"/>
            <w:noWrap/>
            <w:vAlign w:val="center"/>
            <w:hideMark/>
          </w:tcPr>
          <w:p w14:paraId="3F90FC7C" w14:textId="77777777" w:rsidR="00B94BA0" w:rsidRPr="000D5F03" w:rsidRDefault="00B94BA0" w:rsidP="000D5F03">
            <w:pPr>
              <w:suppressAutoHyphens w:val="0"/>
              <w:autoSpaceDN/>
              <w:spacing w:line="360" w:lineRule="auto"/>
              <w:textAlignment w:val="auto"/>
              <w:rPr>
                <w:rFonts w:ascii="Times New Roman" w:hAnsi="Times New Roman"/>
                <w:spacing w:val="0"/>
                <w:lang w:val="en-ZA" w:eastAsia="en-ZA"/>
              </w:rPr>
            </w:pPr>
            <w:r w:rsidRPr="000D5F03">
              <w:rPr>
                <w:rFonts w:ascii="Times New Roman" w:hAnsi="Times New Roman"/>
              </w:rPr>
              <w:t>Administration</w:t>
            </w:r>
          </w:p>
        </w:tc>
        <w:tc>
          <w:tcPr>
            <w:tcW w:w="734" w:type="pct"/>
            <w:tcBorders>
              <w:top w:val="nil"/>
              <w:left w:val="nil"/>
              <w:bottom w:val="single" w:sz="8" w:space="0" w:color="auto"/>
              <w:right w:val="single" w:sz="8" w:space="0" w:color="auto"/>
            </w:tcBorders>
            <w:shd w:val="clear" w:color="auto" w:fill="auto"/>
            <w:vAlign w:val="center"/>
            <w:hideMark/>
          </w:tcPr>
          <w:p w14:paraId="3832F425" w14:textId="77777777" w:rsidR="00B94BA0" w:rsidRPr="000D5F03" w:rsidRDefault="00C7051F"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27</w:t>
            </w:r>
            <w:r w:rsidR="00B94BA0" w:rsidRPr="000D5F03">
              <w:rPr>
                <w:rFonts w:ascii="Times New Roman" w:hAnsi="Times New Roman"/>
              </w:rPr>
              <w:t xml:space="preserve"> (100%)</w:t>
            </w:r>
          </w:p>
        </w:tc>
        <w:tc>
          <w:tcPr>
            <w:tcW w:w="711" w:type="pct"/>
            <w:tcBorders>
              <w:top w:val="nil"/>
              <w:left w:val="nil"/>
              <w:bottom w:val="single" w:sz="8" w:space="0" w:color="auto"/>
              <w:right w:val="single" w:sz="8" w:space="0" w:color="auto"/>
            </w:tcBorders>
            <w:shd w:val="clear" w:color="auto" w:fill="auto"/>
            <w:vAlign w:val="center"/>
            <w:hideMark/>
          </w:tcPr>
          <w:p w14:paraId="15CCF3C7" w14:textId="77777777" w:rsidR="00B94BA0" w:rsidRPr="000D5F03" w:rsidRDefault="00C7051F"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24</w:t>
            </w:r>
            <w:r w:rsidR="00B94BA0" w:rsidRPr="000D5F03">
              <w:rPr>
                <w:rFonts w:ascii="Times New Roman" w:hAnsi="Times New Roman"/>
              </w:rPr>
              <w:t xml:space="preserve"> (9</w:t>
            </w:r>
            <w:r w:rsidRPr="000D5F03">
              <w:rPr>
                <w:rFonts w:ascii="Times New Roman" w:hAnsi="Times New Roman"/>
              </w:rPr>
              <w:t>1</w:t>
            </w:r>
            <w:r w:rsidR="00B94BA0" w:rsidRPr="000D5F03">
              <w:rPr>
                <w:rFonts w:ascii="Times New Roman" w:hAnsi="Times New Roman"/>
              </w:rPr>
              <w:t>%)</w:t>
            </w:r>
          </w:p>
        </w:tc>
        <w:tc>
          <w:tcPr>
            <w:tcW w:w="641" w:type="pct"/>
            <w:tcBorders>
              <w:top w:val="nil"/>
              <w:left w:val="nil"/>
              <w:bottom w:val="single" w:sz="8" w:space="0" w:color="auto"/>
              <w:right w:val="single" w:sz="8" w:space="0" w:color="auto"/>
            </w:tcBorders>
            <w:shd w:val="clear" w:color="auto" w:fill="auto"/>
            <w:vAlign w:val="center"/>
            <w:hideMark/>
          </w:tcPr>
          <w:p w14:paraId="72B0E5F1" w14:textId="77777777" w:rsidR="00B94BA0" w:rsidRPr="000D5F03" w:rsidRDefault="00C7051F"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3</w:t>
            </w:r>
            <w:r w:rsidR="00B94BA0" w:rsidRPr="000D5F03">
              <w:rPr>
                <w:rFonts w:ascii="Times New Roman" w:hAnsi="Times New Roman"/>
              </w:rPr>
              <w:t xml:space="preserve"> (</w:t>
            </w:r>
            <w:r w:rsidRPr="000D5F03">
              <w:rPr>
                <w:rFonts w:ascii="Times New Roman" w:hAnsi="Times New Roman"/>
              </w:rPr>
              <w:t>8</w:t>
            </w:r>
            <w:r w:rsidR="00B94BA0" w:rsidRPr="000D5F03">
              <w:rPr>
                <w:rFonts w:ascii="Times New Roman" w:hAnsi="Times New Roman"/>
              </w:rPr>
              <w:t>%)</w:t>
            </w:r>
          </w:p>
        </w:tc>
        <w:tc>
          <w:tcPr>
            <w:tcW w:w="350" w:type="pct"/>
            <w:tcBorders>
              <w:top w:val="nil"/>
              <w:left w:val="nil"/>
              <w:bottom w:val="nil"/>
              <w:right w:val="nil"/>
            </w:tcBorders>
            <w:shd w:val="clear" w:color="auto" w:fill="auto"/>
            <w:vAlign w:val="bottom"/>
          </w:tcPr>
          <w:p w14:paraId="077247CA" w14:textId="77777777" w:rsidR="00B94BA0" w:rsidRPr="000D5F03" w:rsidRDefault="00B94BA0" w:rsidP="000D5F03">
            <w:pPr>
              <w:suppressAutoHyphens w:val="0"/>
              <w:autoSpaceDN/>
              <w:spacing w:line="360" w:lineRule="auto"/>
              <w:jc w:val="both"/>
              <w:textAlignment w:val="auto"/>
              <w:rPr>
                <w:rFonts w:ascii="Times New Roman" w:hAnsi="Times New Roman"/>
              </w:rPr>
            </w:pPr>
            <w:r w:rsidRPr="000D5F03">
              <w:rPr>
                <w:rFonts w:ascii="Times New Roman" w:hAnsi="Times New Roman"/>
              </w:rPr>
              <w:t> </w:t>
            </w:r>
          </w:p>
        </w:tc>
        <w:tc>
          <w:tcPr>
            <w:tcW w:w="652" w:type="pct"/>
            <w:tcBorders>
              <w:top w:val="nil"/>
              <w:left w:val="single" w:sz="4" w:space="0" w:color="auto"/>
              <w:bottom w:val="single" w:sz="4" w:space="0" w:color="auto"/>
              <w:right w:val="single" w:sz="4" w:space="0" w:color="auto"/>
            </w:tcBorders>
            <w:shd w:val="clear" w:color="auto" w:fill="auto"/>
            <w:vAlign w:val="center"/>
            <w:hideMark/>
          </w:tcPr>
          <w:p w14:paraId="4638BFF6" w14:textId="77777777" w:rsidR="00B94BA0" w:rsidRPr="000D5F03" w:rsidRDefault="00E22426" w:rsidP="000D5F03">
            <w:pPr>
              <w:suppressAutoHyphens w:val="0"/>
              <w:autoSpaceDN/>
              <w:spacing w:line="360" w:lineRule="auto"/>
              <w:jc w:val="center"/>
              <w:textAlignment w:val="auto"/>
              <w:rPr>
                <w:rFonts w:ascii="Times New Roman" w:hAnsi="Times New Roman"/>
              </w:rPr>
            </w:pPr>
            <w:r w:rsidRPr="000D5F03">
              <w:rPr>
                <w:rFonts w:ascii="Times New Roman" w:hAnsi="Times New Roman"/>
              </w:rPr>
              <w:t>86</w:t>
            </w:r>
            <w:r w:rsidR="00B94BA0" w:rsidRPr="000D5F03">
              <w:rPr>
                <w:rFonts w:ascii="Times New Roman" w:hAnsi="Times New Roman"/>
              </w:rPr>
              <w:t>%</w:t>
            </w:r>
          </w:p>
        </w:tc>
      </w:tr>
      <w:tr w:rsidR="00B94BA0" w:rsidRPr="000D5F03" w14:paraId="3587AEC8" w14:textId="77777777" w:rsidTr="00B94BA0">
        <w:trPr>
          <w:trHeight w:val="345"/>
        </w:trPr>
        <w:tc>
          <w:tcPr>
            <w:tcW w:w="164" w:type="pct"/>
            <w:tcBorders>
              <w:top w:val="nil"/>
              <w:left w:val="nil"/>
              <w:bottom w:val="nil"/>
              <w:right w:val="nil"/>
            </w:tcBorders>
            <w:shd w:val="clear" w:color="auto" w:fill="auto"/>
            <w:noWrap/>
            <w:vAlign w:val="center"/>
            <w:hideMark/>
          </w:tcPr>
          <w:p w14:paraId="67D63E4B" w14:textId="77777777" w:rsidR="00B94BA0" w:rsidRPr="000D5F03" w:rsidRDefault="00B94BA0" w:rsidP="000D5F03">
            <w:pPr>
              <w:suppressAutoHyphens w:val="0"/>
              <w:autoSpaceDN/>
              <w:spacing w:line="360" w:lineRule="auto"/>
              <w:textAlignment w:val="auto"/>
              <w:rPr>
                <w:rFonts w:ascii="Times New Roman" w:hAnsi="Times New Roman"/>
                <w:spacing w:val="0"/>
                <w:lang w:val="en-ZA" w:eastAsia="en-ZA"/>
              </w:rPr>
            </w:pPr>
            <w:r w:rsidRPr="000D5F03">
              <w:rPr>
                <w:rFonts w:ascii="Times New Roman" w:hAnsi="Times New Roman"/>
                <w:spacing w:val="0"/>
                <w:lang w:val="en-ZA" w:eastAsia="en-ZA"/>
              </w:rPr>
              <w:t>2</w:t>
            </w:r>
          </w:p>
        </w:tc>
        <w:tc>
          <w:tcPr>
            <w:tcW w:w="1747" w:type="pct"/>
            <w:tcBorders>
              <w:top w:val="nil"/>
              <w:left w:val="single" w:sz="8" w:space="0" w:color="auto"/>
              <w:bottom w:val="single" w:sz="8" w:space="0" w:color="auto"/>
              <w:right w:val="single" w:sz="8" w:space="0" w:color="auto"/>
            </w:tcBorders>
            <w:shd w:val="clear" w:color="auto" w:fill="auto"/>
            <w:noWrap/>
            <w:vAlign w:val="center"/>
            <w:hideMark/>
          </w:tcPr>
          <w:p w14:paraId="2120A45B" w14:textId="77777777" w:rsidR="00B94BA0" w:rsidRPr="000D5F03" w:rsidRDefault="00B94BA0" w:rsidP="000D5F03">
            <w:pPr>
              <w:suppressAutoHyphens w:val="0"/>
              <w:autoSpaceDN/>
              <w:spacing w:line="360" w:lineRule="auto"/>
              <w:textAlignment w:val="auto"/>
              <w:rPr>
                <w:rFonts w:ascii="Times New Roman" w:hAnsi="Times New Roman"/>
                <w:spacing w:val="0"/>
                <w:lang w:val="en-ZA" w:eastAsia="en-ZA"/>
              </w:rPr>
            </w:pPr>
            <w:r w:rsidRPr="000D5F03">
              <w:rPr>
                <w:rFonts w:ascii="Times New Roman" w:hAnsi="Times New Roman"/>
              </w:rPr>
              <w:t>Promotion of Mine Safety and Health</w:t>
            </w:r>
          </w:p>
        </w:tc>
        <w:tc>
          <w:tcPr>
            <w:tcW w:w="734" w:type="pct"/>
            <w:tcBorders>
              <w:top w:val="nil"/>
              <w:left w:val="nil"/>
              <w:bottom w:val="single" w:sz="8" w:space="0" w:color="auto"/>
              <w:right w:val="single" w:sz="8" w:space="0" w:color="auto"/>
            </w:tcBorders>
            <w:shd w:val="clear" w:color="auto" w:fill="auto"/>
            <w:vAlign w:val="center"/>
            <w:hideMark/>
          </w:tcPr>
          <w:p w14:paraId="7C4DFA1E" w14:textId="77777777" w:rsidR="00B94BA0" w:rsidRPr="000D5F03" w:rsidRDefault="00B94BA0"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2</w:t>
            </w:r>
            <w:r w:rsidR="00F75729" w:rsidRPr="000D5F03">
              <w:rPr>
                <w:rFonts w:ascii="Times New Roman" w:hAnsi="Times New Roman"/>
              </w:rPr>
              <w:t>1</w:t>
            </w:r>
            <w:r w:rsidRPr="000D5F03">
              <w:rPr>
                <w:rFonts w:ascii="Times New Roman" w:hAnsi="Times New Roman"/>
              </w:rPr>
              <w:t xml:space="preserve"> (100%)</w:t>
            </w:r>
          </w:p>
        </w:tc>
        <w:tc>
          <w:tcPr>
            <w:tcW w:w="711" w:type="pct"/>
            <w:tcBorders>
              <w:top w:val="nil"/>
              <w:left w:val="nil"/>
              <w:bottom w:val="single" w:sz="8" w:space="0" w:color="auto"/>
              <w:right w:val="single" w:sz="8" w:space="0" w:color="auto"/>
            </w:tcBorders>
            <w:shd w:val="clear" w:color="auto" w:fill="auto"/>
            <w:vAlign w:val="center"/>
            <w:hideMark/>
          </w:tcPr>
          <w:p w14:paraId="5681408A" w14:textId="77777777" w:rsidR="00B94BA0" w:rsidRPr="000D5F03" w:rsidRDefault="00B94BA0"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1</w:t>
            </w:r>
            <w:r w:rsidR="00F75729" w:rsidRPr="000D5F03">
              <w:rPr>
                <w:rFonts w:ascii="Times New Roman" w:hAnsi="Times New Roman"/>
              </w:rPr>
              <w:t>8</w:t>
            </w:r>
            <w:r w:rsidRPr="000D5F03">
              <w:rPr>
                <w:rFonts w:ascii="Times New Roman" w:hAnsi="Times New Roman"/>
              </w:rPr>
              <w:t xml:space="preserve"> (</w:t>
            </w:r>
            <w:r w:rsidR="00F75729" w:rsidRPr="000D5F03">
              <w:rPr>
                <w:rFonts w:ascii="Times New Roman" w:hAnsi="Times New Roman"/>
              </w:rPr>
              <w:t>85</w:t>
            </w:r>
            <w:r w:rsidRPr="000D5F03">
              <w:rPr>
                <w:rFonts w:ascii="Times New Roman" w:hAnsi="Times New Roman"/>
              </w:rPr>
              <w:t>%)</w:t>
            </w:r>
          </w:p>
        </w:tc>
        <w:tc>
          <w:tcPr>
            <w:tcW w:w="641" w:type="pct"/>
            <w:tcBorders>
              <w:top w:val="nil"/>
              <w:left w:val="nil"/>
              <w:bottom w:val="single" w:sz="8" w:space="0" w:color="auto"/>
              <w:right w:val="single" w:sz="8" w:space="0" w:color="auto"/>
            </w:tcBorders>
            <w:shd w:val="clear" w:color="auto" w:fill="auto"/>
            <w:vAlign w:val="center"/>
            <w:hideMark/>
          </w:tcPr>
          <w:p w14:paraId="3795E0D9" w14:textId="77777777" w:rsidR="00B94BA0" w:rsidRPr="000D5F03" w:rsidRDefault="00F75729"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3</w:t>
            </w:r>
            <w:r w:rsidR="00B94BA0" w:rsidRPr="000D5F03">
              <w:rPr>
                <w:rFonts w:ascii="Times New Roman" w:hAnsi="Times New Roman"/>
              </w:rPr>
              <w:t xml:space="preserve"> (</w:t>
            </w:r>
            <w:r w:rsidRPr="000D5F03">
              <w:rPr>
                <w:rFonts w:ascii="Times New Roman" w:hAnsi="Times New Roman"/>
              </w:rPr>
              <w:t>15</w:t>
            </w:r>
            <w:r w:rsidR="00B94BA0" w:rsidRPr="000D5F03">
              <w:rPr>
                <w:rFonts w:ascii="Times New Roman" w:hAnsi="Times New Roman"/>
              </w:rPr>
              <w:t>%)</w:t>
            </w:r>
          </w:p>
        </w:tc>
        <w:tc>
          <w:tcPr>
            <w:tcW w:w="350" w:type="pct"/>
            <w:tcBorders>
              <w:top w:val="nil"/>
              <w:left w:val="nil"/>
              <w:bottom w:val="nil"/>
              <w:right w:val="nil"/>
            </w:tcBorders>
            <w:shd w:val="clear" w:color="auto" w:fill="auto"/>
            <w:vAlign w:val="bottom"/>
          </w:tcPr>
          <w:p w14:paraId="0BDFC232" w14:textId="77777777" w:rsidR="00B94BA0" w:rsidRPr="000D5F03" w:rsidRDefault="00B94BA0" w:rsidP="000D5F03">
            <w:pPr>
              <w:suppressAutoHyphens w:val="0"/>
              <w:autoSpaceDN/>
              <w:spacing w:line="360" w:lineRule="auto"/>
              <w:jc w:val="both"/>
              <w:textAlignment w:val="auto"/>
              <w:rPr>
                <w:rFonts w:ascii="Times New Roman" w:hAnsi="Times New Roman"/>
              </w:rPr>
            </w:pPr>
            <w:r w:rsidRPr="000D5F03">
              <w:rPr>
                <w:rFonts w:ascii="Times New Roman" w:hAnsi="Times New Roman"/>
              </w:rPr>
              <w:t> </w:t>
            </w:r>
          </w:p>
        </w:tc>
        <w:tc>
          <w:tcPr>
            <w:tcW w:w="652" w:type="pct"/>
            <w:tcBorders>
              <w:top w:val="nil"/>
              <w:left w:val="single" w:sz="4" w:space="0" w:color="auto"/>
              <w:bottom w:val="single" w:sz="4" w:space="0" w:color="auto"/>
              <w:right w:val="single" w:sz="4" w:space="0" w:color="auto"/>
            </w:tcBorders>
            <w:shd w:val="clear" w:color="auto" w:fill="auto"/>
            <w:vAlign w:val="center"/>
            <w:hideMark/>
          </w:tcPr>
          <w:p w14:paraId="2229B814" w14:textId="77777777" w:rsidR="00B94BA0" w:rsidRPr="000D5F03" w:rsidRDefault="00E22426" w:rsidP="000D5F03">
            <w:pPr>
              <w:suppressAutoHyphens w:val="0"/>
              <w:autoSpaceDN/>
              <w:spacing w:line="360" w:lineRule="auto"/>
              <w:jc w:val="center"/>
              <w:textAlignment w:val="auto"/>
              <w:rPr>
                <w:rFonts w:ascii="Times New Roman" w:hAnsi="Times New Roman"/>
              </w:rPr>
            </w:pPr>
            <w:r w:rsidRPr="000D5F03">
              <w:rPr>
                <w:rFonts w:ascii="Times New Roman" w:hAnsi="Times New Roman"/>
              </w:rPr>
              <w:t>9</w:t>
            </w:r>
            <w:r w:rsidR="00B94BA0" w:rsidRPr="000D5F03">
              <w:rPr>
                <w:rFonts w:ascii="Times New Roman" w:hAnsi="Times New Roman"/>
              </w:rPr>
              <w:t>0%</w:t>
            </w:r>
          </w:p>
        </w:tc>
      </w:tr>
      <w:tr w:rsidR="00B94BA0" w:rsidRPr="000D5F03" w14:paraId="79F31AAB" w14:textId="77777777" w:rsidTr="00B94BA0">
        <w:trPr>
          <w:trHeight w:val="345"/>
        </w:trPr>
        <w:tc>
          <w:tcPr>
            <w:tcW w:w="164" w:type="pct"/>
            <w:tcBorders>
              <w:top w:val="nil"/>
              <w:left w:val="nil"/>
              <w:bottom w:val="nil"/>
              <w:right w:val="nil"/>
            </w:tcBorders>
            <w:shd w:val="clear" w:color="auto" w:fill="auto"/>
            <w:noWrap/>
            <w:vAlign w:val="center"/>
            <w:hideMark/>
          </w:tcPr>
          <w:p w14:paraId="31490E7E" w14:textId="77777777" w:rsidR="00B94BA0" w:rsidRPr="000D5F03" w:rsidRDefault="00B94BA0" w:rsidP="000D5F03">
            <w:pPr>
              <w:suppressAutoHyphens w:val="0"/>
              <w:autoSpaceDN/>
              <w:spacing w:line="360" w:lineRule="auto"/>
              <w:textAlignment w:val="auto"/>
              <w:rPr>
                <w:rFonts w:ascii="Times New Roman" w:hAnsi="Times New Roman"/>
                <w:spacing w:val="0"/>
                <w:lang w:val="en-ZA" w:eastAsia="en-ZA"/>
              </w:rPr>
            </w:pPr>
            <w:r w:rsidRPr="000D5F03">
              <w:rPr>
                <w:rFonts w:ascii="Times New Roman" w:hAnsi="Times New Roman"/>
                <w:spacing w:val="0"/>
                <w:lang w:val="en-ZA" w:eastAsia="en-ZA"/>
              </w:rPr>
              <w:t>3</w:t>
            </w:r>
          </w:p>
        </w:tc>
        <w:tc>
          <w:tcPr>
            <w:tcW w:w="1747" w:type="pct"/>
            <w:tcBorders>
              <w:top w:val="nil"/>
              <w:left w:val="single" w:sz="8" w:space="0" w:color="auto"/>
              <w:bottom w:val="single" w:sz="8" w:space="0" w:color="auto"/>
              <w:right w:val="single" w:sz="8" w:space="0" w:color="auto"/>
            </w:tcBorders>
            <w:shd w:val="clear" w:color="auto" w:fill="auto"/>
            <w:noWrap/>
            <w:vAlign w:val="center"/>
            <w:hideMark/>
          </w:tcPr>
          <w:p w14:paraId="5ABDB776" w14:textId="77777777" w:rsidR="00B94BA0" w:rsidRPr="000D5F03" w:rsidRDefault="00B94BA0" w:rsidP="000D5F03">
            <w:pPr>
              <w:suppressAutoHyphens w:val="0"/>
              <w:autoSpaceDN/>
              <w:spacing w:line="360" w:lineRule="auto"/>
              <w:textAlignment w:val="auto"/>
              <w:rPr>
                <w:rFonts w:ascii="Times New Roman" w:hAnsi="Times New Roman"/>
                <w:spacing w:val="0"/>
                <w:lang w:val="en-ZA" w:eastAsia="en-ZA"/>
              </w:rPr>
            </w:pPr>
            <w:r w:rsidRPr="000D5F03">
              <w:rPr>
                <w:rFonts w:ascii="Times New Roman" w:hAnsi="Times New Roman"/>
              </w:rPr>
              <w:t>Mineral Regulation</w:t>
            </w:r>
          </w:p>
        </w:tc>
        <w:tc>
          <w:tcPr>
            <w:tcW w:w="734" w:type="pct"/>
            <w:tcBorders>
              <w:top w:val="nil"/>
              <w:left w:val="nil"/>
              <w:bottom w:val="single" w:sz="8" w:space="0" w:color="auto"/>
              <w:right w:val="single" w:sz="8" w:space="0" w:color="auto"/>
            </w:tcBorders>
            <w:shd w:val="clear" w:color="auto" w:fill="auto"/>
            <w:vAlign w:val="center"/>
            <w:hideMark/>
          </w:tcPr>
          <w:p w14:paraId="3B3412D8" w14:textId="77777777" w:rsidR="00B94BA0" w:rsidRPr="000D5F03" w:rsidRDefault="00B94BA0"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2</w:t>
            </w:r>
            <w:r w:rsidR="00F75729" w:rsidRPr="000D5F03">
              <w:rPr>
                <w:rFonts w:ascii="Times New Roman" w:hAnsi="Times New Roman"/>
              </w:rPr>
              <w:t>7</w:t>
            </w:r>
            <w:r w:rsidRPr="000D5F03">
              <w:rPr>
                <w:rFonts w:ascii="Times New Roman" w:hAnsi="Times New Roman"/>
              </w:rPr>
              <w:t xml:space="preserve"> (100%)</w:t>
            </w:r>
          </w:p>
        </w:tc>
        <w:tc>
          <w:tcPr>
            <w:tcW w:w="711" w:type="pct"/>
            <w:tcBorders>
              <w:top w:val="nil"/>
              <w:left w:val="nil"/>
              <w:bottom w:val="single" w:sz="8" w:space="0" w:color="auto"/>
              <w:right w:val="single" w:sz="8" w:space="0" w:color="auto"/>
            </w:tcBorders>
            <w:shd w:val="clear" w:color="auto" w:fill="auto"/>
            <w:vAlign w:val="center"/>
            <w:hideMark/>
          </w:tcPr>
          <w:p w14:paraId="57C3AE4D" w14:textId="7E382201" w:rsidR="00B94BA0" w:rsidRPr="000D5F03" w:rsidRDefault="00B94BA0"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1</w:t>
            </w:r>
            <w:r w:rsidR="00F75729" w:rsidRPr="000D5F03">
              <w:rPr>
                <w:rFonts w:ascii="Times New Roman" w:hAnsi="Times New Roman"/>
              </w:rPr>
              <w:t>9</w:t>
            </w:r>
            <w:r w:rsidRPr="000D5F03">
              <w:rPr>
                <w:rFonts w:ascii="Times New Roman" w:hAnsi="Times New Roman"/>
              </w:rPr>
              <w:t xml:space="preserve"> (</w:t>
            </w:r>
            <w:r w:rsidR="00865832">
              <w:rPr>
                <w:rFonts w:ascii="Times New Roman" w:hAnsi="Times New Roman"/>
              </w:rPr>
              <w:t>70</w:t>
            </w:r>
            <w:r w:rsidRPr="000D5F03">
              <w:rPr>
                <w:rFonts w:ascii="Times New Roman" w:hAnsi="Times New Roman"/>
              </w:rPr>
              <w:t>%)</w:t>
            </w:r>
          </w:p>
        </w:tc>
        <w:tc>
          <w:tcPr>
            <w:tcW w:w="641" w:type="pct"/>
            <w:tcBorders>
              <w:top w:val="nil"/>
              <w:left w:val="nil"/>
              <w:bottom w:val="single" w:sz="8" w:space="0" w:color="auto"/>
              <w:right w:val="single" w:sz="8" w:space="0" w:color="auto"/>
            </w:tcBorders>
            <w:shd w:val="clear" w:color="auto" w:fill="auto"/>
            <w:vAlign w:val="center"/>
            <w:hideMark/>
          </w:tcPr>
          <w:p w14:paraId="0902A4E8" w14:textId="2800558D" w:rsidR="00B94BA0" w:rsidRPr="000D5F03" w:rsidRDefault="00FF269D"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8</w:t>
            </w:r>
            <w:r w:rsidR="00B94BA0" w:rsidRPr="000D5F03">
              <w:rPr>
                <w:rFonts w:ascii="Times New Roman" w:hAnsi="Times New Roman"/>
              </w:rPr>
              <w:t xml:space="preserve"> (</w:t>
            </w:r>
            <w:r w:rsidR="00865832">
              <w:rPr>
                <w:rFonts w:ascii="Times New Roman" w:hAnsi="Times New Roman"/>
              </w:rPr>
              <w:t>30</w:t>
            </w:r>
            <w:r w:rsidR="00B94BA0" w:rsidRPr="000D5F03">
              <w:rPr>
                <w:rFonts w:ascii="Times New Roman" w:hAnsi="Times New Roman"/>
              </w:rPr>
              <w:t>%)</w:t>
            </w:r>
          </w:p>
        </w:tc>
        <w:tc>
          <w:tcPr>
            <w:tcW w:w="350" w:type="pct"/>
            <w:tcBorders>
              <w:top w:val="nil"/>
              <w:left w:val="nil"/>
              <w:bottom w:val="nil"/>
              <w:right w:val="nil"/>
            </w:tcBorders>
            <w:shd w:val="clear" w:color="auto" w:fill="auto"/>
            <w:vAlign w:val="bottom"/>
          </w:tcPr>
          <w:p w14:paraId="457CFF18" w14:textId="77777777" w:rsidR="00B94BA0" w:rsidRPr="000D5F03" w:rsidRDefault="00B94BA0" w:rsidP="000D5F03">
            <w:pPr>
              <w:suppressAutoHyphens w:val="0"/>
              <w:autoSpaceDN/>
              <w:spacing w:line="360" w:lineRule="auto"/>
              <w:jc w:val="both"/>
              <w:textAlignment w:val="auto"/>
              <w:rPr>
                <w:rFonts w:ascii="Times New Roman" w:hAnsi="Times New Roman"/>
              </w:rPr>
            </w:pPr>
            <w:r w:rsidRPr="000D5F03">
              <w:rPr>
                <w:rFonts w:ascii="Times New Roman" w:hAnsi="Times New Roman"/>
              </w:rPr>
              <w:t> </w:t>
            </w:r>
          </w:p>
        </w:tc>
        <w:tc>
          <w:tcPr>
            <w:tcW w:w="652" w:type="pct"/>
            <w:tcBorders>
              <w:top w:val="nil"/>
              <w:left w:val="single" w:sz="4" w:space="0" w:color="auto"/>
              <w:bottom w:val="single" w:sz="4" w:space="0" w:color="auto"/>
              <w:right w:val="single" w:sz="4" w:space="0" w:color="auto"/>
            </w:tcBorders>
            <w:shd w:val="clear" w:color="auto" w:fill="auto"/>
            <w:vAlign w:val="center"/>
            <w:hideMark/>
          </w:tcPr>
          <w:p w14:paraId="67531901" w14:textId="77777777" w:rsidR="00B94BA0" w:rsidRPr="000D5F03" w:rsidRDefault="00E22426" w:rsidP="000D5F03">
            <w:pPr>
              <w:suppressAutoHyphens w:val="0"/>
              <w:autoSpaceDN/>
              <w:spacing w:line="360" w:lineRule="auto"/>
              <w:jc w:val="center"/>
              <w:textAlignment w:val="auto"/>
              <w:rPr>
                <w:rFonts w:ascii="Times New Roman" w:hAnsi="Times New Roman"/>
              </w:rPr>
            </w:pPr>
            <w:r w:rsidRPr="000D5F03">
              <w:rPr>
                <w:rFonts w:ascii="Times New Roman" w:hAnsi="Times New Roman"/>
              </w:rPr>
              <w:t>59</w:t>
            </w:r>
            <w:r w:rsidR="00B94BA0" w:rsidRPr="000D5F03">
              <w:rPr>
                <w:rFonts w:ascii="Times New Roman" w:hAnsi="Times New Roman"/>
              </w:rPr>
              <w:t>%</w:t>
            </w:r>
          </w:p>
        </w:tc>
      </w:tr>
      <w:tr w:rsidR="00B94BA0" w:rsidRPr="000D5F03" w14:paraId="0FBD6E9A" w14:textId="77777777" w:rsidTr="00B94BA0">
        <w:trPr>
          <w:trHeight w:val="345"/>
        </w:trPr>
        <w:tc>
          <w:tcPr>
            <w:tcW w:w="164" w:type="pct"/>
            <w:tcBorders>
              <w:top w:val="nil"/>
              <w:left w:val="nil"/>
              <w:bottom w:val="nil"/>
              <w:right w:val="nil"/>
            </w:tcBorders>
            <w:shd w:val="clear" w:color="auto" w:fill="auto"/>
            <w:noWrap/>
            <w:vAlign w:val="center"/>
            <w:hideMark/>
          </w:tcPr>
          <w:p w14:paraId="7E53141E" w14:textId="77777777" w:rsidR="00B94BA0" w:rsidRPr="000D5F03" w:rsidRDefault="00B94BA0" w:rsidP="000D5F03">
            <w:pPr>
              <w:suppressAutoHyphens w:val="0"/>
              <w:autoSpaceDN/>
              <w:spacing w:line="360" w:lineRule="auto"/>
              <w:textAlignment w:val="auto"/>
              <w:rPr>
                <w:rFonts w:ascii="Times New Roman" w:hAnsi="Times New Roman"/>
                <w:spacing w:val="0"/>
                <w:lang w:val="en-ZA" w:eastAsia="en-ZA"/>
              </w:rPr>
            </w:pPr>
            <w:r w:rsidRPr="000D5F03">
              <w:rPr>
                <w:rFonts w:ascii="Times New Roman" w:hAnsi="Times New Roman"/>
                <w:spacing w:val="0"/>
                <w:lang w:val="en-ZA" w:eastAsia="en-ZA"/>
              </w:rPr>
              <w:t>4</w:t>
            </w:r>
          </w:p>
        </w:tc>
        <w:tc>
          <w:tcPr>
            <w:tcW w:w="1747" w:type="pct"/>
            <w:tcBorders>
              <w:top w:val="nil"/>
              <w:left w:val="single" w:sz="8" w:space="0" w:color="auto"/>
              <w:bottom w:val="single" w:sz="8" w:space="0" w:color="auto"/>
              <w:right w:val="single" w:sz="8" w:space="0" w:color="auto"/>
            </w:tcBorders>
            <w:shd w:val="clear" w:color="auto" w:fill="auto"/>
            <w:noWrap/>
            <w:vAlign w:val="center"/>
            <w:hideMark/>
          </w:tcPr>
          <w:p w14:paraId="5437C8CB" w14:textId="77777777" w:rsidR="00B94BA0" w:rsidRPr="000D5F03" w:rsidRDefault="00B94BA0" w:rsidP="000D5F03">
            <w:pPr>
              <w:suppressAutoHyphens w:val="0"/>
              <w:autoSpaceDN/>
              <w:spacing w:line="360" w:lineRule="auto"/>
              <w:textAlignment w:val="auto"/>
              <w:rPr>
                <w:rFonts w:ascii="Times New Roman" w:hAnsi="Times New Roman"/>
                <w:spacing w:val="0"/>
                <w:lang w:val="en-ZA" w:eastAsia="en-ZA"/>
              </w:rPr>
            </w:pPr>
            <w:r w:rsidRPr="000D5F03">
              <w:rPr>
                <w:rFonts w:ascii="Times New Roman" w:hAnsi="Times New Roman"/>
              </w:rPr>
              <w:t>Mineral Policy and Promotion</w:t>
            </w:r>
          </w:p>
        </w:tc>
        <w:tc>
          <w:tcPr>
            <w:tcW w:w="734" w:type="pct"/>
            <w:tcBorders>
              <w:top w:val="nil"/>
              <w:left w:val="nil"/>
              <w:bottom w:val="single" w:sz="8" w:space="0" w:color="auto"/>
              <w:right w:val="single" w:sz="8" w:space="0" w:color="auto"/>
            </w:tcBorders>
            <w:shd w:val="clear" w:color="auto" w:fill="auto"/>
            <w:vAlign w:val="center"/>
            <w:hideMark/>
          </w:tcPr>
          <w:p w14:paraId="7B1F045C" w14:textId="77777777" w:rsidR="00B94BA0" w:rsidRPr="000D5F03" w:rsidRDefault="00174619"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23</w:t>
            </w:r>
            <w:r w:rsidR="00B94BA0" w:rsidRPr="000D5F03">
              <w:rPr>
                <w:rFonts w:ascii="Times New Roman" w:hAnsi="Times New Roman"/>
              </w:rPr>
              <w:t xml:space="preserve"> (100%)</w:t>
            </w:r>
          </w:p>
        </w:tc>
        <w:tc>
          <w:tcPr>
            <w:tcW w:w="711" w:type="pct"/>
            <w:tcBorders>
              <w:top w:val="nil"/>
              <w:left w:val="nil"/>
              <w:bottom w:val="single" w:sz="8" w:space="0" w:color="auto"/>
              <w:right w:val="single" w:sz="8" w:space="0" w:color="auto"/>
            </w:tcBorders>
            <w:shd w:val="clear" w:color="auto" w:fill="auto"/>
            <w:vAlign w:val="center"/>
            <w:hideMark/>
          </w:tcPr>
          <w:p w14:paraId="6FF73DD9" w14:textId="77777777" w:rsidR="00B94BA0" w:rsidRPr="000D5F03" w:rsidRDefault="00174619"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20</w:t>
            </w:r>
            <w:r w:rsidR="00B94BA0" w:rsidRPr="000D5F03">
              <w:rPr>
                <w:rFonts w:ascii="Times New Roman" w:hAnsi="Times New Roman"/>
              </w:rPr>
              <w:t xml:space="preserve"> (8</w:t>
            </w:r>
            <w:r w:rsidRPr="000D5F03">
              <w:rPr>
                <w:rFonts w:ascii="Times New Roman" w:hAnsi="Times New Roman"/>
              </w:rPr>
              <w:t>6</w:t>
            </w:r>
            <w:r w:rsidR="00B94BA0" w:rsidRPr="000D5F03">
              <w:rPr>
                <w:rFonts w:ascii="Times New Roman" w:hAnsi="Times New Roman"/>
              </w:rPr>
              <w:t>%)</w:t>
            </w:r>
          </w:p>
        </w:tc>
        <w:tc>
          <w:tcPr>
            <w:tcW w:w="641" w:type="pct"/>
            <w:tcBorders>
              <w:top w:val="nil"/>
              <w:left w:val="nil"/>
              <w:bottom w:val="single" w:sz="8" w:space="0" w:color="auto"/>
              <w:right w:val="single" w:sz="8" w:space="0" w:color="auto"/>
            </w:tcBorders>
            <w:shd w:val="clear" w:color="auto" w:fill="auto"/>
            <w:vAlign w:val="center"/>
            <w:hideMark/>
          </w:tcPr>
          <w:p w14:paraId="7B0C948E" w14:textId="77777777" w:rsidR="00B94BA0" w:rsidRPr="000D5F03" w:rsidRDefault="00174619" w:rsidP="000D5F03">
            <w:pPr>
              <w:suppressAutoHyphens w:val="0"/>
              <w:autoSpaceDN/>
              <w:spacing w:line="360" w:lineRule="auto"/>
              <w:jc w:val="right"/>
              <w:textAlignment w:val="auto"/>
              <w:rPr>
                <w:rFonts w:ascii="Times New Roman" w:hAnsi="Times New Roman"/>
              </w:rPr>
            </w:pPr>
            <w:r w:rsidRPr="000D5F03">
              <w:rPr>
                <w:rFonts w:ascii="Times New Roman" w:hAnsi="Times New Roman"/>
              </w:rPr>
              <w:t>3</w:t>
            </w:r>
            <w:r w:rsidR="00B94BA0" w:rsidRPr="000D5F03">
              <w:rPr>
                <w:rFonts w:ascii="Times New Roman" w:hAnsi="Times New Roman"/>
              </w:rPr>
              <w:t xml:space="preserve"> (1</w:t>
            </w:r>
            <w:r w:rsidRPr="000D5F03">
              <w:rPr>
                <w:rFonts w:ascii="Times New Roman" w:hAnsi="Times New Roman"/>
              </w:rPr>
              <w:t>4</w:t>
            </w:r>
            <w:r w:rsidR="00B94BA0" w:rsidRPr="000D5F03">
              <w:rPr>
                <w:rFonts w:ascii="Times New Roman" w:hAnsi="Times New Roman"/>
              </w:rPr>
              <w:t>%)</w:t>
            </w:r>
          </w:p>
        </w:tc>
        <w:tc>
          <w:tcPr>
            <w:tcW w:w="350" w:type="pct"/>
            <w:tcBorders>
              <w:top w:val="nil"/>
              <w:left w:val="nil"/>
              <w:bottom w:val="nil"/>
              <w:right w:val="nil"/>
            </w:tcBorders>
            <w:shd w:val="clear" w:color="auto" w:fill="auto"/>
            <w:vAlign w:val="bottom"/>
          </w:tcPr>
          <w:p w14:paraId="2CAC0CFD" w14:textId="77777777" w:rsidR="00B94BA0" w:rsidRPr="000D5F03" w:rsidRDefault="00B94BA0" w:rsidP="000D5F03">
            <w:pPr>
              <w:suppressAutoHyphens w:val="0"/>
              <w:autoSpaceDN/>
              <w:spacing w:line="360" w:lineRule="auto"/>
              <w:jc w:val="both"/>
              <w:textAlignment w:val="auto"/>
              <w:rPr>
                <w:rFonts w:ascii="Times New Roman" w:hAnsi="Times New Roman"/>
              </w:rPr>
            </w:pPr>
            <w:r w:rsidRPr="000D5F03">
              <w:rPr>
                <w:rFonts w:ascii="Times New Roman" w:hAnsi="Times New Roman"/>
              </w:rPr>
              <w:t> </w:t>
            </w:r>
          </w:p>
        </w:tc>
        <w:tc>
          <w:tcPr>
            <w:tcW w:w="652" w:type="pct"/>
            <w:tcBorders>
              <w:top w:val="nil"/>
              <w:left w:val="single" w:sz="4" w:space="0" w:color="auto"/>
              <w:bottom w:val="single" w:sz="4" w:space="0" w:color="auto"/>
              <w:right w:val="single" w:sz="4" w:space="0" w:color="auto"/>
            </w:tcBorders>
            <w:shd w:val="clear" w:color="auto" w:fill="auto"/>
            <w:vAlign w:val="center"/>
            <w:hideMark/>
          </w:tcPr>
          <w:p w14:paraId="5F7B140F" w14:textId="77777777" w:rsidR="00B94BA0" w:rsidRPr="000D5F03" w:rsidRDefault="00B94BA0" w:rsidP="000D5F03">
            <w:pPr>
              <w:suppressAutoHyphens w:val="0"/>
              <w:autoSpaceDN/>
              <w:spacing w:line="360" w:lineRule="auto"/>
              <w:jc w:val="center"/>
              <w:textAlignment w:val="auto"/>
              <w:rPr>
                <w:rFonts w:ascii="Times New Roman" w:hAnsi="Times New Roman"/>
              </w:rPr>
            </w:pPr>
            <w:r w:rsidRPr="000D5F03">
              <w:rPr>
                <w:rFonts w:ascii="Times New Roman" w:hAnsi="Times New Roman"/>
              </w:rPr>
              <w:t>8</w:t>
            </w:r>
            <w:r w:rsidR="00E22426" w:rsidRPr="000D5F03">
              <w:rPr>
                <w:rFonts w:ascii="Times New Roman" w:hAnsi="Times New Roman"/>
              </w:rPr>
              <w:t>7</w:t>
            </w:r>
            <w:r w:rsidRPr="000D5F03">
              <w:rPr>
                <w:rFonts w:ascii="Times New Roman" w:hAnsi="Times New Roman"/>
              </w:rPr>
              <w:t>%</w:t>
            </w:r>
          </w:p>
        </w:tc>
      </w:tr>
      <w:tr w:rsidR="00B94BA0" w:rsidRPr="000D5F03" w14:paraId="01FEDBAC" w14:textId="77777777" w:rsidTr="00B94BA0">
        <w:trPr>
          <w:trHeight w:val="567"/>
        </w:trPr>
        <w:tc>
          <w:tcPr>
            <w:tcW w:w="164" w:type="pct"/>
            <w:tcBorders>
              <w:top w:val="nil"/>
              <w:left w:val="nil"/>
              <w:right w:val="nil"/>
            </w:tcBorders>
            <w:shd w:val="clear" w:color="auto" w:fill="auto"/>
            <w:noWrap/>
            <w:vAlign w:val="center"/>
            <w:hideMark/>
          </w:tcPr>
          <w:p w14:paraId="7148B3AD" w14:textId="77777777" w:rsidR="00B94BA0" w:rsidRPr="000D5F03" w:rsidRDefault="00B94BA0" w:rsidP="000D5F03">
            <w:pPr>
              <w:suppressAutoHyphens w:val="0"/>
              <w:autoSpaceDN/>
              <w:spacing w:line="360" w:lineRule="auto"/>
              <w:jc w:val="center"/>
              <w:textAlignment w:val="auto"/>
              <w:rPr>
                <w:rFonts w:ascii="Times New Roman" w:hAnsi="Times New Roman"/>
                <w:i/>
                <w:iCs/>
                <w:spacing w:val="0"/>
                <w:lang w:val="en-ZA" w:eastAsia="en-ZA"/>
              </w:rPr>
            </w:pPr>
          </w:p>
        </w:tc>
        <w:tc>
          <w:tcPr>
            <w:tcW w:w="174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21FAB9" w14:textId="77777777" w:rsidR="00B94BA0" w:rsidRPr="000D5F03" w:rsidRDefault="00B94BA0" w:rsidP="000D5F03">
            <w:pPr>
              <w:suppressAutoHyphens w:val="0"/>
              <w:autoSpaceDN/>
              <w:spacing w:line="360" w:lineRule="auto"/>
              <w:textAlignment w:val="auto"/>
              <w:rPr>
                <w:rFonts w:ascii="Times New Roman" w:hAnsi="Times New Roman"/>
                <w:b/>
                <w:bCs/>
                <w:spacing w:val="0"/>
                <w:lang w:val="en-ZA" w:eastAsia="en-ZA"/>
              </w:rPr>
            </w:pPr>
            <w:r w:rsidRPr="000D5F03">
              <w:rPr>
                <w:rFonts w:ascii="Times New Roman" w:hAnsi="Times New Roman"/>
                <w:b/>
                <w:bCs/>
              </w:rPr>
              <w:t>Total all Programmes 2017/17</w:t>
            </w:r>
          </w:p>
        </w:tc>
        <w:tc>
          <w:tcPr>
            <w:tcW w:w="734" w:type="pct"/>
            <w:tcBorders>
              <w:top w:val="single" w:sz="8" w:space="0" w:color="auto"/>
              <w:left w:val="nil"/>
              <w:bottom w:val="single" w:sz="4" w:space="0" w:color="auto"/>
              <w:right w:val="single" w:sz="8" w:space="0" w:color="auto"/>
            </w:tcBorders>
            <w:shd w:val="clear" w:color="auto" w:fill="auto"/>
            <w:vAlign w:val="center"/>
            <w:hideMark/>
          </w:tcPr>
          <w:p w14:paraId="6B9C3CE2" w14:textId="77777777" w:rsidR="00B94BA0" w:rsidRPr="000D5F03" w:rsidRDefault="00C7051F" w:rsidP="000D5F03">
            <w:pPr>
              <w:suppressAutoHyphens w:val="0"/>
              <w:autoSpaceDN/>
              <w:spacing w:line="360" w:lineRule="auto"/>
              <w:jc w:val="center"/>
              <w:textAlignment w:val="auto"/>
              <w:rPr>
                <w:rFonts w:ascii="Times New Roman" w:hAnsi="Times New Roman"/>
                <w:b/>
              </w:rPr>
            </w:pPr>
            <w:r w:rsidRPr="000D5F03">
              <w:rPr>
                <w:rFonts w:ascii="Times New Roman" w:hAnsi="Times New Roman"/>
                <w:b/>
                <w:bCs/>
              </w:rPr>
              <w:t>98</w:t>
            </w:r>
            <w:r w:rsidR="00B94BA0" w:rsidRPr="000D5F03">
              <w:rPr>
                <w:rFonts w:ascii="Times New Roman" w:hAnsi="Times New Roman"/>
                <w:b/>
                <w:bCs/>
              </w:rPr>
              <w:t xml:space="preserve"> (100%)</w:t>
            </w:r>
          </w:p>
        </w:tc>
        <w:tc>
          <w:tcPr>
            <w:tcW w:w="711" w:type="pct"/>
            <w:tcBorders>
              <w:top w:val="single" w:sz="8" w:space="0" w:color="auto"/>
              <w:left w:val="nil"/>
              <w:bottom w:val="single" w:sz="4" w:space="0" w:color="auto"/>
              <w:right w:val="single" w:sz="8" w:space="0" w:color="auto"/>
            </w:tcBorders>
            <w:shd w:val="clear" w:color="auto" w:fill="auto"/>
            <w:vAlign w:val="center"/>
            <w:hideMark/>
          </w:tcPr>
          <w:p w14:paraId="63D89459" w14:textId="77777777" w:rsidR="00B94BA0" w:rsidRPr="000D5F03" w:rsidRDefault="00B94BA0" w:rsidP="000D5F03">
            <w:pPr>
              <w:suppressAutoHyphens w:val="0"/>
              <w:autoSpaceDN/>
              <w:spacing w:line="360" w:lineRule="auto"/>
              <w:jc w:val="center"/>
              <w:textAlignment w:val="auto"/>
              <w:rPr>
                <w:rFonts w:ascii="Times New Roman" w:hAnsi="Times New Roman"/>
                <w:b/>
              </w:rPr>
            </w:pPr>
            <w:r w:rsidRPr="000D5F03">
              <w:rPr>
                <w:rFonts w:ascii="Times New Roman" w:hAnsi="Times New Roman"/>
                <w:b/>
                <w:bCs/>
              </w:rPr>
              <w:t>84 (85%)</w:t>
            </w:r>
          </w:p>
        </w:tc>
        <w:tc>
          <w:tcPr>
            <w:tcW w:w="641" w:type="pct"/>
            <w:tcBorders>
              <w:top w:val="single" w:sz="8" w:space="0" w:color="auto"/>
              <w:left w:val="nil"/>
              <w:bottom w:val="single" w:sz="4" w:space="0" w:color="auto"/>
              <w:right w:val="single" w:sz="8" w:space="0" w:color="auto"/>
            </w:tcBorders>
            <w:shd w:val="clear" w:color="auto" w:fill="auto"/>
            <w:vAlign w:val="center"/>
            <w:hideMark/>
          </w:tcPr>
          <w:p w14:paraId="06C00A0E" w14:textId="77777777" w:rsidR="00B94BA0" w:rsidRPr="000D5F03" w:rsidRDefault="00B94BA0" w:rsidP="000D5F03">
            <w:pPr>
              <w:suppressAutoHyphens w:val="0"/>
              <w:autoSpaceDN/>
              <w:spacing w:line="360" w:lineRule="auto"/>
              <w:jc w:val="center"/>
              <w:textAlignment w:val="auto"/>
              <w:rPr>
                <w:rFonts w:ascii="Times New Roman" w:hAnsi="Times New Roman"/>
                <w:b/>
              </w:rPr>
            </w:pPr>
            <w:r w:rsidRPr="000D5F03">
              <w:rPr>
                <w:rFonts w:ascii="Times New Roman" w:hAnsi="Times New Roman"/>
                <w:b/>
                <w:bCs/>
              </w:rPr>
              <w:t>15 (15%)</w:t>
            </w:r>
          </w:p>
        </w:tc>
        <w:tc>
          <w:tcPr>
            <w:tcW w:w="350" w:type="pct"/>
            <w:tcBorders>
              <w:top w:val="nil"/>
              <w:left w:val="nil"/>
              <w:right w:val="single" w:sz="4" w:space="0" w:color="auto"/>
            </w:tcBorders>
            <w:shd w:val="clear" w:color="auto" w:fill="auto"/>
            <w:vAlign w:val="bottom"/>
          </w:tcPr>
          <w:p w14:paraId="104E67E5" w14:textId="77777777" w:rsidR="00B94BA0" w:rsidRPr="000D5F03" w:rsidRDefault="00B94BA0" w:rsidP="000D5F03">
            <w:pPr>
              <w:suppressAutoHyphens w:val="0"/>
              <w:autoSpaceDN/>
              <w:spacing w:line="360" w:lineRule="auto"/>
              <w:jc w:val="center"/>
              <w:textAlignment w:val="auto"/>
              <w:rPr>
                <w:rFonts w:ascii="Times New Roman" w:hAnsi="Times New Roman"/>
                <w:b/>
              </w:rPr>
            </w:pPr>
            <w:r w:rsidRPr="000D5F03">
              <w:rPr>
                <w:rFonts w:ascii="Times New Roman" w:hAnsi="Times New Roman"/>
              </w:rPr>
              <w:t>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2AF4877F" w14:textId="77777777" w:rsidR="00B94BA0" w:rsidRPr="000D5F03" w:rsidRDefault="00B94BA0" w:rsidP="000D5F03">
            <w:pPr>
              <w:suppressAutoHyphens w:val="0"/>
              <w:autoSpaceDN/>
              <w:spacing w:line="360" w:lineRule="auto"/>
              <w:jc w:val="center"/>
              <w:textAlignment w:val="auto"/>
              <w:rPr>
                <w:rFonts w:ascii="Times New Roman" w:hAnsi="Times New Roman"/>
                <w:b/>
              </w:rPr>
            </w:pPr>
            <w:r w:rsidRPr="000D5F03">
              <w:rPr>
                <w:rFonts w:ascii="Times New Roman" w:hAnsi="Times New Roman"/>
              </w:rPr>
              <w:t>8</w:t>
            </w:r>
            <w:r w:rsidR="00E22426" w:rsidRPr="000D5F03">
              <w:rPr>
                <w:rFonts w:ascii="Times New Roman" w:hAnsi="Times New Roman"/>
              </w:rPr>
              <w:t>1</w:t>
            </w:r>
            <w:r w:rsidRPr="000D5F03">
              <w:rPr>
                <w:rFonts w:ascii="Times New Roman" w:hAnsi="Times New Roman"/>
              </w:rPr>
              <w:t>%</w:t>
            </w:r>
          </w:p>
        </w:tc>
      </w:tr>
      <w:tr w:rsidR="00B94BA0" w:rsidRPr="000D5F03" w14:paraId="47099EA1" w14:textId="77777777" w:rsidTr="00B94BA0">
        <w:trPr>
          <w:trHeight w:val="567"/>
        </w:trPr>
        <w:tc>
          <w:tcPr>
            <w:tcW w:w="164" w:type="pct"/>
            <w:tcBorders>
              <w:top w:val="nil"/>
              <w:left w:val="nil"/>
            </w:tcBorders>
            <w:shd w:val="clear" w:color="auto" w:fill="auto"/>
            <w:noWrap/>
            <w:vAlign w:val="center"/>
            <w:hideMark/>
          </w:tcPr>
          <w:p w14:paraId="293E025E" w14:textId="77777777" w:rsidR="00B94BA0" w:rsidRPr="000D5F03" w:rsidRDefault="00B94BA0" w:rsidP="000D5F03">
            <w:pPr>
              <w:suppressAutoHyphens w:val="0"/>
              <w:autoSpaceDN/>
              <w:spacing w:line="360" w:lineRule="auto"/>
              <w:jc w:val="center"/>
              <w:textAlignment w:val="auto"/>
              <w:rPr>
                <w:rFonts w:ascii="Times New Roman" w:hAnsi="Times New Roman"/>
                <w:i/>
                <w:iCs/>
                <w:spacing w:val="0"/>
                <w:lang w:val="en-ZA" w:eastAsia="en-ZA"/>
              </w:rPr>
            </w:pPr>
            <w:r w:rsidRPr="000D5F03">
              <w:rPr>
                <w:rFonts w:ascii="Times New Roman" w:hAnsi="Times New Roman"/>
                <w:i/>
                <w:iCs/>
                <w:spacing w:val="0"/>
                <w:lang w:val="en-ZA" w:eastAsia="en-ZA"/>
              </w:rPr>
              <w:t> </w:t>
            </w:r>
          </w:p>
        </w:tc>
        <w:tc>
          <w:tcPr>
            <w:tcW w:w="1747" w:type="pct"/>
            <w:tcBorders>
              <w:top w:val="single" w:sz="4" w:space="0" w:color="auto"/>
            </w:tcBorders>
            <w:shd w:val="clear" w:color="auto" w:fill="auto"/>
            <w:noWrap/>
            <w:vAlign w:val="center"/>
            <w:hideMark/>
          </w:tcPr>
          <w:p w14:paraId="4AEDA26C" w14:textId="77777777" w:rsidR="00B94BA0" w:rsidRPr="000D5F03" w:rsidRDefault="00B94BA0" w:rsidP="000D5F03">
            <w:pPr>
              <w:suppressAutoHyphens w:val="0"/>
              <w:autoSpaceDN/>
              <w:spacing w:line="360" w:lineRule="auto"/>
              <w:textAlignment w:val="auto"/>
              <w:rPr>
                <w:rFonts w:ascii="Times New Roman" w:hAnsi="Times New Roman"/>
                <w:bCs/>
              </w:rPr>
            </w:pPr>
            <w:r w:rsidRPr="000D5F03">
              <w:rPr>
                <w:rFonts w:ascii="Times New Roman" w:hAnsi="Times New Roman"/>
                <w:bCs/>
              </w:rPr>
              <w:t>Number of indicators used</w:t>
            </w:r>
          </w:p>
        </w:tc>
        <w:tc>
          <w:tcPr>
            <w:tcW w:w="734" w:type="pct"/>
            <w:tcBorders>
              <w:top w:val="single" w:sz="4" w:space="0" w:color="auto"/>
            </w:tcBorders>
            <w:shd w:val="clear" w:color="auto" w:fill="auto"/>
            <w:vAlign w:val="center"/>
            <w:hideMark/>
          </w:tcPr>
          <w:p w14:paraId="197CE4A6" w14:textId="77777777" w:rsidR="00B94BA0" w:rsidRPr="000D5F03" w:rsidRDefault="00B94BA0" w:rsidP="000D5F03">
            <w:pPr>
              <w:suppressAutoHyphens w:val="0"/>
              <w:autoSpaceDN/>
              <w:spacing w:line="360" w:lineRule="auto"/>
              <w:jc w:val="center"/>
              <w:textAlignment w:val="auto"/>
              <w:rPr>
                <w:rFonts w:ascii="Times New Roman" w:hAnsi="Times New Roman"/>
                <w:bCs/>
              </w:rPr>
            </w:pPr>
            <w:r w:rsidRPr="000D5F03">
              <w:rPr>
                <w:rFonts w:ascii="Times New Roman" w:hAnsi="Times New Roman"/>
                <w:bCs/>
              </w:rPr>
              <w:t>9</w:t>
            </w:r>
            <w:r w:rsidR="00E22426" w:rsidRPr="000D5F03">
              <w:rPr>
                <w:rFonts w:ascii="Times New Roman" w:hAnsi="Times New Roman"/>
                <w:bCs/>
              </w:rPr>
              <w:t>8</w:t>
            </w:r>
          </w:p>
        </w:tc>
        <w:tc>
          <w:tcPr>
            <w:tcW w:w="711" w:type="pct"/>
            <w:tcBorders>
              <w:top w:val="single" w:sz="4" w:space="0" w:color="auto"/>
            </w:tcBorders>
            <w:shd w:val="clear" w:color="auto" w:fill="auto"/>
            <w:vAlign w:val="center"/>
            <w:hideMark/>
          </w:tcPr>
          <w:p w14:paraId="675C7EDB" w14:textId="77777777" w:rsidR="00B94BA0" w:rsidRPr="000D5F03" w:rsidRDefault="00B94BA0" w:rsidP="000D5F03">
            <w:pPr>
              <w:suppressAutoHyphens w:val="0"/>
              <w:autoSpaceDN/>
              <w:spacing w:line="360" w:lineRule="auto"/>
              <w:jc w:val="center"/>
              <w:textAlignment w:val="auto"/>
              <w:rPr>
                <w:rFonts w:ascii="Times New Roman" w:hAnsi="Times New Roman"/>
                <w:bCs/>
              </w:rPr>
            </w:pPr>
            <w:r w:rsidRPr="000D5F03">
              <w:rPr>
                <w:rFonts w:ascii="Times New Roman" w:hAnsi="Times New Roman"/>
                <w:bCs/>
              </w:rPr>
              <w:t> </w:t>
            </w:r>
          </w:p>
        </w:tc>
        <w:tc>
          <w:tcPr>
            <w:tcW w:w="641" w:type="pct"/>
            <w:tcBorders>
              <w:top w:val="single" w:sz="4" w:space="0" w:color="auto"/>
            </w:tcBorders>
            <w:shd w:val="clear" w:color="auto" w:fill="auto"/>
            <w:vAlign w:val="center"/>
            <w:hideMark/>
          </w:tcPr>
          <w:p w14:paraId="627B8D7E" w14:textId="77777777" w:rsidR="00B94BA0" w:rsidRPr="000D5F03" w:rsidRDefault="00B94BA0" w:rsidP="000D5F03">
            <w:pPr>
              <w:suppressAutoHyphens w:val="0"/>
              <w:autoSpaceDN/>
              <w:spacing w:line="360" w:lineRule="auto"/>
              <w:jc w:val="center"/>
              <w:textAlignment w:val="auto"/>
              <w:rPr>
                <w:rFonts w:ascii="Times New Roman" w:hAnsi="Times New Roman"/>
                <w:bCs/>
              </w:rPr>
            </w:pPr>
            <w:r w:rsidRPr="000D5F03">
              <w:rPr>
                <w:rFonts w:ascii="Times New Roman" w:hAnsi="Times New Roman"/>
                <w:bCs/>
              </w:rPr>
              <w:t> </w:t>
            </w:r>
          </w:p>
        </w:tc>
        <w:tc>
          <w:tcPr>
            <w:tcW w:w="350" w:type="pct"/>
            <w:tcBorders>
              <w:top w:val="nil"/>
            </w:tcBorders>
            <w:shd w:val="clear" w:color="auto" w:fill="auto"/>
            <w:vAlign w:val="bottom"/>
          </w:tcPr>
          <w:p w14:paraId="38F0173B" w14:textId="77777777" w:rsidR="00B94BA0" w:rsidRPr="000D5F03" w:rsidRDefault="00B94BA0" w:rsidP="000D5F03">
            <w:pPr>
              <w:suppressAutoHyphens w:val="0"/>
              <w:autoSpaceDN/>
              <w:spacing w:line="360" w:lineRule="auto"/>
              <w:jc w:val="center"/>
              <w:textAlignment w:val="auto"/>
              <w:rPr>
                <w:rFonts w:ascii="Times New Roman" w:hAnsi="Times New Roman"/>
              </w:rPr>
            </w:pPr>
            <w:r w:rsidRPr="000D5F03">
              <w:rPr>
                <w:rFonts w:ascii="Times New Roman" w:hAnsi="Times New Roman"/>
              </w:rPr>
              <w:t> </w:t>
            </w:r>
          </w:p>
        </w:tc>
        <w:tc>
          <w:tcPr>
            <w:tcW w:w="652" w:type="pct"/>
            <w:tcBorders>
              <w:top w:val="single" w:sz="4" w:space="0" w:color="auto"/>
            </w:tcBorders>
            <w:shd w:val="clear" w:color="auto" w:fill="auto"/>
            <w:vAlign w:val="center"/>
            <w:hideMark/>
          </w:tcPr>
          <w:p w14:paraId="6DB800F5" w14:textId="77777777" w:rsidR="00B94BA0" w:rsidRPr="000D5F03" w:rsidRDefault="00E22426" w:rsidP="000D5F03">
            <w:pPr>
              <w:suppressAutoHyphens w:val="0"/>
              <w:autoSpaceDN/>
              <w:spacing w:line="360" w:lineRule="auto"/>
              <w:jc w:val="center"/>
              <w:textAlignment w:val="auto"/>
              <w:rPr>
                <w:rFonts w:ascii="Times New Roman" w:hAnsi="Times New Roman"/>
              </w:rPr>
            </w:pPr>
            <w:r w:rsidRPr="000D5F03">
              <w:rPr>
                <w:rFonts w:ascii="Times New Roman" w:hAnsi="Times New Roman"/>
              </w:rPr>
              <w:t>9</w:t>
            </w:r>
            <w:r w:rsidR="00B94BA0" w:rsidRPr="000D5F03">
              <w:rPr>
                <w:rFonts w:ascii="Times New Roman" w:hAnsi="Times New Roman"/>
              </w:rPr>
              <w:t>1</w:t>
            </w:r>
          </w:p>
        </w:tc>
      </w:tr>
    </w:tbl>
    <w:p w14:paraId="5717686B" w14:textId="77777777" w:rsidR="00B94BA0" w:rsidRPr="000D5F03" w:rsidRDefault="00B94BA0" w:rsidP="000D5F03">
      <w:pPr>
        <w:suppressAutoHyphens w:val="0"/>
        <w:autoSpaceDN/>
        <w:spacing w:line="360" w:lineRule="auto"/>
        <w:jc w:val="both"/>
        <w:textAlignment w:val="auto"/>
        <w:rPr>
          <w:rFonts w:ascii="Times New Roman" w:hAnsi="Times New Roman"/>
          <w:lang w:val="en-ZA"/>
        </w:rPr>
      </w:pPr>
    </w:p>
    <w:p w14:paraId="380DBA39" w14:textId="77777777" w:rsidR="00DA3773" w:rsidRPr="000D5F03" w:rsidRDefault="00B94BA0" w:rsidP="000D5F03">
      <w:pPr>
        <w:keepNext/>
        <w:keepLines/>
        <w:suppressAutoHyphens w:val="0"/>
        <w:autoSpaceDN/>
        <w:spacing w:line="360" w:lineRule="auto"/>
        <w:jc w:val="both"/>
        <w:textAlignment w:val="auto"/>
        <w:rPr>
          <w:rFonts w:ascii="Times New Roman" w:hAnsi="Times New Roman"/>
          <w:b/>
          <w:lang w:val="en-ZA"/>
        </w:rPr>
      </w:pPr>
      <w:r w:rsidRPr="000D5F03">
        <w:rPr>
          <w:rFonts w:ascii="Times New Roman" w:hAnsi="Times New Roman"/>
          <w:b/>
          <w:lang w:val="en-ZA"/>
        </w:rPr>
        <w:t>4</w:t>
      </w:r>
      <w:r w:rsidR="00DA3773" w:rsidRPr="000D5F03">
        <w:rPr>
          <w:rFonts w:ascii="Times New Roman" w:hAnsi="Times New Roman"/>
          <w:b/>
          <w:lang w:val="en-ZA"/>
        </w:rPr>
        <w:t>.1.</w:t>
      </w:r>
      <w:r w:rsidR="00DA3773" w:rsidRPr="000D5F03">
        <w:rPr>
          <w:rFonts w:ascii="Times New Roman" w:hAnsi="Times New Roman"/>
          <w:b/>
          <w:lang w:val="en-ZA"/>
        </w:rPr>
        <w:tab/>
        <w:t>Programme 1: Administration (Corporate Services and Financial Administration)</w:t>
      </w:r>
    </w:p>
    <w:p w14:paraId="01ADDF06" w14:textId="77777777" w:rsidR="00DA3773" w:rsidRPr="000D5F03" w:rsidRDefault="00DA3773" w:rsidP="000D5F03">
      <w:pPr>
        <w:keepNext/>
        <w:keepLines/>
        <w:suppressAutoHyphens w:val="0"/>
        <w:autoSpaceDN/>
        <w:spacing w:line="360" w:lineRule="auto"/>
        <w:jc w:val="both"/>
        <w:textAlignment w:val="auto"/>
        <w:rPr>
          <w:rFonts w:ascii="Times New Roman" w:hAnsi="Times New Roman"/>
          <w:lang w:val="en-ZA"/>
        </w:rPr>
      </w:pPr>
    </w:p>
    <w:p w14:paraId="06519325" w14:textId="77777777" w:rsidR="00B94BA0" w:rsidRPr="000D5F03" w:rsidRDefault="00B94BA0" w:rsidP="000D5F03">
      <w:pPr>
        <w:suppressAutoHyphens w:val="0"/>
        <w:autoSpaceDN/>
        <w:spacing w:line="360" w:lineRule="auto"/>
        <w:jc w:val="both"/>
        <w:textAlignment w:val="auto"/>
        <w:rPr>
          <w:rFonts w:ascii="Times New Roman" w:hAnsi="Times New Roman"/>
          <w:lang w:val="en-ZA"/>
        </w:rPr>
      </w:pPr>
      <w:r w:rsidRPr="000D5F03">
        <w:rPr>
          <w:rFonts w:ascii="Times New Roman" w:hAnsi="Times New Roman"/>
          <w:lang w:val="en-ZA"/>
        </w:rPr>
        <w:t>The purpose of this programme is to enable the Department to deliver on its mandate by providing strategic support ma</w:t>
      </w:r>
      <w:r w:rsidRPr="000D5F03">
        <w:rPr>
          <w:rFonts w:ascii="Times New Roman" w:hAnsi="Times New Roman"/>
          <w:lang w:val="en-ZA"/>
        </w:rPr>
        <w:t>n</w:t>
      </w:r>
      <w:r w:rsidRPr="000D5F03">
        <w:rPr>
          <w:rFonts w:ascii="Times New Roman" w:hAnsi="Times New Roman"/>
          <w:lang w:val="en-ZA"/>
        </w:rPr>
        <w:t xml:space="preserve">agement services and administrative support to the Ministry and the DMR. </w:t>
      </w:r>
    </w:p>
    <w:p w14:paraId="02869B22"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p>
    <w:p w14:paraId="00FA23AA" w14:textId="6F6BF4E5"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The DMR achieved 9</w:t>
      </w:r>
      <w:r w:rsidR="00174619" w:rsidRPr="000D5F03">
        <w:rPr>
          <w:rFonts w:ascii="Times New Roman" w:hAnsi="Times New Roman"/>
          <w:sz w:val="24"/>
          <w:szCs w:val="24"/>
          <w:lang w:val="en-ZA"/>
        </w:rPr>
        <w:t>1</w:t>
      </w:r>
      <w:r w:rsidRPr="000D5F03">
        <w:rPr>
          <w:rFonts w:ascii="Times New Roman" w:hAnsi="Times New Roman"/>
          <w:sz w:val="24"/>
          <w:szCs w:val="24"/>
          <w:lang w:val="en-ZA"/>
        </w:rPr>
        <w:t xml:space="preserve"> percent of the performance measures set for Programme 1 (</w:t>
      </w:r>
      <w:r w:rsidR="00174619" w:rsidRPr="000D5F03">
        <w:rPr>
          <w:rFonts w:ascii="Times New Roman" w:hAnsi="Times New Roman"/>
          <w:sz w:val="24"/>
          <w:szCs w:val="24"/>
          <w:lang w:val="en-ZA"/>
        </w:rPr>
        <w:t>24</w:t>
      </w:r>
      <w:r w:rsidRPr="000D5F03">
        <w:rPr>
          <w:rFonts w:ascii="Times New Roman" w:hAnsi="Times New Roman"/>
          <w:sz w:val="24"/>
          <w:szCs w:val="24"/>
          <w:lang w:val="en-ZA"/>
        </w:rPr>
        <w:t xml:space="preserve"> measures achieved out of </w:t>
      </w:r>
      <w:r w:rsidR="00174619" w:rsidRPr="000D5F03">
        <w:rPr>
          <w:rFonts w:ascii="Times New Roman" w:hAnsi="Times New Roman"/>
          <w:sz w:val="24"/>
          <w:szCs w:val="24"/>
          <w:lang w:val="en-ZA"/>
        </w:rPr>
        <w:t>27</w:t>
      </w:r>
      <w:r w:rsidRPr="000D5F03">
        <w:rPr>
          <w:rFonts w:ascii="Times New Roman" w:hAnsi="Times New Roman"/>
          <w:sz w:val="24"/>
          <w:szCs w:val="24"/>
          <w:lang w:val="en-ZA"/>
        </w:rPr>
        <w:t xml:space="preserve">). This is an improvement from </w:t>
      </w:r>
      <w:r w:rsidR="00174619" w:rsidRPr="000D5F03">
        <w:rPr>
          <w:rFonts w:ascii="Times New Roman" w:hAnsi="Times New Roman"/>
          <w:sz w:val="24"/>
          <w:szCs w:val="24"/>
          <w:lang w:val="en-ZA"/>
        </w:rPr>
        <w:t>86</w:t>
      </w:r>
      <w:r w:rsidRPr="000D5F03">
        <w:rPr>
          <w:rFonts w:ascii="Times New Roman" w:hAnsi="Times New Roman"/>
          <w:sz w:val="24"/>
          <w:szCs w:val="24"/>
          <w:lang w:val="en-ZA"/>
        </w:rPr>
        <w:t xml:space="preserve"> percent in 201</w:t>
      </w:r>
      <w:r w:rsidR="00F47620" w:rsidRPr="000D5F03">
        <w:rPr>
          <w:rFonts w:ascii="Times New Roman" w:hAnsi="Times New Roman"/>
          <w:sz w:val="24"/>
          <w:szCs w:val="24"/>
          <w:lang w:val="en-ZA"/>
        </w:rPr>
        <w:t>7</w:t>
      </w:r>
      <w:r w:rsidRPr="000D5F03">
        <w:rPr>
          <w:rFonts w:ascii="Times New Roman" w:hAnsi="Times New Roman"/>
          <w:sz w:val="24"/>
          <w:szCs w:val="24"/>
          <w:lang w:val="en-ZA"/>
        </w:rPr>
        <w:t>/1</w:t>
      </w:r>
      <w:r w:rsidR="00F47620" w:rsidRPr="000D5F03">
        <w:rPr>
          <w:rFonts w:ascii="Times New Roman" w:hAnsi="Times New Roman"/>
          <w:sz w:val="24"/>
          <w:szCs w:val="24"/>
          <w:lang w:val="en-ZA"/>
        </w:rPr>
        <w:t>8</w:t>
      </w:r>
      <w:r w:rsidR="00174619" w:rsidRPr="000D5F03">
        <w:rPr>
          <w:rFonts w:ascii="Times New Roman" w:hAnsi="Times New Roman"/>
          <w:sz w:val="24"/>
          <w:szCs w:val="24"/>
          <w:lang w:val="en-ZA"/>
        </w:rPr>
        <w:t>.</w:t>
      </w:r>
    </w:p>
    <w:p w14:paraId="1736DD73"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p>
    <w:p w14:paraId="2EDA3A30" w14:textId="48F75900" w:rsidR="00B94BA0" w:rsidRPr="000D5F03" w:rsidRDefault="00BA38F2"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lang w:val="en-ZA"/>
        </w:rPr>
        <w:t xml:space="preserve">The Department was able to keep the vacancy rate at 8 percent (the DPSA has a 10 percent threshold) contributing to this achievement was the general reduction of headcount as a result of shrinking budget allocation to the Department, non-critical posts were eliminated from the structure, going forward the Department plan to focus on mainly filling critical vacancies. Under the sub programme of financial </w:t>
      </w:r>
      <w:r w:rsidR="00E83EE9" w:rsidRPr="000D5F03">
        <w:rPr>
          <w:rFonts w:ascii="Times New Roman" w:hAnsi="Times New Roman"/>
          <w:sz w:val="24"/>
          <w:szCs w:val="24"/>
          <w:lang w:val="en-ZA"/>
        </w:rPr>
        <w:t>administration,</w:t>
      </w:r>
      <w:r w:rsidRPr="000D5F03">
        <w:rPr>
          <w:rFonts w:ascii="Times New Roman" w:hAnsi="Times New Roman"/>
          <w:sz w:val="24"/>
          <w:szCs w:val="24"/>
          <w:lang w:val="en-ZA"/>
        </w:rPr>
        <w:t xml:space="preserve"> the Department only missed two pe</w:t>
      </w:r>
      <w:r w:rsidRPr="000D5F03">
        <w:rPr>
          <w:rFonts w:ascii="Times New Roman" w:hAnsi="Times New Roman"/>
          <w:sz w:val="24"/>
          <w:szCs w:val="24"/>
          <w:lang w:val="en-ZA"/>
        </w:rPr>
        <w:t>r</w:t>
      </w:r>
      <w:r w:rsidRPr="000D5F03">
        <w:rPr>
          <w:rFonts w:ascii="Times New Roman" w:hAnsi="Times New Roman"/>
          <w:sz w:val="24"/>
          <w:szCs w:val="24"/>
          <w:lang w:val="en-ZA"/>
        </w:rPr>
        <w:t xml:space="preserve">formance targets, namely </w:t>
      </w:r>
      <w:r w:rsidR="00771813" w:rsidRPr="000D5F03">
        <w:rPr>
          <w:rFonts w:ascii="Times New Roman" w:hAnsi="Times New Roman"/>
          <w:sz w:val="24"/>
          <w:szCs w:val="24"/>
          <w:lang w:val="en-ZA"/>
        </w:rPr>
        <w:t>percentage</w:t>
      </w:r>
      <w:r w:rsidRPr="000D5F03">
        <w:rPr>
          <w:rFonts w:ascii="Times New Roman" w:hAnsi="Times New Roman"/>
          <w:sz w:val="24"/>
          <w:szCs w:val="24"/>
          <w:lang w:val="en-ZA"/>
        </w:rPr>
        <w:t xml:space="preserve"> achievement of service level agreement, and customer satisfaction index. The reasons for partial achievements on the above </w:t>
      </w:r>
      <w:proofErr w:type="gramStart"/>
      <w:r w:rsidRPr="000D5F03">
        <w:rPr>
          <w:rFonts w:ascii="Times New Roman" w:hAnsi="Times New Roman"/>
          <w:sz w:val="24"/>
          <w:szCs w:val="24"/>
          <w:lang w:val="en-ZA"/>
        </w:rPr>
        <w:t>were listed</w:t>
      </w:r>
      <w:proofErr w:type="gramEnd"/>
      <w:r w:rsidRPr="000D5F03">
        <w:rPr>
          <w:rFonts w:ascii="Times New Roman" w:hAnsi="Times New Roman"/>
          <w:sz w:val="24"/>
          <w:szCs w:val="24"/>
          <w:lang w:val="en-ZA"/>
        </w:rPr>
        <w:t xml:space="preserve"> as limited resources in the helpdesk and </w:t>
      </w:r>
      <w:r w:rsidR="00771813" w:rsidRPr="000D5F03">
        <w:rPr>
          <w:rFonts w:ascii="Times New Roman" w:hAnsi="Times New Roman"/>
          <w:sz w:val="24"/>
          <w:szCs w:val="24"/>
          <w:lang w:val="en-ZA"/>
        </w:rPr>
        <w:t>lack of resources in the helpdesk respectively.</w:t>
      </w:r>
    </w:p>
    <w:p w14:paraId="04F70E72"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p>
    <w:p w14:paraId="14F1D813" w14:textId="77777777" w:rsidR="00DA3773" w:rsidRPr="000D5F03" w:rsidRDefault="00B94BA0" w:rsidP="000D5F03">
      <w:pPr>
        <w:pStyle w:val="BodyText"/>
        <w:keepNext/>
        <w:keepLines/>
        <w:spacing w:line="360" w:lineRule="auto"/>
        <w:ind w:left="360" w:hanging="360"/>
        <w:rPr>
          <w:rFonts w:ascii="Times New Roman" w:hAnsi="Times New Roman"/>
          <w:b/>
          <w:sz w:val="24"/>
          <w:szCs w:val="24"/>
        </w:rPr>
      </w:pPr>
      <w:r w:rsidRPr="000D5F03">
        <w:rPr>
          <w:rFonts w:ascii="Times New Roman" w:hAnsi="Times New Roman"/>
          <w:b/>
          <w:sz w:val="24"/>
          <w:szCs w:val="24"/>
        </w:rPr>
        <w:t>4.2</w:t>
      </w:r>
      <w:r w:rsidR="00DA3773" w:rsidRPr="000D5F03">
        <w:rPr>
          <w:rFonts w:ascii="Times New Roman" w:hAnsi="Times New Roman"/>
          <w:b/>
          <w:sz w:val="24"/>
          <w:szCs w:val="24"/>
        </w:rPr>
        <w:t>.</w:t>
      </w:r>
      <w:r w:rsidR="00DA3773" w:rsidRPr="000D5F03">
        <w:rPr>
          <w:rFonts w:ascii="Times New Roman" w:hAnsi="Times New Roman"/>
          <w:b/>
          <w:sz w:val="24"/>
          <w:szCs w:val="24"/>
        </w:rPr>
        <w:tab/>
        <w:t>Programme 2: Mine Health and Safety Promotion</w:t>
      </w:r>
    </w:p>
    <w:p w14:paraId="1CFB0E45"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 xml:space="preserve">The purpose of the Promotion of Mine Safety and Health programme is “to ensure the safe mining of minerals under healthy mining conditions” </w:t>
      </w:r>
    </w:p>
    <w:p w14:paraId="665F3DD6"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p>
    <w:p w14:paraId="6ED43399" w14:textId="3B643F02"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The DMR</w:t>
      </w:r>
      <w:r w:rsidR="00771813" w:rsidRPr="000D5F03">
        <w:rPr>
          <w:rFonts w:ascii="Times New Roman" w:hAnsi="Times New Roman"/>
          <w:sz w:val="24"/>
          <w:szCs w:val="24"/>
          <w:lang w:val="en-ZA"/>
        </w:rPr>
        <w:t>E (Vote 29)</w:t>
      </w:r>
      <w:r w:rsidRPr="000D5F03">
        <w:rPr>
          <w:rFonts w:ascii="Times New Roman" w:hAnsi="Times New Roman"/>
          <w:sz w:val="24"/>
          <w:szCs w:val="24"/>
          <w:lang w:val="en-ZA"/>
        </w:rPr>
        <w:t xml:space="preserve"> achieved </w:t>
      </w:r>
      <w:r w:rsidR="00283AF7" w:rsidRPr="000D5F03">
        <w:rPr>
          <w:rFonts w:ascii="Times New Roman" w:hAnsi="Times New Roman"/>
          <w:sz w:val="24"/>
          <w:szCs w:val="24"/>
          <w:lang w:val="en-ZA"/>
        </w:rPr>
        <w:t>85</w:t>
      </w:r>
      <w:r w:rsidRPr="000D5F03">
        <w:rPr>
          <w:rFonts w:ascii="Times New Roman" w:hAnsi="Times New Roman"/>
          <w:sz w:val="24"/>
          <w:szCs w:val="24"/>
          <w:lang w:val="en-ZA"/>
        </w:rPr>
        <w:t xml:space="preserve"> percent of the performance measures set for Programme 2 (1</w:t>
      </w:r>
      <w:r w:rsidR="00283AF7" w:rsidRPr="000D5F03">
        <w:rPr>
          <w:rFonts w:ascii="Times New Roman" w:hAnsi="Times New Roman"/>
          <w:sz w:val="24"/>
          <w:szCs w:val="24"/>
          <w:lang w:val="en-ZA"/>
        </w:rPr>
        <w:t>8</w:t>
      </w:r>
      <w:r w:rsidRPr="000D5F03">
        <w:rPr>
          <w:rFonts w:ascii="Times New Roman" w:hAnsi="Times New Roman"/>
          <w:sz w:val="24"/>
          <w:szCs w:val="24"/>
          <w:lang w:val="en-ZA"/>
        </w:rPr>
        <w:t xml:space="preserve"> out of 2</w:t>
      </w:r>
      <w:r w:rsidR="00283AF7" w:rsidRPr="000D5F03">
        <w:rPr>
          <w:rFonts w:ascii="Times New Roman" w:hAnsi="Times New Roman"/>
          <w:sz w:val="24"/>
          <w:szCs w:val="24"/>
          <w:lang w:val="en-ZA"/>
        </w:rPr>
        <w:t>1</w:t>
      </w:r>
      <w:r w:rsidRPr="000D5F03">
        <w:rPr>
          <w:rFonts w:ascii="Times New Roman" w:hAnsi="Times New Roman"/>
          <w:sz w:val="24"/>
          <w:szCs w:val="24"/>
          <w:lang w:val="en-ZA"/>
        </w:rPr>
        <w:t xml:space="preserve">). This marks </w:t>
      </w:r>
      <w:r w:rsidR="00283AF7" w:rsidRPr="000D5F03">
        <w:rPr>
          <w:rFonts w:ascii="Times New Roman" w:hAnsi="Times New Roman"/>
          <w:sz w:val="24"/>
          <w:szCs w:val="24"/>
          <w:lang w:val="en-ZA"/>
        </w:rPr>
        <w:t xml:space="preserve">a 5 percent </w:t>
      </w:r>
      <w:r w:rsidR="00D15DE1" w:rsidRPr="000D5F03">
        <w:rPr>
          <w:rFonts w:ascii="Times New Roman" w:hAnsi="Times New Roman"/>
          <w:sz w:val="24"/>
          <w:szCs w:val="24"/>
          <w:lang w:val="en-ZA"/>
        </w:rPr>
        <w:t>deterioration</w:t>
      </w:r>
      <w:r w:rsidRPr="000D5F03">
        <w:rPr>
          <w:rFonts w:ascii="Times New Roman" w:hAnsi="Times New Roman"/>
          <w:sz w:val="24"/>
          <w:szCs w:val="24"/>
          <w:lang w:val="en-ZA"/>
        </w:rPr>
        <w:t xml:space="preserve"> compared with 201</w:t>
      </w:r>
      <w:r w:rsidR="00120493" w:rsidRPr="000D5F03">
        <w:rPr>
          <w:rFonts w:ascii="Times New Roman" w:hAnsi="Times New Roman"/>
          <w:sz w:val="24"/>
          <w:szCs w:val="24"/>
          <w:lang w:val="en-ZA"/>
        </w:rPr>
        <w:t>7</w:t>
      </w:r>
      <w:r w:rsidRPr="000D5F03">
        <w:rPr>
          <w:rFonts w:ascii="Times New Roman" w:hAnsi="Times New Roman"/>
          <w:sz w:val="24"/>
          <w:szCs w:val="24"/>
          <w:lang w:val="en-ZA"/>
        </w:rPr>
        <w:t>/1</w:t>
      </w:r>
      <w:r w:rsidR="00120493" w:rsidRPr="000D5F03">
        <w:rPr>
          <w:rFonts w:ascii="Times New Roman" w:hAnsi="Times New Roman"/>
          <w:sz w:val="24"/>
          <w:szCs w:val="24"/>
          <w:lang w:val="en-ZA"/>
        </w:rPr>
        <w:t>8</w:t>
      </w:r>
      <w:r w:rsidRPr="000D5F03">
        <w:rPr>
          <w:rFonts w:ascii="Times New Roman" w:hAnsi="Times New Roman"/>
          <w:sz w:val="24"/>
          <w:szCs w:val="24"/>
          <w:lang w:val="en-ZA"/>
        </w:rPr>
        <w:t xml:space="preserve"> where </w:t>
      </w:r>
      <w:r w:rsidR="00283AF7" w:rsidRPr="000D5F03">
        <w:rPr>
          <w:rFonts w:ascii="Times New Roman" w:hAnsi="Times New Roman"/>
          <w:sz w:val="24"/>
          <w:szCs w:val="24"/>
          <w:lang w:val="en-ZA"/>
        </w:rPr>
        <w:t>90</w:t>
      </w:r>
      <w:r w:rsidRPr="000D5F03">
        <w:rPr>
          <w:rFonts w:ascii="Times New Roman" w:hAnsi="Times New Roman"/>
          <w:sz w:val="24"/>
          <w:szCs w:val="24"/>
          <w:lang w:val="en-ZA"/>
        </w:rPr>
        <w:t xml:space="preserve"> percent </w:t>
      </w:r>
      <w:r w:rsidR="00283AF7" w:rsidRPr="000D5F03">
        <w:rPr>
          <w:rFonts w:ascii="Times New Roman" w:hAnsi="Times New Roman"/>
          <w:sz w:val="24"/>
          <w:szCs w:val="24"/>
          <w:lang w:val="en-ZA"/>
        </w:rPr>
        <w:t>of</w:t>
      </w:r>
      <w:r w:rsidRPr="000D5F03">
        <w:rPr>
          <w:rFonts w:ascii="Times New Roman" w:hAnsi="Times New Roman"/>
          <w:sz w:val="24"/>
          <w:szCs w:val="24"/>
          <w:lang w:val="en-ZA"/>
        </w:rPr>
        <w:t xml:space="preserve"> targets </w:t>
      </w:r>
      <w:proofErr w:type="gramStart"/>
      <w:r w:rsidRPr="000D5F03">
        <w:rPr>
          <w:rFonts w:ascii="Times New Roman" w:hAnsi="Times New Roman"/>
          <w:sz w:val="24"/>
          <w:szCs w:val="24"/>
          <w:lang w:val="en-ZA"/>
        </w:rPr>
        <w:t>were met</w:t>
      </w:r>
      <w:proofErr w:type="gramEnd"/>
      <w:r w:rsidR="00283AF7" w:rsidRPr="000D5F03">
        <w:rPr>
          <w:rFonts w:ascii="Times New Roman" w:hAnsi="Times New Roman"/>
          <w:sz w:val="24"/>
          <w:szCs w:val="24"/>
          <w:lang w:val="en-ZA"/>
        </w:rPr>
        <w:t>, which coincided with an overall deterioration of safety performance.</w:t>
      </w:r>
    </w:p>
    <w:p w14:paraId="5DCC7442"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p>
    <w:p w14:paraId="0794F59A" w14:textId="2778C2F1" w:rsidR="00DE4A36" w:rsidRPr="000D5F03" w:rsidRDefault="00283AF7"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 xml:space="preserve">The main driver behind the two targets that </w:t>
      </w:r>
      <w:proofErr w:type="gramStart"/>
      <w:r w:rsidRPr="000D5F03">
        <w:rPr>
          <w:rFonts w:ascii="Times New Roman" w:hAnsi="Times New Roman"/>
          <w:sz w:val="24"/>
          <w:szCs w:val="24"/>
          <w:lang w:val="en-ZA"/>
        </w:rPr>
        <w:t>were not met</w:t>
      </w:r>
      <w:proofErr w:type="gramEnd"/>
      <w:r w:rsidRPr="000D5F03">
        <w:rPr>
          <w:rFonts w:ascii="Times New Roman" w:hAnsi="Times New Roman"/>
          <w:sz w:val="24"/>
          <w:szCs w:val="24"/>
          <w:lang w:val="en-ZA"/>
        </w:rPr>
        <w:t xml:space="preserve"> in the programme, namely percen</w:t>
      </w:r>
      <w:r w:rsidRPr="000D5F03">
        <w:rPr>
          <w:rFonts w:ascii="Times New Roman" w:hAnsi="Times New Roman"/>
          <w:sz w:val="24"/>
          <w:szCs w:val="24"/>
          <w:lang w:val="en-ZA"/>
        </w:rPr>
        <w:t>t</w:t>
      </w:r>
      <w:r w:rsidRPr="000D5F03">
        <w:rPr>
          <w:rFonts w:ascii="Times New Roman" w:hAnsi="Times New Roman"/>
          <w:sz w:val="24"/>
          <w:szCs w:val="24"/>
          <w:lang w:val="en-ZA"/>
        </w:rPr>
        <w:t xml:space="preserve">age reduction in fatalities as well as occupational injuries, was the increase in fall of ground accidents, fires and heat related accidents. It is important </w:t>
      </w:r>
      <w:proofErr w:type="gramStart"/>
      <w:r w:rsidRPr="000D5F03">
        <w:rPr>
          <w:rFonts w:ascii="Times New Roman" w:hAnsi="Times New Roman"/>
          <w:sz w:val="24"/>
          <w:szCs w:val="24"/>
          <w:lang w:val="en-ZA"/>
        </w:rPr>
        <w:t>to also note</w:t>
      </w:r>
      <w:proofErr w:type="gramEnd"/>
      <w:r w:rsidRPr="000D5F03">
        <w:rPr>
          <w:rFonts w:ascii="Times New Roman" w:hAnsi="Times New Roman"/>
          <w:sz w:val="24"/>
          <w:szCs w:val="24"/>
          <w:lang w:val="en-ZA"/>
        </w:rPr>
        <w:t xml:space="preserve"> that the above perfo</w:t>
      </w:r>
      <w:r w:rsidRPr="000D5F03">
        <w:rPr>
          <w:rFonts w:ascii="Times New Roman" w:hAnsi="Times New Roman"/>
          <w:sz w:val="24"/>
          <w:szCs w:val="24"/>
          <w:lang w:val="en-ZA"/>
        </w:rPr>
        <w:t>r</w:t>
      </w:r>
      <w:r w:rsidRPr="000D5F03">
        <w:rPr>
          <w:rFonts w:ascii="Times New Roman" w:hAnsi="Times New Roman"/>
          <w:sz w:val="24"/>
          <w:szCs w:val="24"/>
          <w:lang w:val="en-ZA"/>
        </w:rPr>
        <w:t>mance measurements a</w:t>
      </w:r>
      <w:r w:rsidR="00B94BA0" w:rsidRPr="000D5F03">
        <w:rPr>
          <w:rFonts w:ascii="Times New Roman" w:hAnsi="Times New Roman"/>
          <w:sz w:val="24"/>
          <w:szCs w:val="24"/>
          <w:lang w:val="en-ZA"/>
        </w:rPr>
        <w:t xml:space="preserve">re not within the direct control of the </w:t>
      </w:r>
      <w:r w:rsidR="00E83EE9" w:rsidRPr="000D5F03">
        <w:rPr>
          <w:rFonts w:ascii="Times New Roman" w:hAnsi="Times New Roman"/>
          <w:sz w:val="24"/>
          <w:szCs w:val="24"/>
          <w:lang w:val="en-ZA"/>
        </w:rPr>
        <w:t>inspectorate and</w:t>
      </w:r>
      <w:r w:rsidR="00B94BA0" w:rsidRPr="000D5F03">
        <w:rPr>
          <w:rFonts w:ascii="Times New Roman" w:hAnsi="Times New Roman"/>
          <w:sz w:val="24"/>
          <w:szCs w:val="24"/>
          <w:lang w:val="en-ZA"/>
        </w:rPr>
        <w:t xml:space="preserve"> are thus que</w:t>
      </w:r>
      <w:r w:rsidR="00B94BA0" w:rsidRPr="000D5F03">
        <w:rPr>
          <w:rFonts w:ascii="Times New Roman" w:hAnsi="Times New Roman"/>
          <w:sz w:val="24"/>
          <w:szCs w:val="24"/>
          <w:lang w:val="en-ZA"/>
        </w:rPr>
        <w:t>s</w:t>
      </w:r>
      <w:r w:rsidR="00B94BA0" w:rsidRPr="000D5F03">
        <w:rPr>
          <w:rFonts w:ascii="Times New Roman" w:hAnsi="Times New Roman"/>
          <w:sz w:val="24"/>
          <w:szCs w:val="24"/>
          <w:lang w:val="en-ZA"/>
        </w:rPr>
        <w:t xml:space="preserve">tionable as performance indicators for the MHSI. </w:t>
      </w:r>
    </w:p>
    <w:p w14:paraId="789EBE74" w14:textId="77777777" w:rsidR="00216BB7" w:rsidRPr="000D5F03" w:rsidRDefault="00216BB7" w:rsidP="000D5F03">
      <w:pPr>
        <w:suppressAutoHyphens w:val="0"/>
        <w:autoSpaceDN/>
        <w:spacing w:line="360" w:lineRule="auto"/>
        <w:jc w:val="both"/>
        <w:textAlignment w:val="auto"/>
        <w:rPr>
          <w:rFonts w:ascii="Times New Roman" w:hAnsi="Times New Roman"/>
          <w:sz w:val="24"/>
          <w:szCs w:val="24"/>
          <w:lang w:val="en-ZA"/>
        </w:rPr>
      </w:pPr>
    </w:p>
    <w:p w14:paraId="7CFD5A1A" w14:textId="5EDB4C4C" w:rsidR="00B94BA0" w:rsidRPr="000D5F03" w:rsidRDefault="00DE4A36" w:rsidP="000D5F03">
      <w:pPr>
        <w:suppressAutoHyphens w:val="0"/>
        <w:autoSpaceDN/>
        <w:spacing w:line="360" w:lineRule="auto"/>
        <w:jc w:val="both"/>
        <w:textAlignment w:val="auto"/>
        <w:rPr>
          <w:rFonts w:ascii="Times New Roman" w:hAnsi="Times New Roman"/>
          <w:color w:val="auto"/>
          <w:sz w:val="24"/>
          <w:szCs w:val="24"/>
          <w:lang w:val="en-ZA"/>
        </w:rPr>
      </w:pPr>
      <w:r w:rsidRPr="000D5F03">
        <w:rPr>
          <w:rFonts w:ascii="Times New Roman" w:hAnsi="Times New Roman"/>
          <w:sz w:val="24"/>
          <w:szCs w:val="24"/>
          <w:lang w:val="en-ZA"/>
        </w:rPr>
        <w:t>It is also critical to contrast the above score with the overall improved safety performance of the programme, as there was a 30 percent reduction in the number of occupational diseases recorded in the mining sector as well as the 19 percent reduction on fatalities, which fell from 90 during the previous financial year to 81. Lastly the Department contributed to skills deve</w:t>
      </w:r>
      <w:r w:rsidRPr="000D5F03">
        <w:rPr>
          <w:rFonts w:ascii="Times New Roman" w:hAnsi="Times New Roman"/>
          <w:sz w:val="24"/>
          <w:szCs w:val="24"/>
          <w:lang w:val="en-ZA"/>
        </w:rPr>
        <w:t>l</w:t>
      </w:r>
      <w:r w:rsidRPr="000D5F03">
        <w:rPr>
          <w:rFonts w:ascii="Times New Roman" w:hAnsi="Times New Roman"/>
          <w:sz w:val="24"/>
          <w:szCs w:val="24"/>
          <w:lang w:val="en-ZA"/>
        </w:rPr>
        <w:t>opment by issuing 264 Government Competency Certificates (GCC)</w:t>
      </w:r>
      <w:r w:rsidRPr="000D5F03">
        <w:rPr>
          <w:rFonts w:ascii="Times New Roman" w:hAnsi="Times New Roman"/>
          <w:color w:val="auto"/>
          <w:sz w:val="24"/>
          <w:szCs w:val="24"/>
          <w:lang w:val="en-ZA"/>
        </w:rPr>
        <w:t>.</w:t>
      </w:r>
      <w:r w:rsidR="00B94BA0" w:rsidRPr="000D5F03">
        <w:rPr>
          <w:rFonts w:ascii="Times New Roman" w:hAnsi="Times New Roman"/>
          <w:color w:val="auto"/>
          <w:sz w:val="24"/>
          <w:szCs w:val="24"/>
          <w:lang w:val="en-ZA"/>
        </w:rPr>
        <w:t xml:space="preserve"> </w:t>
      </w:r>
    </w:p>
    <w:p w14:paraId="1E76A24A" w14:textId="77777777" w:rsidR="00B94BA0" w:rsidRPr="000D5F03" w:rsidRDefault="00B94BA0" w:rsidP="000D5F03">
      <w:pPr>
        <w:suppressAutoHyphens w:val="0"/>
        <w:autoSpaceDN/>
        <w:spacing w:line="360" w:lineRule="auto"/>
        <w:jc w:val="both"/>
        <w:textAlignment w:val="auto"/>
        <w:rPr>
          <w:rFonts w:ascii="Times New Roman" w:hAnsi="Times New Roman"/>
          <w:color w:val="auto"/>
          <w:sz w:val="24"/>
          <w:szCs w:val="24"/>
          <w:lang w:val="en-ZA"/>
        </w:rPr>
      </w:pPr>
    </w:p>
    <w:p w14:paraId="483CBAB0" w14:textId="77777777" w:rsidR="00B94BA0" w:rsidRPr="000D5F03" w:rsidRDefault="00DE4A36" w:rsidP="000D5F03">
      <w:pPr>
        <w:suppressAutoHyphens w:val="0"/>
        <w:autoSpaceDN/>
        <w:spacing w:line="360" w:lineRule="auto"/>
        <w:jc w:val="both"/>
        <w:textAlignment w:val="auto"/>
        <w:rPr>
          <w:rFonts w:ascii="Times New Roman" w:hAnsi="Times New Roman"/>
          <w:color w:val="auto"/>
          <w:sz w:val="24"/>
          <w:szCs w:val="24"/>
          <w:lang w:val="en-ZA"/>
        </w:rPr>
      </w:pPr>
      <w:r w:rsidRPr="000D5F03">
        <w:rPr>
          <w:rFonts w:ascii="Times New Roman" w:hAnsi="Times New Roman"/>
          <w:color w:val="auto"/>
          <w:sz w:val="24"/>
          <w:szCs w:val="24"/>
          <w:lang w:val="en-ZA"/>
        </w:rPr>
        <w:t>There has also been a significant decrease in the complaints by the industry regarding the a</w:t>
      </w:r>
      <w:r w:rsidRPr="000D5F03">
        <w:rPr>
          <w:rFonts w:ascii="Times New Roman" w:hAnsi="Times New Roman"/>
          <w:color w:val="auto"/>
          <w:sz w:val="24"/>
          <w:szCs w:val="24"/>
          <w:lang w:val="en-ZA"/>
        </w:rPr>
        <w:t>p</w:t>
      </w:r>
      <w:r w:rsidRPr="000D5F03">
        <w:rPr>
          <w:rFonts w:ascii="Times New Roman" w:hAnsi="Times New Roman"/>
          <w:color w:val="auto"/>
          <w:sz w:val="24"/>
          <w:szCs w:val="24"/>
          <w:lang w:val="en-ZA"/>
        </w:rPr>
        <w:t xml:space="preserve">plication of </w:t>
      </w:r>
      <w:r w:rsidR="00B94BA0" w:rsidRPr="000D5F03">
        <w:rPr>
          <w:rFonts w:ascii="Times New Roman" w:hAnsi="Times New Roman"/>
          <w:color w:val="auto"/>
          <w:sz w:val="24"/>
          <w:szCs w:val="24"/>
          <w:lang w:val="en-ZA"/>
        </w:rPr>
        <w:t>Section 54 and Section 55 instructions</w:t>
      </w:r>
      <w:r w:rsidRPr="000D5F03">
        <w:rPr>
          <w:rFonts w:ascii="Times New Roman" w:hAnsi="Times New Roman"/>
          <w:color w:val="auto"/>
          <w:sz w:val="24"/>
          <w:szCs w:val="24"/>
          <w:lang w:val="en-ZA"/>
        </w:rPr>
        <w:t>, which have been a source of major c</w:t>
      </w:r>
      <w:r w:rsidR="00B94BA0" w:rsidRPr="000D5F03">
        <w:rPr>
          <w:rFonts w:ascii="Times New Roman" w:hAnsi="Times New Roman"/>
          <w:color w:val="auto"/>
          <w:sz w:val="24"/>
          <w:szCs w:val="24"/>
          <w:lang w:val="en-ZA"/>
        </w:rPr>
        <w:t>o</w:t>
      </w:r>
      <w:r w:rsidR="00B94BA0" w:rsidRPr="000D5F03">
        <w:rPr>
          <w:rFonts w:ascii="Times New Roman" w:hAnsi="Times New Roman"/>
          <w:color w:val="auto"/>
          <w:sz w:val="24"/>
          <w:szCs w:val="24"/>
          <w:lang w:val="en-ZA"/>
        </w:rPr>
        <w:t>n</w:t>
      </w:r>
      <w:r w:rsidR="00B94BA0" w:rsidRPr="000D5F03">
        <w:rPr>
          <w:rFonts w:ascii="Times New Roman" w:hAnsi="Times New Roman"/>
          <w:color w:val="auto"/>
          <w:sz w:val="24"/>
          <w:szCs w:val="24"/>
          <w:lang w:val="en-ZA"/>
        </w:rPr>
        <w:t>trovers</w:t>
      </w:r>
      <w:r w:rsidRPr="000D5F03">
        <w:rPr>
          <w:rFonts w:ascii="Times New Roman" w:hAnsi="Times New Roman"/>
          <w:color w:val="auto"/>
          <w:sz w:val="24"/>
          <w:szCs w:val="24"/>
          <w:lang w:val="en-ZA"/>
        </w:rPr>
        <w:t>y in the previous years.</w:t>
      </w:r>
      <w:r w:rsidR="00216BB7" w:rsidRPr="000D5F03">
        <w:rPr>
          <w:rFonts w:ascii="Times New Roman" w:hAnsi="Times New Roman"/>
          <w:color w:val="auto"/>
          <w:sz w:val="24"/>
          <w:szCs w:val="24"/>
          <w:lang w:val="en-ZA"/>
        </w:rPr>
        <w:t xml:space="preserve"> </w:t>
      </w:r>
      <w:proofErr w:type="gramStart"/>
      <w:r w:rsidR="00216BB7" w:rsidRPr="000D5F03">
        <w:rPr>
          <w:rFonts w:ascii="Times New Roman" w:hAnsi="Times New Roman"/>
          <w:color w:val="auto"/>
          <w:sz w:val="24"/>
          <w:szCs w:val="24"/>
          <w:lang w:val="en-ZA"/>
        </w:rPr>
        <w:t>During the Mine Health and safety summit held in October 2018, hosted by the Mine Health and Safety Inspectorate, two directives were given to all mines: The first one was that mines should endeavour to eliminate fire, heat and oxygen def</w:t>
      </w:r>
      <w:r w:rsidR="00216BB7" w:rsidRPr="000D5F03">
        <w:rPr>
          <w:rFonts w:ascii="Times New Roman" w:hAnsi="Times New Roman"/>
          <w:color w:val="auto"/>
          <w:sz w:val="24"/>
          <w:szCs w:val="24"/>
          <w:lang w:val="en-ZA"/>
        </w:rPr>
        <w:t>i</w:t>
      </w:r>
      <w:r w:rsidR="00216BB7" w:rsidRPr="000D5F03">
        <w:rPr>
          <w:rFonts w:ascii="Times New Roman" w:hAnsi="Times New Roman"/>
          <w:color w:val="auto"/>
          <w:sz w:val="24"/>
          <w:szCs w:val="24"/>
          <w:lang w:val="en-ZA"/>
        </w:rPr>
        <w:t>ciency related accidents, especially when individuals gain access to abandoned or old mined out areas underground at a mine, secondly to eliminate rock burst and rock fall related acc</w:t>
      </w:r>
      <w:r w:rsidR="00216BB7" w:rsidRPr="000D5F03">
        <w:rPr>
          <w:rFonts w:ascii="Times New Roman" w:hAnsi="Times New Roman"/>
          <w:color w:val="auto"/>
          <w:sz w:val="24"/>
          <w:szCs w:val="24"/>
          <w:lang w:val="en-ZA"/>
        </w:rPr>
        <w:t>i</w:t>
      </w:r>
      <w:r w:rsidR="00216BB7" w:rsidRPr="000D5F03">
        <w:rPr>
          <w:rFonts w:ascii="Times New Roman" w:hAnsi="Times New Roman"/>
          <w:color w:val="auto"/>
          <w:sz w:val="24"/>
          <w:szCs w:val="24"/>
          <w:lang w:val="en-ZA"/>
        </w:rPr>
        <w:t>dents, specifically with pillar extraction.</w:t>
      </w:r>
      <w:proofErr w:type="gramEnd"/>
      <w:r w:rsidR="00216BB7" w:rsidRPr="000D5F03">
        <w:rPr>
          <w:rFonts w:ascii="Times New Roman" w:hAnsi="Times New Roman"/>
          <w:color w:val="auto"/>
          <w:sz w:val="24"/>
          <w:szCs w:val="24"/>
          <w:lang w:val="en-ZA"/>
        </w:rPr>
        <w:t xml:space="preserve"> The above directive</w:t>
      </w:r>
      <w:r w:rsidR="007D2686" w:rsidRPr="000D5F03">
        <w:rPr>
          <w:rFonts w:ascii="Times New Roman" w:hAnsi="Times New Roman"/>
          <w:color w:val="auto"/>
          <w:sz w:val="24"/>
          <w:szCs w:val="24"/>
          <w:lang w:val="en-ZA"/>
        </w:rPr>
        <w:t>s</w:t>
      </w:r>
      <w:r w:rsidR="00216BB7" w:rsidRPr="000D5F03">
        <w:rPr>
          <w:rFonts w:ascii="Times New Roman" w:hAnsi="Times New Roman"/>
          <w:color w:val="auto"/>
          <w:sz w:val="24"/>
          <w:szCs w:val="24"/>
          <w:lang w:val="en-ZA"/>
        </w:rPr>
        <w:t xml:space="preserve"> are important given the dispr</w:t>
      </w:r>
      <w:r w:rsidR="00216BB7" w:rsidRPr="000D5F03">
        <w:rPr>
          <w:rFonts w:ascii="Times New Roman" w:hAnsi="Times New Roman"/>
          <w:color w:val="auto"/>
          <w:sz w:val="24"/>
          <w:szCs w:val="24"/>
          <w:lang w:val="en-ZA"/>
        </w:rPr>
        <w:t>o</w:t>
      </w:r>
      <w:r w:rsidR="00216BB7" w:rsidRPr="000D5F03">
        <w:rPr>
          <w:rFonts w:ascii="Times New Roman" w:hAnsi="Times New Roman"/>
          <w:color w:val="auto"/>
          <w:sz w:val="24"/>
          <w:szCs w:val="24"/>
          <w:lang w:val="en-ZA"/>
        </w:rPr>
        <w:t>portionate contribution of fall of ground and rock fall incidents to the overall mine fatality and injury statistic.</w:t>
      </w:r>
    </w:p>
    <w:p w14:paraId="5CD2C88E" w14:textId="77777777" w:rsidR="00B94BA0" w:rsidRPr="000D5F03" w:rsidRDefault="00B94BA0" w:rsidP="000D5F03">
      <w:pPr>
        <w:suppressAutoHyphens w:val="0"/>
        <w:autoSpaceDN/>
        <w:spacing w:line="360" w:lineRule="auto"/>
        <w:jc w:val="both"/>
        <w:textAlignment w:val="auto"/>
        <w:rPr>
          <w:rFonts w:ascii="Times New Roman" w:hAnsi="Times New Roman"/>
          <w:sz w:val="24"/>
          <w:szCs w:val="24"/>
          <w:lang w:val="en-ZA"/>
        </w:rPr>
      </w:pPr>
    </w:p>
    <w:p w14:paraId="1D64C887" w14:textId="77777777" w:rsidR="00855997" w:rsidRPr="000D5F03" w:rsidRDefault="00DF2C3E" w:rsidP="000D5F03">
      <w:pPr>
        <w:pStyle w:val="BodyText"/>
        <w:keepNext/>
        <w:keepLines/>
        <w:spacing w:line="360" w:lineRule="auto"/>
        <w:rPr>
          <w:rFonts w:ascii="Times New Roman" w:hAnsi="Times New Roman"/>
          <w:b/>
          <w:sz w:val="24"/>
          <w:szCs w:val="24"/>
        </w:rPr>
      </w:pPr>
      <w:r w:rsidRPr="000D5F03">
        <w:rPr>
          <w:rFonts w:ascii="Times New Roman" w:hAnsi="Times New Roman"/>
          <w:b/>
          <w:sz w:val="24"/>
          <w:szCs w:val="24"/>
        </w:rPr>
        <w:t>4</w:t>
      </w:r>
      <w:r w:rsidR="00855997" w:rsidRPr="000D5F03">
        <w:rPr>
          <w:rFonts w:ascii="Times New Roman" w:hAnsi="Times New Roman"/>
          <w:b/>
          <w:sz w:val="24"/>
          <w:szCs w:val="24"/>
        </w:rPr>
        <w:t>.3.</w:t>
      </w:r>
      <w:r w:rsidR="00855997" w:rsidRPr="000D5F03">
        <w:rPr>
          <w:rFonts w:ascii="Times New Roman" w:hAnsi="Times New Roman"/>
          <w:b/>
          <w:sz w:val="24"/>
          <w:szCs w:val="24"/>
        </w:rPr>
        <w:tab/>
        <w:t>Programme 3: Mineral Regulation</w:t>
      </w:r>
    </w:p>
    <w:p w14:paraId="3E6DADD2" w14:textId="77777777" w:rsidR="00DF2C3E" w:rsidRPr="000D5F03" w:rsidRDefault="00DF2C3E" w:rsidP="000D5F03">
      <w:pPr>
        <w:spacing w:line="360" w:lineRule="auto"/>
        <w:rPr>
          <w:rFonts w:ascii="Times New Roman" w:hAnsi="Times New Roman"/>
          <w:sz w:val="24"/>
          <w:szCs w:val="24"/>
          <w:lang w:val="en-ZA"/>
        </w:rPr>
      </w:pPr>
      <w:r w:rsidRPr="000D5F03">
        <w:rPr>
          <w:rFonts w:ascii="Times New Roman" w:hAnsi="Times New Roman"/>
          <w:sz w:val="24"/>
          <w:szCs w:val="24"/>
          <w:lang w:val="en-ZA"/>
        </w:rPr>
        <w:t xml:space="preserve">The purpose of the Mineral Regulation Programme is to “regulate the minerals and mining sector to achieve transformation and sustainable development” </w:t>
      </w:r>
    </w:p>
    <w:p w14:paraId="10B235C5" w14:textId="77777777" w:rsidR="00DF2C3E" w:rsidRPr="000D5F03" w:rsidRDefault="00DF2C3E" w:rsidP="000D5F03">
      <w:pPr>
        <w:pStyle w:val="BodyText"/>
        <w:spacing w:line="360" w:lineRule="auto"/>
        <w:rPr>
          <w:rFonts w:ascii="Times New Roman" w:hAnsi="Times New Roman"/>
          <w:sz w:val="24"/>
          <w:szCs w:val="24"/>
        </w:rPr>
      </w:pPr>
    </w:p>
    <w:p w14:paraId="1FC5904C" w14:textId="74404D00" w:rsidR="000F59F5" w:rsidRPr="000D5F03" w:rsidRDefault="00DF2C3E" w:rsidP="000D5F03">
      <w:pPr>
        <w:spacing w:line="360" w:lineRule="auto"/>
        <w:jc w:val="both"/>
        <w:rPr>
          <w:rFonts w:ascii="Times New Roman" w:hAnsi="Times New Roman"/>
          <w:color w:val="auto"/>
          <w:sz w:val="24"/>
          <w:szCs w:val="24"/>
          <w:lang w:val="en-ZA"/>
        </w:rPr>
      </w:pPr>
      <w:r w:rsidRPr="000D5F03">
        <w:rPr>
          <w:rFonts w:ascii="Times New Roman" w:hAnsi="Times New Roman"/>
          <w:color w:val="auto"/>
          <w:sz w:val="24"/>
          <w:szCs w:val="24"/>
          <w:lang w:val="en-ZA"/>
        </w:rPr>
        <w:t>The DMR</w:t>
      </w:r>
      <w:r w:rsidR="000F59F5" w:rsidRPr="000D5F03">
        <w:rPr>
          <w:rFonts w:ascii="Times New Roman" w:hAnsi="Times New Roman"/>
          <w:color w:val="auto"/>
          <w:sz w:val="24"/>
          <w:szCs w:val="24"/>
          <w:lang w:val="en-ZA"/>
        </w:rPr>
        <w:t>E (Vote 29)</w:t>
      </w:r>
      <w:r w:rsidRPr="000D5F03">
        <w:rPr>
          <w:rFonts w:ascii="Times New Roman" w:hAnsi="Times New Roman"/>
          <w:color w:val="auto"/>
          <w:sz w:val="24"/>
          <w:szCs w:val="24"/>
          <w:lang w:val="en-ZA"/>
        </w:rPr>
        <w:t xml:space="preserve"> achieved </w:t>
      </w:r>
      <w:r w:rsidR="000D5F03">
        <w:rPr>
          <w:rFonts w:ascii="Times New Roman" w:hAnsi="Times New Roman"/>
          <w:color w:val="auto"/>
          <w:sz w:val="24"/>
          <w:szCs w:val="24"/>
          <w:lang w:val="en-ZA"/>
        </w:rPr>
        <w:t>70</w:t>
      </w:r>
      <w:r w:rsidRPr="000D5F03">
        <w:rPr>
          <w:rFonts w:ascii="Times New Roman" w:hAnsi="Times New Roman"/>
          <w:color w:val="auto"/>
          <w:sz w:val="24"/>
          <w:szCs w:val="24"/>
          <w:lang w:val="en-ZA"/>
        </w:rPr>
        <w:t xml:space="preserve"> percent (1</w:t>
      </w:r>
      <w:r w:rsidR="000F59F5" w:rsidRPr="000D5F03">
        <w:rPr>
          <w:rFonts w:ascii="Times New Roman" w:hAnsi="Times New Roman"/>
          <w:color w:val="auto"/>
          <w:sz w:val="24"/>
          <w:szCs w:val="24"/>
          <w:lang w:val="en-ZA"/>
        </w:rPr>
        <w:t>9</w:t>
      </w:r>
      <w:r w:rsidRPr="000D5F03">
        <w:rPr>
          <w:rFonts w:ascii="Times New Roman" w:hAnsi="Times New Roman"/>
          <w:color w:val="auto"/>
          <w:sz w:val="24"/>
          <w:szCs w:val="24"/>
          <w:lang w:val="en-ZA"/>
        </w:rPr>
        <w:t xml:space="preserve"> out of 2</w:t>
      </w:r>
      <w:r w:rsidR="000F59F5" w:rsidRPr="000D5F03">
        <w:rPr>
          <w:rFonts w:ascii="Times New Roman" w:hAnsi="Times New Roman"/>
          <w:color w:val="auto"/>
          <w:sz w:val="24"/>
          <w:szCs w:val="24"/>
          <w:lang w:val="en-ZA"/>
        </w:rPr>
        <w:t>7</w:t>
      </w:r>
      <w:r w:rsidRPr="000D5F03">
        <w:rPr>
          <w:rFonts w:ascii="Times New Roman" w:hAnsi="Times New Roman"/>
          <w:color w:val="auto"/>
          <w:sz w:val="24"/>
          <w:szCs w:val="24"/>
          <w:lang w:val="en-ZA"/>
        </w:rPr>
        <w:t xml:space="preserve">) of the performance measures set for Programme 3. This is </w:t>
      </w:r>
      <w:r w:rsidR="000F59F5" w:rsidRPr="000D5F03">
        <w:rPr>
          <w:rFonts w:ascii="Times New Roman" w:hAnsi="Times New Roman"/>
          <w:color w:val="auto"/>
          <w:sz w:val="24"/>
          <w:szCs w:val="24"/>
          <w:lang w:val="en-ZA"/>
        </w:rPr>
        <w:t xml:space="preserve">an improvement </w:t>
      </w:r>
      <w:r w:rsidRPr="000D5F03">
        <w:rPr>
          <w:rFonts w:ascii="Times New Roman" w:hAnsi="Times New Roman"/>
          <w:color w:val="auto"/>
          <w:sz w:val="24"/>
          <w:szCs w:val="24"/>
          <w:lang w:val="en-ZA"/>
        </w:rPr>
        <w:t>from 201</w:t>
      </w:r>
      <w:r w:rsidR="00120493" w:rsidRPr="000D5F03">
        <w:rPr>
          <w:rFonts w:ascii="Times New Roman" w:hAnsi="Times New Roman"/>
          <w:color w:val="auto"/>
          <w:sz w:val="24"/>
          <w:szCs w:val="24"/>
          <w:lang w:val="en-ZA"/>
        </w:rPr>
        <w:t>7</w:t>
      </w:r>
      <w:r w:rsidRPr="000D5F03">
        <w:rPr>
          <w:rFonts w:ascii="Times New Roman" w:hAnsi="Times New Roman"/>
          <w:color w:val="auto"/>
          <w:sz w:val="24"/>
          <w:szCs w:val="24"/>
          <w:lang w:val="en-ZA"/>
        </w:rPr>
        <w:t>/1</w:t>
      </w:r>
      <w:r w:rsidR="00120493" w:rsidRPr="000D5F03">
        <w:rPr>
          <w:rFonts w:ascii="Times New Roman" w:hAnsi="Times New Roman"/>
          <w:color w:val="auto"/>
          <w:sz w:val="24"/>
          <w:szCs w:val="24"/>
          <w:lang w:val="en-ZA"/>
        </w:rPr>
        <w:t>8</w:t>
      </w:r>
      <w:r w:rsidRPr="000D5F03">
        <w:rPr>
          <w:rFonts w:ascii="Times New Roman" w:hAnsi="Times New Roman"/>
          <w:color w:val="auto"/>
          <w:sz w:val="24"/>
          <w:szCs w:val="24"/>
          <w:lang w:val="en-ZA"/>
        </w:rPr>
        <w:t xml:space="preserve"> when </w:t>
      </w:r>
      <w:r w:rsidR="000F59F5" w:rsidRPr="000D5F03">
        <w:rPr>
          <w:rFonts w:ascii="Times New Roman" w:hAnsi="Times New Roman"/>
          <w:color w:val="auto"/>
          <w:sz w:val="24"/>
          <w:szCs w:val="24"/>
          <w:lang w:val="en-ZA"/>
        </w:rPr>
        <w:t>5</w:t>
      </w:r>
      <w:r w:rsidRPr="000D5F03">
        <w:rPr>
          <w:rFonts w:ascii="Times New Roman" w:hAnsi="Times New Roman"/>
          <w:color w:val="auto"/>
          <w:sz w:val="24"/>
          <w:szCs w:val="24"/>
          <w:lang w:val="en-ZA"/>
        </w:rPr>
        <w:t xml:space="preserve">9 percent </w:t>
      </w:r>
      <w:r w:rsidR="000F59F5" w:rsidRPr="000D5F03">
        <w:rPr>
          <w:rFonts w:ascii="Times New Roman" w:hAnsi="Times New Roman"/>
          <w:color w:val="auto"/>
          <w:sz w:val="24"/>
          <w:szCs w:val="24"/>
          <w:lang w:val="en-ZA"/>
        </w:rPr>
        <w:t>of performance</w:t>
      </w:r>
      <w:r w:rsidRPr="000D5F03">
        <w:rPr>
          <w:rFonts w:ascii="Times New Roman" w:hAnsi="Times New Roman"/>
          <w:color w:val="auto"/>
          <w:sz w:val="24"/>
          <w:szCs w:val="24"/>
          <w:lang w:val="en-ZA"/>
        </w:rPr>
        <w:t xml:space="preserve"> measures </w:t>
      </w:r>
      <w:r w:rsidR="000F59F5" w:rsidRPr="000D5F03">
        <w:rPr>
          <w:rFonts w:ascii="Times New Roman" w:hAnsi="Times New Roman"/>
          <w:color w:val="auto"/>
          <w:sz w:val="24"/>
          <w:szCs w:val="24"/>
          <w:lang w:val="en-ZA"/>
        </w:rPr>
        <w:t xml:space="preserve">that </w:t>
      </w:r>
      <w:r w:rsidRPr="000D5F03">
        <w:rPr>
          <w:rFonts w:ascii="Times New Roman" w:hAnsi="Times New Roman"/>
          <w:color w:val="auto"/>
          <w:sz w:val="24"/>
          <w:szCs w:val="24"/>
          <w:lang w:val="en-ZA"/>
        </w:rPr>
        <w:t>were achieved.</w:t>
      </w:r>
      <w:r w:rsidR="000F59F5" w:rsidRPr="000D5F03">
        <w:rPr>
          <w:rFonts w:ascii="Times New Roman" w:hAnsi="Times New Roman"/>
          <w:color w:val="auto"/>
          <w:sz w:val="24"/>
          <w:szCs w:val="24"/>
          <w:lang w:val="en-ZA"/>
        </w:rPr>
        <w:t xml:space="preserve"> The following performance targets for Programme 3 (Mineral Regulation) </w:t>
      </w:r>
      <w:proofErr w:type="gramStart"/>
      <w:r w:rsidR="000F59F5" w:rsidRPr="000D5F03">
        <w:rPr>
          <w:rFonts w:ascii="Times New Roman" w:hAnsi="Times New Roman"/>
          <w:color w:val="auto"/>
          <w:sz w:val="24"/>
          <w:szCs w:val="24"/>
          <w:lang w:val="en-ZA"/>
        </w:rPr>
        <w:t>were either partially or not achieved</w:t>
      </w:r>
      <w:proofErr w:type="gramEnd"/>
      <w:r w:rsidR="000F59F5" w:rsidRPr="000D5F03">
        <w:rPr>
          <w:rFonts w:ascii="Times New Roman" w:hAnsi="Times New Roman"/>
          <w:color w:val="auto"/>
          <w:sz w:val="24"/>
          <w:szCs w:val="24"/>
          <w:lang w:val="en-ZA"/>
        </w:rPr>
        <w:t xml:space="preserve"> as listed on Table 3.2. Office closure of the Mpumalanga Regional office contributed about a third to the total of performance targets that were not achieved (Table 4.3.1 number 1 and 7) by the Department. The above issue warrants special attention from the Department, in order to ensure that the Mineral Regulation branch functions optimally as to be able to </w:t>
      </w:r>
      <w:r w:rsidR="007D2686" w:rsidRPr="000D5F03">
        <w:rPr>
          <w:rFonts w:ascii="Times New Roman" w:hAnsi="Times New Roman"/>
          <w:color w:val="auto"/>
          <w:sz w:val="24"/>
          <w:szCs w:val="24"/>
          <w:lang w:val="en-ZA"/>
        </w:rPr>
        <w:t>fulfil</w:t>
      </w:r>
      <w:r w:rsidR="000F59F5" w:rsidRPr="000D5F03">
        <w:rPr>
          <w:rFonts w:ascii="Times New Roman" w:hAnsi="Times New Roman"/>
          <w:color w:val="auto"/>
          <w:sz w:val="24"/>
          <w:szCs w:val="24"/>
          <w:lang w:val="en-ZA"/>
        </w:rPr>
        <w:t xml:space="preserve"> its mandate optimally and deliver to the industry stakeholders in an efficient and timeous manner.</w:t>
      </w:r>
    </w:p>
    <w:p w14:paraId="2AFB4230" w14:textId="18574ECB" w:rsidR="007D2686" w:rsidRPr="000D5F03" w:rsidRDefault="007D2686" w:rsidP="000D5F03">
      <w:pPr>
        <w:suppressAutoHyphens w:val="0"/>
        <w:autoSpaceDN/>
        <w:spacing w:line="360" w:lineRule="auto"/>
        <w:jc w:val="both"/>
        <w:textAlignment w:val="auto"/>
        <w:rPr>
          <w:rFonts w:ascii="Times New Roman" w:hAnsi="Times New Roman"/>
          <w:b/>
          <w:sz w:val="24"/>
          <w:szCs w:val="24"/>
          <w:u w:val="single"/>
          <w:lang w:val="en-ZA"/>
        </w:rPr>
      </w:pPr>
    </w:p>
    <w:p w14:paraId="0426FB04" w14:textId="7AF1E79F" w:rsidR="000F59F5" w:rsidRPr="000D5F03" w:rsidRDefault="000F59F5" w:rsidP="000D5F03">
      <w:pPr>
        <w:suppressAutoHyphens w:val="0"/>
        <w:autoSpaceDN/>
        <w:spacing w:line="360" w:lineRule="auto"/>
        <w:jc w:val="both"/>
        <w:textAlignment w:val="auto"/>
        <w:rPr>
          <w:rFonts w:ascii="Times New Roman" w:hAnsi="Times New Roman"/>
          <w:b/>
          <w:sz w:val="24"/>
          <w:szCs w:val="24"/>
          <w:u w:val="single"/>
          <w:lang w:val="en-ZA"/>
        </w:rPr>
      </w:pPr>
      <w:r w:rsidRPr="000D5F03">
        <w:rPr>
          <w:rFonts w:ascii="Times New Roman" w:hAnsi="Times New Roman"/>
          <w:b/>
          <w:sz w:val="24"/>
          <w:szCs w:val="24"/>
          <w:u w:val="single"/>
          <w:lang w:val="en-ZA"/>
        </w:rPr>
        <w:t>Table 4.3.1</w:t>
      </w:r>
    </w:p>
    <w:p w14:paraId="2D4FAFD4" w14:textId="77777777" w:rsidR="00F47620" w:rsidRPr="000D5F03" w:rsidRDefault="00F47620" w:rsidP="000D5F03">
      <w:pPr>
        <w:suppressAutoHyphens w:val="0"/>
        <w:autoSpaceDN/>
        <w:spacing w:line="360" w:lineRule="auto"/>
        <w:jc w:val="both"/>
        <w:textAlignment w:val="auto"/>
        <w:rPr>
          <w:rFonts w:ascii="Times New Roman" w:hAnsi="Times New Roman"/>
          <w:b/>
          <w:sz w:val="24"/>
          <w:szCs w:val="24"/>
          <w:u w:val="single"/>
          <w:lang w:val="en-ZA"/>
        </w:rPr>
      </w:pPr>
    </w:p>
    <w:p w14:paraId="6678782E" w14:textId="05892F8D" w:rsidR="000F59F5" w:rsidRPr="000D5F03" w:rsidRDefault="00F47620" w:rsidP="000D5F03">
      <w:pPr>
        <w:pStyle w:val="BodyText"/>
        <w:spacing w:line="360" w:lineRule="auto"/>
        <w:rPr>
          <w:rFonts w:ascii="Times New Roman" w:hAnsi="Times New Roman"/>
          <w:sz w:val="24"/>
          <w:szCs w:val="24"/>
        </w:rPr>
      </w:pPr>
      <w:r w:rsidRPr="000D5F03">
        <w:rPr>
          <w:rFonts w:ascii="Times New Roman" w:hAnsi="Times New Roman"/>
          <w:sz w:val="24"/>
          <w:szCs w:val="24"/>
        </w:rPr>
        <w:t xml:space="preserve">Programme 3 Performance Measures not </w:t>
      </w:r>
      <w:proofErr w:type="gramStart"/>
      <w:r w:rsidRPr="000D5F03">
        <w:rPr>
          <w:rFonts w:ascii="Times New Roman" w:hAnsi="Times New Roman"/>
          <w:sz w:val="24"/>
          <w:szCs w:val="24"/>
        </w:rPr>
        <w:t>Achieved</w:t>
      </w:r>
      <w:proofErr w:type="gramEnd"/>
    </w:p>
    <w:tbl>
      <w:tblPr>
        <w:tblStyle w:val="TableGrid"/>
        <w:tblW w:w="0" w:type="auto"/>
        <w:tblLook w:val="04A0" w:firstRow="1" w:lastRow="0" w:firstColumn="1" w:lastColumn="0" w:noHBand="0" w:noVBand="1"/>
      </w:tblPr>
      <w:tblGrid>
        <w:gridCol w:w="715"/>
        <w:gridCol w:w="2070"/>
        <w:gridCol w:w="3510"/>
        <w:gridCol w:w="3055"/>
      </w:tblGrid>
      <w:tr w:rsidR="000F59F5" w:rsidRPr="000D5F03" w14:paraId="3BB46705" w14:textId="77777777" w:rsidTr="00120493">
        <w:tc>
          <w:tcPr>
            <w:tcW w:w="715" w:type="dxa"/>
          </w:tcPr>
          <w:p w14:paraId="36A7719A" w14:textId="77777777" w:rsidR="000F59F5" w:rsidRPr="000D5F03" w:rsidRDefault="000F59F5" w:rsidP="000D5F03">
            <w:pPr>
              <w:spacing w:line="360" w:lineRule="auto"/>
              <w:jc w:val="both"/>
              <w:rPr>
                <w:rFonts w:ascii="Times New Roman" w:hAnsi="Times New Roman" w:cs="Times New Roman"/>
                <w:sz w:val="24"/>
                <w:szCs w:val="24"/>
              </w:rPr>
            </w:pPr>
          </w:p>
        </w:tc>
        <w:tc>
          <w:tcPr>
            <w:tcW w:w="2070" w:type="dxa"/>
          </w:tcPr>
          <w:p w14:paraId="50BDE235" w14:textId="77777777" w:rsidR="000F59F5" w:rsidRPr="000D5F03" w:rsidRDefault="000F59F5" w:rsidP="000D5F03">
            <w:pPr>
              <w:spacing w:line="360" w:lineRule="auto"/>
              <w:jc w:val="center"/>
              <w:rPr>
                <w:rFonts w:ascii="Times New Roman" w:hAnsi="Times New Roman" w:cs="Times New Roman"/>
                <w:sz w:val="24"/>
                <w:szCs w:val="24"/>
              </w:rPr>
            </w:pPr>
            <w:r w:rsidRPr="000D5F03">
              <w:rPr>
                <w:rFonts w:ascii="Times New Roman" w:hAnsi="Times New Roman" w:cs="Times New Roman"/>
                <w:sz w:val="24"/>
                <w:szCs w:val="24"/>
              </w:rPr>
              <w:t>Objective</w:t>
            </w:r>
          </w:p>
        </w:tc>
        <w:tc>
          <w:tcPr>
            <w:tcW w:w="3510" w:type="dxa"/>
          </w:tcPr>
          <w:p w14:paraId="1F9BED1D" w14:textId="77777777" w:rsidR="000F59F5" w:rsidRPr="000D5F03" w:rsidRDefault="000F59F5" w:rsidP="000D5F03">
            <w:pPr>
              <w:spacing w:line="360" w:lineRule="auto"/>
              <w:jc w:val="center"/>
              <w:rPr>
                <w:rFonts w:ascii="Times New Roman" w:hAnsi="Times New Roman" w:cs="Times New Roman"/>
                <w:sz w:val="24"/>
                <w:szCs w:val="24"/>
              </w:rPr>
            </w:pPr>
            <w:r w:rsidRPr="000D5F03">
              <w:rPr>
                <w:rFonts w:ascii="Times New Roman" w:hAnsi="Times New Roman" w:cs="Times New Roman"/>
                <w:sz w:val="24"/>
                <w:szCs w:val="24"/>
              </w:rPr>
              <w:t>Performance Target</w:t>
            </w:r>
          </w:p>
        </w:tc>
        <w:tc>
          <w:tcPr>
            <w:tcW w:w="3055" w:type="dxa"/>
          </w:tcPr>
          <w:p w14:paraId="3BE42D8E" w14:textId="77777777" w:rsidR="000F59F5" w:rsidRPr="000D5F03" w:rsidRDefault="000F59F5" w:rsidP="000D5F03">
            <w:pPr>
              <w:spacing w:line="360" w:lineRule="auto"/>
              <w:jc w:val="center"/>
              <w:rPr>
                <w:rFonts w:ascii="Times New Roman" w:hAnsi="Times New Roman" w:cs="Times New Roman"/>
                <w:sz w:val="24"/>
                <w:szCs w:val="24"/>
              </w:rPr>
            </w:pPr>
            <w:r w:rsidRPr="000D5F03">
              <w:rPr>
                <w:rFonts w:ascii="Times New Roman" w:hAnsi="Times New Roman" w:cs="Times New Roman"/>
                <w:sz w:val="24"/>
                <w:szCs w:val="24"/>
              </w:rPr>
              <w:t>Reason</w:t>
            </w:r>
          </w:p>
        </w:tc>
      </w:tr>
      <w:tr w:rsidR="000F59F5" w:rsidRPr="000D5F03" w14:paraId="50F9A725" w14:textId="77777777" w:rsidTr="00120493">
        <w:tc>
          <w:tcPr>
            <w:tcW w:w="715" w:type="dxa"/>
          </w:tcPr>
          <w:p w14:paraId="12E0FAC5"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1</w:t>
            </w:r>
          </w:p>
        </w:tc>
        <w:tc>
          <w:tcPr>
            <w:tcW w:w="2070" w:type="dxa"/>
          </w:tcPr>
          <w:p w14:paraId="5C0103C6"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Promote Job Creation.</w:t>
            </w:r>
          </w:p>
        </w:tc>
        <w:tc>
          <w:tcPr>
            <w:tcW w:w="3510" w:type="dxa"/>
          </w:tcPr>
          <w:p w14:paraId="2DFAA337"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Number of Social and Labour Plans (SLP) development projects completed.</w:t>
            </w:r>
          </w:p>
        </w:tc>
        <w:tc>
          <w:tcPr>
            <w:tcW w:w="3055" w:type="dxa"/>
          </w:tcPr>
          <w:p w14:paraId="0354381F"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 xml:space="preserve">Office closure in Mpumalanga. Inspections in some of the regional offices </w:t>
            </w:r>
            <w:proofErr w:type="gramStart"/>
            <w:r w:rsidRPr="000D5F03">
              <w:rPr>
                <w:rFonts w:ascii="Times New Roman" w:hAnsi="Times New Roman" w:cs="Times New Roman"/>
                <w:b/>
                <w:bCs/>
                <w:sz w:val="24"/>
                <w:szCs w:val="24"/>
              </w:rPr>
              <w:t>were not conducted</w:t>
            </w:r>
            <w:proofErr w:type="gramEnd"/>
            <w:r w:rsidRPr="000D5F03">
              <w:rPr>
                <w:rFonts w:ascii="Times New Roman" w:hAnsi="Times New Roman" w:cs="Times New Roman"/>
                <w:b/>
                <w:bCs/>
                <w:sz w:val="24"/>
                <w:szCs w:val="24"/>
              </w:rPr>
              <w:t xml:space="preserve"> as resources were directed to assist in resolving the Mpumalanga backlog. Inspections </w:t>
            </w:r>
            <w:proofErr w:type="gramStart"/>
            <w:r w:rsidRPr="000D5F03">
              <w:rPr>
                <w:rFonts w:ascii="Times New Roman" w:hAnsi="Times New Roman" w:cs="Times New Roman"/>
                <w:b/>
                <w:bCs/>
                <w:sz w:val="24"/>
                <w:szCs w:val="24"/>
              </w:rPr>
              <w:t>have been deferred</w:t>
            </w:r>
            <w:proofErr w:type="gramEnd"/>
            <w:r w:rsidRPr="000D5F03">
              <w:rPr>
                <w:rFonts w:ascii="Times New Roman" w:hAnsi="Times New Roman" w:cs="Times New Roman"/>
                <w:b/>
                <w:bCs/>
                <w:sz w:val="24"/>
                <w:szCs w:val="24"/>
              </w:rPr>
              <w:t xml:space="preserve"> to quarter one of 2019/20 financial year. </w:t>
            </w:r>
          </w:p>
        </w:tc>
      </w:tr>
      <w:tr w:rsidR="000F59F5" w:rsidRPr="000D5F03" w14:paraId="11281A35" w14:textId="77777777" w:rsidTr="00120493">
        <w:tc>
          <w:tcPr>
            <w:tcW w:w="715" w:type="dxa"/>
          </w:tcPr>
          <w:p w14:paraId="148E24E4"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2</w:t>
            </w:r>
          </w:p>
        </w:tc>
        <w:tc>
          <w:tcPr>
            <w:tcW w:w="2070" w:type="dxa"/>
          </w:tcPr>
          <w:p w14:paraId="2C29FF45"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Promote Job Creation.</w:t>
            </w:r>
          </w:p>
        </w:tc>
        <w:tc>
          <w:tcPr>
            <w:tcW w:w="3510" w:type="dxa"/>
          </w:tcPr>
          <w:p w14:paraId="6232B5A2"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Percentage of approved SLPs published.</w:t>
            </w:r>
          </w:p>
        </w:tc>
        <w:tc>
          <w:tcPr>
            <w:tcW w:w="3055" w:type="dxa"/>
          </w:tcPr>
          <w:p w14:paraId="4E6EF133"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Delays in finalizing Mining Charter three modalities on how mining companies should comply with publications (regulations).</w:t>
            </w:r>
          </w:p>
        </w:tc>
      </w:tr>
      <w:tr w:rsidR="000F59F5" w:rsidRPr="000D5F03" w14:paraId="3EC9023F" w14:textId="77777777" w:rsidTr="00120493">
        <w:tc>
          <w:tcPr>
            <w:tcW w:w="715" w:type="dxa"/>
          </w:tcPr>
          <w:p w14:paraId="4A820D37"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3</w:t>
            </w:r>
          </w:p>
        </w:tc>
        <w:tc>
          <w:tcPr>
            <w:tcW w:w="2070" w:type="dxa"/>
          </w:tcPr>
          <w:p w14:paraId="7A41C607"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Promote Job Creation.</w:t>
            </w:r>
          </w:p>
        </w:tc>
        <w:tc>
          <w:tcPr>
            <w:tcW w:w="3510" w:type="dxa"/>
          </w:tcPr>
          <w:p w14:paraId="4856EC95"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Number of jobs created through mining.</w:t>
            </w:r>
          </w:p>
        </w:tc>
        <w:tc>
          <w:tcPr>
            <w:tcW w:w="3055" w:type="dxa"/>
          </w:tcPr>
          <w:p w14:paraId="49BEFBA7"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Prevailing economic conditions. The Department will continue to engage with the mining industry on the job saving declaration signed with all relevant stakeholders.</w:t>
            </w:r>
          </w:p>
        </w:tc>
      </w:tr>
      <w:tr w:rsidR="000F59F5" w:rsidRPr="000D5F03" w14:paraId="228D65CA" w14:textId="77777777" w:rsidTr="00120493">
        <w:tc>
          <w:tcPr>
            <w:tcW w:w="715" w:type="dxa"/>
          </w:tcPr>
          <w:p w14:paraId="4067F6CA"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4</w:t>
            </w:r>
          </w:p>
        </w:tc>
        <w:tc>
          <w:tcPr>
            <w:tcW w:w="2070" w:type="dxa"/>
          </w:tcPr>
          <w:p w14:paraId="6F737D4B"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Reduce State Environmental Liability and Financial Risk.</w:t>
            </w:r>
          </w:p>
        </w:tc>
        <w:tc>
          <w:tcPr>
            <w:tcW w:w="3510" w:type="dxa"/>
          </w:tcPr>
          <w:p w14:paraId="3C9AA540"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Percentage of complaints closed versus received.</w:t>
            </w:r>
          </w:p>
        </w:tc>
        <w:tc>
          <w:tcPr>
            <w:tcW w:w="3055" w:type="dxa"/>
          </w:tcPr>
          <w:p w14:paraId="13C25D99"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 xml:space="preserve">The Chief Directorate (Enforcement) received more </w:t>
            </w:r>
            <w:proofErr w:type="gramStart"/>
            <w:r w:rsidRPr="000D5F03">
              <w:rPr>
                <w:rFonts w:ascii="Times New Roman" w:hAnsi="Times New Roman" w:cs="Times New Roman"/>
                <w:b/>
                <w:bCs/>
                <w:sz w:val="24"/>
                <w:szCs w:val="24"/>
              </w:rPr>
              <w:t>complaints,</w:t>
            </w:r>
            <w:proofErr w:type="gramEnd"/>
            <w:r w:rsidRPr="000D5F03">
              <w:rPr>
                <w:rFonts w:ascii="Times New Roman" w:hAnsi="Times New Roman" w:cs="Times New Roman"/>
                <w:b/>
                <w:bCs/>
                <w:sz w:val="24"/>
                <w:szCs w:val="24"/>
              </w:rPr>
              <w:t xml:space="preserve"> some complaints were carried over from the previous years. The Chief Directorate will speed up investigations of complaints received within 30-day </w:t>
            </w:r>
            <w:proofErr w:type="gramStart"/>
            <w:r w:rsidRPr="000D5F03">
              <w:rPr>
                <w:rFonts w:ascii="Times New Roman" w:hAnsi="Times New Roman" w:cs="Times New Roman"/>
                <w:b/>
                <w:bCs/>
                <w:sz w:val="24"/>
                <w:szCs w:val="24"/>
              </w:rPr>
              <w:t>time frame</w:t>
            </w:r>
            <w:proofErr w:type="gramEnd"/>
            <w:r w:rsidRPr="000D5F03">
              <w:rPr>
                <w:rFonts w:ascii="Times New Roman" w:hAnsi="Times New Roman" w:cs="Times New Roman"/>
                <w:b/>
                <w:bCs/>
                <w:sz w:val="24"/>
                <w:szCs w:val="24"/>
              </w:rPr>
              <w:t>.</w:t>
            </w:r>
          </w:p>
        </w:tc>
      </w:tr>
      <w:tr w:rsidR="000F59F5" w:rsidRPr="000D5F03" w14:paraId="7A974339" w14:textId="77777777" w:rsidTr="00120493">
        <w:tc>
          <w:tcPr>
            <w:tcW w:w="715" w:type="dxa"/>
          </w:tcPr>
          <w:p w14:paraId="2586BA7F"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5</w:t>
            </w:r>
          </w:p>
        </w:tc>
        <w:tc>
          <w:tcPr>
            <w:tcW w:w="2070" w:type="dxa"/>
          </w:tcPr>
          <w:p w14:paraId="3CAD51E2"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Reduce State Environmental Liability and Financial Risk.</w:t>
            </w:r>
          </w:p>
        </w:tc>
        <w:tc>
          <w:tcPr>
            <w:tcW w:w="3510" w:type="dxa"/>
          </w:tcPr>
          <w:p w14:paraId="602B2A55"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Percentage of complaints received versus inspected.</w:t>
            </w:r>
          </w:p>
        </w:tc>
        <w:tc>
          <w:tcPr>
            <w:tcW w:w="3055" w:type="dxa"/>
          </w:tcPr>
          <w:p w14:paraId="7303F9E9"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 xml:space="preserve">Complaints received during the last quarter that </w:t>
            </w:r>
            <w:proofErr w:type="gramStart"/>
            <w:r w:rsidRPr="000D5F03">
              <w:rPr>
                <w:rFonts w:ascii="Times New Roman" w:hAnsi="Times New Roman" w:cs="Times New Roman"/>
                <w:b/>
                <w:bCs/>
                <w:sz w:val="24"/>
                <w:szCs w:val="24"/>
              </w:rPr>
              <w:t>could not be attended</w:t>
            </w:r>
            <w:proofErr w:type="gramEnd"/>
            <w:r w:rsidRPr="000D5F03">
              <w:rPr>
                <w:rFonts w:ascii="Times New Roman" w:hAnsi="Times New Roman" w:cs="Times New Roman"/>
                <w:b/>
                <w:bCs/>
                <w:sz w:val="24"/>
                <w:szCs w:val="24"/>
              </w:rPr>
              <w:t xml:space="preserve"> to. These complaints </w:t>
            </w:r>
            <w:proofErr w:type="gramStart"/>
            <w:r w:rsidRPr="000D5F03">
              <w:rPr>
                <w:rFonts w:ascii="Times New Roman" w:hAnsi="Times New Roman" w:cs="Times New Roman"/>
                <w:b/>
                <w:bCs/>
                <w:sz w:val="24"/>
                <w:szCs w:val="24"/>
              </w:rPr>
              <w:t>will be attended</w:t>
            </w:r>
            <w:proofErr w:type="gramEnd"/>
            <w:r w:rsidRPr="000D5F03">
              <w:rPr>
                <w:rFonts w:ascii="Times New Roman" w:hAnsi="Times New Roman" w:cs="Times New Roman"/>
                <w:b/>
                <w:bCs/>
                <w:sz w:val="24"/>
                <w:szCs w:val="24"/>
              </w:rPr>
              <w:t xml:space="preserve"> to in Quarter one of 2019/20.</w:t>
            </w:r>
          </w:p>
        </w:tc>
      </w:tr>
      <w:tr w:rsidR="000F59F5" w:rsidRPr="000D5F03" w14:paraId="45B65E36" w14:textId="77777777" w:rsidTr="00120493">
        <w:tc>
          <w:tcPr>
            <w:tcW w:w="715" w:type="dxa"/>
          </w:tcPr>
          <w:p w14:paraId="17FACAFC"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6</w:t>
            </w:r>
          </w:p>
        </w:tc>
        <w:tc>
          <w:tcPr>
            <w:tcW w:w="2070" w:type="dxa"/>
          </w:tcPr>
          <w:p w14:paraId="0B49E0F8"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Implement Transformation Policies/ Legislation.</w:t>
            </w:r>
          </w:p>
        </w:tc>
        <w:tc>
          <w:tcPr>
            <w:tcW w:w="3510" w:type="dxa"/>
          </w:tcPr>
          <w:p w14:paraId="2C483F25"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Percentage compliance by the mining industry.</w:t>
            </w:r>
          </w:p>
        </w:tc>
        <w:tc>
          <w:tcPr>
            <w:tcW w:w="3055" w:type="dxa"/>
          </w:tcPr>
          <w:p w14:paraId="6AAB38FE"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Delays in proving an aggregated result of the inspection outcomes</w:t>
            </w:r>
          </w:p>
        </w:tc>
      </w:tr>
      <w:tr w:rsidR="000F59F5" w:rsidRPr="000D5F03" w14:paraId="1C4DA6FE" w14:textId="77777777" w:rsidTr="00120493">
        <w:tc>
          <w:tcPr>
            <w:tcW w:w="715" w:type="dxa"/>
          </w:tcPr>
          <w:p w14:paraId="004913B7"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7</w:t>
            </w:r>
          </w:p>
        </w:tc>
        <w:tc>
          <w:tcPr>
            <w:tcW w:w="2070" w:type="dxa"/>
          </w:tcPr>
          <w:p w14:paraId="0E85FBA5"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Monitor and Enforce Compliance.</w:t>
            </w:r>
          </w:p>
        </w:tc>
        <w:tc>
          <w:tcPr>
            <w:tcW w:w="3510" w:type="dxa"/>
          </w:tcPr>
          <w:p w14:paraId="4513AA35"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Number of Mine Work Programme/Prospecting Work Programme inspections conducted.</w:t>
            </w:r>
          </w:p>
        </w:tc>
        <w:tc>
          <w:tcPr>
            <w:tcW w:w="3055" w:type="dxa"/>
          </w:tcPr>
          <w:p w14:paraId="1E757D1E"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Closure of some regional offices during the year, resulting deferment to Quarter one of 2019/20.</w:t>
            </w:r>
          </w:p>
        </w:tc>
      </w:tr>
      <w:tr w:rsidR="000F59F5" w:rsidRPr="000D5F03" w14:paraId="607CAF3F" w14:textId="77777777" w:rsidTr="00120493">
        <w:tc>
          <w:tcPr>
            <w:tcW w:w="715" w:type="dxa"/>
          </w:tcPr>
          <w:p w14:paraId="6A0C0F80"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8</w:t>
            </w:r>
          </w:p>
        </w:tc>
        <w:tc>
          <w:tcPr>
            <w:tcW w:w="2070" w:type="dxa"/>
          </w:tcPr>
          <w:p w14:paraId="6BBB884D"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Monitor and Enforce Compliance.</w:t>
            </w:r>
          </w:p>
        </w:tc>
        <w:tc>
          <w:tcPr>
            <w:tcW w:w="3510" w:type="dxa"/>
          </w:tcPr>
          <w:p w14:paraId="1468D3E8"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Percentage adherence to timeframe committed to the Department of Performance Management and Evaluation (DPME).</w:t>
            </w:r>
          </w:p>
        </w:tc>
        <w:tc>
          <w:tcPr>
            <w:tcW w:w="3055" w:type="dxa"/>
          </w:tcPr>
          <w:p w14:paraId="14962E58" w14:textId="77777777" w:rsidR="000F59F5" w:rsidRPr="000D5F03" w:rsidRDefault="000F59F5" w:rsidP="000D5F03">
            <w:pPr>
              <w:spacing w:line="360" w:lineRule="auto"/>
              <w:jc w:val="both"/>
              <w:rPr>
                <w:rFonts w:ascii="Times New Roman" w:hAnsi="Times New Roman" w:cs="Times New Roman"/>
                <w:b/>
                <w:bCs/>
                <w:sz w:val="24"/>
                <w:szCs w:val="24"/>
              </w:rPr>
            </w:pPr>
            <w:r w:rsidRPr="000D5F03">
              <w:rPr>
                <w:rFonts w:ascii="Times New Roman" w:hAnsi="Times New Roman" w:cs="Times New Roman"/>
                <w:b/>
                <w:bCs/>
                <w:sz w:val="24"/>
                <w:szCs w:val="24"/>
              </w:rPr>
              <w:t>Current backlog of applications that are serving before the licensing committee.</w:t>
            </w:r>
          </w:p>
        </w:tc>
      </w:tr>
    </w:tbl>
    <w:p w14:paraId="2A5BF674" w14:textId="77777777" w:rsidR="000F59F5" w:rsidRPr="000D5F03" w:rsidRDefault="000F59F5" w:rsidP="000D5F03">
      <w:pPr>
        <w:pStyle w:val="BodyText"/>
        <w:spacing w:line="360" w:lineRule="auto"/>
        <w:rPr>
          <w:rFonts w:ascii="Times New Roman" w:hAnsi="Times New Roman"/>
          <w:sz w:val="24"/>
          <w:szCs w:val="24"/>
        </w:rPr>
      </w:pPr>
    </w:p>
    <w:p w14:paraId="250A8F91" w14:textId="77777777" w:rsidR="000F59F5" w:rsidRPr="000D5F03" w:rsidRDefault="000F59F5" w:rsidP="000D5F03">
      <w:pPr>
        <w:spacing w:line="360" w:lineRule="auto"/>
        <w:jc w:val="both"/>
        <w:rPr>
          <w:rFonts w:ascii="Times New Roman" w:hAnsi="Times New Roman"/>
          <w:color w:val="auto"/>
          <w:sz w:val="24"/>
          <w:szCs w:val="24"/>
          <w:lang w:val="en-ZA"/>
        </w:rPr>
      </w:pPr>
      <w:r w:rsidRPr="000D5F03">
        <w:rPr>
          <w:rFonts w:ascii="Times New Roman" w:hAnsi="Times New Roman"/>
          <w:color w:val="auto"/>
          <w:sz w:val="24"/>
          <w:szCs w:val="24"/>
          <w:lang w:val="en-ZA"/>
        </w:rPr>
        <w:t xml:space="preserve">Programme </w:t>
      </w:r>
      <w:proofErr w:type="gramStart"/>
      <w:r w:rsidRPr="000D5F03">
        <w:rPr>
          <w:rFonts w:ascii="Times New Roman" w:hAnsi="Times New Roman"/>
          <w:color w:val="auto"/>
          <w:sz w:val="24"/>
          <w:szCs w:val="24"/>
          <w:lang w:val="en-ZA"/>
        </w:rPr>
        <w:t>3</w:t>
      </w:r>
      <w:proofErr w:type="gramEnd"/>
      <w:r w:rsidRPr="000D5F03">
        <w:rPr>
          <w:rFonts w:ascii="Times New Roman" w:hAnsi="Times New Roman"/>
          <w:color w:val="auto"/>
          <w:sz w:val="24"/>
          <w:szCs w:val="24"/>
          <w:lang w:val="en-ZA"/>
        </w:rPr>
        <w:t xml:space="preserve"> (Mineral Regulation) is at the heart of the Department’s mandate to develop and transform the industry, hence it is crucial that any bottlenecks that are encountered are urgently addressed. </w:t>
      </w:r>
    </w:p>
    <w:p w14:paraId="27DF4326" w14:textId="08A5AF8A" w:rsidR="007D2686" w:rsidRPr="000D5F03" w:rsidRDefault="000F59F5" w:rsidP="000D5F03">
      <w:pPr>
        <w:spacing w:line="360" w:lineRule="auto"/>
        <w:jc w:val="both"/>
        <w:rPr>
          <w:rFonts w:ascii="Times New Roman" w:hAnsi="Times New Roman"/>
          <w:color w:val="auto"/>
          <w:sz w:val="24"/>
          <w:szCs w:val="24"/>
          <w:lang w:val="en-ZA"/>
        </w:rPr>
      </w:pPr>
      <w:r w:rsidRPr="000D5F03">
        <w:rPr>
          <w:rFonts w:ascii="Times New Roman" w:hAnsi="Times New Roman"/>
          <w:color w:val="auto"/>
          <w:sz w:val="24"/>
          <w:szCs w:val="24"/>
          <w:lang w:val="en-ZA"/>
        </w:rPr>
        <w:t xml:space="preserve">Some of the reasons for </w:t>
      </w:r>
      <w:r w:rsidR="007D2686" w:rsidRPr="000D5F03">
        <w:rPr>
          <w:rFonts w:ascii="Times New Roman" w:hAnsi="Times New Roman"/>
          <w:color w:val="auto"/>
          <w:sz w:val="24"/>
          <w:szCs w:val="24"/>
          <w:lang w:val="en-ZA"/>
        </w:rPr>
        <w:t>non-performance</w:t>
      </w:r>
      <w:r w:rsidRPr="000D5F03">
        <w:rPr>
          <w:rFonts w:ascii="Times New Roman" w:hAnsi="Times New Roman"/>
          <w:color w:val="auto"/>
          <w:sz w:val="24"/>
          <w:szCs w:val="24"/>
          <w:lang w:val="en-ZA"/>
        </w:rPr>
        <w:t xml:space="preserve"> </w:t>
      </w:r>
      <w:proofErr w:type="gramStart"/>
      <w:r w:rsidRPr="000D5F03">
        <w:rPr>
          <w:rFonts w:ascii="Times New Roman" w:hAnsi="Times New Roman"/>
          <w:color w:val="auto"/>
          <w:sz w:val="24"/>
          <w:szCs w:val="24"/>
          <w:lang w:val="en-ZA"/>
        </w:rPr>
        <w:t>cannot be attributed</w:t>
      </w:r>
      <w:proofErr w:type="gramEnd"/>
      <w:r w:rsidRPr="000D5F03">
        <w:rPr>
          <w:rFonts w:ascii="Times New Roman" w:hAnsi="Times New Roman"/>
          <w:color w:val="auto"/>
          <w:sz w:val="24"/>
          <w:szCs w:val="24"/>
          <w:lang w:val="en-ZA"/>
        </w:rPr>
        <w:t xml:space="preserve"> to the Department’s inability to </w:t>
      </w:r>
      <w:r w:rsidR="007D2686" w:rsidRPr="000D5F03">
        <w:rPr>
          <w:rFonts w:ascii="Times New Roman" w:hAnsi="Times New Roman"/>
          <w:color w:val="auto"/>
          <w:sz w:val="24"/>
          <w:szCs w:val="24"/>
          <w:lang w:val="en-ZA"/>
        </w:rPr>
        <w:t>fulfil</w:t>
      </w:r>
      <w:r w:rsidRPr="000D5F03">
        <w:rPr>
          <w:rFonts w:ascii="Times New Roman" w:hAnsi="Times New Roman"/>
          <w:color w:val="auto"/>
          <w:sz w:val="24"/>
          <w:szCs w:val="24"/>
          <w:lang w:val="en-ZA"/>
        </w:rPr>
        <w:t xml:space="preserve"> its mandate, for example the issue of the weak economic environment, however other reasons given seem to indicate a lack of capacity for example the case of applications backlog, (see No 4 and 8 of Table </w:t>
      </w:r>
      <w:r w:rsidR="007D2686" w:rsidRPr="000D5F03">
        <w:rPr>
          <w:rFonts w:ascii="Times New Roman" w:hAnsi="Times New Roman"/>
          <w:color w:val="auto"/>
          <w:sz w:val="24"/>
          <w:szCs w:val="24"/>
          <w:lang w:val="en-ZA"/>
        </w:rPr>
        <w:t>4.</w:t>
      </w:r>
      <w:r w:rsidRPr="000D5F03">
        <w:rPr>
          <w:rFonts w:ascii="Times New Roman" w:hAnsi="Times New Roman"/>
          <w:color w:val="auto"/>
          <w:sz w:val="24"/>
          <w:szCs w:val="24"/>
          <w:lang w:val="en-ZA"/>
        </w:rPr>
        <w:t>3.1).</w:t>
      </w:r>
    </w:p>
    <w:p w14:paraId="3B1FC952" w14:textId="77777777" w:rsidR="00855997" w:rsidRPr="000D5F03" w:rsidRDefault="00DF2C3E" w:rsidP="000D5F03">
      <w:pPr>
        <w:keepNext/>
        <w:keepLines/>
        <w:suppressAutoHyphens w:val="0"/>
        <w:autoSpaceDN/>
        <w:spacing w:line="360" w:lineRule="auto"/>
        <w:jc w:val="both"/>
        <w:textAlignment w:val="auto"/>
        <w:rPr>
          <w:rFonts w:ascii="Times New Roman" w:hAnsi="Times New Roman"/>
          <w:b/>
          <w:sz w:val="24"/>
          <w:szCs w:val="24"/>
          <w:lang w:val="en-ZA"/>
        </w:rPr>
      </w:pPr>
      <w:r w:rsidRPr="000D5F03">
        <w:rPr>
          <w:rFonts w:ascii="Times New Roman" w:hAnsi="Times New Roman"/>
          <w:b/>
          <w:sz w:val="24"/>
          <w:szCs w:val="24"/>
          <w:lang w:val="en-ZA"/>
        </w:rPr>
        <w:t>4</w:t>
      </w:r>
      <w:r w:rsidR="00855997" w:rsidRPr="000D5F03">
        <w:rPr>
          <w:rFonts w:ascii="Times New Roman" w:hAnsi="Times New Roman"/>
          <w:b/>
          <w:sz w:val="24"/>
          <w:szCs w:val="24"/>
          <w:lang w:val="en-ZA"/>
        </w:rPr>
        <w:t>.4.</w:t>
      </w:r>
      <w:r w:rsidR="00855997" w:rsidRPr="000D5F03">
        <w:rPr>
          <w:rFonts w:ascii="Times New Roman" w:hAnsi="Times New Roman"/>
          <w:b/>
          <w:sz w:val="24"/>
          <w:szCs w:val="24"/>
          <w:lang w:val="en-ZA"/>
        </w:rPr>
        <w:tab/>
        <w:t>Programme 4: Mineral Policy and Promotion</w:t>
      </w:r>
    </w:p>
    <w:p w14:paraId="4D7B1153" w14:textId="77777777" w:rsidR="00DF2C3E" w:rsidRPr="000D5F03" w:rsidRDefault="00DF2C3E" w:rsidP="000D5F03">
      <w:pPr>
        <w:keepNext/>
        <w:keepLines/>
        <w:suppressAutoHyphens w:val="0"/>
        <w:autoSpaceDN/>
        <w:spacing w:line="360" w:lineRule="auto"/>
        <w:jc w:val="both"/>
        <w:textAlignment w:val="auto"/>
        <w:rPr>
          <w:rFonts w:ascii="Times New Roman" w:hAnsi="Times New Roman"/>
          <w:b/>
          <w:sz w:val="24"/>
          <w:szCs w:val="24"/>
          <w:lang w:val="en-ZA"/>
        </w:rPr>
      </w:pPr>
    </w:p>
    <w:p w14:paraId="05548262" w14:textId="77777777" w:rsidR="00DF2C3E" w:rsidRPr="000D5F03" w:rsidRDefault="00DF2C3E" w:rsidP="000D5F03">
      <w:pPr>
        <w:keepNext/>
        <w:keepLines/>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The purpose of the Mineral Policy and Promotion programme is to “formulate mineral related policies and promote the mining and minerals industry of South Africa to make it attractive to investors.”</w:t>
      </w:r>
    </w:p>
    <w:p w14:paraId="161AAC4A" w14:textId="77777777" w:rsidR="00DF2C3E" w:rsidRPr="000D5F03" w:rsidRDefault="00DF2C3E" w:rsidP="000D5F03">
      <w:pPr>
        <w:suppressAutoHyphens w:val="0"/>
        <w:autoSpaceDN/>
        <w:spacing w:line="360" w:lineRule="auto"/>
        <w:jc w:val="both"/>
        <w:textAlignment w:val="auto"/>
        <w:rPr>
          <w:rFonts w:ascii="Times New Roman" w:hAnsi="Times New Roman"/>
          <w:sz w:val="24"/>
          <w:szCs w:val="24"/>
          <w:lang w:val="en-ZA"/>
        </w:rPr>
      </w:pPr>
    </w:p>
    <w:p w14:paraId="18505FB0" w14:textId="3472CFCD" w:rsidR="00DF2C3E" w:rsidRPr="000D5F03" w:rsidRDefault="00DF2C3E"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The DMR achieved 8</w:t>
      </w:r>
      <w:r w:rsidR="00844FE2" w:rsidRPr="000D5F03">
        <w:rPr>
          <w:rFonts w:ascii="Times New Roman" w:hAnsi="Times New Roman"/>
          <w:sz w:val="24"/>
          <w:szCs w:val="24"/>
          <w:lang w:val="en-ZA"/>
        </w:rPr>
        <w:t>6</w:t>
      </w:r>
      <w:r w:rsidRPr="000D5F03">
        <w:rPr>
          <w:rFonts w:ascii="Times New Roman" w:hAnsi="Times New Roman"/>
          <w:sz w:val="24"/>
          <w:szCs w:val="24"/>
          <w:lang w:val="en-ZA"/>
        </w:rPr>
        <w:t xml:space="preserve"> percent of the performance measures reported on for Programme 4 (</w:t>
      </w:r>
      <w:r w:rsidR="00844FE2" w:rsidRPr="000D5F03">
        <w:rPr>
          <w:rFonts w:ascii="Times New Roman" w:hAnsi="Times New Roman"/>
          <w:sz w:val="24"/>
          <w:szCs w:val="24"/>
          <w:lang w:val="en-ZA"/>
        </w:rPr>
        <w:t>20</w:t>
      </w:r>
      <w:r w:rsidRPr="000D5F03">
        <w:rPr>
          <w:rFonts w:ascii="Times New Roman" w:hAnsi="Times New Roman"/>
          <w:sz w:val="24"/>
          <w:szCs w:val="24"/>
          <w:lang w:val="en-ZA"/>
        </w:rPr>
        <w:t xml:space="preserve"> out of </w:t>
      </w:r>
      <w:r w:rsidR="00844FE2" w:rsidRPr="000D5F03">
        <w:rPr>
          <w:rFonts w:ascii="Times New Roman" w:hAnsi="Times New Roman"/>
          <w:sz w:val="24"/>
          <w:szCs w:val="24"/>
          <w:lang w:val="en-ZA"/>
        </w:rPr>
        <w:t>23</w:t>
      </w:r>
      <w:r w:rsidRPr="000D5F03">
        <w:rPr>
          <w:rFonts w:ascii="Times New Roman" w:hAnsi="Times New Roman"/>
          <w:sz w:val="24"/>
          <w:szCs w:val="24"/>
          <w:lang w:val="en-ZA"/>
        </w:rPr>
        <w:t>) in 201</w:t>
      </w:r>
      <w:r w:rsidR="00120493" w:rsidRPr="000D5F03">
        <w:rPr>
          <w:rFonts w:ascii="Times New Roman" w:hAnsi="Times New Roman"/>
          <w:sz w:val="24"/>
          <w:szCs w:val="24"/>
          <w:lang w:val="en-ZA"/>
        </w:rPr>
        <w:t>8</w:t>
      </w:r>
      <w:r w:rsidRPr="000D5F03">
        <w:rPr>
          <w:rFonts w:ascii="Times New Roman" w:hAnsi="Times New Roman"/>
          <w:sz w:val="24"/>
          <w:szCs w:val="24"/>
          <w:lang w:val="en-ZA"/>
        </w:rPr>
        <w:t>/1</w:t>
      </w:r>
      <w:r w:rsidR="00120493" w:rsidRPr="000D5F03">
        <w:rPr>
          <w:rFonts w:ascii="Times New Roman" w:hAnsi="Times New Roman"/>
          <w:sz w:val="24"/>
          <w:szCs w:val="24"/>
          <w:lang w:val="en-ZA"/>
        </w:rPr>
        <w:t>9</w:t>
      </w:r>
      <w:r w:rsidRPr="000D5F03">
        <w:rPr>
          <w:rFonts w:ascii="Times New Roman" w:hAnsi="Times New Roman"/>
          <w:sz w:val="24"/>
          <w:szCs w:val="24"/>
          <w:lang w:val="en-ZA"/>
        </w:rPr>
        <w:t xml:space="preserve">. This high rate </w:t>
      </w:r>
      <w:r w:rsidR="00844FE2" w:rsidRPr="000D5F03">
        <w:rPr>
          <w:rFonts w:ascii="Times New Roman" w:hAnsi="Times New Roman"/>
          <w:sz w:val="24"/>
          <w:szCs w:val="24"/>
          <w:lang w:val="en-ZA"/>
        </w:rPr>
        <w:t>is</w:t>
      </w:r>
      <w:r w:rsidRPr="000D5F03">
        <w:rPr>
          <w:rFonts w:ascii="Times New Roman" w:hAnsi="Times New Roman"/>
          <w:sz w:val="24"/>
          <w:szCs w:val="24"/>
          <w:lang w:val="en-ZA"/>
        </w:rPr>
        <w:t xml:space="preserve"> </w:t>
      </w:r>
      <w:r w:rsidR="00844FE2" w:rsidRPr="000D5F03">
        <w:rPr>
          <w:rFonts w:ascii="Times New Roman" w:hAnsi="Times New Roman"/>
          <w:sz w:val="24"/>
          <w:szCs w:val="24"/>
          <w:lang w:val="en-ZA"/>
        </w:rPr>
        <w:t>consistent to performance rate of 85 percent</w:t>
      </w:r>
      <w:r w:rsidRPr="000D5F03">
        <w:rPr>
          <w:rFonts w:ascii="Times New Roman" w:hAnsi="Times New Roman"/>
          <w:sz w:val="24"/>
          <w:szCs w:val="24"/>
          <w:lang w:val="en-ZA"/>
        </w:rPr>
        <w:t xml:space="preserve"> achieved in 201</w:t>
      </w:r>
      <w:r w:rsidR="00844FE2" w:rsidRPr="000D5F03">
        <w:rPr>
          <w:rFonts w:ascii="Times New Roman" w:hAnsi="Times New Roman"/>
          <w:sz w:val="24"/>
          <w:szCs w:val="24"/>
          <w:lang w:val="en-ZA"/>
        </w:rPr>
        <w:t>6</w:t>
      </w:r>
      <w:r w:rsidRPr="000D5F03">
        <w:rPr>
          <w:rFonts w:ascii="Times New Roman" w:hAnsi="Times New Roman"/>
          <w:sz w:val="24"/>
          <w:szCs w:val="24"/>
          <w:lang w:val="en-ZA"/>
        </w:rPr>
        <w:t>/1</w:t>
      </w:r>
      <w:r w:rsidR="00844FE2" w:rsidRPr="000D5F03">
        <w:rPr>
          <w:rFonts w:ascii="Times New Roman" w:hAnsi="Times New Roman"/>
          <w:sz w:val="24"/>
          <w:szCs w:val="24"/>
          <w:lang w:val="en-ZA"/>
        </w:rPr>
        <w:t>7.</w:t>
      </w:r>
      <w:r w:rsidRPr="000D5F03">
        <w:rPr>
          <w:rFonts w:ascii="Times New Roman" w:hAnsi="Times New Roman"/>
          <w:sz w:val="24"/>
          <w:szCs w:val="24"/>
          <w:lang w:val="en-ZA"/>
        </w:rPr>
        <w:t xml:space="preserve"> </w:t>
      </w:r>
    </w:p>
    <w:p w14:paraId="5E739D61" w14:textId="77777777" w:rsidR="00DF2C3E" w:rsidRPr="000D5F03" w:rsidRDefault="00DF2C3E" w:rsidP="000D5F03">
      <w:pPr>
        <w:suppressAutoHyphens w:val="0"/>
        <w:autoSpaceDN/>
        <w:spacing w:line="360" w:lineRule="auto"/>
        <w:jc w:val="both"/>
        <w:textAlignment w:val="auto"/>
        <w:rPr>
          <w:rFonts w:ascii="Times New Roman" w:hAnsi="Times New Roman"/>
          <w:sz w:val="24"/>
          <w:szCs w:val="24"/>
          <w:lang w:val="en-ZA"/>
        </w:rPr>
      </w:pPr>
    </w:p>
    <w:p w14:paraId="14698628" w14:textId="1E0AFB05" w:rsidR="00E5391D" w:rsidRPr="000D5F03" w:rsidRDefault="00844FE2"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 xml:space="preserve">Only three performance indicators under the Mineral Policy and Promotion programme </w:t>
      </w:r>
      <w:proofErr w:type="gramStart"/>
      <w:r w:rsidRPr="000D5F03">
        <w:rPr>
          <w:rFonts w:ascii="Times New Roman" w:hAnsi="Times New Roman"/>
          <w:sz w:val="24"/>
          <w:szCs w:val="24"/>
          <w:lang w:val="en-ZA"/>
        </w:rPr>
        <w:t>were not achieved</w:t>
      </w:r>
      <w:proofErr w:type="gramEnd"/>
      <w:r w:rsidRPr="000D5F03">
        <w:rPr>
          <w:rFonts w:ascii="Times New Roman" w:hAnsi="Times New Roman"/>
          <w:sz w:val="24"/>
          <w:szCs w:val="24"/>
          <w:lang w:val="en-ZA"/>
        </w:rPr>
        <w:t xml:space="preserve">, </w:t>
      </w:r>
      <w:r w:rsidR="000E1C14" w:rsidRPr="000D5F03">
        <w:rPr>
          <w:rFonts w:ascii="Times New Roman" w:hAnsi="Times New Roman"/>
          <w:sz w:val="24"/>
          <w:szCs w:val="24"/>
          <w:lang w:val="en-ZA"/>
        </w:rPr>
        <w:t>the first one is the percentage implementation of shale gas action plan instr</w:t>
      </w:r>
      <w:r w:rsidR="000E1C14" w:rsidRPr="000D5F03">
        <w:rPr>
          <w:rFonts w:ascii="Times New Roman" w:hAnsi="Times New Roman"/>
          <w:sz w:val="24"/>
          <w:szCs w:val="24"/>
          <w:lang w:val="en-ZA"/>
        </w:rPr>
        <w:t>u</w:t>
      </w:r>
      <w:r w:rsidR="000E1C14" w:rsidRPr="000D5F03">
        <w:rPr>
          <w:rFonts w:ascii="Times New Roman" w:hAnsi="Times New Roman"/>
          <w:sz w:val="24"/>
          <w:szCs w:val="24"/>
          <w:lang w:val="en-ZA"/>
        </w:rPr>
        <w:t xml:space="preserve">ments, only 33 percent was achieved against a target of 67 percent. The under achievement was a result of </w:t>
      </w:r>
      <w:r w:rsidR="00120493" w:rsidRPr="000D5F03">
        <w:rPr>
          <w:rFonts w:ascii="Times New Roman" w:hAnsi="Times New Roman"/>
          <w:sz w:val="24"/>
          <w:szCs w:val="24"/>
          <w:lang w:val="en-ZA"/>
        </w:rPr>
        <w:t>the</w:t>
      </w:r>
      <w:r w:rsidR="000E1C14" w:rsidRPr="000D5F03">
        <w:rPr>
          <w:rFonts w:ascii="Times New Roman" w:hAnsi="Times New Roman"/>
          <w:sz w:val="24"/>
          <w:szCs w:val="24"/>
          <w:lang w:val="en-ZA"/>
        </w:rPr>
        <w:t xml:space="preserve"> inability to hold meetings due to delays in the Hydraulic Fracturing Mon</w:t>
      </w:r>
      <w:r w:rsidR="000E1C14" w:rsidRPr="000D5F03">
        <w:rPr>
          <w:rFonts w:ascii="Times New Roman" w:hAnsi="Times New Roman"/>
          <w:sz w:val="24"/>
          <w:szCs w:val="24"/>
          <w:lang w:val="en-ZA"/>
        </w:rPr>
        <w:t>i</w:t>
      </w:r>
      <w:r w:rsidR="000E1C14" w:rsidRPr="000D5F03">
        <w:rPr>
          <w:rFonts w:ascii="Times New Roman" w:hAnsi="Times New Roman"/>
          <w:sz w:val="24"/>
          <w:szCs w:val="24"/>
          <w:lang w:val="en-ZA"/>
        </w:rPr>
        <w:t xml:space="preserve">toring Committee. The second one is the number of derelict and ownerless sites rehabilitated, where only 20 out of 45 mining sites </w:t>
      </w:r>
      <w:proofErr w:type="gramStart"/>
      <w:r w:rsidR="000E1C14" w:rsidRPr="000D5F03">
        <w:rPr>
          <w:rFonts w:ascii="Times New Roman" w:hAnsi="Times New Roman"/>
          <w:sz w:val="24"/>
          <w:szCs w:val="24"/>
          <w:lang w:val="en-ZA"/>
        </w:rPr>
        <w:t>were rehabilitated</w:t>
      </w:r>
      <w:proofErr w:type="gramEnd"/>
      <w:r w:rsidR="000E1C14" w:rsidRPr="000D5F03">
        <w:rPr>
          <w:rFonts w:ascii="Times New Roman" w:hAnsi="Times New Roman"/>
          <w:sz w:val="24"/>
          <w:szCs w:val="24"/>
          <w:lang w:val="en-ZA"/>
        </w:rPr>
        <w:t xml:space="preserve">, however </w:t>
      </w:r>
      <w:r w:rsidR="00E5391D" w:rsidRPr="000D5F03">
        <w:rPr>
          <w:rFonts w:ascii="Times New Roman" w:hAnsi="Times New Roman"/>
          <w:sz w:val="24"/>
          <w:szCs w:val="24"/>
          <w:lang w:val="en-ZA"/>
        </w:rPr>
        <w:t xml:space="preserve">the Department </w:t>
      </w:r>
      <w:r w:rsidR="000E1C14" w:rsidRPr="000D5F03">
        <w:rPr>
          <w:rFonts w:ascii="Times New Roman" w:hAnsi="Times New Roman"/>
          <w:sz w:val="24"/>
          <w:szCs w:val="24"/>
          <w:lang w:val="en-ZA"/>
        </w:rPr>
        <w:t>did not di</w:t>
      </w:r>
      <w:r w:rsidR="000E1C14" w:rsidRPr="000D5F03">
        <w:rPr>
          <w:rFonts w:ascii="Times New Roman" w:hAnsi="Times New Roman"/>
          <w:sz w:val="24"/>
          <w:szCs w:val="24"/>
          <w:lang w:val="en-ZA"/>
        </w:rPr>
        <w:t>s</w:t>
      </w:r>
      <w:r w:rsidR="000E1C14" w:rsidRPr="000D5F03">
        <w:rPr>
          <w:rFonts w:ascii="Times New Roman" w:hAnsi="Times New Roman"/>
          <w:sz w:val="24"/>
          <w:szCs w:val="24"/>
          <w:lang w:val="en-ZA"/>
        </w:rPr>
        <w:t>close the reason for underperformance in its annual report.</w:t>
      </w:r>
      <w:r w:rsidR="00DF2C3E" w:rsidRPr="000D5F03">
        <w:rPr>
          <w:rFonts w:ascii="Times New Roman" w:hAnsi="Times New Roman"/>
          <w:sz w:val="24"/>
          <w:szCs w:val="24"/>
          <w:lang w:val="en-ZA"/>
        </w:rPr>
        <w:t xml:space="preserve"> </w:t>
      </w:r>
      <w:r w:rsidR="00E5391D" w:rsidRPr="000D5F03">
        <w:rPr>
          <w:rFonts w:ascii="Times New Roman" w:hAnsi="Times New Roman"/>
          <w:sz w:val="24"/>
          <w:szCs w:val="24"/>
          <w:lang w:val="en-ZA"/>
        </w:rPr>
        <w:t xml:space="preserve">The third </w:t>
      </w:r>
      <w:r w:rsidR="00DF2C3E" w:rsidRPr="000D5F03">
        <w:rPr>
          <w:rFonts w:ascii="Times New Roman" w:hAnsi="Times New Roman"/>
          <w:sz w:val="24"/>
          <w:szCs w:val="24"/>
          <w:lang w:val="en-ZA"/>
        </w:rPr>
        <w:t xml:space="preserve">performance measure </w:t>
      </w:r>
      <w:r w:rsidR="00E5391D" w:rsidRPr="000D5F03">
        <w:rPr>
          <w:rFonts w:ascii="Times New Roman" w:hAnsi="Times New Roman"/>
          <w:sz w:val="24"/>
          <w:szCs w:val="24"/>
          <w:lang w:val="en-ZA"/>
        </w:rPr>
        <w:t xml:space="preserve">where the </w:t>
      </w:r>
      <w:r w:rsidR="001C73AE" w:rsidRPr="000D5F03">
        <w:rPr>
          <w:rFonts w:ascii="Times New Roman" w:hAnsi="Times New Roman"/>
          <w:sz w:val="24"/>
          <w:szCs w:val="24"/>
          <w:lang w:val="en-ZA"/>
        </w:rPr>
        <w:t xml:space="preserve">component of the </w:t>
      </w:r>
      <w:r w:rsidR="00E5391D" w:rsidRPr="000D5F03">
        <w:rPr>
          <w:rFonts w:ascii="Times New Roman" w:hAnsi="Times New Roman"/>
          <w:sz w:val="24"/>
          <w:szCs w:val="24"/>
          <w:lang w:val="en-ZA"/>
        </w:rPr>
        <w:t xml:space="preserve">programme in question underperformed was the implementation of risk management </w:t>
      </w:r>
      <w:proofErr w:type="gramStart"/>
      <w:r w:rsidR="00E5391D" w:rsidRPr="000D5F03">
        <w:rPr>
          <w:rFonts w:ascii="Times New Roman" w:hAnsi="Times New Roman"/>
          <w:sz w:val="24"/>
          <w:szCs w:val="24"/>
          <w:lang w:val="en-ZA"/>
        </w:rPr>
        <w:t>plans,</w:t>
      </w:r>
      <w:proofErr w:type="gramEnd"/>
      <w:r w:rsidR="00E5391D" w:rsidRPr="000D5F03">
        <w:rPr>
          <w:rFonts w:ascii="Times New Roman" w:hAnsi="Times New Roman"/>
          <w:sz w:val="24"/>
          <w:szCs w:val="24"/>
          <w:lang w:val="en-ZA"/>
        </w:rPr>
        <w:t xml:space="preserve"> the performance achievement was only 46 against a target of 54 percent.</w:t>
      </w:r>
    </w:p>
    <w:p w14:paraId="2F4C5FEF" w14:textId="77777777" w:rsidR="00E5391D" w:rsidRPr="000D5F03" w:rsidRDefault="00E5391D" w:rsidP="000D5F03">
      <w:pPr>
        <w:suppressAutoHyphens w:val="0"/>
        <w:autoSpaceDN/>
        <w:spacing w:line="360" w:lineRule="auto"/>
        <w:jc w:val="both"/>
        <w:textAlignment w:val="auto"/>
        <w:rPr>
          <w:rFonts w:ascii="Times New Roman" w:hAnsi="Times New Roman"/>
          <w:sz w:val="24"/>
          <w:szCs w:val="24"/>
          <w:lang w:val="en-ZA"/>
        </w:rPr>
      </w:pPr>
    </w:p>
    <w:p w14:paraId="20091E88" w14:textId="77777777" w:rsidR="00537CCA" w:rsidRPr="000D5F03" w:rsidRDefault="00E5391D"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 xml:space="preserve">The three performance targets that were not achieved under programme four should not take attention away from the fact that the programme has performed </w:t>
      </w:r>
      <w:r w:rsidR="00AD1D0B" w:rsidRPr="000D5F03">
        <w:rPr>
          <w:rFonts w:ascii="Times New Roman" w:hAnsi="Times New Roman"/>
          <w:sz w:val="24"/>
          <w:szCs w:val="24"/>
          <w:lang w:val="en-ZA"/>
        </w:rPr>
        <w:t>reasonably</w:t>
      </w:r>
      <w:r w:rsidRPr="000D5F03">
        <w:rPr>
          <w:rFonts w:ascii="Times New Roman" w:hAnsi="Times New Roman"/>
          <w:sz w:val="24"/>
          <w:szCs w:val="24"/>
          <w:lang w:val="en-ZA"/>
        </w:rPr>
        <w:t xml:space="preserve"> well during the period under review, which is a continuation of an excellent </w:t>
      </w:r>
      <w:r w:rsidR="00AD1D0B" w:rsidRPr="000D5F03">
        <w:rPr>
          <w:rFonts w:ascii="Times New Roman" w:hAnsi="Times New Roman"/>
          <w:sz w:val="24"/>
          <w:szCs w:val="24"/>
          <w:lang w:val="en-ZA"/>
        </w:rPr>
        <w:t xml:space="preserve">consistent </w:t>
      </w:r>
      <w:r w:rsidRPr="000D5F03">
        <w:rPr>
          <w:rFonts w:ascii="Times New Roman" w:hAnsi="Times New Roman"/>
          <w:sz w:val="24"/>
          <w:szCs w:val="24"/>
          <w:lang w:val="en-ZA"/>
        </w:rPr>
        <w:t xml:space="preserve">performance </w:t>
      </w:r>
      <w:proofErr w:type="gramStart"/>
      <w:r w:rsidRPr="000D5F03">
        <w:rPr>
          <w:rFonts w:ascii="Times New Roman" w:hAnsi="Times New Roman"/>
          <w:sz w:val="24"/>
          <w:szCs w:val="24"/>
          <w:lang w:val="en-ZA"/>
        </w:rPr>
        <w:t>track re</w:t>
      </w:r>
      <w:r w:rsidRPr="000D5F03">
        <w:rPr>
          <w:rFonts w:ascii="Times New Roman" w:hAnsi="Times New Roman"/>
          <w:sz w:val="24"/>
          <w:szCs w:val="24"/>
          <w:lang w:val="en-ZA"/>
        </w:rPr>
        <w:t>c</w:t>
      </w:r>
      <w:r w:rsidRPr="000D5F03">
        <w:rPr>
          <w:rFonts w:ascii="Times New Roman" w:hAnsi="Times New Roman"/>
          <w:sz w:val="24"/>
          <w:szCs w:val="24"/>
          <w:lang w:val="en-ZA"/>
        </w:rPr>
        <w:t>ord</w:t>
      </w:r>
      <w:proofErr w:type="gramEnd"/>
      <w:r w:rsidR="00AD1D0B" w:rsidRPr="000D5F03">
        <w:rPr>
          <w:rFonts w:ascii="Times New Roman" w:hAnsi="Times New Roman"/>
          <w:sz w:val="24"/>
          <w:szCs w:val="24"/>
          <w:lang w:val="en-ZA"/>
        </w:rPr>
        <w:t xml:space="preserve"> during the last three financial years.</w:t>
      </w:r>
    </w:p>
    <w:p w14:paraId="18E4FE8E" w14:textId="77777777" w:rsidR="00537CCA" w:rsidRPr="000D5F03" w:rsidRDefault="00537CCA" w:rsidP="000D5F03">
      <w:pPr>
        <w:suppressAutoHyphens w:val="0"/>
        <w:autoSpaceDN/>
        <w:spacing w:line="360" w:lineRule="auto"/>
        <w:jc w:val="both"/>
        <w:textAlignment w:val="auto"/>
        <w:rPr>
          <w:rFonts w:ascii="Times New Roman" w:hAnsi="Times New Roman"/>
          <w:sz w:val="24"/>
          <w:szCs w:val="24"/>
          <w:lang w:val="en-ZA"/>
        </w:rPr>
      </w:pPr>
    </w:p>
    <w:p w14:paraId="24065B70" w14:textId="77777777" w:rsidR="00537CCA" w:rsidRPr="000D5F03" w:rsidRDefault="00537CCA" w:rsidP="000D5F03">
      <w:pPr>
        <w:suppressAutoHyphens w:val="0"/>
        <w:autoSpaceDN/>
        <w:spacing w:line="360" w:lineRule="auto"/>
        <w:jc w:val="both"/>
        <w:textAlignment w:val="auto"/>
        <w:rPr>
          <w:rFonts w:ascii="Times New Roman" w:hAnsi="Times New Roman"/>
          <w:sz w:val="24"/>
          <w:szCs w:val="24"/>
          <w:lang w:val="en-ZA"/>
        </w:rPr>
      </w:pPr>
      <w:r w:rsidRPr="000D5F03">
        <w:rPr>
          <w:rFonts w:ascii="Times New Roman" w:hAnsi="Times New Roman"/>
          <w:sz w:val="24"/>
          <w:szCs w:val="24"/>
          <w:lang w:val="en-ZA"/>
        </w:rPr>
        <w:t xml:space="preserve">The </w:t>
      </w:r>
      <w:proofErr w:type="gramStart"/>
      <w:r w:rsidRPr="000D5F03">
        <w:rPr>
          <w:rFonts w:ascii="Times New Roman" w:hAnsi="Times New Roman"/>
          <w:sz w:val="24"/>
          <w:szCs w:val="24"/>
          <w:lang w:val="en-ZA"/>
        </w:rPr>
        <w:t xml:space="preserve">following reports </w:t>
      </w:r>
      <w:r w:rsidR="00D52F9A" w:rsidRPr="000D5F03">
        <w:rPr>
          <w:rFonts w:ascii="Times New Roman" w:hAnsi="Times New Roman"/>
          <w:sz w:val="24"/>
          <w:szCs w:val="24"/>
          <w:lang w:val="en-ZA"/>
        </w:rPr>
        <w:t xml:space="preserve">on mine closure and management of derelict and ownerless mines </w:t>
      </w:r>
      <w:r w:rsidRPr="000D5F03">
        <w:rPr>
          <w:rFonts w:ascii="Times New Roman" w:hAnsi="Times New Roman"/>
          <w:sz w:val="24"/>
          <w:szCs w:val="24"/>
          <w:lang w:val="en-ZA"/>
        </w:rPr>
        <w:t>were produced by the Mineral Policy and policy branch</w:t>
      </w:r>
      <w:proofErr w:type="gramEnd"/>
      <w:r w:rsidRPr="000D5F03">
        <w:rPr>
          <w:rFonts w:ascii="Times New Roman" w:hAnsi="Times New Roman"/>
          <w:sz w:val="24"/>
          <w:szCs w:val="24"/>
          <w:lang w:val="en-ZA"/>
        </w:rPr>
        <w:t>:</w:t>
      </w:r>
    </w:p>
    <w:p w14:paraId="22EEA6F7" w14:textId="77777777" w:rsidR="00537CCA" w:rsidRPr="000D5F03" w:rsidRDefault="00537CCA" w:rsidP="000D5F03">
      <w:pPr>
        <w:suppressAutoHyphens w:val="0"/>
        <w:autoSpaceDN/>
        <w:spacing w:line="360" w:lineRule="auto"/>
        <w:jc w:val="both"/>
        <w:textAlignment w:val="auto"/>
        <w:rPr>
          <w:rFonts w:ascii="Times New Roman" w:hAnsi="Times New Roman"/>
          <w:sz w:val="24"/>
          <w:szCs w:val="24"/>
          <w:lang w:val="en-ZA"/>
        </w:rPr>
      </w:pPr>
    </w:p>
    <w:p w14:paraId="38880BF3" w14:textId="77777777" w:rsidR="00537CCA" w:rsidRPr="000D5F03" w:rsidRDefault="00537CCA" w:rsidP="000D5F03">
      <w:pPr>
        <w:pStyle w:val="ListParagraph"/>
        <w:numPr>
          <w:ilvl w:val="0"/>
          <w:numId w:val="27"/>
        </w:numPr>
        <w:suppressAutoHyphens w:val="0"/>
        <w:autoSpaceDN/>
        <w:spacing w:line="360" w:lineRule="auto"/>
        <w:ind w:left="426" w:hanging="426"/>
        <w:jc w:val="both"/>
        <w:textAlignment w:val="auto"/>
        <w:rPr>
          <w:rFonts w:ascii="Times New Roman" w:hAnsi="Times New Roman"/>
          <w:sz w:val="24"/>
          <w:szCs w:val="24"/>
          <w:lang w:val="en-ZA"/>
        </w:rPr>
      </w:pPr>
      <w:r w:rsidRPr="000D5F03">
        <w:rPr>
          <w:rFonts w:ascii="Times New Roman" w:hAnsi="Times New Roman"/>
          <w:b/>
          <w:bCs/>
          <w:i/>
          <w:sz w:val="24"/>
          <w:szCs w:val="24"/>
          <w:lang w:val="en-ZA"/>
        </w:rPr>
        <w:t>The National Mine Closure Strategy</w:t>
      </w:r>
      <w:r w:rsidRPr="000D5F03">
        <w:rPr>
          <w:rFonts w:ascii="Times New Roman" w:hAnsi="Times New Roman"/>
          <w:sz w:val="24"/>
          <w:szCs w:val="24"/>
          <w:lang w:val="en-ZA"/>
        </w:rPr>
        <w:t xml:space="preserve">, which gives recommendations on how to approach mine closures. The report takes into cognisance vertical and lateral linkages of current or past mining activities while also evaluating post mining land use. </w:t>
      </w:r>
      <w:r w:rsidR="00E5391D" w:rsidRPr="000D5F03">
        <w:rPr>
          <w:rFonts w:ascii="Times New Roman" w:hAnsi="Times New Roman"/>
          <w:sz w:val="24"/>
          <w:szCs w:val="24"/>
          <w:lang w:val="en-ZA"/>
        </w:rPr>
        <w:t xml:space="preserve"> </w:t>
      </w:r>
    </w:p>
    <w:p w14:paraId="563F4849" w14:textId="77777777" w:rsidR="00537CCA" w:rsidRPr="000D5F03" w:rsidRDefault="00537CCA" w:rsidP="000D5F03">
      <w:pPr>
        <w:pStyle w:val="ListParagraph"/>
        <w:numPr>
          <w:ilvl w:val="0"/>
          <w:numId w:val="27"/>
        </w:numPr>
        <w:suppressAutoHyphens w:val="0"/>
        <w:autoSpaceDN/>
        <w:spacing w:line="360" w:lineRule="auto"/>
        <w:ind w:left="426" w:hanging="426"/>
        <w:jc w:val="both"/>
        <w:textAlignment w:val="auto"/>
        <w:rPr>
          <w:rFonts w:ascii="Times New Roman" w:hAnsi="Times New Roman"/>
          <w:sz w:val="24"/>
          <w:szCs w:val="24"/>
          <w:lang w:val="en-ZA"/>
        </w:rPr>
      </w:pPr>
      <w:r w:rsidRPr="000D5F03">
        <w:rPr>
          <w:rFonts w:ascii="Times New Roman" w:hAnsi="Times New Roman"/>
          <w:b/>
          <w:bCs/>
          <w:i/>
          <w:sz w:val="24"/>
          <w:szCs w:val="24"/>
          <w:lang w:val="en-ZA"/>
        </w:rPr>
        <w:t xml:space="preserve">The integrated Rehabilitation Monitoring </w:t>
      </w:r>
      <w:proofErr w:type="gramStart"/>
      <w:r w:rsidRPr="000D5F03">
        <w:rPr>
          <w:rFonts w:ascii="Times New Roman" w:hAnsi="Times New Roman"/>
          <w:b/>
          <w:bCs/>
          <w:i/>
          <w:sz w:val="24"/>
          <w:szCs w:val="24"/>
          <w:lang w:val="en-ZA"/>
        </w:rPr>
        <w:t>Strategy</w:t>
      </w:r>
      <w:r w:rsidRPr="000D5F03">
        <w:rPr>
          <w:rFonts w:ascii="Times New Roman" w:hAnsi="Times New Roman"/>
          <w:sz w:val="24"/>
          <w:szCs w:val="24"/>
          <w:lang w:val="en-ZA"/>
        </w:rPr>
        <w:t xml:space="preserve"> which</w:t>
      </w:r>
      <w:proofErr w:type="gramEnd"/>
      <w:r w:rsidRPr="000D5F03">
        <w:rPr>
          <w:rFonts w:ascii="Times New Roman" w:hAnsi="Times New Roman"/>
          <w:sz w:val="24"/>
          <w:szCs w:val="24"/>
          <w:lang w:val="en-ZA"/>
        </w:rPr>
        <w:t xml:space="preserve"> aims to assess activities and level of environmental pollution within a 10 Km radius of derelict and ownerless asbestos mines.</w:t>
      </w:r>
    </w:p>
    <w:p w14:paraId="54C4FEA5" w14:textId="77777777" w:rsidR="00D52F9A" w:rsidRPr="000D5F03" w:rsidRDefault="00537CCA" w:rsidP="000D5F03">
      <w:pPr>
        <w:pStyle w:val="ListParagraph"/>
        <w:numPr>
          <w:ilvl w:val="0"/>
          <w:numId w:val="27"/>
        </w:numPr>
        <w:suppressAutoHyphens w:val="0"/>
        <w:autoSpaceDN/>
        <w:spacing w:line="360" w:lineRule="auto"/>
        <w:ind w:left="426" w:hanging="426"/>
        <w:jc w:val="both"/>
        <w:textAlignment w:val="auto"/>
        <w:rPr>
          <w:rFonts w:ascii="Times New Roman" w:hAnsi="Times New Roman"/>
          <w:sz w:val="24"/>
          <w:szCs w:val="24"/>
          <w:lang w:val="en-ZA"/>
        </w:rPr>
      </w:pPr>
      <w:r w:rsidRPr="000D5F03">
        <w:rPr>
          <w:rFonts w:ascii="Times New Roman" w:hAnsi="Times New Roman"/>
          <w:b/>
          <w:bCs/>
          <w:i/>
          <w:sz w:val="24"/>
          <w:szCs w:val="24"/>
          <w:lang w:val="en-ZA"/>
        </w:rPr>
        <w:t>The Valuation of Rehabilitation Liability</w:t>
      </w:r>
      <w:r w:rsidRPr="000D5F03">
        <w:rPr>
          <w:rFonts w:ascii="Times New Roman" w:hAnsi="Times New Roman"/>
          <w:sz w:val="24"/>
          <w:szCs w:val="24"/>
          <w:lang w:val="en-ZA"/>
        </w:rPr>
        <w:t xml:space="preserve"> (</w:t>
      </w:r>
      <w:r w:rsidR="00D52F9A" w:rsidRPr="000D5F03">
        <w:rPr>
          <w:rFonts w:ascii="Times New Roman" w:hAnsi="Times New Roman"/>
          <w:sz w:val="24"/>
          <w:szCs w:val="24"/>
          <w:lang w:val="en-ZA"/>
        </w:rPr>
        <w:t>Derelict</w:t>
      </w:r>
      <w:r w:rsidRPr="000D5F03">
        <w:rPr>
          <w:rFonts w:ascii="Times New Roman" w:hAnsi="Times New Roman"/>
          <w:sz w:val="24"/>
          <w:szCs w:val="24"/>
          <w:lang w:val="en-ZA"/>
        </w:rPr>
        <w:t xml:space="preserve"> Asbestos Mines) Strategy gives an indication of the state’s contingent liability with regard to derelict and ownerless asbestos mines.</w:t>
      </w:r>
    </w:p>
    <w:p w14:paraId="2469EFE3" w14:textId="77777777" w:rsidR="00D52F9A" w:rsidRPr="000D5F03" w:rsidRDefault="00D52F9A" w:rsidP="000D5F03">
      <w:pPr>
        <w:spacing w:line="360" w:lineRule="auto"/>
        <w:ind w:left="426" w:hanging="426"/>
        <w:rPr>
          <w:rFonts w:ascii="Times New Roman" w:hAnsi="Times New Roman"/>
          <w:sz w:val="24"/>
          <w:szCs w:val="24"/>
          <w:lang w:val="en-ZA"/>
        </w:rPr>
      </w:pPr>
    </w:p>
    <w:p w14:paraId="0F24992E" w14:textId="77777777" w:rsidR="00D52F9A" w:rsidRPr="000D5F03" w:rsidRDefault="00D52F9A" w:rsidP="000D5F03">
      <w:pPr>
        <w:spacing w:line="360" w:lineRule="auto"/>
        <w:rPr>
          <w:rFonts w:ascii="Times New Roman" w:hAnsi="Times New Roman"/>
          <w:sz w:val="24"/>
          <w:szCs w:val="24"/>
          <w:lang w:val="en-ZA"/>
        </w:rPr>
      </w:pPr>
      <w:r w:rsidRPr="000D5F03">
        <w:rPr>
          <w:rFonts w:ascii="Times New Roman" w:hAnsi="Times New Roman"/>
          <w:sz w:val="24"/>
          <w:szCs w:val="24"/>
          <w:lang w:val="en-ZA"/>
        </w:rPr>
        <w:t xml:space="preserve">The following reports </w:t>
      </w:r>
      <w:proofErr w:type="gramStart"/>
      <w:r w:rsidRPr="000D5F03">
        <w:rPr>
          <w:rFonts w:ascii="Times New Roman" w:hAnsi="Times New Roman"/>
          <w:sz w:val="24"/>
          <w:szCs w:val="24"/>
          <w:lang w:val="en-ZA"/>
        </w:rPr>
        <w:t>were also produced</w:t>
      </w:r>
      <w:proofErr w:type="gramEnd"/>
      <w:r w:rsidRPr="000D5F03">
        <w:rPr>
          <w:rFonts w:ascii="Times New Roman" w:hAnsi="Times New Roman"/>
          <w:sz w:val="24"/>
          <w:szCs w:val="24"/>
          <w:lang w:val="en-ZA"/>
        </w:rPr>
        <w:t xml:space="preserve"> as mine environmental tools</w:t>
      </w:r>
    </w:p>
    <w:p w14:paraId="0A1538A8" w14:textId="77777777" w:rsidR="00D52F9A" w:rsidRPr="000D5F03" w:rsidRDefault="00D52F9A" w:rsidP="000D5F03">
      <w:pPr>
        <w:spacing w:line="360" w:lineRule="auto"/>
        <w:rPr>
          <w:rFonts w:ascii="Times New Roman" w:hAnsi="Times New Roman"/>
          <w:sz w:val="24"/>
          <w:szCs w:val="24"/>
          <w:lang w:val="en-ZA"/>
        </w:rPr>
      </w:pPr>
    </w:p>
    <w:p w14:paraId="6B2B2852" w14:textId="77777777" w:rsidR="00D52F9A" w:rsidRPr="000D5F03" w:rsidRDefault="00D52F9A" w:rsidP="000D5F03">
      <w:pPr>
        <w:spacing w:line="360" w:lineRule="auto"/>
        <w:rPr>
          <w:rFonts w:ascii="Times New Roman" w:hAnsi="Times New Roman"/>
          <w:sz w:val="24"/>
          <w:szCs w:val="24"/>
          <w:lang w:val="en-ZA"/>
        </w:rPr>
      </w:pPr>
      <w:r w:rsidRPr="000D5F03">
        <w:rPr>
          <w:rFonts w:ascii="Times New Roman" w:hAnsi="Times New Roman"/>
          <w:b/>
          <w:bCs/>
          <w:i/>
          <w:sz w:val="24"/>
          <w:szCs w:val="24"/>
          <w:lang w:val="en-ZA"/>
        </w:rPr>
        <w:t>Ocean and Coastal Mining</w:t>
      </w:r>
      <w:r w:rsidRPr="000D5F03">
        <w:rPr>
          <w:rFonts w:ascii="Times New Roman" w:hAnsi="Times New Roman"/>
          <w:sz w:val="24"/>
          <w:szCs w:val="24"/>
          <w:lang w:val="en-ZA"/>
        </w:rPr>
        <w:t xml:space="preserve">, the report looks at ways of using primary seabed data to expand knowledge of underwater heritage resources and strengthening the confidence with which the impacts of offshore mining on heritage resources </w:t>
      </w:r>
      <w:proofErr w:type="gramStart"/>
      <w:r w:rsidRPr="000D5F03">
        <w:rPr>
          <w:rFonts w:ascii="Times New Roman" w:hAnsi="Times New Roman"/>
          <w:sz w:val="24"/>
          <w:szCs w:val="24"/>
          <w:lang w:val="en-ZA"/>
        </w:rPr>
        <w:t>are predicted</w:t>
      </w:r>
      <w:proofErr w:type="gramEnd"/>
      <w:r w:rsidRPr="000D5F03">
        <w:rPr>
          <w:rFonts w:ascii="Times New Roman" w:hAnsi="Times New Roman"/>
          <w:sz w:val="24"/>
          <w:szCs w:val="24"/>
          <w:lang w:val="en-ZA"/>
        </w:rPr>
        <w:t>, and how this can be used as an environmental assessment tool.</w:t>
      </w:r>
    </w:p>
    <w:p w14:paraId="71B6C0D5" w14:textId="77777777" w:rsidR="00DF2C3E" w:rsidRPr="000D5F03" w:rsidRDefault="00D52F9A" w:rsidP="000D5F03">
      <w:pPr>
        <w:spacing w:line="360" w:lineRule="auto"/>
        <w:rPr>
          <w:rFonts w:ascii="Times New Roman" w:hAnsi="Times New Roman"/>
          <w:sz w:val="24"/>
          <w:szCs w:val="24"/>
          <w:lang w:val="en-ZA"/>
        </w:rPr>
      </w:pPr>
      <w:r w:rsidRPr="000D5F03">
        <w:rPr>
          <w:rFonts w:ascii="Times New Roman" w:hAnsi="Times New Roman"/>
          <w:b/>
          <w:bCs/>
          <w:i/>
          <w:sz w:val="24"/>
          <w:szCs w:val="24"/>
          <w:lang w:val="en-ZA"/>
        </w:rPr>
        <w:t>Coexistence of mining and the environment</w:t>
      </w:r>
      <w:r w:rsidRPr="000D5F03">
        <w:rPr>
          <w:rFonts w:ascii="Times New Roman" w:hAnsi="Times New Roman"/>
          <w:sz w:val="24"/>
          <w:szCs w:val="24"/>
          <w:lang w:val="en-ZA"/>
        </w:rPr>
        <w:t>, the report looks at the use of biophysical data and pollution vulnerability maps, to show areas that are especially susceptible to pollution</w:t>
      </w:r>
      <w:r w:rsidR="002B21CC" w:rsidRPr="000D5F03">
        <w:rPr>
          <w:rFonts w:ascii="Times New Roman" w:hAnsi="Times New Roman"/>
          <w:sz w:val="24"/>
          <w:szCs w:val="24"/>
          <w:lang w:val="en-ZA"/>
        </w:rPr>
        <w:t>.</w:t>
      </w:r>
    </w:p>
    <w:p w14:paraId="14F2FA29" w14:textId="77777777" w:rsidR="00DF2C3E" w:rsidRPr="000D5F03" w:rsidRDefault="00DF2C3E" w:rsidP="000D5F03">
      <w:pPr>
        <w:suppressAutoHyphens w:val="0"/>
        <w:autoSpaceDN/>
        <w:spacing w:line="360" w:lineRule="auto"/>
        <w:ind w:left="720"/>
        <w:jc w:val="both"/>
        <w:textAlignment w:val="auto"/>
        <w:rPr>
          <w:rFonts w:ascii="Times New Roman" w:hAnsi="Times New Roman"/>
          <w:sz w:val="24"/>
          <w:szCs w:val="24"/>
          <w:lang w:val="en-ZA"/>
        </w:rPr>
      </w:pPr>
    </w:p>
    <w:p w14:paraId="4873BAC8" w14:textId="4E05FFE5" w:rsidR="00DF2C3E" w:rsidRPr="000D5F03" w:rsidRDefault="00DF2C3E"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lang w:val="en-ZA"/>
        </w:rPr>
        <w:t>Mineral Policy and Promotion is the</w:t>
      </w:r>
      <w:r w:rsidRPr="000D5F03">
        <w:rPr>
          <w:rFonts w:ascii="Times New Roman" w:hAnsi="Times New Roman"/>
          <w:sz w:val="24"/>
          <w:szCs w:val="24"/>
        </w:rPr>
        <w:t xml:space="preserve"> largest programme of the </w:t>
      </w:r>
      <w:r w:rsidR="00B31D5C" w:rsidRPr="000D5F03">
        <w:rPr>
          <w:rFonts w:ascii="Times New Roman" w:hAnsi="Times New Roman"/>
          <w:sz w:val="24"/>
          <w:szCs w:val="24"/>
        </w:rPr>
        <w:t>Department</w:t>
      </w:r>
      <w:r w:rsidRPr="000D5F03">
        <w:rPr>
          <w:rFonts w:ascii="Times New Roman" w:hAnsi="Times New Roman"/>
          <w:sz w:val="24"/>
          <w:szCs w:val="24"/>
        </w:rPr>
        <w:t xml:space="preserve"> It absorbs </w:t>
      </w:r>
      <w:r w:rsidR="00B31D5C" w:rsidRPr="000D5F03">
        <w:rPr>
          <w:rFonts w:ascii="Times New Roman" w:hAnsi="Times New Roman"/>
          <w:sz w:val="24"/>
          <w:szCs w:val="24"/>
        </w:rPr>
        <w:t>about</w:t>
      </w:r>
      <w:r w:rsidRPr="000D5F03">
        <w:rPr>
          <w:rFonts w:ascii="Times New Roman" w:hAnsi="Times New Roman"/>
          <w:sz w:val="24"/>
          <w:szCs w:val="24"/>
        </w:rPr>
        <w:t xml:space="preserve"> half of the budget of the DMR</w:t>
      </w:r>
      <w:r w:rsidR="00120493" w:rsidRPr="000D5F03">
        <w:rPr>
          <w:rFonts w:ascii="Times New Roman" w:hAnsi="Times New Roman"/>
          <w:sz w:val="24"/>
          <w:szCs w:val="24"/>
        </w:rPr>
        <w:t>E (Vote 29)</w:t>
      </w:r>
      <w:r w:rsidRPr="000D5F03">
        <w:rPr>
          <w:rFonts w:ascii="Times New Roman" w:hAnsi="Times New Roman"/>
          <w:sz w:val="24"/>
          <w:szCs w:val="24"/>
        </w:rPr>
        <w:t xml:space="preserve"> and includes transfers to </w:t>
      </w:r>
      <w:proofErr w:type="spellStart"/>
      <w:r w:rsidRPr="000D5F03">
        <w:rPr>
          <w:rFonts w:ascii="Times New Roman" w:hAnsi="Times New Roman"/>
          <w:sz w:val="24"/>
          <w:szCs w:val="24"/>
        </w:rPr>
        <w:t>Mintek</w:t>
      </w:r>
      <w:proofErr w:type="spellEnd"/>
      <w:r w:rsidRPr="000D5F03">
        <w:rPr>
          <w:rFonts w:ascii="Times New Roman" w:hAnsi="Times New Roman"/>
          <w:sz w:val="24"/>
          <w:szCs w:val="24"/>
        </w:rPr>
        <w:t xml:space="preserve"> and the Council for Geoscience. The Programme encompasses the DMR’s strategies to address the huge pro</w:t>
      </w:r>
      <w:r w:rsidRPr="000D5F03">
        <w:rPr>
          <w:rFonts w:ascii="Times New Roman" w:hAnsi="Times New Roman"/>
          <w:sz w:val="24"/>
          <w:szCs w:val="24"/>
        </w:rPr>
        <w:t>b</w:t>
      </w:r>
      <w:r w:rsidRPr="000D5F03">
        <w:rPr>
          <w:rFonts w:ascii="Times New Roman" w:hAnsi="Times New Roman"/>
          <w:sz w:val="24"/>
          <w:szCs w:val="24"/>
        </w:rPr>
        <w:t>lems caused by ownerless and derelict mines and mine dumps. The estimated cost to gover</w:t>
      </w:r>
      <w:r w:rsidRPr="000D5F03">
        <w:rPr>
          <w:rFonts w:ascii="Times New Roman" w:hAnsi="Times New Roman"/>
          <w:sz w:val="24"/>
          <w:szCs w:val="24"/>
        </w:rPr>
        <w:t>n</w:t>
      </w:r>
      <w:r w:rsidRPr="000D5F03">
        <w:rPr>
          <w:rFonts w:ascii="Times New Roman" w:hAnsi="Times New Roman"/>
          <w:sz w:val="24"/>
          <w:szCs w:val="24"/>
        </w:rPr>
        <w:t xml:space="preserve">ment of rehabilitation is </w:t>
      </w:r>
      <w:proofErr w:type="gramStart"/>
      <w:r w:rsidR="00B31D5C" w:rsidRPr="000D5F03">
        <w:rPr>
          <w:rFonts w:ascii="Times New Roman" w:hAnsi="Times New Roman"/>
          <w:sz w:val="24"/>
          <w:szCs w:val="24"/>
        </w:rPr>
        <w:t>considerable,</w:t>
      </w:r>
      <w:proofErr w:type="gramEnd"/>
      <w:r w:rsidR="00B31D5C" w:rsidRPr="000D5F03">
        <w:rPr>
          <w:rFonts w:ascii="Times New Roman" w:hAnsi="Times New Roman"/>
          <w:sz w:val="24"/>
          <w:szCs w:val="24"/>
        </w:rPr>
        <w:t xml:space="preserve"> the current pace of rehabilitation is unlikely to make </w:t>
      </w:r>
      <w:r w:rsidRPr="000D5F03">
        <w:rPr>
          <w:rFonts w:ascii="Times New Roman" w:hAnsi="Times New Roman"/>
          <w:sz w:val="24"/>
          <w:szCs w:val="24"/>
        </w:rPr>
        <w:t>a</w:t>
      </w:r>
      <w:r w:rsidR="00B31D5C" w:rsidRPr="000D5F03">
        <w:rPr>
          <w:rFonts w:ascii="Times New Roman" w:hAnsi="Times New Roman"/>
          <w:sz w:val="24"/>
          <w:szCs w:val="24"/>
        </w:rPr>
        <w:t xml:space="preserve"> material impact to the scope of rehabilitation in the medium term.</w:t>
      </w:r>
      <w:r w:rsidRPr="000D5F03">
        <w:rPr>
          <w:rFonts w:ascii="Times New Roman" w:hAnsi="Times New Roman"/>
          <w:sz w:val="24"/>
          <w:szCs w:val="24"/>
        </w:rPr>
        <w:t xml:space="preserve"> </w:t>
      </w:r>
    </w:p>
    <w:p w14:paraId="1AD153DD" w14:textId="77777777" w:rsidR="00855997" w:rsidRPr="000D5F03" w:rsidRDefault="00855997" w:rsidP="000D5F03">
      <w:pPr>
        <w:keepNext/>
        <w:keepLines/>
        <w:suppressAutoHyphens w:val="0"/>
        <w:autoSpaceDN/>
        <w:spacing w:line="360" w:lineRule="auto"/>
        <w:jc w:val="both"/>
        <w:textAlignment w:val="auto"/>
        <w:rPr>
          <w:rFonts w:ascii="Times New Roman" w:hAnsi="Times New Roman"/>
          <w:sz w:val="24"/>
          <w:szCs w:val="24"/>
          <w:lang w:val="en-ZA"/>
        </w:rPr>
      </w:pPr>
    </w:p>
    <w:p w14:paraId="6B8B0A84" w14:textId="77777777" w:rsidR="00855997" w:rsidRPr="000D5F03" w:rsidRDefault="00DF2C3E" w:rsidP="000D5F03">
      <w:pPr>
        <w:keepNext/>
        <w:keepLines/>
        <w:suppressAutoHyphens w:val="0"/>
        <w:autoSpaceDE w:val="0"/>
        <w:adjustRightInd w:val="0"/>
        <w:spacing w:line="360" w:lineRule="auto"/>
        <w:jc w:val="both"/>
        <w:textAlignment w:val="auto"/>
        <w:rPr>
          <w:rFonts w:ascii="Times New Roman" w:hAnsi="Times New Roman"/>
          <w:b/>
          <w:color w:val="auto"/>
          <w:spacing w:val="0"/>
          <w:sz w:val="24"/>
          <w:szCs w:val="24"/>
        </w:rPr>
      </w:pPr>
      <w:r w:rsidRPr="000D5F03">
        <w:rPr>
          <w:rFonts w:ascii="Times New Roman" w:hAnsi="Times New Roman"/>
          <w:b/>
          <w:color w:val="auto"/>
          <w:spacing w:val="0"/>
          <w:sz w:val="24"/>
          <w:szCs w:val="24"/>
        </w:rPr>
        <w:t>5</w:t>
      </w:r>
      <w:r w:rsidR="00855997" w:rsidRPr="000D5F03">
        <w:rPr>
          <w:rFonts w:ascii="Times New Roman" w:hAnsi="Times New Roman"/>
          <w:b/>
          <w:color w:val="auto"/>
          <w:spacing w:val="0"/>
          <w:sz w:val="24"/>
          <w:szCs w:val="24"/>
        </w:rPr>
        <w:t xml:space="preserve">. </w:t>
      </w:r>
      <w:r w:rsidR="00855997" w:rsidRPr="000D5F03">
        <w:rPr>
          <w:rFonts w:ascii="Times New Roman" w:hAnsi="Times New Roman"/>
          <w:b/>
          <w:color w:val="auto"/>
          <w:spacing w:val="0"/>
          <w:sz w:val="24"/>
          <w:szCs w:val="24"/>
        </w:rPr>
        <w:tab/>
        <w:t>REPORT OF THE AUDITOR-GENERAL</w:t>
      </w:r>
    </w:p>
    <w:p w14:paraId="501F63DC" w14:textId="77777777" w:rsidR="00855997" w:rsidRPr="000D5F03" w:rsidRDefault="00855997" w:rsidP="000D5F03">
      <w:pPr>
        <w:keepNext/>
        <w:keepLines/>
        <w:suppressAutoHyphens w:val="0"/>
        <w:autoSpaceDE w:val="0"/>
        <w:adjustRightInd w:val="0"/>
        <w:spacing w:line="360" w:lineRule="auto"/>
        <w:jc w:val="both"/>
        <w:textAlignment w:val="auto"/>
        <w:rPr>
          <w:rFonts w:ascii="Times New Roman" w:hAnsi="Times New Roman"/>
          <w:color w:val="auto"/>
          <w:spacing w:val="0"/>
          <w:sz w:val="24"/>
          <w:szCs w:val="24"/>
        </w:rPr>
      </w:pPr>
    </w:p>
    <w:p w14:paraId="5F46DD24" w14:textId="243920B1" w:rsidR="00855997" w:rsidRPr="000D5F03" w:rsidRDefault="00DC1E5F"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The Auditor General of South African appeared before the Committee on </w:t>
      </w:r>
      <w:r w:rsidR="00984744" w:rsidRPr="000D5F03">
        <w:rPr>
          <w:rFonts w:ascii="Times New Roman" w:hAnsi="Times New Roman"/>
          <w:sz w:val="24"/>
          <w:szCs w:val="24"/>
        </w:rPr>
        <w:t xml:space="preserve">the </w:t>
      </w:r>
      <w:r w:rsidR="00DF2C3E" w:rsidRPr="000D5F03">
        <w:rPr>
          <w:rFonts w:ascii="Times New Roman" w:hAnsi="Times New Roman"/>
          <w:sz w:val="24"/>
          <w:szCs w:val="24"/>
        </w:rPr>
        <w:t>0</w:t>
      </w:r>
      <w:r w:rsidR="00120493" w:rsidRPr="000D5F03">
        <w:rPr>
          <w:rFonts w:ascii="Times New Roman" w:hAnsi="Times New Roman"/>
          <w:sz w:val="24"/>
          <w:szCs w:val="24"/>
        </w:rPr>
        <w:t>8</w:t>
      </w:r>
      <w:r w:rsidR="00DF2C3E" w:rsidRPr="000D5F03">
        <w:rPr>
          <w:rFonts w:ascii="Times New Roman" w:hAnsi="Times New Roman"/>
          <w:sz w:val="24"/>
          <w:szCs w:val="24"/>
        </w:rPr>
        <w:t xml:space="preserve"> October 201</w:t>
      </w:r>
      <w:r w:rsidR="00120493" w:rsidRPr="000D5F03">
        <w:rPr>
          <w:rFonts w:ascii="Times New Roman" w:hAnsi="Times New Roman"/>
          <w:sz w:val="24"/>
          <w:szCs w:val="24"/>
        </w:rPr>
        <w:t>9</w:t>
      </w:r>
      <w:r w:rsidRPr="000D5F03">
        <w:rPr>
          <w:rFonts w:ascii="Times New Roman" w:hAnsi="Times New Roman"/>
          <w:sz w:val="24"/>
          <w:szCs w:val="24"/>
        </w:rPr>
        <w:t xml:space="preserve">. </w:t>
      </w:r>
    </w:p>
    <w:p w14:paraId="3C9E8F56" w14:textId="0DC28C0E" w:rsidR="00DF2C3E" w:rsidRPr="000D5F03" w:rsidRDefault="00DF2C3E"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The DMR financial statements received a clean audit in 201</w:t>
      </w:r>
      <w:r w:rsidR="00120493" w:rsidRPr="000D5F03">
        <w:rPr>
          <w:rFonts w:ascii="Times New Roman" w:hAnsi="Times New Roman"/>
          <w:sz w:val="24"/>
          <w:szCs w:val="24"/>
        </w:rPr>
        <w:t>8</w:t>
      </w:r>
      <w:r w:rsidRPr="000D5F03">
        <w:rPr>
          <w:rFonts w:ascii="Times New Roman" w:hAnsi="Times New Roman"/>
          <w:sz w:val="24"/>
          <w:szCs w:val="24"/>
        </w:rPr>
        <w:t>/1</w:t>
      </w:r>
      <w:r w:rsidR="00120493" w:rsidRPr="000D5F03">
        <w:rPr>
          <w:rFonts w:ascii="Times New Roman" w:hAnsi="Times New Roman"/>
          <w:sz w:val="24"/>
          <w:szCs w:val="24"/>
        </w:rPr>
        <w:t>9</w:t>
      </w:r>
      <w:r w:rsidRPr="000D5F03">
        <w:rPr>
          <w:rFonts w:ascii="Times New Roman" w:hAnsi="Times New Roman"/>
          <w:sz w:val="24"/>
          <w:szCs w:val="24"/>
        </w:rPr>
        <w:t>. This i</w:t>
      </w:r>
      <w:r w:rsidR="00D451A4" w:rsidRPr="000D5F03">
        <w:rPr>
          <w:rFonts w:ascii="Times New Roman" w:hAnsi="Times New Roman"/>
          <w:sz w:val="24"/>
          <w:szCs w:val="24"/>
        </w:rPr>
        <w:t>s</w:t>
      </w:r>
      <w:r w:rsidRPr="000D5F03">
        <w:rPr>
          <w:rFonts w:ascii="Times New Roman" w:hAnsi="Times New Roman"/>
          <w:sz w:val="24"/>
          <w:szCs w:val="24"/>
        </w:rPr>
        <w:t xml:space="preserve"> a notable improv</w:t>
      </w:r>
      <w:r w:rsidRPr="000D5F03">
        <w:rPr>
          <w:rFonts w:ascii="Times New Roman" w:hAnsi="Times New Roman"/>
          <w:sz w:val="24"/>
          <w:szCs w:val="24"/>
        </w:rPr>
        <w:t>e</w:t>
      </w:r>
      <w:r w:rsidRPr="000D5F03">
        <w:rPr>
          <w:rFonts w:ascii="Times New Roman" w:hAnsi="Times New Roman"/>
          <w:sz w:val="24"/>
          <w:szCs w:val="24"/>
        </w:rPr>
        <w:t xml:space="preserve">ment on the unqualified audit opinion (with findings) in </w:t>
      </w:r>
      <w:r w:rsidR="00120493" w:rsidRPr="000D5F03">
        <w:rPr>
          <w:rFonts w:ascii="Times New Roman" w:hAnsi="Times New Roman"/>
          <w:sz w:val="24"/>
          <w:szCs w:val="24"/>
        </w:rPr>
        <w:t>the previous financial year</w:t>
      </w:r>
      <w:r w:rsidRPr="000D5F03">
        <w:rPr>
          <w:rFonts w:ascii="Times New Roman" w:hAnsi="Times New Roman"/>
          <w:sz w:val="24"/>
          <w:szCs w:val="24"/>
        </w:rPr>
        <w:t>. The D</w:t>
      </w:r>
      <w:r w:rsidRPr="000D5F03">
        <w:rPr>
          <w:rFonts w:ascii="Times New Roman" w:hAnsi="Times New Roman"/>
          <w:sz w:val="24"/>
          <w:szCs w:val="24"/>
        </w:rPr>
        <w:t>e</w:t>
      </w:r>
      <w:r w:rsidRPr="000D5F03">
        <w:rPr>
          <w:rFonts w:ascii="Times New Roman" w:hAnsi="Times New Roman"/>
          <w:sz w:val="24"/>
          <w:szCs w:val="24"/>
        </w:rPr>
        <w:t xml:space="preserve">partment has now fully dealt with the concerns and criticisms raised in the </w:t>
      </w:r>
      <w:r w:rsidR="00940B17" w:rsidRPr="000D5F03">
        <w:rPr>
          <w:rFonts w:ascii="Times New Roman" w:hAnsi="Times New Roman"/>
          <w:sz w:val="24"/>
          <w:szCs w:val="24"/>
        </w:rPr>
        <w:t>un</w:t>
      </w:r>
      <w:r w:rsidRPr="000D5F03">
        <w:rPr>
          <w:rFonts w:ascii="Times New Roman" w:hAnsi="Times New Roman"/>
          <w:sz w:val="24"/>
          <w:szCs w:val="24"/>
        </w:rPr>
        <w:t xml:space="preserve">qualified audit opinion </w:t>
      </w:r>
      <w:r w:rsidR="00D451A4" w:rsidRPr="000D5F03">
        <w:rPr>
          <w:rFonts w:ascii="Times New Roman" w:hAnsi="Times New Roman"/>
          <w:sz w:val="24"/>
          <w:szCs w:val="24"/>
        </w:rPr>
        <w:t>during the previous</w:t>
      </w:r>
      <w:r w:rsidR="00120493" w:rsidRPr="000D5F03">
        <w:rPr>
          <w:rFonts w:ascii="Times New Roman" w:hAnsi="Times New Roman"/>
          <w:sz w:val="24"/>
          <w:szCs w:val="24"/>
        </w:rPr>
        <w:t xml:space="preserve"> year</w:t>
      </w:r>
      <w:r w:rsidRPr="000D5F03">
        <w:rPr>
          <w:rFonts w:ascii="Times New Roman" w:hAnsi="Times New Roman"/>
          <w:sz w:val="24"/>
          <w:szCs w:val="24"/>
        </w:rPr>
        <w:t>.</w:t>
      </w:r>
    </w:p>
    <w:p w14:paraId="29EDA73E" w14:textId="77777777" w:rsidR="00DF2C3E" w:rsidRPr="000D5F03" w:rsidRDefault="00DF2C3E" w:rsidP="000D5F03">
      <w:pPr>
        <w:suppressAutoHyphens w:val="0"/>
        <w:autoSpaceDN/>
        <w:spacing w:line="360" w:lineRule="auto"/>
        <w:jc w:val="both"/>
        <w:textAlignment w:val="auto"/>
        <w:rPr>
          <w:rFonts w:ascii="Times New Roman" w:hAnsi="Times New Roman"/>
          <w:sz w:val="24"/>
          <w:szCs w:val="24"/>
        </w:rPr>
      </w:pPr>
    </w:p>
    <w:p w14:paraId="1D35B690" w14:textId="77777777" w:rsidR="00DF2C3E" w:rsidRPr="000D5F03" w:rsidRDefault="00DF2C3E"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The Auditor General found there were no material misstatements in the submitted financial statements. As a result, the financial statements received an unqualified audit opinion without findings, also referred to as a clean audit. </w:t>
      </w:r>
    </w:p>
    <w:p w14:paraId="30A97F44" w14:textId="77777777" w:rsidR="00DF2C3E" w:rsidRPr="000D5F03" w:rsidRDefault="00DF2C3E" w:rsidP="000D5F03">
      <w:pPr>
        <w:suppressAutoHyphens w:val="0"/>
        <w:autoSpaceDN/>
        <w:spacing w:line="360" w:lineRule="auto"/>
        <w:jc w:val="both"/>
        <w:textAlignment w:val="auto"/>
        <w:rPr>
          <w:rFonts w:ascii="Times New Roman" w:hAnsi="Times New Roman"/>
          <w:sz w:val="24"/>
          <w:szCs w:val="24"/>
        </w:rPr>
      </w:pPr>
    </w:p>
    <w:p w14:paraId="71841C15" w14:textId="5FD79E4C" w:rsidR="00DF2C3E" w:rsidRPr="000D5F03" w:rsidRDefault="00DF2C3E"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There were also no material misstatements in the reported performance information (as set out in pages </w:t>
      </w:r>
      <w:r w:rsidR="00F47620" w:rsidRPr="000D5F03">
        <w:rPr>
          <w:rFonts w:ascii="Times New Roman" w:hAnsi="Times New Roman"/>
          <w:sz w:val="24"/>
          <w:szCs w:val="24"/>
        </w:rPr>
        <w:t>2</w:t>
      </w:r>
      <w:r w:rsidRPr="000D5F03">
        <w:rPr>
          <w:rFonts w:ascii="Times New Roman" w:hAnsi="Times New Roman"/>
          <w:sz w:val="24"/>
          <w:szCs w:val="24"/>
        </w:rPr>
        <w:t>1 to 5</w:t>
      </w:r>
      <w:r w:rsidR="00F47620" w:rsidRPr="000D5F03">
        <w:rPr>
          <w:rFonts w:ascii="Times New Roman" w:hAnsi="Times New Roman"/>
          <w:sz w:val="24"/>
          <w:szCs w:val="24"/>
        </w:rPr>
        <w:t>3</w:t>
      </w:r>
      <w:r w:rsidRPr="000D5F03">
        <w:rPr>
          <w:rFonts w:ascii="Times New Roman" w:hAnsi="Times New Roman"/>
          <w:sz w:val="24"/>
          <w:szCs w:val="24"/>
        </w:rPr>
        <w:t xml:space="preserve"> of the Annual Report).</w:t>
      </w:r>
    </w:p>
    <w:p w14:paraId="7E9BE15A" w14:textId="3D2126CB" w:rsidR="00F47620" w:rsidRPr="000D5F03" w:rsidRDefault="00F47620" w:rsidP="000D5F03">
      <w:pPr>
        <w:suppressAutoHyphens w:val="0"/>
        <w:autoSpaceDN/>
        <w:spacing w:line="360" w:lineRule="auto"/>
        <w:jc w:val="both"/>
        <w:textAlignment w:val="auto"/>
        <w:rPr>
          <w:rFonts w:ascii="Times New Roman" w:hAnsi="Times New Roman"/>
          <w:sz w:val="24"/>
          <w:szCs w:val="24"/>
        </w:rPr>
      </w:pPr>
    </w:p>
    <w:p w14:paraId="7A0EFEB9" w14:textId="13E5F6C2" w:rsidR="00D451A4" w:rsidRPr="000D5F03" w:rsidRDefault="00D451A4"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There are five entities reporting to the Department of Minerals Recourses (DMR) namely, the Council for Geoscience (CGS), Mine Health and Safety Council (MHSC), </w:t>
      </w:r>
      <w:proofErr w:type="spellStart"/>
      <w:r w:rsidRPr="000D5F03">
        <w:rPr>
          <w:rFonts w:ascii="Times New Roman" w:hAnsi="Times New Roman"/>
          <w:sz w:val="24"/>
          <w:szCs w:val="24"/>
        </w:rPr>
        <w:t>Mintek</w:t>
      </w:r>
      <w:proofErr w:type="spellEnd"/>
      <w:r w:rsidRPr="000D5F03">
        <w:rPr>
          <w:rFonts w:ascii="Times New Roman" w:hAnsi="Times New Roman"/>
          <w:sz w:val="24"/>
          <w:szCs w:val="24"/>
        </w:rPr>
        <w:t>, South A</w:t>
      </w:r>
      <w:r w:rsidRPr="000D5F03">
        <w:rPr>
          <w:rFonts w:ascii="Times New Roman" w:hAnsi="Times New Roman"/>
          <w:sz w:val="24"/>
          <w:szCs w:val="24"/>
        </w:rPr>
        <w:t>f</w:t>
      </w:r>
      <w:r w:rsidRPr="000D5F03">
        <w:rPr>
          <w:rFonts w:ascii="Times New Roman" w:hAnsi="Times New Roman"/>
          <w:sz w:val="24"/>
          <w:szCs w:val="24"/>
        </w:rPr>
        <w:t xml:space="preserve">rican Diamond and Precious Metal Regulator (SADPMR) and the State Diamond Trader (SDT). </w:t>
      </w:r>
      <w:proofErr w:type="gramStart"/>
      <w:r w:rsidRPr="000D5F03">
        <w:rPr>
          <w:rFonts w:ascii="Times New Roman" w:hAnsi="Times New Roman"/>
          <w:sz w:val="24"/>
          <w:szCs w:val="24"/>
        </w:rPr>
        <w:t>According to the Auditor General report, the Department of Mineral Resources and the Council for Geoscience obtained a clean audit, this reflect an improvement on the oper</w:t>
      </w:r>
      <w:r w:rsidRPr="000D5F03">
        <w:rPr>
          <w:rFonts w:ascii="Times New Roman" w:hAnsi="Times New Roman"/>
          <w:sz w:val="24"/>
          <w:szCs w:val="24"/>
        </w:rPr>
        <w:t>a</w:t>
      </w:r>
      <w:r w:rsidRPr="000D5F03">
        <w:rPr>
          <w:rFonts w:ascii="Times New Roman" w:hAnsi="Times New Roman"/>
          <w:sz w:val="24"/>
          <w:szCs w:val="24"/>
        </w:rPr>
        <w:t>tional and financial performance of both the Department (DMR) and the entity (CGS) given the fact that the last time the Department obtained a clean audit was during the 2016/17 fina</w:t>
      </w:r>
      <w:r w:rsidRPr="000D5F03">
        <w:rPr>
          <w:rFonts w:ascii="Times New Roman" w:hAnsi="Times New Roman"/>
          <w:sz w:val="24"/>
          <w:szCs w:val="24"/>
        </w:rPr>
        <w:t>n</w:t>
      </w:r>
      <w:r w:rsidRPr="000D5F03">
        <w:rPr>
          <w:rFonts w:ascii="Times New Roman" w:hAnsi="Times New Roman"/>
          <w:sz w:val="24"/>
          <w:szCs w:val="24"/>
        </w:rPr>
        <w:t>cial year (2017/18 audit outcome for the DMR was unqualified audit with findings).</w:t>
      </w:r>
      <w:proofErr w:type="gramEnd"/>
    </w:p>
    <w:p w14:paraId="78382A2B" w14:textId="77777777" w:rsidR="00D451A4" w:rsidRPr="000D5F03" w:rsidRDefault="00D451A4" w:rsidP="000D5F03">
      <w:pPr>
        <w:suppressAutoHyphens w:val="0"/>
        <w:autoSpaceDN/>
        <w:spacing w:line="360" w:lineRule="auto"/>
        <w:jc w:val="both"/>
        <w:textAlignment w:val="auto"/>
        <w:rPr>
          <w:rFonts w:ascii="Times New Roman" w:hAnsi="Times New Roman"/>
          <w:sz w:val="24"/>
          <w:szCs w:val="24"/>
        </w:rPr>
      </w:pPr>
    </w:p>
    <w:p w14:paraId="2C4EEFE7" w14:textId="77777777" w:rsidR="00D451A4" w:rsidRPr="000D5F03" w:rsidRDefault="00D451A4"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With regard to the CGS performance the entity has not received a clean audit during the last five financial years, hence its current achievement (clean audit) represent a great improv</w:t>
      </w:r>
      <w:r w:rsidRPr="000D5F03">
        <w:rPr>
          <w:rFonts w:ascii="Times New Roman" w:hAnsi="Times New Roman"/>
          <w:sz w:val="24"/>
          <w:szCs w:val="24"/>
        </w:rPr>
        <w:t>e</w:t>
      </w:r>
      <w:r w:rsidRPr="000D5F03">
        <w:rPr>
          <w:rFonts w:ascii="Times New Roman" w:hAnsi="Times New Roman"/>
          <w:sz w:val="24"/>
          <w:szCs w:val="24"/>
        </w:rPr>
        <w:t xml:space="preserve">ment in its financial and operational governance practices. On the other hand, </w:t>
      </w:r>
      <w:proofErr w:type="spellStart"/>
      <w:r w:rsidRPr="000D5F03">
        <w:rPr>
          <w:rFonts w:ascii="Times New Roman" w:hAnsi="Times New Roman"/>
          <w:sz w:val="24"/>
          <w:szCs w:val="24"/>
        </w:rPr>
        <w:t>Mintek</w:t>
      </w:r>
      <w:proofErr w:type="spellEnd"/>
      <w:r w:rsidRPr="000D5F03">
        <w:rPr>
          <w:rFonts w:ascii="Times New Roman" w:hAnsi="Times New Roman"/>
          <w:sz w:val="24"/>
          <w:szCs w:val="24"/>
        </w:rPr>
        <w:t xml:space="preserve"> has been a permanent feature in the attainment of a clean audit, having been consistently recei</w:t>
      </w:r>
      <w:r w:rsidRPr="000D5F03">
        <w:rPr>
          <w:rFonts w:ascii="Times New Roman" w:hAnsi="Times New Roman"/>
          <w:sz w:val="24"/>
          <w:szCs w:val="24"/>
        </w:rPr>
        <w:t>v</w:t>
      </w:r>
      <w:r w:rsidRPr="000D5F03">
        <w:rPr>
          <w:rFonts w:ascii="Times New Roman" w:hAnsi="Times New Roman"/>
          <w:sz w:val="24"/>
          <w:szCs w:val="24"/>
        </w:rPr>
        <w:t xml:space="preserve">ing a clean audit from the 2014/15 financial year until the previous financial year. The audit outcome for </w:t>
      </w:r>
      <w:proofErr w:type="spellStart"/>
      <w:r w:rsidRPr="000D5F03">
        <w:rPr>
          <w:rFonts w:ascii="Times New Roman" w:hAnsi="Times New Roman"/>
          <w:sz w:val="24"/>
          <w:szCs w:val="24"/>
        </w:rPr>
        <w:t>Mintek</w:t>
      </w:r>
      <w:proofErr w:type="spellEnd"/>
      <w:r w:rsidRPr="000D5F03">
        <w:rPr>
          <w:rFonts w:ascii="Times New Roman" w:hAnsi="Times New Roman"/>
          <w:sz w:val="24"/>
          <w:szCs w:val="24"/>
        </w:rPr>
        <w:t xml:space="preserve"> during the financial year under review has been the unqualified audit with findings, which represent a regression, according to the Auditor General report this was due to the quality of financial statements submitted for audit. Hence it will be important for the Committee to ensure that there are no systematic (e.g. capacity constraints, high turnover rate for employees in the finance division) issues in the entity that are causing the above underpe</w:t>
      </w:r>
      <w:r w:rsidRPr="000D5F03">
        <w:rPr>
          <w:rFonts w:ascii="Times New Roman" w:hAnsi="Times New Roman"/>
          <w:sz w:val="24"/>
          <w:szCs w:val="24"/>
        </w:rPr>
        <w:t>r</w:t>
      </w:r>
      <w:r w:rsidRPr="000D5F03">
        <w:rPr>
          <w:rFonts w:ascii="Times New Roman" w:hAnsi="Times New Roman"/>
          <w:sz w:val="24"/>
          <w:szCs w:val="24"/>
        </w:rPr>
        <w:t>formance.</w:t>
      </w:r>
    </w:p>
    <w:p w14:paraId="6B562B96" w14:textId="77777777" w:rsidR="00D451A4" w:rsidRPr="000D5F03" w:rsidRDefault="00D451A4" w:rsidP="000D5F03">
      <w:pPr>
        <w:suppressAutoHyphens w:val="0"/>
        <w:autoSpaceDN/>
        <w:spacing w:line="360" w:lineRule="auto"/>
        <w:jc w:val="both"/>
        <w:textAlignment w:val="auto"/>
        <w:rPr>
          <w:rFonts w:ascii="Times New Roman" w:hAnsi="Times New Roman"/>
          <w:sz w:val="24"/>
          <w:szCs w:val="24"/>
        </w:rPr>
      </w:pPr>
    </w:p>
    <w:p w14:paraId="63D2FBF2" w14:textId="77777777" w:rsidR="00D451A4" w:rsidRPr="000D5F03" w:rsidRDefault="00D451A4"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Mine Health and Safety Council has also regressed </w:t>
      </w:r>
      <w:proofErr w:type="gramStart"/>
      <w:r w:rsidRPr="000D5F03">
        <w:rPr>
          <w:rFonts w:ascii="Times New Roman" w:hAnsi="Times New Roman"/>
          <w:sz w:val="24"/>
          <w:szCs w:val="24"/>
        </w:rPr>
        <w:t>with regards to</w:t>
      </w:r>
      <w:proofErr w:type="gramEnd"/>
      <w:r w:rsidRPr="000D5F03">
        <w:rPr>
          <w:rFonts w:ascii="Times New Roman" w:hAnsi="Times New Roman"/>
          <w:sz w:val="24"/>
          <w:szCs w:val="24"/>
        </w:rPr>
        <w:t xml:space="preserve"> its audit outcomes, having achieved a clean audit during the previous two financial years, during the period under review the entity obtained an unqualified audit with findings, this was due to non-compliance with legislation. It will be important for the Committee to interrogate the reasons for the non-compliance with legislation by the entity, and for the entity to explain to the Committee how this </w:t>
      </w:r>
      <w:proofErr w:type="gramStart"/>
      <w:r w:rsidRPr="000D5F03">
        <w:rPr>
          <w:rFonts w:ascii="Times New Roman" w:hAnsi="Times New Roman"/>
          <w:sz w:val="24"/>
          <w:szCs w:val="24"/>
        </w:rPr>
        <w:t>will be prevented</w:t>
      </w:r>
      <w:proofErr w:type="gramEnd"/>
      <w:r w:rsidRPr="000D5F03">
        <w:rPr>
          <w:rFonts w:ascii="Times New Roman" w:hAnsi="Times New Roman"/>
          <w:sz w:val="24"/>
          <w:szCs w:val="24"/>
        </w:rPr>
        <w:t xml:space="preserve"> in the future. Noncompliance with legislation is more serious for an o</w:t>
      </w:r>
      <w:r w:rsidRPr="000D5F03">
        <w:rPr>
          <w:rFonts w:ascii="Times New Roman" w:hAnsi="Times New Roman"/>
          <w:sz w:val="24"/>
          <w:szCs w:val="24"/>
        </w:rPr>
        <w:t>r</w:t>
      </w:r>
      <w:r w:rsidRPr="000D5F03">
        <w:rPr>
          <w:rFonts w:ascii="Times New Roman" w:hAnsi="Times New Roman"/>
          <w:sz w:val="24"/>
          <w:szCs w:val="24"/>
        </w:rPr>
        <w:t>ganization that is supposed to enforce Health and Safety legislation across the industry in the country.</w:t>
      </w:r>
    </w:p>
    <w:p w14:paraId="301866D4" w14:textId="77777777" w:rsidR="00D451A4" w:rsidRPr="000D5F03" w:rsidRDefault="00D451A4" w:rsidP="000D5F03">
      <w:pPr>
        <w:suppressAutoHyphens w:val="0"/>
        <w:autoSpaceDN/>
        <w:spacing w:line="360" w:lineRule="auto"/>
        <w:jc w:val="both"/>
        <w:textAlignment w:val="auto"/>
        <w:rPr>
          <w:rFonts w:ascii="Times New Roman" w:hAnsi="Times New Roman"/>
          <w:sz w:val="24"/>
          <w:szCs w:val="24"/>
        </w:rPr>
      </w:pPr>
    </w:p>
    <w:p w14:paraId="332DACC8" w14:textId="77777777" w:rsidR="00D451A4" w:rsidRPr="000D5F03" w:rsidRDefault="00D451A4"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The last time the State Diamond Trader and the South African Diamond and Precious Metal Regulator received clean audits was two and three financial years ago respectively, hence no improvement is evident in the financial performance of the entities during the period under review. </w:t>
      </w:r>
      <w:proofErr w:type="gramStart"/>
      <w:r w:rsidRPr="000D5F03">
        <w:rPr>
          <w:rFonts w:ascii="Times New Roman" w:hAnsi="Times New Roman"/>
          <w:sz w:val="24"/>
          <w:szCs w:val="24"/>
        </w:rPr>
        <w:t>Hence</w:t>
      </w:r>
      <w:proofErr w:type="gramEnd"/>
      <w:r w:rsidRPr="000D5F03">
        <w:rPr>
          <w:rFonts w:ascii="Times New Roman" w:hAnsi="Times New Roman"/>
          <w:sz w:val="24"/>
          <w:szCs w:val="24"/>
        </w:rPr>
        <w:t xml:space="preserve"> the Department has to work closely with the two entities to ensure that systems are in place to improve performance and ensure improved audit outcomes. </w:t>
      </w:r>
    </w:p>
    <w:p w14:paraId="5E759804" w14:textId="77777777" w:rsidR="00F66AB8" w:rsidRPr="000D5F03" w:rsidRDefault="00F66AB8" w:rsidP="000D5F03">
      <w:pPr>
        <w:suppressAutoHyphens w:val="0"/>
        <w:autoSpaceDN/>
        <w:spacing w:line="360" w:lineRule="auto"/>
        <w:jc w:val="both"/>
        <w:textAlignment w:val="auto"/>
        <w:rPr>
          <w:rFonts w:ascii="Times New Roman" w:hAnsi="Times New Roman"/>
          <w:sz w:val="24"/>
          <w:szCs w:val="24"/>
        </w:rPr>
      </w:pPr>
    </w:p>
    <w:p w14:paraId="17FDAE68" w14:textId="77777777" w:rsidR="00855997" w:rsidRPr="000D5F03" w:rsidRDefault="00855997" w:rsidP="000D5F03">
      <w:pPr>
        <w:pStyle w:val="ListParagraph"/>
        <w:keepNext/>
        <w:keepLines/>
        <w:numPr>
          <w:ilvl w:val="0"/>
          <w:numId w:val="16"/>
        </w:numPr>
        <w:suppressAutoHyphens w:val="0"/>
        <w:autoSpaceDE w:val="0"/>
        <w:adjustRightInd w:val="0"/>
        <w:spacing w:line="360" w:lineRule="auto"/>
        <w:ind w:left="426" w:hanging="426"/>
        <w:jc w:val="both"/>
        <w:textAlignment w:val="auto"/>
        <w:rPr>
          <w:rFonts w:ascii="Times New Roman" w:hAnsi="Times New Roman"/>
          <w:b/>
          <w:color w:val="auto"/>
          <w:spacing w:val="0"/>
          <w:sz w:val="24"/>
          <w:szCs w:val="24"/>
        </w:rPr>
      </w:pPr>
      <w:r w:rsidRPr="000D5F03">
        <w:rPr>
          <w:rFonts w:ascii="Times New Roman" w:hAnsi="Times New Roman"/>
          <w:b/>
          <w:color w:val="auto"/>
          <w:spacing w:val="0"/>
          <w:sz w:val="24"/>
          <w:szCs w:val="24"/>
        </w:rPr>
        <w:t xml:space="preserve">SUMMARY AND ANALYSIS OF </w:t>
      </w:r>
      <w:r w:rsidRPr="000D5F03">
        <w:rPr>
          <w:rFonts w:ascii="Times New Roman" w:hAnsi="Times New Roman"/>
          <w:b/>
          <w:color w:val="auto"/>
          <w:spacing w:val="0"/>
          <w:sz w:val="24"/>
          <w:szCs w:val="24"/>
          <w:lang w:val="en-ZA"/>
        </w:rPr>
        <w:t>ANNUAL FINANCIAL STATEMENTS</w:t>
      </w:r>
    </w:p>
    <w:p w14:paraId="7A1885FF" w14:textId="77777777" w:rsidR="007E4780" w:rsidRPr="000D5F03" w:rsidRDefault="007E4780" w:rsidP="000D5F03">
      <w:pPr>
        <w:keepNext/>
        <w:keepLines/>
        <w:suppressAutoHyphens w:val="0"/>
        <w:autoSpaceDE w:val="0"/>
        <w:adjustRightInd w:val="0"/>
        <w:spacing w:after="120" w:line="360" w:lineRule="auto"/>
        <w:jc w:val="both"/>
        <w:textAlignment w:val="auto"/>
        <w:rPr>
          <w:rFonts w:ascii="Times New Roman" w:hAnsi="Times New Roman"/>
          <w:b/>
          <w:sz w:val="24"/>
          <w:szCs w:val="24"/>
        </w:rPr>
      </w:pPr>
      <w:bookmarkStart w:id="1" w:name="OLE_LINK3"/>
      <w:bookmarkStart w:id="2" w:name="OLE_LINK4"/>
    </w:p>
    <w:p w14:paraId="19D98D03" w14:textId="77777777" w:rsidR="00DF2C3E" w:rsidRPr="000D5F03" w:rsidRDefault="00DF2C3E" w:rsidP="000D5F03">
      <w:pPr>
        <w:keepNext/>
        <w:keepLines/>
        <w:suppressAutoHyphens w:val="0"/>
        <w:autoSpaceDE w:val="0"/>
        <w:adjustRightInd w:val="0"/>
        <w:spacing w:after="120" w:line="360" w:lineRule="auto"/>
        <w:jc w:val="both"/>
        <w:textAlignment w:val="auto"/>
        <w:rPr>
          <w:rFonts w:ascii="Times New Roman" w:hAnsi="Times New Roman"/>
          <w:b/>
          <w:sz w:val="24"/>
          <w:szCs w:val="24"/>
        </w:rPr>
      </w:pPr>
      <w:r w:rsidRPr="000D5F03">
        <w:rPr>
          <w:rFonts w:ascii="Times New Roman" w:hAnsi="Times New Roman"/>
          <w:b/>
          <w:sz w:val="24"/>
          <w:szCs w:val="24"/>
        </w:rPr>
        <w:t xml:space="preserve">The following </w:t>
      </w:r>
      <w:proofErr w:type="gramStart"/>
      <w:r w:rsidRPr="000D5F03">
        <w:rPr>
          <w:rFonts w:ascii="Times New Roman" w:hAnsi="Times New Roman"/>
          <w:b/>
          <w:sz w:val="24"/>
          <w:szCs w:val="24"/>
        </w:rPr>
        <w:t>can be observed</w:t>
      </w:r>
      <w:proofErr w:type="gramEnd"/>
      <w:r w:rsidRPr="000D5F03">
        <w:rPr>
          <w:rFonts w:ascii="Times New Roman" w:hAnsi="Times New Roman"/>
          <w:b/>
          <w:sz w:val="24"/>
          <w:szCs w:val="24"/>
        </w:rPr>
        <w:t xml:space="preserve"> from the financial statements:</w:t>
      </w:r>
    </w:p>
    <w:p w14:paraId="4A036BDB" w14:textId="77777777" w:rsidR="00DF2C3E" w:rsidRPr="000D5F03" w:rsidRDefault="00DF2C3E" w:rsidP="000D5F03">
      <w:pPr>
        <w:keepNext/>
        <w:keepLines/>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The DMR customarily spends </w:t>
      </w:r>
      <w:r w:rsidR="00D15DE1" w:rsidRPr="000D5F03">
        <w:rPr>
          <w:rFonts w:ascii="Times New Roman" w:hAnsi="Times New Roman"/>
          <w:sz w:val="24"/>
          <w:szCs w:val="24"/>
        </w:rPr>
        <w:t>its entire</w:t>
      </w:r>
      <w:r w:rsidRPr="000D5F03">
        <w:rPr>
          <w:rFonts w:ascii="Times New Roman" w:hAnsi="Times New Roman"/>
          <w:sz w:val="24"/>
          <w:szCs w:val="24"/>
        </w:rPr>
        <w:t xml:space="preserve"> budget each year. </w:t>
      </w:r>
      <w:proofErr w:type="gramStart"/>
      <w:r w:rsidRPr="000D5F03">
        <w:rPr>
          <w:rFonts w:ascii="Times New Roman" w:hAnsi="Times New Roman"/>
          <w:sz w:val="24"/>
          <w:szCs w:val="24"/>
        </w:rPr>
        <w:t>This full spending of budgets, across all programmes has been described by the Financial and Fiscal commission (FFC) as an indicator of fiscal discipline</w:t>
      </w:r>
      <w:proofErr w:type="gramEnd"/>
      <w:r w:rsidRPr="000D5F03">
        <w:rPr>
          <w:rFonts w:ascii="Times New Roman" w:hAnsi="Times New Roman"/>
          <w:sz w:val="24"/>
          <w:szCs w:val="24"/>
        </w:rPr>
        <w:t xml:space="preserve">. In its </w:t>
      </w:r>
      <w:r w:rsidR="00F66AB8" w:rsidRPr="000D5F03">
        <w:rPr>
          <w:rFonts w:ascii="Times New Roman" w:hAnsi="Times New Roman"/>
          <w:sz w:val="24"/>
          <w:szCs w:val="24"/>
        </w:rPr>
        <w:t xml:space="preserve">last </w:t>
      </w:r>
      <w:r w:rsidRPr="000D5F03">
        <w:rPr>
          <w:rFonts w:ascii="Times New Roman" w:hAnsi="Times New Roman"/>
          <w:sz w:val="24"/>
          <w:szCs w:val="24"/>
        </w:rPr>
        <w:t>analysis of the spending profile of the DMR, the FFC found that “the Department has an efficient cash flow system in place and spending disburs</w:t>
      </w:r>
      <w:r w:rsidRPr="000D5F03">
        <w:rPr>
          <w:rFonts w:ascii="Times New Roman" w:hAnsi="Times New Roman"/>
          <w:sz w:val="24"/>
          <w:szCs w:val="24"/>
        </w:rPr>
        <w:t>e</w:t>
      </w:r>
      <w:r w:rsidRPr="000D5F03">
        <w:rPr>
          <w:rFonts w:ascii="Times New Roman" w:hAnsi="Times New Roman"/>
          <w:sz w:val="24"/>
          <w:szCs w:val="24"/>
        </w:rPr>
        <w:t>ments to public entities are well planned to smooth out cash outflows during the year.”</w:t>
      </w:r>
    </w:p>
    <w:p w14:paraId="004D7A24" w14:textId="77777777" w:rsidR="00DF2C3E" w:rsidRPr="000D5F03" w:rsidRDefault="00DF2C3E" w:rsidP="000D5F03">
      <w:pPr>
        <w:suppressAutoHyphens w:val="0"/>
        <w:autoSpaceDN/>
        <w:spacing w:line="360" w:lineRule="auto"/>
        <w:jc w:val="both"/>
        <w:textAlignment w:val="auto"/>
        <w:rPr>
          <w:rFonts w:ascii="Times New Roman" w:hAnsi="Times New Roman"/>
          <w:sz w:val="24"/>
          <w:szCs w:val="24"/>
        </w:rPr>
      </w:pPr>
    </w:p>
    <w:p w14:paraId="375378CB" w14:textId="6E842032" w:rsidR="00DF2C3E" w:rsidRPr="000D5F03" w:rsidRDefault="00DF2C3E"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The </w:t>
      </w:r>
      <w:r w:rsidRPr="000D5F03">
        <w:rPr>
          <w:rFonts w:ascii="Times New Roman" w:hAnsi="Times New Roman"/>
          <w:b/>
          <w:sz w:val="24"/>
          <w:szCs w:val="24"/>
        </w:rPr>
        <w:t>Department’s entities and agencies</w:t>
      </w:r>
      <w:r w:rsidRPr="000D5F03">
        <w:rPr>
          <w:rFonts w:ascii="Times New Roman" w:hAnsi="Times New Roman"/>
          <w:sz w:val="24"/>
          <w:szCs w:val="24"/>
        </w:rPr>
        <w:t xml:space="preserve"> have all obtained unqualified audits since 2011/12. These are the Council for Minerals Technology (</w:t>
      </w:r>
      <w:proofErr w:type="spellStart"/>
      <w:r w:rsidRPr="000D5F03">
        <w:rPr>
          <w:rFonts w:ascii="Times New Roman" w:hAnsi="Times New Roman"/>
          <w:sz w:val="24"/>
          <w:szCs w:val="24"/>
        </w:rPr>
        <w:t>Mintek</w:t>
      </w:r>
      <w:proofErr w:type="spellEnd"/>
      <w:r w:rsidRPr="000D5F03">
        <w:rPr>
          <w:rFonts w:ascii="Times New Roman" w:hAnsi="Times New Roman"/>
          <w:sz w:val="24"/>
          <w:szCs w:val="24"/>
        </w:rPr>
        <w:t xml:space="preserve">), the Council for Geoscience, the Mine Health and Safety Council, the South African Diamond and Precious Metals Regulator and the State Diamond Trader. </w:t>
      </w:r>
      <w:r w:rsidR="00F66AB8" w:rsidRPr="000D5F03">
        <w:rPr>
          <w:rFonts w:ascii="Times New Roman" w:hAnsi="Times New Roman"/>
          <w:sz w:val="24"/>
          <w:szCs w:val="24"/>
        </w:rPr>
        <w:t>The</w:t>
      </w:r>
      <w:r w:rsidRPr="000D5F03">
        <w:rPr>
          <w:rFonts w:ascii="Times New Roman" w:hAnsi="Times New Roman"/>
          <w:sz w:val="24"/>
          <w:szCs w:val="24"/>
        </w:rPr>
        <w:t xml:space="preserve"> </w:t>
      </w:r>
      <w:r w:rsidR="00F66AB8" w:rsidRPr="000D5F03">
        <w:rPr>
          <w:rFonts w:ascii="Times New Roman" w:hAnsi="Times New Roman"/>
          <w:sz w:val="24"/>
          <w:szCs w:val="24"/>
        </w:rPr>
        <w:t>entities are</w:t>
      </w:r>
      <w:r w:rsidRPr="000D5F03">
        <w:rPr>
          <w:rFonts w:ascii="Times New Roman" w:hAnsi="Times New Roman"/>
          <w:sz w:val="24"/>
          <w:szCs w:val="24"/>
        </w:rPr>
        <w:t xml:space="preserve"> spending efficiently and effectively and mee</w:t>
      </w:r>
      <w:r w:rsidRPr="000D5F03">
        <w:rPr>
          <w:rFonts w:ascii="Times New Roman" w:hAnsi="Times New Roman"/>
          <w:sz w:val="24"/>
          <w:szCs w:val="24"/>
        </w:rPr>
        <w:t>t</w:t>
      </w:r>
      <w:r w:rsidRPr="000D5F03">
        <w:rPr>
          <w:rFonts w:ascii="Times New Roman" w:hAnsi="Times New Roman"/>
          <w:sz w:val="24"/>
          <w:szCs w:val="24"/>
        </w:rPr>
        <w:t xml:space="preserve">ing goals and objectives. The FFC </w:t>
      </w:r>
      <w:r w:rsidR="00F66AB8" w:rsidRPr="000D5F03">
        <w:rPr>
          <w:rFonts w:ascii="Times New Roman" w:hAnsi="Times New Roman"/>
          <w:sz w:val="24"/>
          <w:szCs w:val="24"/>
        </w:rPr>
        <w:t>has found</w:t>
      </w:r>
      <w:r w:rsidRPr="000D5F03">
        <w:rPr>
          <w:rFonts w:ascii="Times New Roman" w:hAnsi="Times New Roman"/>
          <w:sz w:val="24"/>
          <w:szCs w:val="24"/>
        </w:rPr>
        <w:t xml:space="preserve"> that the Department plays an effective monito</w:t>
      </w:r>
      <w:r w:rsidRPr="000D5F03">
        <w:rPr>
          <w:rFonts w:ascii="Times New Roman" w:hAnsi="Times New Roman"/>
          <w:sz w:val="24"/>
          <w:szCs w:val="24"/>
        </w:rPr>
        <w:t>r</w:t>
      </w:r>
      <w:r w:rsidRPr="000D5F03">
        <w:rPr>
          <w:rFonts w:ascii="Times New Roman" w:hAnsi="Times New Roman"/>
          <w:sz w:val="24"/>
          <w:szCs w:val="24"/>
        </w:rPr>
        <w:t xml:space="preserve">ing role over the entities and agencies. </w:t>
      </w:r>
    </w:p>
    <w:p w14:paraId="5DD41D9E" w14:textId="2D810F31" w:rsidR="00D451A4" w:rsidRPr="000D5F03" w:rsidRDefault="00D451A4" w:rsidP="000D5F03">
      <w:pPr>
        <w:suppressAutoHyphens w:val="0"/>
        <w:autoSpaceDN/>
        <w:spacing w:line="360" w:lineRule="auto"/>
        <w:jc w:val="both"/>
        <w:textAlignment w:val="auto"/>
        <w:rPr>
          <w:rFonts w:ascii="Times New Roman" w:hAnsi="Times New Roman"/>
          <w:sz w:val="24"/>
          <w:szCs w:val="24"/>
        </w:rPr>
      </w:pPr>
    </w:p>
    <w:p w14:paraId="4B3087A4" w14:textId="5CCD7A9F" w:rsidR="00D451A4" w:rsidRPr="000D5F03" w:rsidRDefault="00D451A4" w:rsidP="000D5F03">
      <w:pPr>
        <w:suppressAutoHyphens w:val="0"/>
        <w:autoSpaceDN/>
        <w:spacing w:line="360" w:lineRule="auto"/>
        <w:jc w:val="both"/>
        <w:textAlignment w:val="auto"/>
        <w:rPr>
          <w:rFonts w:ascii="Times New Roman" w:hAnsi="Times New Roman"/>
          <w:b/>
          <w:bCs/>
          <w:sz w:val="24"/>
          <w:szCs w:val="24"/>
        </w:rPr>
      </w:pPr>
      <w:r w:rsidRPr="000D5F03">
        <w:rPr>
          <w:rFonts w:ascii="Times New Roman" w:hAnsi="Times New Roman"/>
          <w:b/>
          <w:bCs/>
          <w:sz w:val="24"/>
          <w:szCs w:val="24"/>
        </w:rPr>
        <w:t>Table 6.1</w:t>
      </w:r>
      <w:r w:rsidRPr="000D5F03">
        <w:rPr>
          <w:rFonts w:ascii="Times New Roman" w:hAnsi="Times New Roman"/>
          <w:b/>
          <w:bCs/>
          <w:sz w:val="24"/>
          <w:szCs w:val="24"/>
        </w:rPr>
        <w:tab/>
        <w:t>DMR Budget and Expenditure Allocation</w:t>
      </w:r>
      <w:r w:rsidR="00984744" w:rsidRPr="000D5F03">
        <w:rPr>
          <w:rFonts w:ascii="Times New Roman" w:hAnsi="Times New Roman"/>
          <w:b/>
          <w:bCs/>
          <w:sz w:val="24"/>
          <w:szCs w:val="24"/>
        </w:rPr>
        <w:t xml:space="preserve"> 2018/2019 Comparative Table</w:t>
      </w:r>
    </w:p>
    <w:p w14:paraId="184DC2B1" w14:textId="77777777" w:rsidR="00DF2C3E" w:rsidRPr="000D5F03" w:rsidRDefault="00DF2C3E" w:rsidP="000D5F03">
      <w:pPr>
        <w:suppressAutoHyphens w:val="0"/>
        <w:autoSpaceDN/>
        <w:spacing w:line="360" w:lineRule="auto"/>
        <w:jc w:val="both"/>
        <w:textAlignment w:val="auto"/>
        <w:rPr>
          <w:rFonts w:ascii="Times New Roman" w:hAnsi="Times New Roman"/>
          <w:sz w:val="24"/>
          <w:szCs w:val="24"/>
        </w:rPr>
      </w:pPr>
    </w:p>
    <w:tbl>
      <w:tblPr>
        <w:tblStyle w:val="TableGrid"/>
        <w:tblW w:w="10600" w:type="dxa"/>
        <w:tblInd w:w="-635" w:type="dxa"/>
        <w:tblLook w:val="04A0" w:firstRow="1" w:lastRow="0" w:firstColumn="1" w:lastColumn="0" w:noHBand="0" w:noVBand="1"/>
      </w:tblPr>
      <w:tblGrid>
        <w:gridCol w:w="1390"/>
        <w:gridCol w:w="1314"/>
        <w:gridCol w:w="1162"/>
        <w:gridCol w:w="1132"/>
        <w:gridCol w:w="1047"/>
        <w:gridCol w:w="1314"/>
        <w:gridCol w:w="1162"/>
        <w:gridCol w:w="1132"/>
        <w:gridCol w:w="1047"/>
      </w:tblGrid>
      <w:tr w:rsidR="00D451A4" w:rsidRPr="000D5F03" w14:paraId="37B45300" w14:textId="77777777" w:rsidTr="00984744">
        <w:tc>
          <w:tcPr>
            <w:tcW w:w="1568" w:type="dxa"/>
          </w:tcPr>
          <w:p w14:paraId="5E15FA25" w14:textId="77777777" w:rsidR="00D451A4" w:rsidRPr="000D5F03" w:rsidRDefault="00D451A4" w:rsidP="000D5F03">
            <w:pPr>
              <w:spacing w:line="360" w:lineRule="auto"/>
              <w:jc w:val="both"/>
              <w:rPr>
                <w:rFonts w:ascii="Times New Roman" w:hAnsi="Times New Roman" w:cs="Times New Roman"/>
              </w:rPr>
            </w:pPr>
          </w:p>
        </w:tc>
        <w:tc>
          <w:tcPr>
            <w:tcW w:w="4516" w:type="dxa"/>
            <w:gridSpan w:val="4"/>
          </w:tcPr>
          <w:p w14:paraId="0C2A5508" w14:textId="77777777" w:rsidR="00D451A4" w:rsidRPr="000D5F03" w:rsidRDefault="00D451A4" w:rsidP="000D5F03">
            <w:pPr>
              <w:spacing w:line="360" w:lineRule="auto"/>
              <w:jc w:val="center"/>
              <w:rPr>
                <w:rFonts w:ascii="Times New Roman" w:hAnsi="Times New Roman" w:cs="Times New Roman"/>
              </w:rPr>
            </w:pPr>
            <w:r w:rsidRPr="000D5F03">
              <w:rPr>
                <w:rFonts w:ascii="Times New Roman" w:hAnsi="Times New Roman" w:cs="Times New Roman"/>
              </w:rPr>
              <w:t>2018/2019</w:t>
            </w:r>
          </w:p>
        </w:tc>
        <w:tc>
          <w:tcPr>
            <w:tcW w:w="4516" w:type="dxa"/>
            <w:gridSpan w:val="4"/>
          </w:tcPr>
          <w:p w14:paraId="4F0CC37C" w14:textId="77777777" w:rsidR="00D451A4" w:rsidRPr="000D5F03" w:rsidRDefault="00D451A4" w:rsidP="000D5F03">
            <w:pPr>
              <w:spacing w:line="360" w:lineRule="auto"/>
              <w:jc w:val="center"/>
              <w:rPr>
                <w:rFonts w:ascii="Times New Roman" w:hAnsi="Times New Roman" w:cs="Times New Roman"/>
              </w:rPr>
            </w:pPr>
            <w:r w:rsidRPr="000D5F03">
              <w:rPr>
                <w:rFonts w:ascii="Times New Roman" w:hAnsi="Times New Roman" w:cs="Times New Roman"/>
              </w:rPr>
              <w:t>2017/2018</w:t>
            </w:r>
          </w:p>
        </w:tc>
      </w:tr>
      <w:tr w:rsidR="00D451A4" w:rsidRPr="000D5F03" w14:paraId="5212AFE9" w14:textId="77777777" w:rsidTr="00984744">
        <w:tc>
          <w:tcPr>
            <w:tcW w:w="1568" w:type="dxa"/>
          </w:tcPr>
          <w:p w14:paraId="1BE0F082"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Programme</w:t>
            </w:r>
          </w:p>
        </w:tc>
        <w:tc>
          <w:tcPr>
            <w:tcW w:w="1246" w:type="dxa"/>
          </w:tcPr>
          <w:p w14:paraId="1F7765F9"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Final Appropriation</w:t>
            </w:r>
          </w:p>
        </w:tc>
        <w:tc>
          <w:tcPr>
            <w:tcW w:w="1136" w:type="dxa"/>
          </w:tcPr>
          <w:p w14:paraId="428FC485"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Actual Expenditure</w:t>
            </w:r>
          </w:p>
        </w:tc>
        <w:tc>
          <w:tcPr>
            <w:tcW w:w="1119" w:type="dxa"/>
          </w:tcPr>
          <w:p w14:paraId="2072EB99"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(Over) Under expenditure</w:t>
            </w:r>
          </w:p>
        </w:tc>
        <w:tc>
          <w:tcPr>
            <w:tcW w:w="1015" w:type="dxa"/>
          </w:tcPr>
          <w:p w14:paraId="73C518C8"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Proportion of Total (%)</w:t>
            </w:r>
          </w:p>
        </w:tc>
        <w:tc>
          <w:tcPr>
            <w:tcW w:w="1246" w:type="dxa"/>
          </w:tcPr>
          <w:p w14:paraId="6B54A671"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Final Appropriation</w:t>
            </w:r>
          </w:p>
        </w:tc>
        <w:tc>
          <w:tcPr>
            <w:tcW w:w="1136" w:type="dxa"/>
          </w:tcPr>
          <w:p w14:paraId="29822B92"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Actual Expenditure</w:t>
            </w:r>
          </w:p>
        </w:tc>
        <w:tc>
          <w:tcPr>
            <w:tcW w:w="1119" w:type="dxa"/>
          </w:tcPr>
          <w:p w14:paraId="01CE56E3"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(Over) Under expenditure</w:t>
            </w:r>
          </w:p>
        </w:tc>
        <w:tc>
          <w:tcPr>
            <w:tcW w:w="1015" w:type="dxa"/>
          </w:tcPr>
          <w:p w14:paraId="63E7E395"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Proportion of Total</w:t>
            </w:r>
          </w:p>
        </w:tc>
      </w:tr>
      <w:tr w:rsidR="00D451A4" w:rsidRPr="000D5F03" w14:paraId="4FFF5567" w14:textId="77777777" w:rsidTr="00984744">
        <w:tc>
          <w:tcPr>
            <w:tcW w:w="1568" w:type="dxa"/>
          </w:tcPr>
          <w:p w14:paraId="31F353E3"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Administration</w:t>
            </w:r>
          </w:p>
        </w:tc>
        <w:tc>
          <w:tcPr>
            <w:tcW w:w="1246" w:type="dxa"/>
          </w:tcPr>
          <w:p w14:paraId="5EE607ED"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361 649</w:t>
            </w:r>
          </w:p>
        </w:tc>
        <w:tc>
          <w:tcPr>
            <w:tcW w:w="1136" w:type="dxa"/>
          </w:tcPr>
          <w:p w14:paraId="39CAEE7B"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354 470</w:t>
            </w:r>
          </w:p>
        </w:tc>
        <w:tc>
          <w:tcPr>
            <w:tcW w:w="1119" w:type="dxa"/>
          </w:tcPr>
          <w:p w14:paraId="392BC74A"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7 179</w:t>
            </w:r>
          </w:p>
        </w:tc>
        <w:tc>
          <w:tcPr>
            <w:tcW w:w="1015" w:type="dxa"/>
          </w:tcPr>
          <w:p w14:paraId="5F893D38"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18,8</w:t>
            </w:r>
          </w:p>
        </w:tc>
        <w:tc>
          <w:tcPr>
            <w:tcW w:w="1246" w:type="dxa"/>
          </w:tcPr>
          <w:p w14:paraId="2EFE774B"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362 906</w:t>
            </w:r>
          </w:p>
        </w:tc>
        <w:tc>
          <w:tcPr>
            <w:tcW w:w="1136" w:type="dxa"/>
          </w:tcPr>
          <w:p w14:paraId="73334BF0"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362 470</w:t>
            </w:r>
          </w:p>
        </w:tc>
        <w:tc>
          <w:tcPr>
            <w:tcW w:w="1119" w:type="dxa"/>
          </w:tcPr>
          <w:p w14:paraId="11F53246"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436</w:t>
            </w:r>
          </w:p>
        </w:tc>
        <w:tc>
          <w:tcPr>
            <w:tcW w:w="1015" w:type="dxa"/>
          </w:tcPr>
          <w:p w14:paraId="0696531E"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20,3</w:t>
            </w:r>
          </w:p>
        </w:tc>
      </w:tr>
      <w:tr w:rsidR="00D451A4" w:rsidRPr="000D5F03" w14:paraId="2193A5E3" w14:textId="77777777" w:rsidTr="00984744">
        <w:tc>
          <w:tcPr>
            <w:tcW w:w="1568" w:type="dxa"/>
          </w:tcPr>
          <w:p w14:paraId="117C3067"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Mine Health and Safety</w:t>
            </w:r>
          </w:p>
        </w:tc>
        <w:tc>
          <w:tcPr>
            <w:tcW w:w="1246" w:type="dxa"/>
          </w:tcPr>
          <w:p w14:paraId="6459AD0B"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209 053</w:t>
            </w:r>
          </w:p>
        </w:tc>
        <w:tc>
          <w:tcPr>
            <w:tcW w:w="1136" w:type="dxa"/>
          </w:tcPr>
          <w:p w14:paraId="5F505FBA"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208 477</w:t>
            </w:r>
          </w:p>
        </w:tc>
        <w:tc>
          <w:tcPr>
            <w:tcW w:w="1119" w:type="dxa"/>
          </w:tcPr>
          <w:p w14:paraId="29754F85"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576</w:t>
            </w:r>
          </w:p>
        </w:tc>
        <w:tc>
          <w:tcPr>
            <w:tcW w:w="1015" w:type="dxa"/>
          </w:tcPr>
          <w:p w14:paraId="147858D7"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11</w:t>
            </w:r>
          </w:p>
        </w:tc>
        <w:tc>
          <w:tcPr>
            <w:tcW w:w="1246" w:type="dxa"/>
          </w:tcPr>
          <w:p w14:paraId="67F4FA6F"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203 867</w:t>
            </w:r>
          </w:p>
        </w:tc>
        <w:tc>
          <w:tcPr>
            <w:tcW w:w="1136" w:type="dxa"/>
          </w:tcPr>
          <w:p w14:paraId="3C38555B"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203 657</w:t>
            </w:r>
          </w:p>
        </w:tc>
        <w:tc>
          <w:tcPr>
            <w:tcW w:w="1119" w:type="dxa"/>
          </w:tcPr>
          <w:p w14:paraId="582F6683"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30</w:t>
            </w:r>
          </w:p>
        </w:tc>
        <w:tc>
          <w:tcPr>
            <w:tcW w:w="1015" w:type="dxa"/>
          </w:tcPr>
          <w:p w14:paraId="2D7CA35B"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11,5</w:t>
            </w:r>
          </w:p>
        </w:tc>
      </w:tr>
      <w:tr w:rsidR="00D451A4" w:rsidRPr="000D5F03" w14:paraId="6E096206" w14:textId="77777777" w:rsidTr="00984744">
        <w:tc>
          <w:tcPr>
            <w:tcW w:w="1568" w:type="dxa"/>
          </w:tcPr>
          <w:p w14:paraId="384FC869"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Mineral Regulation</w:t>
            </w:r>
          </w:p>
        </w:tc>
        <w:tc>
          <w:tcPr>
            <w:tcW w:w="1246" w:type="dxa"/>
          </w:tcPr>
          <w:p w14:paraId="67C840E7"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389 207</w:t>
            </w:r>
          </w:p>
        </w:tc>
        <w:tc>
          <w:tcPr>
            <w:tcW w:w="1136" w:type="dxa"/>
          </w:tcPr>
          <w:p w14:paraId="086ED92E"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388 775</w:t>
            </w:r>
          </w:p>
        </w:tc>
        <w:tc>
          <w:tcPr>
            <w:tcW w:w="1119" w:type="dxa"/>
          </w:tcPr>
          <w:p w14:paraId="1F8E6579"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 xml:space="preserve">502 </w:t>
            </w:r>
          </w:p>
        </w:tc>
        <w:tc>
          <w:tcPr>
            <w:tcW w:w="1015" w:type="dxa"/>
          </w:tcPr>
          <w:p w14:paraId="34D7896E"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20,6</w:t>
            </w:r>
          </w:p>
        </w:tc>
        <w:tc>
          <w:tcPr>
            <w:tcW w:w="1246" w:type="dxa"/>
          </w:tcPr>
          <w:p w14:paraId="4BC01CD3"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370 392</w:t>
            </w:r>
          </w:p>
        </w:tc>
        <w:tc>
          <w:tcPr>
            <w:tcW w:w="1136" w:type="dxa"/>
          </w:tcPr>
          <w:p w14:paraId="241E98A8"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370 104</w:t>
            </w:r>
          </w:p>
        </w:tc>
        <w:tc>
          <w:tcPr>
            <w:tcW w:w="1119" w:type="dxa"/>
          </w:tcPr>
          <w:p w14:paraId="44D31BE1"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288</w:t>
            </w:r>
          </w:p>
        </w:tc>
        <w:tc>
          <w:tcPr>
            <w:tcW w:w="1015" w:type="dxa"/>
          </w:tcPr>
          <w:p w14:paraId="71E15F13"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20,8</w:t>
            </w:r>
          </w:p>
        </w:tc>
      </w:tr>
      <w:tr w:rsidR="00D451A4" w:rsidRPr="000D5F03" w14:paraId="1D01163A" w14:textId="77777777" w:rsidTr="00984744">
        <w:tc>
          <w:tcPr>
            <w:tcW w:w="1568" w:type="dxa"/>
          </w:tcPr>
          <w:p w14:paraId="79025F69"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Mineral Policy and Promotion</w:t>
            </w:r>
          </w:p>
        </w:tc>
        <w:tc>
          <w:tcPr>
            <w:tcW w:w="1246" w:type="dxa"/>
          </w:tcPr>
          <w:p w14:paraId="6B133A40"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930 682</w:t>
            </w:r>
          </w:p>
        </w:tc>
        <w:tc>
          <w:tcPr>
            <w:tcW w:w="1136" w:type="dxa"/>
          </w:tcPr>
          <w:p w14:paraId="5BAE93DF"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928 401</w:t>
            </w:r>
          </w:p>
        </w:tc>
        <w:tc>
          <w:tcPr>
            <w:tcW w:w="1119" w:type="dxa"/>
          </w:tcPr>
          <w:p w14:paraId="536BBE22"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2 281</w:t>
            </w:r>
          </w:p>
        </w:tc>
        <w:tc>
          <w:tcPr>
            <w:tcW w:w="1015" w:type="dxa"/>
          </w:tcPr>
          <w:p w14:paraId="6769FC4F"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49.4</w:t>
            </w:r>
          </w:p>
        </w:tc>
        <w:tc>
          <w:tcPr>
            <w:tcW w:w="1246" w:type="dxa"/>
          </w:tcPr>
          <w:p w14:paraId="68015A5C"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842 464</w:t>
            </w:r>
          </w:p>
        </w:tc>
        <w:tc>
          <w:tcPr>
            <w:tcW w:w="1136" w:type="dxa"/>
          </w:tcPr>
          <w:p w14:paraId="16F45856"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842 464</w:t>
            </w:r>
          </w:p>
        </w:tc>
        <w:tc>
          <w:tcPr>
            <w:tcW w:w="1119" w:type="dxa"/>
          </w:tcPr>
          <w:p w14:paraId="36ED97B6"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2010</w:t>
            </w:r>
          </w:p>
        </w:tc>
        <w:tc>
          <w:tcPr>
            <w:tcW w:w="1015" w:type="dxa"/>
          </w:tcPr>
          <w:p w14:paraId="53E1EAFF" w14:textId="77777777" w:rsidR="00D451A4" w:rsidRPr="000D5F03" w:rsidRDefault="00D451A4" w:rsidP="000D5F03">
            <w:pPr>
              <w:spacing w:line="360" w:lineRule="auto"/>
              <w:jc w:val="both"/>
              <w:rPr>
                <w:rFonts w:ascii="Times New Roman" w:hAnsi="Times New Roman" w:cs="Times New Roman"/>
                <w:b/>
                <w:bCs/>
              </w:rPr>
            </w:pPr>
            <w:r w:rsidRPr="000D5F03">
              <w:rPr>
                <w:rFonts w:ascii="Times New Roman" w:hAnsi="Times New Roman" w:cs="Times New Roman"/>
                <w:b/>
                <w:bCs/>
              </w:rPr>
              <w:t>47.4</w:t>
            </w:r>
          </w:p>
        </w:tc>
      </w:tr>
      <w:tr w:rsidR="00D451A4" w:rsidRPr="000D5F03" w14:paraId="1D17EF0E" w14:textId="77777777" w:rsidTr="00984744">
        <w:tc>
          <w:tcPr>
            <w:tcW w:w="1568" w:type="dxa"/>
          </w:tcPr>
          <w:p w14:paraId="4DBE5D86" w14:textId="77777777" w:rsidR="00D451A4" w:rsidRPr="000D5F03" w:rsidRDefault="00D451A4" w:rsidP="000D5F03">
            <w:pPr>
              <w:spacing w:line="360" w:lineRule="auto"/>
              <w:jc w:val="both"/>
              <w:rPr>
                <w:rFonts w:ascii="Times New Roman" w:hAnsi="Times New Roman" w:cs="Times New Roman"/>
              </w:rPr>
            </w:pPr>
            <w:r w:rsidRPr="000D5F03">
              <w:rPr>
                <w:rFonts w:ascii="Times New Roman" w:hAnsi="Times New Roman" w:cs="Times New Roman"/>
              </w:rPr>
              <w:t>Total</w:t>
            </w:r>
          </w:p>
        </w:tc>
        <w:tc>
          <w:tcPr>
            <w:tcW w:w="1246" w:type="dxa"/>
          </w:tcPr>
          <w:p w14:paraId="1B16CF33" w14:textId="77777777" w:rsidR="00D451A4" w:rsidRPr="000D5F03" w:rsidRDefault="00D451A4" w:rsidP="000D5F03">
            <w:pPr>
              <w:spacing w:line="360" w:lineRule="auto"/>
              <w:jc w:val="both"/>
              <w:rPr>
                <w:rFonts w:ascii="Times New Roman" w:hAnsi="Times New Roman" w:cs="Times New Roman"/>
                <w:b/>
                <w:bCs/>
                <w:i/>
                <w:iCs/>
              </w:rPr>
            </w:pPr>
            <w:r w:rsidRPr="000D5F03">
              <w:rPr>
                <w:rFonts w:ascii="Times New Roman" w:hAnsi="Times New Roman" w:cs="Times New Roman"/>
                <w:b/>
                <w:bCs/>
                <w:i/>
                <w:iCs/>
              </w:rPr>
              <w:t>1 890 661</w:t>
            </w:r>
          </w:p>
        </w:tc>
        <w:tc>
          <w:tcPr>
            <w:tcW w:w="1136" w:type="dxa"/>
          </w:tcPr>
          <w:p w14:paraId="5517921F" w14:textId="77777777" w:rsidR="00D451A4" w:rsidRPr="000D5F03" w:rsidRDefault="00D451A4" w:rsidP="000D5F03">
            <w:pPr>
              <w:spacing w:line="360" w:lineRule="auto"/>
              <w:jc w:val="both"/>
              <w:rPr>
                <w:rFonts w:ascii="Times New Roman" w:hAnsi="Times New Roman" w:cs="Times New Roman"/>
                <w:b/>
                <w:bCs/>
                <w:i/>
                <w:iCs/>
              </w:rPr>
            </w:pPr>
            <w:r w:rsidRPr="000D5F03">
              <w:rPr>
                <w:rFonts w:ascii="Times New Roman" w:hAnsi="Times New Roman" w:cs="Times New Roman"/>
                <w:b/>
                <w:bCs/>
                <w:i/>
                <w:iCs/>
              </w:rPr>
              <w:t>1 880 123</w:t>
            </w:r>
          </w:p>
        </w:tc>
        <w:tc>
          <w:tcPr>
            <w:tcW w:w="1119" w:type="dxa"/>
          </w:tcPr>
          <w:p w14:paraId="044D8AC1" w14:textId="77777777" w:rsidR="00D451A4" w:rsidRPr="000D5F03" w:rsidRDefault="00D451A4" w:rsidP="000D5F03">
            <w:pPr>
              <w:spacing w:line="360" w:lineRule="auto"/>
              <w:jc w:val="both"/>
              <w:rPr>
                <w:rFonts w:ascii="Times New Roman" w:hAnsi="Times New Roman" w:cs="Times New Roman"/>
                <w:b/>
                <w:bCs/>
                <w:i/>
                <w:iCs/>
              </w:rPr>
            </w:pPr>
            <w:r w:rsidRPr="000D5F03">
              <w:rPr>
                <w:rFonts w:ascii="Times New Roman" w:hAnsi="Times New Roman" w:cs="Times New Roman"/>
                <w:b/>
                <w:bCs/>
                <w:i/>
                <w:iCs/>
              </w:rPr>
              <w:t>10 538</w:t>
            </w:r>
          </w:p>
        </w:tc>
        <w:tc>
          <w:tcPr>
            <w:tcW w:w="1015" w:type="dxa"/>
          </w:tcPr>
          <w:p w14:paraId="2DD0B946" w14:textId="77777777" w:rsidR="00D451A4" w:rsidRPr="000D5F03" w:rsidRDefault="00D451A4" w:rsidP="000D5F03">
            <w:pPr>
              <w:spacing w:line="360" w:lineRule="auto"/>
              <w:jc w:val="both"/>
              <w:rPr>
                <w:rFonts w:ascii="Times New Roman" w:hAnsi="Times New Roman" w:cs="Times New Roman"/>
                <w:b/>
                <w:bCs/>
                <w:i/>
                <w:iCs/>
              </w:rPr>
            </w:pPr>
          </w:p>
        </w:tc>
        <w:tc>
          <w:tcPr>
            <w:tcW w:w="1246" w:type="dxa"/>
          </w:tcPr>
          <w:p w14:paraId="3B607DE2" w14:textId="77777777" w:rsidR="00D451A4" w:rsidRPr="000D5F03" w:rsidRDefault="00D451A4" w:rsidP="000D5F03">
            <w:pPr>
              <w:spacing w:line="360" w:lineRule="auto"/>
              <w:jc w:val="both"/>
              <w:rPr>
                <w:rFonts w:ascii="Times New Roman" w:hAnsi="Times New Roman" w:cs="Times New Roman"/>
                <w:b/>
                <w:bCs/>
                <w:i/>
                <w:iCs/>
              </w:rPr>
            </w:pPr>
            <w:r w:rsidRPr="000D5F03">
              <w:rPr>
                <w:rFonts w:ascii="Times New Roman" w:hAnsi="Times New Roman" w:cs="Times New Roman"/>
                <w:b/>
                <w:bCs/>
                <w:i/>
                <w:iCs/>
              </w:rPr>
              <w:t>1 779 449</w:t>
            </w:r>
          </w:p>
        </w:tc>
        <w:tc>
          <w:tcPr>
            <w:tcW w:w="1136" w:type="dxa"/>
          </w:tcPr>
          <w:p w14:paraId="7FCA1D91" w14:textId="77777777" w:rsidR="00D451A4" w:rsidRPr="000D5F03" w:rsidRDefault="00D451A4" w:rsidP="000D5F03">
            <w:pPr>
              <w:spacing w:line="360" w:lineRule="auto"/>
              <w:jc w:val="both"/>
              <w:rPr>
                <w:rFonts w:ascii="Times New Roman" w:hAnsi="Times New Roman" w:cs="Times New Roman"/>
                <w:b/>
                <w:bCs/>
                <w:i/>
                <w:iCs/>
              </w:rPr>
            </w:pPr>
            <w:r w:rsidRPr="000D5F03">
              <w:rPr>
                <w:rFonts w:ascii="Times New Roman" w:hAnsi="Times New Roman" w:cs="Times New Roman"/>
                <w:b/>
                <w:bCs/>
                <w:i/>
                <w:iCs/>
              </w:rPr>
              <w:t>1 776 685</w:t>
            </w:r>
          </w:p>
        </w:tc>
        <w:tc>
          <w:tcPr>
            <w:tcW w:w="1119" w:type="dxa"/>
          </w:tcPr>
          <w:p w14:paraId="07DD350C" w14:textId="77777777" w:rsidR="00D451A4" w:rsidRPr="000D5F03" w:rsidRDefault="00D451A4" w:rsidP="000D5F03">
            <w:pPr>
              <w:spacing w:line="360" w:lineRule="auto"/>
              <w:jc w:val="both"/>
              <w:rPr>
                <w:rFonts w:ascii="Times New Roman" w:hAnsi="Times New Roman" w:cs="Times New Roman"/>
                <w:b/>
                <w:bCs/>
                <w:i/>
                <w:iCs/>
              </w:rPr>
            </w:pPr>
            <w:r w:rsidRPr="000D5F03">
              <w:rPr>
                <w:rFonts w:ascii="Times New Roman" w:hAnsi="Times New Roman" w:cs="Times New Roman"/>
                <w:b/>
                <w:bCs/>
                <w:i/>
                <w:iCs/>
              </w:rPr>
              <w:t>2 764</w:t>
            </w:r>
          </w:p>
        </w:tc>
        <w:tc>
          <w:tcPr>
            <w:tcW w:w="1015" w:type="dxa"/>
          </w:tcPr>
          <w:p w14:paraId="4C48BA17" w14:textId="77777777" w:rsidR="00D451A4" w:rsidRPr="000D5F03" w:rsidRDefault="00D451A4" w:rsidP="000D5F03">
            <w:pPr>
              <w:spacing w:line="360" w:lineRule="auto"/>
              <w:jc w:val="both"/>
              <w:rPr>
                <w:rFonts w:ascii="Times New Roman" w:hAnsi="Times New Roman" w:cs="Times New Roman"/>
                <w:b/>
                <w:bCs/>
                <w:i/>
                <w:iCs/>
              </w:rPr>
            </w:pPr>
          </w:p>
        </w:tc>
      </w:tr>
    </w:tbl>
    <w:p w14:paraId="69FE4C95" w14:textId="77777777" w:rsidR="00984744" w:rsidRPr="000D5F03" w:rsidRDefault="00984744" w:rsidP="000D5F03">
      <w:pPr>
        <w:keepNext/>
        <w:keepLines/>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The Department had a total budget allocation of R 1 890,66 billion in 2018/19, the Admi</w:t>
      </w:r>
      <w:r w:rsidRPr="000D5F03">
        <w:rPr>
          <w:rFonts w:ascii="Times New Roman" w:hAnsi="Times New Roman"/>
          <w:sz w:val="24"/>
          <w:szCs w:val="24"/>
        </w:rPr>
        <w:t>n</w:t>
      </w:r>
      <w:r w:rsidRPr="000D5F03">
        <w:rPr>
          <w:rFonts w:ascii="Times New Roman" w:hAnsi="Times New Roman"/>
          <w:sz w:val="24"/>
          <w:szCs w:val="24"/>
        </w:rPr>
        <w:t>istration Programme (Programme 1) accounted for about 19 percent (18,8%) of the total budget which is slightly less than the 2017/18 allocation of 20,3 percent for the same pr</w:t>
      </w:r>
      <w:r w:rsidRPr="000D5F03">
        <w:rPr>
          <w:rFonts w:ascii="Times New Roman" w:hAnsi="Times New Roman"/>
          <w:sz w:val="24"/>
          <w:szCs w:val="24"/>
        </w:rPr>
        <w:t>o</w:t>
      </w:r>
      <w:r w:rsidRPr="000D5F03">
        <w:rPr>
          <w:rFonts w:ascii="Times New Roman" w:hAnsi="Times New Roman"/>
          <w:sz w:val="24"/>
          <w:szCs w:val="24"/>
        </w:rPr>
        <w:t xml:space="preserve">gramme. Mine Health and Safety programme (Programme 2) accounted for 11 percent of total Departmental expenditure for the financial year under review, which is consistent with the previous financial year allocation. </w:t>
      </w:r>
    </w:p>
    <w:p w14:paraId="5BCCDA27" w14:textId="77777777" w:rsidR="00984744" w:rsidRPr="000D5F03" w:rsidRDefault="00984744" w:rsidP="000D5F03">
      <w:pPr>
        <w:keepNext/>
        <w:keepLines/>
        <w:suppressAutoHyphens w:val="0"/>
        <w:autoSpaceDN/>
        <w:spacing w:line="360" w:lineRule="auto"/>
        <w:jc w:val="both"/>
        <w:textAlignment w:val="auto"/>
        <w:rPr>
          <w:rFonts w:ascii="Times New Roman" w:hAnsi="Times New Roman"/>
          <w:sz w:val="24"/>
          <w:szCs w:val="24"/>
        </w:rPr>
      </w:pPr>
    </w:p>
    <w:p w14:paraId="5CD9E4D4" w14:textId="0D2B3A94" w:rsidR="00984744" w:rsidRPr="000D5F03" w:rsidRDefault="00984744" w:rsidP="000D5F03">
      <w:pPr>
        <w:keepNext/>
        <w:keepLines/>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Expenditure on Mineral Regulation Programme (Programme 3) also remained consistent at 20 percent of the total budget between the two subsequent financial years. </w:t>
      </w:r>
      <w:proofErr w:type="gramStart"/>
      <w:r w:rsidRPr="000D5F03">
        <w:rPr>
          <w:rFonts w:ascii="Times New Roman" w:hAnsi="Times New Roman"/>
          <w:sz w:val="24"/>
          <w:szCs w:val="24"/>
        </w:rPr>
        <w:t>Expenditure propo</w:t>
      </w:r>
      <w:r w:rsidRPr="000D5F03">
        <w:rPr>
          <w:rFonts w:ascii="Times New Roman" w:hAnsi="Times New Roman"/>
          <w:sz w:val="24"/>
          <w:szCs w:val="24"/>
        </w:rPr>
        <w:t>r</w:t>
      </w:r>
      <w:r w:rsidRPr="000D5F03">
        <w:rPr>
          <w:rFonts w:ascii="Times New Roman" w:hAnsi="Times New Roman"/>
          <w:sz w:val="24"/>
          <w:szCs w:val="24"/>
        </w:rPr>
        <w:t>tion by the Mineral Policy and Promotion Programme (Programme 4) increased by two pe</w:t>
      </w:r>
      <w:r w:rsidRPr="000D5F03">
        <w:rPr>
          <w:rFonts w:ascii="Times New Roman" w:hAnsi="Times New Roman"/>
          <w:sz w:val="24"/>
          <w:szCs w:val="24"/>
        </w:rPr>
        <w:t>r</w:t>
      </w:r>
      <w:r w:rsidRPr="000D5F03">
        <w:rPr>
          <w:rFonts w:ascii="Times New Roman" w:hAnsi="Times New Roman"/>
          <w:sz w:val="24"/>
          <w:szCs w:val="24"/>
        </w:rPr>
        <w:t>cent from 47,4 percent during 2017/18 to 49,4 percent in the 2018/19 financial year, which means that Mineral Policy and Promotion programme not only has the biggest claim on the DMR budget, however it also had the highest acceleration in terms of its expenditure claim on the total budget of the Department.</w:t>
      </w:r>
      <w:proofErr w:type="gramEnd"/>
      <w:r w:rsidRPr="000D5F03">
        <w:rPr>
          <w:rFonts w:ascii="Times New Roman" w:hAnsi="Times New Roman"/>
          <w:sz w:val="24"/>
          <w:szCs w:val="24"/>
        </w:rPr>
        <w:t xml:space="preserve"> On the budget of R 1.890 </w:t>
      </w:r>
      <w:proofErr w:type="gramStart"/>
      <w:r w:rsidRPr="000D5F03">
        <w:rPr>
          <w:rFonts w:ascii="Times New Roman" w:hAnsi="Times New Roman"/>
          <w:sz w:val="24"/>
          <w:szCs w:val="24"/>
        </w:rPr>
        <w:t>billion</w:t>
      </w:r>
      <w:proofErr w:type="gramEnd"/>
      <w:r w:rsidRPr="000D5F03">
        <w:rPr>
          <w:rFonts w:ascii="Times New Roman" w:hAnsi="Times New Roman"/>
          <w:sz w:val="24"/>
          <w:szCs w:val="24"/>
        </w:rPr>
        <w:t xml:space="preserve"> there was an underspen</w:t>
      </w:r>
      <w:r w:rsidRPr="000D5F03">
        <w:rPr>
          <w:rFonts w:ascii="Times New Roman" w:hAnsi="Times New Roman"/>
          <w:sz w:val="24"/>
          <w:szCs w:val="24"/>
        </w:rPr>
        <w:t>d</w:t>
      </w:r>
      <w:r w:rsidRPr="000D5F03">
        <w:rPr>
          <w:rFonts w:ascii="Times New Roman" w:hAnsi="Times New Roman"/>
          <w:sz w:val="24"/>
          <w:szCs w:val="24"/>
        </w:rPr>
        <w:t>ing of R 10, 5 million, which was due to vacant positions that were not filled.</w:t>
      </w:r>
    </w:p>
    <w:p w14:paraId="42F5D02E" w14:textId="731DCBBB" w:rsidR="00CB32DF" w:rsidRPr="000D5F03" w:rsidRDefault="00CB32DF" w:rsidP="000D5F03">
      <w:pPr>
        <w:keepNext/>
        <w:keepLines/>
        <w:suppressAutoHyphens w:val="0"/>
        <w:autoSpaceDN/>
        <w:spacing w:line="360" w:lineRule="auto"/>
        <w:jc w:val="both"/>
        <w:textAlignment w:val="auto"/>
        <w:rPr>
          <w:rFonts w:ascii="Times New Roman" w:hAnsi="Times New Roman"/>
          <w:sz w:val="24"/>
          <w:szCs w:val="24"/>
        </w:rPr>
      </w:pPr>
    </w:p>
    <w:p w14:paraId="07D6659D" w14:textId="3A455398" w:rsidR="00CB32DF" w:rsidRPr="000D5F03" w:rsidRDefault="00DE6134" w:rsidP="000D5F03">
      <w:pPr>
        <w:suppressAutoHyphens w:val="0"/>
        <w:autoSpaceDN/>
        <w:spacing w:after="160" w:line="360" w:lineRule="auto"/>
        <w:contextualSpacing/>
        <w:jc w:val="both"/>
        <w:textAlignment w:val="auto"/>
        <w:rPr>
          <w:rFonts w:ascii="Times New Roman" w:hAnsi="Times New Roman"/>
          <w:sz w:val="24"/>
          <w:szCs w:val="24"/>
        </w:rPr>
      </w:pPr>
      <w:r w:rsidRPr="000D5F03">
        <w:rPr>
          <w:rFonts w:ascii="Times New Roman" w:hAnsi="Times New Roman"/>
          <w:b/>
          <w:sz w:val="24"/>
          <w:szCs w:val="24"/>
        </w:rPr>
        <w:t>6.2</w:t>
      </w:r>
      <w:r w:rsidRPr="000D5F03">
        <w:rPr>
          <w:rFonts w:ascii="Times New Roman" w:hAnsi="Times New Roman"/>
          <w:b/>
          <w:sz w:val="24"/>
          <w:szCs w:val="24"/>
        </w:rPr>
        <w:tab/>
      </w:r>
      <w:r w:rsidR="00CB32DF" w:rsidRPr="000D5F03">
        <w:rPr>
          <w:rFonts w:ascii="Times New Roman" w:hAnsi="Times New Roman"/>
          <w:b/>
          <w:sz w:val="24"/>
          <w:szCs w:val="24"/>
        </w:rPr>
        <w:t xml:space="preserve">First Quarter Expenditure Performance during the 2019/20 </w:t>
      </w:r>
      <w:proofErr w:type="gramStart"/>
      <w:r w:rsidR="00CB32DF" w:rsidRPr="000D5F03">
        <w:rPr>
          <w:rFonts w:ascii="Times New Roman" w:hAnsi="Times New Roman"/>
          <w:b/>
          <w:sz w:val="24"/>
          <w:szCs w:val="24"/>
        </w:rPr>
        <w:t>Financial</w:t>
      </w:r>
      <w:proofErr w:type="gramEnd"/>
      <w:r w:rsidR="00CB32DF" w:rsidRPr="000D5F03">
        <w:rPr>
          <w:rFonts w:ascii="Times New Roman" w:hAnsi="Times New Roman"/>
          <w:b/>
          <w:sz w:val="24"/>
          <w:szCs w:val="24"/>
        </w:rPr>
        <w:t xml:space="preserve"> year:</w:t>
      </w:r>
    </w:p>
    <w:p w14:paraId="4704E5F7" w14:textId="5325A070" w:rsidR="00CB32DF" w:rsidRPr="000D5F03" w:rsidRDefault="00CB32DF" w:rsidP="000D5F03">
      <w:pPr>
        <w:keepNext/>
        <w:keepLines/>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During the first quarter of the current financial year expenditure incurred by the Department was R 586 million against a projected spending of R 568, 5 (the total allocated budget for the current financial year is R 2 </w:t>
      </w:r>
      <w:proofErr w:type="gramStart"/>
      <w:r w:rsidRPr="000D5F03">
        <w:rPr>
          <w:rFonts w:ascii="Times New Roman" w:hAnsi="Times New Roman"/>
          <w:sz w:val="24"/>
          <w:szCs w:val="24"/>
        </w:rPr>
        <w:t>billion</w:t>
      </w:r>
      <w:proofErr w:type="gramEnd"/>
      <w:r w:rsidRPr="000D5F03">
        <w:rPr>
          <w:rFonts w:ascii="Times New Roman" w:hAnsi="Times New Roman"/>
          <w:sz w:val="24"/>
          <w:szCs w:val="24"/>
        </w:rPr>
        <w:t>). Quarterly spending was 3.2 percent (R 18</w:t>
      </w:r>
      <w:proofErr w:type="gramStart"/>
      <w:r w:rsidRPr="000D5F03">
        <w:rPr>
          <w:rFonts w:ascii="Times New Roman" w:hAnsi="Times New Roman"/>
          <w:sz w:val="24"/>
          <w:szCs w:val="24"/>
        </w:rPr>
        <w:t>,3</w:t>
      </w:r>
      <w:proofErr w:type="gramEnd"/>
      <w:r w:rsidRPr="000D5F03">
        <w:rPr>
          <w:rFonts w:ascii="Times New Roman" w:hAnsi="Times New Roman"/>
          <w:sz w:val="24"/>
          <w:szCs w:val="24"/>
        </w:rPr>
        <w:t xml:space="preserve"> million) higher than the projected spending, this was due spending on office accommodation which was inadequately catered for. No </w:t>
      </w:r>
      <w:proofErr w:type="spellStart"/>
      <w:r w:rsidRPr="000D5F03">
        <w:rPr>
          <w:rFonts w:ascii="Times New Roman" w:hAnsi="Times New Roman"/>
          <w:sz w:val="24"/>
          <w:szCs w:val="24"/>
        </w:rPr>
        <w:t>virement</w:t>
      </w:r>
      <w:proofErr w:type="spellEnd"/>
      <w:r w:rsidRPr="000D5F03">
        <w:rPr>
          <w:rFonts w:ascii="Times New Roman" w:hAnsi="Times New Roman"/>
          <w:sz w:val="24"/>
          <w:szCs w:val="24"/>
        </w:rPr>
        <w:t xml:space="preserve"> </w:t>
      </w:r>
      <w:proofErr w:type="gramStart"/>
      <w:r w:rsidRPr="000D5F03">
        <w:rPr>
          <w:rFonts w:ascii="Times New Roman" w:hAnsi="Times New Roman"/>
          <w:sz w:val="24"/>
          <w:szCs w:val="24"/>
        </w:rPr>
        <w:t>was reported</w:t>
      </w:r>
      <w:proofErr w:type="gramEnd"/>
      <w:r w:rsidRPr="000D5F03">
        <w:rPr>
          <w:rFonts w:ascii="Times New Roman" w:hAnsi="Times New Roman"/>
          <w:sz w:val="24"/>
          <w:szCs w:val="24"/>
        </w:rPr>
        <w:t xml:space="preserve"> during the period under review and treasury did not flag any issues deserving the attention of the Committee.</w:t>
      </w:r>
    </w:p>
    <w:p w14:paraId="6588BFD4" w14:textId="77777777" w:rsidR="007E0605" w:rsidRPr="000D5F03" w:rsidRDefault="007E0605" w:rsidP="000D5F03">
      <w:pPr>
        <w:keepNext/>
        <w:keepLines/>
        <w:suppressAutoHyphens w:val="0"/>
        <w:autoSpaceDN/>
        <w:spacing w:line="360" w:lineRule="auto"/>
        <w:jc w:val="both"/>
        <w:textAlignment w:val="auto"/>
        <w:rPr>
          <w:rFonts w:ascii="Times New Roman" w:hAnsi="Times New Roman"/>
          <w:sz w:val="24"/>
          <w:szCs w:val="24"/>
        </w:rPr>
      </w:pPr>
    </w:p>
    <w:p w14:paraId="21F71BD5" w14:textId="4A340B5F" w:rsidR="00CB32DF" w:rsidRPr="000D5F03" w:rsidRDefault="00CB32DF" w:rsidP="000D5F03">
      <w:pPr>
        <w:keepNext/>
        <w:keepLines/>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The issue of the above overspending deserves further scrutiny as it is not clear how the under provision for accommodation arose. The Department must explain to the </w:t>
      </w:r>
      <w:r w:rsidR="007E0605" w:rsidRPr="000D5F03">
        <w:rPr>
          <w:rFonts w:ascii="Times New Roman" w:hAnsi="Times New Roman"/>
          <w:sz w:val="24"/>
          <w:szCs w:val="24"/>
        </w:rPr>
        <w:t>C</w:t>
      </w:r>
      <w:r w:rsidRPr="000D5F03">
        <w:rPr>
          <w:rFonts w:ascii="Times New Roman" w:hAnsi="Times New Roman"/>
          <w:sz w:val="24"/>
          <w:szCs w:val="24"/>
        </w:rPr>
        <w:t xml:space="preserve">ommittee whether underestimation for accommodation occurred </w:t>
      </w:r>
      <w:proofErr w:type="gramStart"/>
      <w:r w:rsidRPr="000D5F03">
        <w:rPr>
          <w:rFonts w:ascii="Times New Roman" w:hAnsi="Times New Roman"/>
          <w:sz w:val="24"/>
          <w:szCs w:val="24"/>
        </w:rPr>
        <w:t>as a result</w:t>
      </w:r>
      <w:proofErr w:type="gramEnd"/>
      <w:r w:rsidRPr="000D5F03">
        <w:rPr>
          <w:rFonts w:ascii="Times New Roman" w:hAnsi="Times New Roman"/>
          <w:sz w:val="24"/>
          <w:szCs w:val="24"/>
        </w:rPr>
        <w:t xml:space="preserve"> of inadequate costing, expenditure misallocation or any other relevant circumstance. </w:t>
      </w:r>
    </w:p>
    <w:p w14:paraId="591DB912" w14:textId="77777777" w:rsidR="00CB32DF" w:rsidRPr="000D5F03" w:rsidRDefault="00CB32DF" w:rsidP="000D5F03">
      <w:pPr>
        <w:keepNext/>
        <w:keepLines/>
        <w:suppressAutoHyphens w:val="0"/>
        <w:autoSpaceDN/>
        <w:spacing w:line="360" w:lineRule="auto"/>
        <w:jc w:val="both"/>
        <w:textAlignment w:val="auto"/>
        <w:rPr>
          <w:rFonts w:ascii="Times New Roman" w:hAnsi="Times New Roman"/>
          <w:sz w:val="24"/>
          <w:szCs w:val="24"/>
        </w:rPr>
      </w:pPr>
    </w:p>
    <w:bookmarkEnd w:id="1"/>
    <w:bookmarkEnd w:id="2"/>
    <w:p w14:paraId="05E2AE13" w14:textId="4B1A4D69" w:rsidR="00DF2C3E" w:rsidRPr="000D5F03" w:rsidRDefault="00DF2C3E" w:rsidP="000D5F03">
      <w:pPr>
        <w:pageBreakBefore/>
        <w:tabs>
          <w:tab w:val="left" w:pos="1158"/>
        </w:tabs>
        <w:spacing w:line="360" w:lineRule="auto"/>
        <w:rPr>
          <w:rFonts w:ascii="Times New Roman" w:hAnsi="Times New Roman"/>
          <w:b/>
          <w:bCs/>
          <w:color w:val="auto"/>
          <w:spacing w:val="0"/>
          <w:sz w:val="24"/>
          <w:szCs w:val="24"/>
          <w:lang w:val="en-ZA" w:eastAsia="en-ZA"/>
        </w:rPr>
      </w:pPr>
      <w:r w:rsidRPr="000D5F03">
        <w:rPr>
          <w:rFonts w:ascii="Times New Roman" w:hAnsi="Times New Roman"/>
          <w:b/>
          <w:bCs/>
          <w:color w:val="auto"/>
          <w:spacing w:val="0"/>
          <w:sz w:val="24"/>
          <w:szCs w:val="24"/>
          <w:lang w:val="en-ZA" w:eastAsia="en-ZA"/>
        </w:rPr>
        <w:t>Table</w:t>
      </w:r>
      <w:r w:rsidR="0020327D" w:rsidRPr="000D5F03">
        <w:rPr>
          <w:rFonts w:ascii="Times New Roman" w:hAnsi="Times New Roman"/>
          <w:b/>
          <w:bCs/>
          <w:color w:val="auto"/>
          <w:spacing w:val="0"/>
          <w:sz w:val="24"/>
          <w:szCs w:val="24"/>
          <w:lang w:val="en-ZA" w:eastAsia="en-ZA"/>
        </w:rPr>
        <w:t xml:space="preserve"> 6.</w:t>
      </w:r>
      <w:r w:rsidR="00984744" w:rsidRPr="000D5F03">
        <w:rPr>
          <w:rFonts w:ascii="Times New Roman" w:hAnsi="Times New Roman"/>
          <w:b/>
          <w:bCs/>
          <w:color w:val="auto"/>
          <w:spacing w:val="0"/>
          <w:sz w:val="24"/>
          <w:szCs w:val="24"/>
          <w:lang w:val="en-ZA" w:eastAsia="en-ZA"/>
        </w:rPr>
        <w:t>2</w:t>
      </w:r>
      <w:r w:rsidRPr="000D5F03">
        <w:rPr>
          <w:rFonts w:ascii="Times New Roman" w:hAnsi="Times New Roman"/>
          <w:b/>
          <w:bCs/>
          <w:color w:val="auto"/>
          <w:spacing w:val="0"/>
          <w:sz w:val="24"/>
          <w:szCs w:val="24"/>
          <w:lang w:val="en-ZA" w:eastAsia="en-ZA"/>
        </w:rPr>
        <w:t xml:space="preserve"> </w:t>
      </w:r>
      <w:r w:rsidRPr="000D5F03">
        <w:rPr>
          <w:rFonts w:ascii="Times New Roman" w:hAnsi="Times New Roman"/>
          <w:b/>
          <w:bCs/>
          <w:color w:val="auto"/>
          <w:spacing w:val="0"/>
          <w:sz w:val="24"/>
          <w:szCs w:val="24"/>
          <w:lang w:val="en-ZA" w:eastAsia="en-ZA"/>
        </w:rPr>
        <w:tab/>
        <w:t>Comparison appropriations for the DMR entities 201</w:t>
      </w:r>
      <w:r w:rsidR="00DE6134" w:rsidRPr="000D5F03">
        <w:rPr>
          <w:rFonts w:ascii="Times New Roman" w:hAnsi="Times New Roman"/>
          <w:b/>
          <w:bCs/>
          <w:color w:val="auto"/>
          <w:spacing w:val="0"/>
          <w:sz w:val="24"/>
          <w:szCs w:val="24"/>
          <w:lang w:val="en-ZA" w:eastAsia="en-ZA"/>
        </w:rPr>
        <w:t>8</w:t>
      </w:r>
      <w:r w:rsidRPr="000D5F03">
        <w:rPr>
          <w:rFonts w:ascii="Times New Roman" w:hAnsi="Times New Roman"/>
          <w:b/>
          <w:bCs/>
          <w:color w:val="auto"/>
          <w:spacing w:val="0"/>
          <w:sz w:val="24"/>
          <w:szCs w:val="24"/>
          <w:lang w:val="en-ZA" w:eastAsia="en-ZA"/>
        </w:rPr>
        <w:t>/1</w:t>
      </w:r>
      <w:r w:rsidR="00DE6134" w:rsidRPr="000D5F03">
        <w:rPr>
          <w:rFonts w:ascii="Times New Roman" w:hAnsi="Times New Roman"/>
          <w:b/>
          <w:bCs/>
          <w:color w:val="auto"/>
          <w:spacing w:val="0"/>
          <w:sz w:val="24"/>
          <w:szCs w:val="24"/>
          <w:lang w:val="en-ZA" w:eastAsia="en-ZA"/>
        </w:rPr>
        <w:t>9</w:t>
      </w:r>
    </w:p>
    <w:p w14:paraId="643CB1E4" w14:textId="77777777" w:rsidR="00DF2C3E" w:rsidRPr="000D5F03" w:rsidRDefault="00DF2C3E" w:rsidP="000D5F03">
      <w:pPr>
        <w:spacing w:line="360" w:lineRule="auto"/>
        <w:rPr>
          <w:rFonts w:ascii="Times New Roman" w:hAnsi="Times New Roman"/>
          <w:sz w:val="24"/>
          <w:szCs w:val="24"/>
        </w:rPr>
      </w:pPr>
    </w:p>
    <w:tbl>
      <w:tblPr>
        <w:tblW w:w="5000" w:type="pct"/>
        <w:tblLook w:val="04A0" w:firstRow="1" w:lastRow="0" w:firstColumn="1" w:lastColumn="0" w:noHBand="0" w:noVBand="1"/>
      </w:tblPr>
      <w:tblGrid>
        <w:gridCol w:w="5148"/>
        <w:gridCol w:w="2879"/>
        <w:gridCol w:w="1827"/>
      </w:tblGrid>
      <w:tr w:rsidR="00DF2C3E" w:rsidRPr="000D5F03" w14:paraId="0AEF7349" w14:textId="77777777" w:rsidTr="00530F13">
        <w:tc>
          <w:tcPr>
            <w:tcW w:w="26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1715E" w14:textId="77777777" w:rsidR="00DF2C3E" w:rsidRPr="000D5F03" w:rsidRDefault="00DF2C3E" w:rsidP="000D5F03">
            <w:pPr>
              <w:spacing w:line="360" w:lineRule="auto"/>
              <w:rPr>
                <w:rFonts w:ascii="Times New Roman" w:hAnsi="Times New Roman"/>
                <w:b/>
                <w:spacing w:val="0"/>
                <w:sz w:val="24"/>
                <w:szCs w:val="24"/>
                <w:lang w:val="en-ZA" w:eastAsia="en-ZA"/>
              </w:rPr>
            </w:pPr>
            <w:r w:rsidRPr="000D5F03">
              <w:rPr>
                <w:rFonts w:ascii="Times New Roman" w:hAnsi="Times New Roman"/>
                <w:b/>
                <w:spacing w:val="0"/>
                <w:sz w:val="24"/>
                <w:szCs w:val="24"/>
                <w:lang w:val="en-ZA" w:eastAsia="en-ZA"/>
              </w:rPr>
              <w:t>Name of Entity</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6C817" w14:textId="7D5F6CAB" w:rsidR="00DF2C3E" w:rsidRPr="000D5F03" w:rsidRDefault="00DF2C3E" w:rsidP="000D5F03">
            <w:pPr>
              <w:spacing w:line="360" w:lineRule="auto"/>
              <w:jc w:val="right"/>
              <w:rPr>
                <w:rFonts w:ascii="Times New Roman" w:hAnsi="Times New Roman"/>
                <w:b/>
                <w:spacing w:val="0"/>
                <w:sz w:val="24"/>
                <w:szCs w:val="24"/>
                <w:lang w:val="en-ZA" w:eastAsia="en-ZA"/>
              </w:rPr>
            </w:pPr>
            <w:r w:rsidRPr="000D5F03">
              <w:rPr>
                <w:rFonts w:ascii="Times New Roman" w:hAnsi="Times New Roman"/>
                <w:b/>
                <w:spacing w:val="0"/>
                <w:sz w:val="24"/>
                <w:szCs w:val="24"/>
                <w:lang w:val="en-ZA" w:eastAsia="en-ZA"/>
              </w:rPr>
              <w:t>Amount Transferred (and spent) 201</w:t>
            </w:r>
            <w:r w:rsidR="00984744" w:rsidRPr="000D5F03">
              <w:rPr>
                <w:rFonts w:ascii="Times New Roman" w:hAnsi="Times New Roman"/>
                <w:b/>
                <w:spacing w:val="0"/>
                <w:sz w:val="24"/>
                <w:szCs w:val="24"/>
                <w:lang w:val="en-ZA" w:eastAsia="en-ZA"/>
              </w:rPr>
              <w:t>8</w:t>
            </w:r>
            <w:r w:rsidRPr="000D5F03">
              <w:rPr>
                <w:rFonts w:ascii="Times New Roman" w:hAnsi="Times New Roman"/>
                <w:b/>
                <w:spacing w:val="0"/>
                <w:sz w:val="24"/>
                <w:szCs w:val="24"/>
                <w:lang w:val="en-ZA" w:eastAsia="en-ZA"/>
              </w:rPr>
              <w:t>/1</w:t>
            </w:r>
            <w:r w:rsidR="00984744" w:rsidRPr="000D5F03">
              <w:rPr>
                <w:rFonts w:ascii="Times New Roman" w:hAnsi="Times New Roman"/>
                <w:b/>
                <w:spacing w:val="0"/>
                <w:sz w:val="24"/>
                <w:szCs w:val="24"/>
                <w:lang w:val="en-ZA" w:eastAsia="en-ZA"/>
              </w:rPr>
              <w:t>9</w:t>
            </w:r>
            <w:r w:rsidRPr="000D5F03">
              <w:rPr>
                <w:rFonts w:ascii="Times New Roman" w:hAnsi="Times New Roman"/>
                <w:b/>
                <w:spacing w:val="0"/>
                <w:sz w:val="24"/>
                <w:szCs w:val="24"/>
                <w:lang w:val="en-ZA" w:eastAsia="en-ZA"/>
              </w:rPr>
              <w:t xml:space="preserve"> </w:t>
            </w:r>
          </w:p>
          <w:p w14:paraId="2F96E2E3" w14:textId="77777777" w:rsidR="00DF2C3E" w:rsidRPr="000D5F03" w:rsidRDefault="00DF2C3E" w:rsidP="000D5F03">
            <w:pPr>
              <w:spacing w:line="360" w:lineRule="auto"/>
              <w:jc w:val="right"/>
              <w:rPr>
                <w:rFonts w:ascii="Times New Roman" w:hAnsi="Times New Roman"/>
                <w:i/>
                <w:spacing w:val="0"/>
                <w:sz w:val="24"/>
                <w:szCs w:val="24"/>
                <w:lang w:val="en-ZA" w:eastAsia="en-ZA"/>
              </w:rPr>
            </w:pPr>
            <w:r w:rsidRPr="000D5F03">
              <w:rPr>
                <w:rFonts w:ascii="Times New Roman" w:hAnsi="Times New Roman"/>
                <w:i/>
                <w:spacing w:val="0"/>
                <w:sz w:val="24"/>
                <w:szCs w:val="24"/>
                <w:lang w:val="en-ZA" w:eastAsia="en-ZA"/>
              </w:rPr>
              <w:t>R’000</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4A8AF1B6" w14:textId="77777777" w:rsidR="00DF2C3E" w:rsidRPr="000D5F03" w:rsidRDefault="00DF2C3E" w:rsidP="000D5F03">
            <w:pPr>
              <w:spacing w:line="360" w:lineRule="auto"/>
              <w:jc w:val="right"/>
              <w:rPr>
                <w:rFonts w:ascii="Times New Roman" w:hAnsi="Times New Roman"/>
                <w:b/>
                <w:spacing w:val="0"/>
                <w:sz w:val="24"/>
                <w:szCs w:val="24"/>
                <w:lang w:val="en-ZA" w:eastAsia="en-ZA"/>
              </w:rPr>
            </w:pPr>
            <w:r w:rsidRPr="000D5F03">
              <w:rPr>
                <w:rFonts w:ascii="Times New Roman" w:hAnsi="Times New Roman"/>
                <w:b/>
                <w:spacing w:val="0"/>
                <w:sz w:val="24"/>
                <w:szCs w:val="24"/>
                <w:lang w:val="en-ZA" w:eastAsia="en-ZA"/>
              </w:rPr>
              <w:t>Audit Outcome</w:t>
            </w:r>
          </w:p>
          <w:p w14:paraId="4F67A563" w14:textId="2C5DB8E5" w:rsidR="00DF2C3E" w:rsidRPr="000D5F03" w:rsidRDefault="00DF2C3E" w:rsidP="000D5F03">
            <w:pPr>
              <w:spacing w:line="360" w:lineRule="auto"/>
              <w:jc w:val="right"/>
              <w:rPr>
                <w:rFonts w:ascii="Times New Roman" w:hAnsi="Times New Roman"/>
                <w:b/>
                <w:spacing w:val="0"/>
                <w:sz w:val="24"/>
                <w:szCs w:val="24"/>
                <w:lang w:val="en-ZA" w:eastAsia="en-ZA"/>
              </w:rPr>
            </w:pPr>
            <w:r w:rsidRPr="000D5F03">
              <w:rPr>
                <w:rFonts w:ascii="Times New Roman" w:hAnsi="Times New Roman"/>
                <w:b/>
                <w:spacing w:val="0"/>
                <w:sz w:val="24"/>
                <w:szCs w:val="24"/>
                <w:lang w:val="en-ZA" w:eastAsia="en-ZA"/>
              </w:rPr>
              <w:t>201</w:t>
            </w:r>
            <w:r w:rsidR="00984744" w:rsidRPr="000D5F03">
              <w:rPr>
                <w:rFonts w:ascii="Times New Roman" w:hAnsi="Times New Roman"/>
                <w:b/>
                <w:spacing w:val="0"/>
                <w:sz w:val="24"/>
                <w:szCs w:val="24"/>
                <w:lang w:val="en-ZA" w:eastAsia="en-ZA"/>
              </w:rPr>
              <w:t>8</w:t>
            </w:r>
            <w:r w:rsidRPr="000D5F03">
              <w:rPr>
                <w:rFonts w:ascii="Times New Roman" w:hAnsi="Times New Roman"/>
                <w:b/>
                <w:spacing w:val="0"/>
                <w:sz w:val="24"/>
                <w:szCs w:val="24"/>
                <w:lang w:val="en-ZA" w:eastAsia="en-ZA"/>
              </w:rPr>
              <w:t>/1</w:t>
            </w:r>
            <w:r w:rsidR="00984744" w:rsidRPr="000D5F03">
              <w:rPr>
                <w:rFonts w:ascii="Times New Roman" w:hAnsi="Times New Roman"/>
                <w:b/>
                <w:spacing w:val="0"/>
                <w:sz w:val="24"/>
                <w:szCs w:val="24"/>
                <w:lang w:val="en-ZA" w:eastAsia="en-ZA"/>
              </w:rPr>
              <w:t>9</w:t>
            </w:r>
            <w:r w:rsidRPr="000D5F03">
              <w:rPr>
                <w:rFonts w:ascii="Times New Roman" w:hAnsi="Times New Roman"/>
                <w:b/>
                <w:spacing w:val="0"/>
                <w:sz w:val="24"/>
                <w:szCs w:val="24"/>
                <w:lang w:val="en-ZA" w:eastAsia="en-ZA"/>
              </w:rPr>
              <w:t xml:space="preserve"> </w:t>
            </w:r>
          </w:p>
          <w:p w14:paraId="5640B1BD" w14:textId="77777777" w:rsidR="00DF2C3E" w:rsidRPr="000D5F03" w:rsidRDefault="00DF2C3E" w:rsidP="000D5F03">
            <w:pPr>
              <w:spacing w:line="360" w:lineRule="auto"/>
              <w:jc w:val="right"/>
              <w:rPr>
                <w:rFonts w:ascii="Times New Roman" w:hAnsi="Times New Roman"/>
                <w:b/>
                <w:spacing w:val="0"/>
                <w:sz w:val="24"/>
                <w:szCs w:val="24"/>
                <w:lang w:val="en-ZA" w:eastAsia="en-ZA"/>
              </w:rPr>
            </w:pPr>
            <w:r w:rsidRPr="000D5F03">
              <w:rPr>
                <w:rFonts w:ascii="Times New Roman" w:hAnsi="Times New Roman"/>
                <w:b/>
                <w:spacing w:val="0"/>
                <w:sz w:val="24"/>
                <w:szCs w:val="24"/>
                <w:lang w:val="en-ZA" w:eastAsia="en-ZA"/>
              </w:rPr>
              <w:t> </w:t>
            </w:r>
          </w:p>
        </w:tc>
      </w:tr>
      <w:tr w:rsidR="00DF2C3E" w:rsidRPr="000D5F03" w14:paraId="31932C93" w14:textId="77777777" w:rsidTr="00530F13">
        <w:tc>
          <w:tcPr>
            <w:tcW w:w="2612" w:type="pct"/>
            <w:tcBorders>
              <w:top w:val="nil"/>
              <w:left w:val="single" w:sz="4" w:space="0" w:color="auto"/>
              <w:bottom w:val="single" w:sz="4" w:space="0" w:color="auto"/>
              <w:right w:val="single" w:sz="4" w:space="0" w:color="auto"/>
            </w:tcBorders>
            <w:shd w:val="clear" w:color="auto" w:fill="auto"/>
            <w:vAlign w:val="center"/>
            <w:hideMark/>
          </w:tcPr>
          <w:p w14:paraId="1F265FE9" w14:textId="77777777" w:rsidR="00DF2C3E" w:rsidRPr="000D5F03" w:rsidRDefault="00DF2C3E" w:rsidP="000D5F03">
            <w:pPr>
              <w:spacing w:line="360" w:lineRule="auto"/>
              <w:rPr>
                <w:rFonts w:ascii="Times New Roman" w:hAnsi="Times New Roman"/>
                <w:spacing w:val="0"/>
                <w:sz w:val="24"/>
                <w:szCs w:val="24"/>
                <w:lang w:val="en-ZA" w:eastAsia="en-ZA"/>
              </w:rPr>
            </w:pPr>
            <w:proofErr w:type="spellStart"/>
            <w:r w:rsidRPr="000D5F03">
              <w:rPr>
                <w:rFonts w:ascii="Times New Roman" w:hAnsi="Times New Roman"/>
                <w:spacing w:val="0"/>
                <w:sz w:val="24"/>
                <w:szCs w:val="24"/>
                <w:lang w:val="en-ZA" w:eastAsia="en-ZA"/>
              </w:rPr>
              <w:t>Mintek</w:t>
            </w:r>
            <w:proofErr w:type="spellEnd"/>
          </w:p>
        </w:tc>
        <w:tc>
          <w:tcPr>
            <w:tcW w:w="1461" w:type="pct"/>
            <w:tcBorders>
              <w:top w:val="single" w:sz="4" w:space="0" w:color="auto"/>
              <w:left w:val="nil"/>
              <w:bottom w:val="single" w:sz="4" w:space="0" w:color="auto"/>
              <w:right w:val="single" w:sz="4" w:space="0" w:color="auto"/>
            </w:tcBorders>
            <w:shd w:val="clear" w:color="auto" w:fill="auto"/>
            <w:vAlign w:val="center"/>
            <w:hideMark/>
          </w:tcPr>
          <w:p w14:paraId="1E3A1D74" w14:textId="06498135" w:rsidR="00DF2C3E" w:rsidRPr="000D5F03" w:rsidRDefault="00DF2C3E" w:rsidP="000D5F03">
            <w:pPr>
              <w:spacing w:line="360" w:lineRule="auto"/>
              <w:jc w:val="right"/>
              <w:rPr>
                <w:rFonts w:ascii="Times New Roman" w:hAnsi="Times New Roman"/>
                <w:spacing w:val="0"/>
                <w:sz w:val="24"/>
                <w:szCs w:val="24"/>
                <w:lang w:val="en-ZA" w:eastAsia="en-ZA"/>
              </w:rPr>
            </w:pPr>
            <w:r w:rsidRPr="000D5F03">
              <w:rPr>
                <w:rFonts w:ascii="Times New Roman" w:hAnsi="Times New Roman"/>
                <w:sz w:val="24"/>
                <w:szCs w:val="24"/>
              </w:rPr>
              <w:t xml:space="preserve">R </w:t>
            </w:r>
            <w:r w:rsidR="00DE6134" w:rsidRPr="000D5F03">
              <w:rPr>
                <w:rFonts w:ascii="Times New Roman" w:hAnsi="Times New Roman"/>
                <w:sz w:val="24"/>
                <w:szCs w:val="24"/>
              </w:rPr>
              <w:t>420</w:t>
            </w:r>
            <w:r w:rsidRPr="000D5F03">
              <w:rPr>
                <w:rFonts w:ascii="Times New Roman" w:hAnsi="Times New Roman"/>
                <w:sz w:val="24"/>
                <w:szCs w:val="24"/>
              </w:rPr>
              <w:t xml:space="preserve"> </w:t>
            </w:r>
            <w:r w:rsidR="00DE6134" w:rsidRPr="000D5F03">
              <w:rPr>
                <w:rFonts w:ascii="Times New Roman" w:hAnsi="Times New Roman"/>
                <w:sz w:val="24"/>
                <w:szCs w:val="24"/>
              </w:rPr>
              <w:t>368</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36889A45" w14:textId="77777777" w:rsidR="00DF2C3E" w:rsidRPr="000D5F03" w:rsidRDefault="002B21CC" w:rsidP="000D5F03">
            <w:pPr>
              <w:spacing w:line="360" w:lineRule="auto"/>
              <w:jc w:val="right"/>
              <w:rPr>
                <w:rFonts w:ascii="Times New Roman" w:hAnsi="Times New Roman"/>
                <w:b/>
                <w:sz w:val="24"/>
                <w:szCs w:val="24"/>
              </w:rPr>
            </w:pPr>
            <w:r w:rsidRPr="000D5F03">
              <w:rPr>
                <w:rFonts w:ascii="Times New Roman" w:hAnsi="Times New Roman"/>
                <w:b/>
                <w:bCs/>
                <w:sz w:val="24"/>
                <w:szCs w:val="24"/>
              </w:rPr>
              <w:t>Unqualified</w:t>
            </w:r>
            <w:r w:rsidRPr="000D5F03">
              <w:rPr>
                <w:rFonts w:ascii="Times New Roman" w:hAnsi="Times New Roman"/>
                <w:sz w:val="24"/>
                <w:szCs w:val="24"/>
              </w:rPr>
              <w:t xml:space="preserve"> (was clean in previous year)</w:t>
            </w:r>
            <w:r w:rsidR="00DF2C3E" w:rsidRPr="000D5F03">
              <w:rPr>
                <w:rFonts w:ascii="Times New Roman" w:hAnsi="Times New Roman"/>
                <w:sz w:val="24"/>
                <w:szCs w:val="24"/>
              </w:rPr>
              <w:t xml:space="preserve"> </w:t>
            </w:r>
            <w:r w:rsidR="00DF2C3E" w:rsidRPr="000D5F03">
              <w:rPr>
                <w:rFonts w:ascii="Times New Roman" w:hAnsi="Times New Roman"/>
                <w:b/>
                <w:sz w:val="24"/>
                <w:szCs w:val="24"/>
              </w:rPr>
              <w:t xml:space="preserve"> </w:t>
            </w:r>
          </w:p>
        </w:tc>
      </w:tr>
      <w:tr w:rsidR="00DF2C3E" w:rsidRPr="000D5F03" w14:paraId="34916C72" w14:textId="77777777" w:rsidTr="00530F13">
        <w:tc>
          <w:tcPr>
            <w:tcW w:w="2612" w:type="pct"/>
            <w:tcBorders>
              <w:top w:val="nil"/>
              <w:left w:val="single" w:sz="4" w:space="0" w:color="auto"/>
              <w:bottom w:val="single" w:sz="4" w:space="0" w:color="auto"/>
              <w:right w:val="single" w:sz="4" w:space="0" w:color="auto"/>
            </w:tcBorders>
            <w:shd w:val="clear" w:color="auto" w:fill="auto"/>
            <w:vAlign w:val="center"/>
            <w:hideMark/>
          </w:tcPr>
          <w:p w14:paraId="7621BF44" w14:textId="77777777" w:rsidR="00DF2C3E" w:rsidRPr="000D5F03" w:rsidRDefault="00DF2C3E" w:rsidP="000D5F03">
            <w:pPr>
              <w:spacing w:line="360" w:lineRule="auto"/>
              <w:rPr>
                <w:rFonts w:ascii="Times New Roman" w:hAnsi="Times New Roman"/>
                <w:spacing w:val="0"/>
                <w:sz w:val="24"/>
                <w:szCs w:val="24"/>
                <w:lang w:val="en-ZA" w:eastAsia="en-ZA"/>
              </w:rPr>
            </w:pPr>
            <w:r w:rsidRPr="000D5F03">
              <w:rPr>
                <w:rFonts w:ascii="Times New Roman" w:hAnsi="Times New Roman"/>
                <w:spacing w:val="0"/>
                <w:sz w:val="24"/>
                <w:szCs w:val="24"/>
                <w:lang w:val="en-ZA" w:eastAsia="en-ZA"/>
              </w:rPr>
              <w:t>SA Diamond &amp; Precious Metals Regulator (SADPMR)</w:t>
            </w:r>
          </w:p>
        </w:tc>
        <w:tc>
          <w:tcPr>
            <w:tcW w:w="1461" w:type="pct"/>
            <w:tcBorders>
              <w:top w:val="nil"/>
              <w:left w:val="nil"/>
              <w:bottom w:val="single" w:sz="4" w:space="0" w:color="auto"/>
              <w:right w:val="single" w:sz="4" w:space="0" w:color="auto"/>
            </w:tcBorders>
            <w:shd w:val="clear" w:color="auto" w:fill="auto"/>
            <w:vAlign w:val="center"/>
            <w:hideMark/>
          </w:tcPr>
          <w:p w14:paraId="07B398EE" w14:textId="7663A40C" w:rsidR="00DF2C3E" w:rsidRPr="000D5F03" w:rsidRDefault="00DF2C3E" w:rsidP="000D5F03">
            <w:pPr>
              <w:spacing w:line="360" w:lineRule="auto"/>
              <w:jc w:val="right"/>
              <w:rPr>
                <w:rFonts w:ascii="Times New Roman" w:hAnsi="Times New Roman"/>
                <w:sz w:val="24"/>
                <w:szCs w:val="24"/>
              </w:rPr>
            </w:pPr>
            <w:r w:rsidRPr="000D5F03">
              <w:rPr>
                <w:rFonts w:ascii="Times New Roman" w:hAnsi="Times New Roman"/>
                <w:sz w:val="24"/>
                <w:szCs w:val="24"/>
              </w:rPr>
              <w:t>R 5</w:t>
            </w:r>
            <w:r w:rsidR="00DE6134" w:rsidRPr="000D5F03">
              <w:rPr>
                <w:rFonts w:ascii="Times New Roman" w:hAnsi="Times New Roman"/>
                <w:sz w:val="24"/>
                <w:szCs w:val="24"/>
              </w:rPr>
              <w:t>9</w:t>
            </w:r>
            <w:r w:rsidRPr="000D5F03">
              <w:rPr>
                <w:rFonts w:ascii="Times New Roman" w:hAnsi="Times New Roman"/>
                <w:sz w:val="24"/>
                <w:szCs w:val="24"/>
              </w:rPr>
              <w:t xml:space="preserve"> </w:t>
            </w:r>
            <w:r w:rsidR="00DE6134" w:rsidRPr="000D5F03">
              <w:rPr>
                <w:rFonts w:ascii="Times New Roman" w:hAnsi="Times New Roman"/>
                <w:sz w:val="24"/>
                <w:szCs w:val="24"/>
              </w:rPr>
              <w:t>1</w:t>
            </w:r>
            <w:r w:rsidRPr="000D5F03">
              <w:rPr>
                <w:rFonts w:ascii="Times New Roman" w:hAnsi="Times New Roman"/>
                <w:sz w:val="24"/>
                <w:szCs w:val="24"/>
              </w:rPr>
              <w:t>05</w:t>
            </w:r>
          </w:p>
        </w:tc>
        <w:tc>
          <w:tcPr>
            <w:tcW w:w="927" w:type="pct"/>
            <w:tcBorders>
              <w:top w:val="nil"/>
              <w:left w:val="nil"/>
              <w:bottom w:val="single" w:sz="4" w:space="0" w:color="auto"/>
              <w:right w:val="single" w:sz="4" w:space="0" w:color="auto"/>
            </w:tcBorders>
            <w:shd w:val="clear" w:color="auto" w:fill="auto"/>
            <w:vAlign w:val="center"/>
            <w:hideMark/>
          </w:tcPr>
          <w:p w14:paraId="0FFE9471" w14:textId="77777777" w:rsidR="00DF2C3E" w:rsidRPr="000D5F03" w:rsidRDefault="00DF2C3E" w:rsidP="000D5F03">
            <w:pPr>
              <w:spacing w:line="360" w:lineRule="auto"/>
              <w:jc w:val="right"/>
              <w:rPr>
                <w:rFonts w:ascii="Times New Roman" w:hAnsi="Times New Roman"/>
                <w:b/>
                <w:bCs/>
                <w:sz w:val="24"/>
                <w:szCs w:val="24"/>
              </w:rPr>
            </w:pPr>
            <w:r w:rsidRPr="000D5F03">
              <w:rPr>
                <w:rFonts w:ascii="Times New Roman" w:hAnsi="Times New Roman"/>
                <w:b/>
                <w:bCs/>
                <w:sz w:val="24"/>
                <w:szCs w:val="24"/>
              </w:rPr>
              <w:t xml:space="preserve">Unqualified </w:t>
            </w:r>
          </w:p>
        </w:tc>
      </w:tr>
      <w:tr w:rsidR="00DF2C3E" w:rsidRPr="000D5F03" w14:paraId="534BCA10" w14:textId="77777777" w:rsidTr="00530F13">
        <w:tc>
          <w:tcPr>
            <w:tcW w:w="2612" w:type="pct"/>
            <w:tcBorders>
              <w:top w:val="nil"/>
              <w:left w:val="single" w:sz="4" w:space="0" w:color="auto"/>
              <w:bottom w:val="single" w:sz="4" w:space="0" w:color="auto"/>
              <w:right w:val="single" w:sz="4" w:space="0" w:color="auto"/>
            </w:tcBorders>
            <w:shd w:val="clear" w:color="auto" w:fill="auto"/>
            <w:vAlign w:val="center"/>
            <w:hideMark/>
          </w:tcPr>
          <w:p w14:paraId="49FA307F" w14:textId="77777777" w:rsidR="00DF2C3E" w:rsidRPr="000D5F03" w:rsidRDefault="00DF2C3E" w:rsidP="000D5F03">
            <w:pPr>
              <w:spacing w:line="360" w:lineRule="auto"/>
              <w:rPr>
                <w:rFonts w:ascii="Times New Roman" w:hAnsi="Times New Roman"/>
                <w:spacing w:val="0"/>
                <w:sz w:val="24"/>
                <w:szCs w:val="24"/>
                <w:lang w:val="en-ZA" w:eastAsia="en-ZA"/>
              </w:rPr>
            </w:pPr>
            <w:r w:rsidRPr="000D5F03">
              <w:rPr>
                <w:rFonts w:ascii="Times New Roman" w:hAnsi="Times New Roman"/>
                <w:spacing w:val="0"/>
                <w:sz w:val="24"/>
                <w:szCs w:val="24"/>
                <w:lang w:val="en-ZA" w:eastAsia="en-ZA"/>
              </w:rPr>
              <w:t>Mine Health and Safety Council (MHSC)</w:t>
            </w:r>
          </w:p>
        </w:tc>
        <w:tc>
          <w:tcPr>
            <w:tcW w:w="1461" w:type="pct"/>
            <w:tcBorders>
              <w:top w:val="nil"/>
              <w:left w:val="nil"/>
              <w:bottom w:val="single" w:sz="4" w:space="0" w:color="auto"/>
              <w:right w:val="single" w:sz="4" w:space="0" w:color="auto"/>
            </w:tcBorders>
            <w:shd w:val="clear" w:color="auto" w:fill="auto"/>
            <w:vAlign w:val="center"/>
            <w:hideMark/>
          </w:tcPr>
          <w:p w14:paraId="1E23653C" w14:textId="77777777" w:rsidR="00DF2C3E" w:rsidRPr="000D5F03" w:rsidRDefault="00DF2C3E" w:rsidP="000D5F03">
            <w:pPr>
              <w:spacing w:line="360" w:lineRule="auto"/>
              <w:jc w:val="right"/>
              <w:rPr>
                <w:rFonts w:ascii="Times New Roman" w:hAnsi="Times New Roman"/>
                <w:sz w:val="24"/>
                <w:szCs w:val="24"/>
              </w:rPr>
            </w:pPr>
            <w:r w:rsidRPr="000D5F03">
              <w:rPr>
                <w:rFonts w:ascii="Times New Roman" w:hAnsi="Times New Roman"/>
                <w:sz w:val="24"/>
                <w:szCs w:val="24"/>
              </w:rPr>
              <w:t>R 0</w:t>
            </w:r>
          </w:p>
        </w:tc>
        <w:tc>
          <w:tcPr>
            <w:tcW w:w="927" w:type="pct"/>
            <w:tcBorders>
              <w:top w:val="nil"/>
              <w:left w:val="nil"/>
              <w:bottom w:val="single" w:sz="4" w:space="0" w:color="auto"/>
              <w:right w:val="single" w:sz="4" w:space="0" w:color="auto"/>
            </w:tcBorders>
            <w:shd w:val="clear" w:color="auto" w:fill="auto"/>
            <w:vAlign w:val="center"/>
            <w:hideMark/>
          </w:tcPr>
          <w:p w14:paraId="4EEF7441" w14:textId="77777777" w:rsidR="00DF2C3E" w:rsidRPr="000D5F03" w:rsidRDefault="002B21CC" w:rsidP="000D5F03">
            <w:pPr>
              <w:spacing w:line="360" w:lineRule="auto"/>
              <w:jc w:val="right"/>
              <w:rPr>
                <w:rFonts w:ascii="Times New Roman" w:hAnsi="Times New Roman"/>
                <w:sz w:val="24"/>
                <w:szCs w:val="24"/>
              </w:rPr>
            </w:pPr>
            <w:r w:rsidRPr="000D5F03">
              <w:rPr>
                <w:rFonts w:ascii="Times New Roman" w:hAnsi="Times New Roman"/>
                <w:b/>
                <w:sz w:val="24"/>
                <w:szCs w:val="24"/>
              </w:rPr>
              <w:t xml:space="preserve">Unqualified </w:t>
            </w:r>
            <w:r w:rsidR="00DF2C3E" w:rsidRPr="000D5F03">
              <w:rPr>
                <w:rFonts w:ascii="Times New Roman" w:hAnsi="Times New Roman"/>
                <w:sz w:val="24"/>
                <w:szCs w:val="24"/>
              </w:rPr>
              <w:t xml:space="preserve"> </w:t>
            </w:r>
          </w:p>
        </w:tc>
      </w:tr>
      <w:tr w:rsidR="00DF2C3E" w:rsidRPr="000D5F03" w14:paraId="2E98115B" w14:textId="77777777" w:rsidTr="00530F13">
        <w:tc>
          <w:tcPr>
            <w:tcW w:w="2612" w:type="pct"/>
            <w:tcBorders>
              <w:top w:val="nil"/>
              <w:left w:val="single" w:sz="4" w:space="0" w:color="auto"/>
              <w:bottom w:val="single" w:sz="4" w:space="0" w:color="auto"/>
              <w:right w:val="single" w:sz="4" w:space="0" w:color="auto"/>
            </w:tcBorders>
            <w:shd w:val="clear" w:color="auto" w:fill="auto"/>
            <w:vAlign w:val="center"/>
            <w:hideMark/>
          </w:tcPr>
          <w:p w14:paraId="1D93A999" w14:textId="77777777" w:rsidR="00DF2C3E" w:rsidRPr="000D5F03" w:rsidRDefault="00DF2C3E" w:rsidP="000D5F03">
            <w:pPr>
              <w:spacing w:line="360" w:lineRule="auto"/>
              <w:rPr>
                <w:rFonts w:ascii="Times New Roman" w:hAnsi="Times New Roman"/>
                <w:spacing w:val="0"/>
                <w:sz w:val="24"/>
                <w:szCs w:val="24"/>
                <w:lang w:val="en-ZA" w:eastAsia="en-ZA"/>
              </w:rPr>
            </w:pPr>
            <w:r w:rsidRPr="000D5F03">
              <w:rPr>
                <w:rFonts w:ascii="Times New Roman" w:hAnsi="Times New Roman"/>
                <w:spacing w:val="0"/>
                <w:sz w:val="24"/>
                <w:szCs w:val="24"/>
                <w:lang w:val="en-ZA" w:eastAsia="en-ZA"/>
              </w:rPr>
              <w:t>Council for Geoscience (GCS)</w:t>
            </w:r>
          </w:p>
        </w:tc>
        <w:tc>
          <w:tcPr>
            <w:tcW w:w="1461" w:type="pct"/>
            <w:tcBorders>
              <w:top w:val="nil"/>
              <w:left w:val="nil"/>
              <w:bottom w:val="single" w:sz="4" w:space="0" w:color="auto"/>
              <w:right w:val="single" w:sz="4" w:space="0" w:color="auto"/>
            </w:tcBorders>
            <w:shd w:val="clear" w:color="auto" w:fill="auto"/>
            <w:vAlign w:val="center"/>
            <w:hideMark/>
          </w:tcPr>
          <w:p w14:paraId="44DE07A2" w14:textId="0378F649" w:rsidR="00DF2C3E" w:rsidRPr="000D5F03" w:rsidRDefault="00DF2C3E" w:rsidP="000D5F03">
            <w:pPr>
              <w:spacing w:line="360" w:lineRule="auto"/>
              <w:jc w:val="right"/>
              <w:rPr>
                <w:rFonts w:ascii="Times New Roman" w:hAnsi="Times New Roman"/>
                <w:sz w:val="24"/>
                <w:szCs w:val="24"/>
              </w:rPr>
            </w:pPr>
            <w:r w:rsidRPr="000D5F03">
              <w:rPr>
                <w:rFonts w:ascii="Times New Roman" w:hAnsi="Times New Roman"/>
                <w:sz w:val="24"/>
                <w:szCs w:val="24"/>
              </w:rPr>
              <w:t xml:space="preserve">R </w:t>
            </w:r>
            <w:r w:rsidR="00DE6134" w:rsidRPr="000D5F03">
              <w:rPr>
                <w:rFonts w:ascii="Times New Roman" w:hAnsi="Times New Roman"/>
                <w:sz w:val="24"/>
                <w:szCs w:val="24"/>
              </w:rPr>
              <w:t>405</w:t>
            </w:r>
            <w:r w:rsidRPr="000D5F03">
              <w:rPr>
                <w:rFonts w:ascii="Times New Roman" w:hAnsi="Times New Roman"/>
                <w:sz w:val="24"/>
                <w:szCs w:val="24"/>
              </w:rPr>
              <w:t xml:space="preserve"> </w:t>
            </w:r>
            <w:r w:rsidR="00DE6134" w:rsidRPr="000D5F03">
              <w:rPr>
                <w:rFonts w:ascii="Times New Roman" w:hAnsi="Times New Roman"/>
                <w:sz w:val="24"/>
                <w:szCs w:val="24"/>
              </w:rPr>
              <w:t>983</w:t>
            </w:r>
          </w:p>
        </w:tc>
        <w:tc>
          <w:tcPr>
            <w:tcW w:w="927" w:type="pct"/>
            <w:tcBorders>
              <w:top w:val="nil"/>
              <w:left w:val="nil"/>
              <w:bottom w:val="single" w:sz="4" w:space="0" w:color="auto"/>
              <w:right w:val="single" w:sz="4" w:space="0" w:color="auto"/>
            </w:tcBorders>
            <w:shd w:val="clear" w:color="auto" w:fill="auto"/>
            <w:vAlign w:val="center"/>
            <w:hideMark/>
          </w:tcPr>
          <w:p w14:paraId="14D79C68" w14:textId="77777777" w:rsidR="00DF2C3E" w:rsidRPr="000D5F03" w:rsidRDefault="002B21CC" w:rsidP="000D5F03">
            <w:pPr>
              <w:spacing w:line="360" w:lineRule="auto"/>
              <w:jc w:val="right"/>
              <w:rPr>
                <w:rFonts w:ascii="Times New Roman" w:hAnsi="Times New Roman"/>
                <w:sz w:val="24"/>
                <w:szCs w:val="24"/>
              </w:rPr>
            </w:pPr>
            <w:r w:rsidRPr="000D5F03">
              <w:rPr>
                <w:rFonts w:ascii="Times New Roman" w:hAnsi="Times New Roman"/>
                <w:b/>
                <w:sz w:val="24"/>
                <w:szCs w:val="24"/>
              </w:rPr>
              <w:t>Clean</w:t>
            </w:r>
            <w:r w:rsidRPr="000D5F03">
              <w:rPr>
                <w:rFonts w:ascii="Times New Roman" w:hAnsi="Times New Roman"/>
                <w:sz w:val="24"/>
                <w:szCs w:val="24"/>
              </w:rPr>
              <w:t xml:space="preserve"> (improvement)</w:t>
            </w:r>
            <w:r w:rsidR="00DF2C3E" w:rsidRPr="000D5F03">
              <w:rPr>
                <w:rFonts w:ascii="Times New Roman" w:hAnsi="Times New Roman"/>
                <w:sz w:val="24"/>
                <w:szCs w:val="24"/>
              </w:rPr>
              <w:t xml:space="preserve">  </w:t>
            </w:r>
          </w:p>
        </w:tc>
      </w:tr>
      <w:tr w:rsidR="00DF2C3E" w:rsidRPr="000D5F03" w14:paraId="7CEC92F3" w14:textId="77777777" w:rsidTr="00530F13">
        <w:tc>
          <w:tcPr>
            <w:tcW w:w="2612" w:type="pct"/>
            <w:tcBorders>
              <w:top w:val="nil"/>
              <w:left w:val="single" w:sz="4" w:space="0" w:color="auto"/>
              <w:bottom w:val="single" w:sz="4" w:space="0" w:color="auto"/>
              <w:right w:val="single" w:sz="4" w:space="0" w:color="auto"/>
            </w:tcBorders>
            <w:shd w:val="clear" w:color="auto" w:fill="auto"/>
            <w:vAlign w:val="center"/>
            <w:hideMark/>
          </w:tcPr>
          <w:p w14:paraId="1ADEA627" w14:textId="77777777" w:rsidR="00DF2C3E" w:rsidRPr="000D5F03" w:rsidRDefault="00DF2C3E" w:rsidP="000D5F03">
            <w:pPr>
              <w:spacing w:line="360" w:lineRule="auto"/>
              <w:rPr>
                <w:rFonts w:ascii="Times New Roman" w:hAnsi="Times New Roman"/>
                <w:spacing w:val="0"/>
                <w:sz w:val="24"/>
                <w:szCs w:val="24"/>
                <w:lang w:val="en-ZA" w:eastAsia="en-ZA"/>
              </w:rPr>
            </w:pPr>
            <w:r w:rsidRPr="000D5F03">
              <w:rPr>
                <w:rFonts w:ascii="Times New Roman" w:hAnsi="Times New Roman"/>
                <w:spacing w:val="0"/>
                <w:sz w:val="24"/>
                <w:szCs w:val="24"/>
                <w:lang w:val="en-ZA" w:eastAsia="en-ZA"/>
              </w:rPr>
              <w:t>The State Diamond Trader (SDT)</w:t>
            </w:r>
          </w:p>
        </w:tc>
        <w:tc>
          <w:tcPr>
            <w:tcW w:w="1461" w:type="pct"/>
            <w:tcBorders>
              <w:top w:val="nil"/>
              <w:left w:val="nil"/>
              <w:bottom w:val="single" w:sz="4" w:space="0" w:color="auto"/>
              <w:right w:val="single" w:sz="4" w:space="0" w:color="auto"/>
            </w:tcBorders>
            <w:shd w:val="clear" w:color="auto" w:fill="auto"/>
            <w:vAlign w:val="center"/>
            <w:hideMark/>
          </w:tcPr>
          <w:p w14:paraId="6A98F4B1" w14:textId="528D0478" w:rsidR="00DF2C3E" w:rsidRPr="000D5F03" w:rsidRDefault="00DE6134" w:rsidP="000D5F03">
            <w:pPr>
              <w:spacing w:line="360" w:lineRule="auto"/>
              <w:jc w:val="right"/>
              <w:rPr>
                <w:rFonts w:ascii="Times New Roman" w:hAnsi="Times New Roman"/>
                <w:sz w:val="24"/>
                <w:szCs w:val="24"/>
              </w:rPr>
            </w:pPr>
            <w:r w:rsidRPr="000D5F03">
              <w:rPr>
                <w:rFonts w:ascii="Times New Roman" w:hAnsi="Times New Roman"/>
                <w:sz w:val="24"/>
                <w:szCs w:val="24"/>
              </w:rPr>
              <w:t>N /A</w:t>
            </w:r>
          </w:p>
        </w:tc>
        <w:tc>
          <w:tcPr>
            <w:tcW w:w="927" w:type="pct"/>
            <w:tcBorders>
              <w:top w:val="nil"/>
              <w:left w:val="nil"/>
              <w:bottom w:val="single" w:sz="4" w:space="0" w:color="auto"/>
              <w:right w:val="single" w:sz="4" w:space="0" w:color="auto"/>
            </w:tcBorders>
            <w:shd w:val="clear" w:color="auto" w:fill="auto"/>
            <w:vAlign w:val="center"/>
            <w:hideMark/>
          </w:tcPr>
          <w:p w14:paraId="08F011EE" w14:textId="77777777" w:rsidR="00DF2C3E" w:rsidRPr="000D5F03" w:rsidRDefault="002B21CC" w:rsidP="000D5F03">
            <w:pPr>
              <w:spacing w:line="360" w:lineRule="auto"/>
              <w:jc w:val="right"/>
              <w:rPr>
                <w:rFonts w:ascii="Times New Roman" w:hAnsi="Times New Roman"/>
                <w:b/>
                <w:bCs/>
                <w:sz w:val="24"/>
                <w:szCs w:val="24"/>
              </w:rPr>
            </w:pPr>
            <w:r w:rsidRPr="000D5F03">
              <w:rPr>
                <w:rFonts w:ascii="Times New Roman" w:hAnsi="Times New Roman"/>
                <w:b/>
                <w:bCs/>
                <w:sz w:val="24"/>
                <w:szCs w:val="24"/>
              </w:rPr>
              <w:t>Unqualified</w:t>
            </w:r>
            <w:r w:rsidRPr="000D5F03" w:rsidDel="002B21CC">
              <w:rPr>
                <w:rFonts w:ascii="Times New Roman" w:hAnsi="Times New Roman"/>
                <w:b/>
                <w:bCs/>
                <w:sz w:val="24"/>
                <w:szCs w:val="24"/>
              </w:rPr>
              <w:t xml:space="preserve"> </w:t>
            </w:r>
          </w:p>
        </w:tc>
      </w:tr>
    </w:tbl>
    <w:p w14:paraId="1ACE7D06" w14:textId="77777777" w:rsidR="00DF2C3E" w:rsidRPr="000D5F03" w:rsidRDefault="00DF2C3E" w:rsidP="000D5F03">
      <w:pPr>
        <w:spacing w:line="360" w:lineRule="auto"/>
        <w:rPr>
          <w:rFonts w:ascii="Times New Roman" w:hAnsi="Times New Roman"/>
          <w:sz w:val="24"/>
          <w:szCs w:val="24"/>
        </w:rPr>
      </w:pPr>
    </w:p>
    <w:p w14:paraId="41B4A044" w14:textId="12A86D86" w:rsidR="00DE6134" w:rsidRPr="000D5F03" w:rsidRDefault="00BA5EA4" w:rsidP="000D5F03">
      <w:pPr>
        <w:spacing w:line="360" w:lineRule="auto"/>
        <w:jc w:val="both"/>
        <w:rPr>
          <w:rFonts w:ascii="Times New Roman" w:hAnsi="Times New Roman"/>
          <w:b/>
          <w:bCs/>
          <w:sz w:val="24"/>
          <w:szCs w:val="24"/>
          <w:lang w:val="en-US" w:eastAsia="en-ZA"/>
        </w:rPr>
      </w:pPr>
      <w:r w:rsidRPr="000D5F03">
        <w:rPr>
          <w:rFonts w:ascii="Times New Roman" w:hAnsi="Times New Roman"/>
          <w:b/>
          <w:bCs/>
          <w:sz w:val="24"/>
          <w:szCs w:val="24"/>
          <w:lang w:val="en-US" w:eastAsia="en-ZA"/>
        </w:rPr>
        <w:t>6.3</w:t>
      </w:r>
      <w:r w:rsidRPr="000D5F03">
        <w:rPr>
          <w:rFonts w:ascii="Times New Roman" w:hAnsi="Times New Roman"/>
          <w:b/>
          <w:bCs/>
          <w:sz w:val="24"/>
          <w:szCs w:val="24"/>
          <w:lang w:val="en-US" w:eastAsia="en-ZA"/>
        </w:rPr>
        <w:tab/>
      </w:r>
      <w:r w:rsidR="00DE6134" w:rsidRPr="000D5F03">
        <w:rPr>
          <w:rFonts w:ascii="Times New Roman" w:hAnsi="Times New Roman"/>
          <w:b/>
          <w:bCs/>
          <w:sz w:val="24"/>
          <w:szCs w:val="24"/>
          <w:lang w:val="en-US" w:eastAsia="en-ZA"/>
        </w:rPr>
        <w:t>State Diamond Trader (SDT)</w:t>
      </w:r>
    </w:p>
    <w:p w14:paraId="45CCC642" w14:textId="77777777" w:rsidR="00DE6134" w:rsidRPr="000D5F03" w:rsidRDefault="00DE6134" w:rsidP="000D5F03">
      <w:pPr>
        <w:spacing w:line="360" w:lineRule="auto"/>
        <w:jc w:val="both"/>
        <w:rPr>
          <w:rFonts w:ascii="Times New Roman" w:hAnsi="Times New Roman"/>
          <w:b/>
          <w:bCs/>
          <w:sz w:val="24"/>
          <w:szCs w:val="24"/>
          <w:lang w:val="en-US" w:eastAsia="en-ZA"/>
        </w:rPr>
      </w:pPr>
    </w:p>
    <w:p w14:paraId="49752DFD" w14:textId="77777777" w:rsidR="00DE6134" w:rsidRPr="000D5F03" w:rsidRDefault="00DE6134" w:rsidP="000D5F03">
      <w:pPr>
        <w:spacing w:line="360" w:lineRule="auto"/>
        <w:jc w:val="both"/>
        <w:rPr>
          <w:rFonts w:ascii="Times New Roman" w:hAnsi="Times New Roman"/>
          <w:sz w:val="24"/>
          <w:szCs w:val="24"/>
          <w:lang w:val="en-US" w:eastAsia="en-ZA"/>
        </w:rPr>
      </w:pPr>
      <w:proofErr w:type="gramStart"/>
      <w:r w:rsidRPr="000D5F03">
        <w:rPr>
          <w:rFonts w:ascii="Times New Roman" w:hAnsi="Times New Roman"/>
          <w:sz w:val="24"/>
          <w:szCs w:val="24"/>
          <w:lang w:val="en-US" w:eastAsia="en-ZA"/>
        </w:rPr>
        <w:t>The State Diamond Trader wholly owned by the SA government, it is listed as a Schedule 3b public entity as per the Public Finance Management Act, the entity is self-funded and does not receive any appropriation from the Department, its funding is a function of its operating activities, mainly diamond sales and a revolving credit facility from the Independent Development Corporation (IDC).</w:t>
      </w:r>
      <w:proofErr w:type="gramEnd"/>
      <w:r w:rsidRPr="000D5F03">
        <w:rPr>
          <w:rFonts w:ascii="Times New Roman" w:hAnsi="Times New Roman"/>
          <w:sz w:val="24"/>
          <w:szCs w:val="24"/>
          <w:lang w:val="en-US" w:eastAsia="en-ZA"/>
        </w:rPr>
        <w:t xml:space="preserve"> During the year under review the entity incurred a loss R 3</w:t>
      </w:r>
      <w:proofErr w:type="gramStart"/>
      <w:r w:rsidRPr="000D5F03">
        <w:rPr>
          <w:rFonts w:ascii="Times New Roman" w:hAnsi="Times New Roman"/>
          <w:sz w:val="24"/>
          <w:szCs w:val="24"/>
          <w:lang w:val="en-US" w:eastAsia="en-ZA"/>
        </w:rPr>
        <w:t>,05</w:t>
      </w:r>
      <w:proofErr w:type="gramEnd"/>
      <w:r w:rsidRPr="000D5F03">
        <w:rPr>
          <w:rFonts w:ascii="Times New Roman" w:hAnsi="Times New Roman"/>
          <w:sz w:val="24"/>
          <w:szCs w:val="24"/>
          <w:lang w:val="en-US" w:eastAsia="en-ZA"/>
        </w:rPr>
        <w:t xml:space="preserve"> million, this is a deterioration of its financial position compared to the previous financial year where it generated a profit of R 7.83. The loss is attributed to the general decline in the market price (value) of diamonds, increasing popularity of synthetic diamond as well as the US China trade </w:t>
      </w:r>
      <w:proofErr w:type="gramStart"/>
      <w:r w:rsidRPr="000D5F03">
        <w:rPr>
          <w:rFonts w:ascii="Times New Roman" w:hAnsi="Times New Roman"/>
          <w:sz w:val="24"/>
          <w:szCs w:val="24"/>
          <w:lang w:val="en-US" w:eastAsia="en-ZA"/>
        </w:rPr>
        <w:t>war which</w:t>
      </w:r>
      <w:proofErr w:type="gramEnd"/>
      <w:r w:rsidRPr="000D5F03">
        <w:rPr>
          <w:rFonts w:ascii="Times New Roman" w:hAnsi="Times New Roman"/>
          <w:sz w:val="24"/>
          <w:szCs w:val="24"/>
          <w:lang w:val="en-US" w:eastAsia="en-ZA"/>
        </w:rPr>
        <w:t xml:space="preserve"> is negatively affecting Chinese demand for luxury goods.</w:t>
      </w:r>
    </w:p>
    <w:p w14:paraId="2F722238" w14:textId="77777777" w:rsidR="00DE6134" w:rsidRPr="000D5F03" w:rsidRDefault="00DE6134" w:rsidP="000D5F03">
      <w:pPr>
        <w:spacing w:line="360" w:lineRule="auto"/>
        <w:jc w:val="both"/>
        <w:rPr>
          <w:rFonts w:ascii="Times New Roman" w:hAnsi="Times New Roman"/>
          <w:sz w:val="24"/>
          <w:szCs w:val="24"/>
          <w:lang w:val="en-US" w:eastAsia="en-ZA"/>
        </w:rPr>
      </w:pPr>
    </w:p>
    <w:p w14:paraId="489799FB" w14:textId="77D60F21" w:rsidR="00DE6134" w:rsidRPr="000D5F03" w:rsidRDefault="00BA5EA4" w:rsidP="000D5F03">
      <w:pPr>
        <w:spacing w:line="360" w:lineRule="auto"/>
        <w:jc w:val="both"/>
        <w:rPr>
          <w:rFonts w:ascii="Times New Roman" w:hAnsi="Times New Roman"/>
          <w:b/>
          <w:bCs/>
          <w:sz w:val="24"/>
          <w:szCs w:val="24"/>
          <w:lang w:val="en-US" w:eastAsia="en-ZA"/>
        </w:rPr>
      </w:pPr>
      <w:r w:rsidRPr="000D5F03">
        <w:rPr>
          <w:rFonts w:ascii="Times New Roman" w:hAnsi="Times New Roman"/>
          <w:b/>
          <w:bCs/>
          <w:sz w:val="24"/>
          <w:szCs w:val="24"/>
          <w:lang w:val="en-US" w:eastAsia="en-ZA"/>
        </w:rPr>
        <w:t>6.4</w:t>
      </w:r>
      <w:r w:rsidRPr="000D5F03">
        <w:rPr>
          <w:rFonts w:ascii="Times New Roman" w:hAnsi="Times New Roman"/>
          <w:b/>
          <w:bCs/>
          <w:sz w:val="24"/>
          <w:szCs w:val="24"/>
          <w:lang w:val="en-US" w:eastAsia="en-ZA"/>
        </w:rPr>
        <w:tab/>
      </w:r>
      <w:r w:rsidR="00DE6134" w:rsidRPr="000D5F03">
        <w:rPr>
          <w:rFonts w:ascii="Times New Roman" w:hAnsi="Times New Roman"/>
          <w:b/>
          <w:bCs/>
          <w:sz w:val="24"/>
          <w:szCs w:val="24"/>
          <w:lang w:val="en-US" w:eastAsia="en-ZA"/>
        </w:rPr>
        <w:t>South African Diamond and Precious Metal Regulator (SADPMR).</w:t>
      </w:r>
    </w:p>
    <w:p w14:paraId="06923833" w14:textId="77777777" w:rsidR="00DE6134" w:rsidRPr="000D5F03" w:rsidRDefault="00DE6134" w:rsidP="000D5F03">
      <w:pPr>
        <w:spacing w:line="360" w:lineRule="auto"/>
        <w:jc w:val="both"/>
        <w:rPr>
          <w:rFonts w:ascii="Times New Roman" w:hAnsi="Times New Roman"/>
          <w:sz w:val="24"/>
          <w:szCs w:val="24"/>
          <w:lang w:val="en-US" w:eastAsia="en-ZA"/>
        </w:rPr>
      </w:pPr>
    </w:p>
    <w:p w14:paraId="7AFB11A4" w14:textId="77777777" w:rsidR="00DE6134" w:rsidRPr="000D5F03" w:rsidRDefault="00DE6134" w:rsidP="000D5F03">
      <w:pPr>
        <w:spacing w:line="360" w:lineRule="auto"/>
        <w:jc w:val="both"/>
        <w:rPr>
          <w:rFonts w:ascii="Times New Roman" w:hAnsi="Times New Roman"/>
          <w:sz w:val="24"/>
          <w:szCs w:val="24"/>
          <w:lang w:val="en-US" w:eastAsia="en-ZA"/>
        </w:rPr>
      </w:pPr>
      <w:r w:rsidRPr="000D5F03">
        <w:rPr>
          <w:rFonts w:ascii="Times New Roman" w:hAnsi="Times New Roman"/>
          <w:sz w:val="24"/>
          <w:szCs w:val="24"/>
          <w:lang w:val="en-US" w:eastAsia="en-ZA"/>
        </w:rPr>
        <w:t xml:space="preserve">The South African Diamond and Precious Metal Regulator </w:t>
      </w:r>
      <w:proofErr w:type="gramStart"/>
      <w:r w:rsidRPr="000D5F03">
        <w:rPr>
          <w:rFonts w:ascii="Times New Roman" w:hAnsi="Times New Roman"/>
          <w:sz w:val="24"/>
          <w:szCs w:val="24"/>
          <w:lang w:val="en-US" w:eastAsia="en-ZA"/>
        </w:rPr>
        <w:t>is</w:t>
      </w:r>
      <w:proofErr w:type="gramEnd"/>
      <w:r w:rsidRPr="000D5F03">
        <w:rPr>
          <w:rFonts w:ascii="Times New Roman" w:hAnsi="Times New Roman"/>
          <w:sz w:val="24"/>
          <w:szCs w:val="24"/>
          <w:lang w:val="en-US" w:eastAsia="en-ZA"/>
        </w:rPr>
        <w:t xml:space="preserve"> partly funded by the state as well as from operations mainly from levies collected. </w:t>
      </w:r>
      <w:proofErr w:type="gramStart"/>
      <w:r w:rsidRPr="000D5F03">
        <w:rPr>
          <w:rFonts w:ascii="Times New Roman" w:hAnsi="Times New Roman"/>
          <w:sz w:val="24"/>
          <w:szCs w:val="24"/>
          <w:lang w:val="en-US" w:eastAsia="en-ZA"/>
        </w:rPr>
        <w:t>During the period under review the entity had an appropriation of 62.4 million from the Department, from that it was able to generate revenue to of R 113,8 million after adjusting for operating expenses a surplus of R 10, 791 million was realized by the entity, this was an improvement from the previous year performance where a R 7, 104 million surplus was generated.</w:t>
      </w:r>
      <w:proofErr w:type="gramEnd"/>
      <w:r w:rsidRPr="000D5F03">
        <w:rPr>
          <w:rFonts w:ascii="Times New Roman" w:hAnsi="Times New Roman"/>
          <w:sz w:val="24"/>
          <w:szCs w:val="24"/>
          <w:lang w:val="en-US" w:eastAsia="en-ZA"/>
        </w:rPr>
        <w:t xml:space="preserve"> </w:t>
      </w:r>
      <w:proofErr w:type="gramStart"/>
      <w:r w:rsidRPr="000D5F03">
        <w:rPr>
          <w:rFonts w:ascii="Times New Roman" w:hAnsi="Times New Roman"/>
          <w:sz w:val="24"/>
          <w:szCs w:val="24"/>
          <w:lang w:val="en-US" w:eastAsia="en-ZA"/>
        </w:rPr>
        <w:t>Despite a profitable financial performance, the entity has identified headwinds that may negatively affect its performance going forward, firstly there has been a significant decline in beneficiation activity in the country, furthermore inadequate cash reserves for the entity are complicating the proposed move to new premises (GIDZ) as there are no sufficient funds to finance the relocation which will take place in the first half of 2020.</w:t>
      </w:r>
      <w:proofErr w:type="gramEnd"/>
    </w:p>
    <w:p w14:paraId="0CE0AA28" w14:textId="77777777" w:rsidR="00DE6134" w:rsidRPr="000D5F03" w:rsidRDefault="00DE6134" w:rsidP="000D5F03">
      <w:pPr>
        <w:spacing w:line="360" w:lineRule="auto"/>
        <w:jc w:val="both"/>
        <w:rPr>
          <w:rFonts w:ascii="Times New Roman" w:hAnsi="Times New Roman"/>
          <w:sz w:val="24"/>
          <w:szCs w:val="24"/>
          <w:lang w:val="en-US" w:eastAsia="en-ZA"/>
        </w:rPr>
      </w:pPr>
    </w:p>
    <w:p w14:paraId="21EC7176" w14:textId="386727FF" w:rsidR="00DE6134" w:rsidRPr="000D5F03" w:rsidRDefault="00BA5EA4" w:rsidP="000D5F03">
      <w:pPr>
        <w:spacing w:line="360" w:lineRule="auto"/>
        <w:jc w:val="both"/>
        <w:rPr>
          <w:rFonts w:ascii="Times New Roman" w:hAnsi="Times New Roman"/>
          <w:b/>
          <w:bCs/>
          <w:sz w:val="24"/>
          <w:szCs w:val="24"/>
          <w:lang w:val="en-US" w:eastAsia="en-ZA"/>
        </w:rPr>
      </w:pPr>
      <w:r w:rsidRPr="000D5F03">
        <w:rPr>
          <w:rFonts w:ascii="Times New Roman" w:hAnsi="Times New Roman"/>
          <w:b/>
          <w:bCs/>
          <w:sz w:val="24"/>
          <w:szCs w:val="24"/>
          <w:lang w:val="en-US" w:eastAsia="en-ZA"/>
        </w:rPr>
        <w:t>6.5</w:t>
      </w:r>
      <w:r w:rsidRPr="000D5F03">
        <w:rPr>
          <w:rFonts w:ascii="Times New Roman" w:hAnsi="Times New Roman"/>
          <w:b/>
          <w:bCs/>
          <w:sz w:val="24"/>
          <w:szCs w:val="24"/>
          <w:lang w:val="en-US" w:eastAsia="en-ZA"/>
        </w:rPr>
        <w:tab/>
      </w:r>
      <w:r w:rsidR="00DE6134" w:rsidRPr="000D5F03">
        <w:rPr>
          <w:rFonts w:ascii="Times New Roman" w:hAnsi="Times New Roman"/>
          <w:b/>
          <w:bCs/>
          <w:sz w:val="24"/>
          <w:szCs w:val="24"/>
          <w:lang w:val="en-US" w:eastAsia="en-ZA"/>
        </w:rPr>
        <w:t>Council for Geoscience (CGS).</w:t>
      </w:r>
    </w:p>
    <w:p w14:paraId="5A3C8CD2" w14:textId="77777777" w:rsidR="00DE6134" w:rsidRPr="000D5F03" w:rsidRDefault="00DE6134" w:rsidP="000D5F03">
      <w:pPr>
        <w:spacing w:line="360" w:lineRule="auto"/>
        <w:jc w:val="both"/>
        <w:rPr>
          <w:rFonts w:ascii="Times New Roman" w:hAnsi="Times New Roman"/>
          <w:sz w:val="24"/>
          <w:szCs w:val="24"/>
          <w:lang w:val="en-US" w:eastAsia="en-ZA"/>
        </w:rPr>
      </w:pPr>
    </w:p>
    <w:p w14:paraId="06C986CD" w14:textId="77777777" w:rsidR="00DE6134" w:rsidRPr="000D5F03" w:rsidRDefault="00DE6134" w:rsidP="000D5F03">
      <w:pPr>
        <w:spacing w:line="360" w:lineRule="auto"/>
        <w:jc w:val="both"/>
        <w:rPr>
          <w:rFonts w:ascii="Times New Roman" w:hAnsi="Times New Roman"/>
          <w:sz w:val="24"/>
          <w:szCs w:val="24"/>
          <w:lang w:val="en-US" w:eastAsia="en-ZA"/>
        </w:rPr>
      </w:pPr>
      <w:r w:rsidRPr="000D5F03">
        <w:rPr>
          <w:rFonts w:ascii="Times New Roman" w:hAnsi="Times New Roman"/>
          <w:sz w:val="24"/>
          <w:szCs w:val="24"/>
          <w:lang w:val="en-US" w:eastAsia="en-ZA"/>
        </w:rPr>
        <w:t xml:space="preserve">The Council for Geoscience </w:t>
      </w:r>
      <w:proofErr w:type="gramStart"/>
      <w:r w:rsidRPr="000D5F03">
        <w:rPr>
          <w:rFonts w:ascii="Times New Roman" w:hAnsi="Times New Roman"/>
          <w:sz w:val="24"/>
          <w:szCs w:val="24"/>
          <w:lang w:val="en-US" w:eastAsia="en-ZA"/>
        </w:rPr>
        <w:t>is listed</w:t>
      </w:r>
      <w:proofErr w:type="gramEnd"/>
      <w:r w:rsidRPr="000D5F03">
        <w:rPr>
          <w:rFonts w:ascii="Times New Roman" w:hAnsi="Times New Roman"/>
          <w:sz w:val="24"/>
          <w:szCs w:val="24"/>
          <w:lang w:val="en-US" w:eastAsia="en-ZA"/>
        </w:rPr>
        <w:t xml:space="preserve"> as a Schedule 3A public entity as per the PFMA, during the year under review the entity obtained a clean audit. The entity generated an operating loss of R 1,086 million this is an improvement from the loss incurred in the previous financial year of R 21 </w:t>
      </w:r>
      <w:proofErr w:type="gramStart"/>
      <w:r w:rsidRPr="000D5F03">
        <w:rPr>
          <w:rFonts w:ascii="Times New Roman" w:hAnsi="Times New Roman"/>
          <w:sz w:val="24"/>
          <w:szCs w:val="24"/>
          <w:lang w:val="en-US" w:eastAsia="en-ZA"/>
        </w:rPr>
        <w:t>million</w:t>
      </w:r>
      <w:proofErr w:type="gramEnd"/>
      <w:r w:rsidRPr="000D5F03">
        <w:rPr>
          <w:rFonts w:ascii="Times New Roman" w:hAnsi="Times New Roman"/>
          <w:sz w:val="24"/>
          <w:szCs w:val="24"/>
          <w:lang w:val="en-US" w:eastAsia="en-ZA"/>
        </w:rPr>
        <w:t xml:space="preserve">. </w:t>
      </w:r>
      <w:proofErr w:type="gramStart"/>
      <w:r w:rsidRPr="000D5F03">
        <w:rPr>
          <w:rFonts w:ascii="Times New Roman" w:hAnsi="Times New Roman"/>
          <w:sz w:val="24"/>
          <w:szCs w:val="24"/>
          <w:lang w:val="en-US" w:eastAsia="en-ZA"/>
        </w:rPr>
        <w:t>The entity has reviewed its strategy and structure to optimize the delivery of its mandate, the strategy aim to refocus the organization to its statutory mandate, however the organization require about R 300 million baseline funding investment in order to be able to deliver on its core mandate, the short term funding model adopted by the National Treasury is not compatible with the medium to long term strategy of the CGS, as a geological mapping project is a long term undertaking by its nature, hence it requires long term commitment.</w:t>
      </w:r>
      <w:proofErr w:type="gramEnd"/>
    </w:p>
    <w:p w14:paraId="7C450C29" w14:textId="77777777" w:rsidR="00DE6134" w:rsidRPr="000D5F03" w:rsidRDefault="00DE6134" w:rsidP="000D5F03">
      <w:pPr>
        <w:spacing w:line="360" w:lineRule="auto"/>
        <w:jc w:val="both"/>
        <w:rPr>
          <w:rFonts w:ascii="Times New Roman" w:hAnsi="Times New Roman"/>
          <w:sz w:val="24"/>
          <w:szCs w:val="24"/>
          <w:lang w:val="en-US" w:eastAsia="en-ZA"/>
        </w:rPr>
      </w:pPr>
    </w:p>
    <w:p w14:paraId="7FF068BE" w14:textId="6855842B" w:rsidR="00DE6134" w:rsidRPr="000D5F03" w:rsidRDefault="00BA5EA4" w:rsidP="000D5F03">
      <w:pPr>
        <w:spacing w:line="360" w:lineRule="auto"/>
        <w:jc w:val="both"/>
        <w:rPr>
          <w:rFonts w:ascii="Times New Roman" w:hAnsi="Times New Roman"/>
          <w:b/>
          <w:bCs/>
          <w:sz w:val="24"/>
          <w:szCs w:val="24"/>
          <w:lang w:val="en-US" w:eastAsia="en-ZA"/>
        </w:rPr>
      </w:pPr>
      <w:r w:rsidRPr="000D5F03">
        <w:rPr>
          <w:rFonts w:ascii="Times New Roman" w:hAnsi="Times New Roman"/>
          <w:b/>
          <w:bCs/>
          <w:sz w:val="24"/>
          <w:szCs w:val="24"/>
          <w:lang w:val="en-US" w:eastAsia="en-ZA"/>
        </w:rPr>
        <w:t>6.6</w:t>
      </w:r>
      <w:r w:rsidRPr="000D5F03">
        <w:rPr>
          <w:rFonts w:ascii="Times New Roman" w:hAnsi="Times New Roman"/>
          <w:b/>
          <w:bCs/>
          <w:sz w:val="24"/>
          <w:szCs w:val="24"/>
          <w:lang w:val="en-US" w:eastAsia="en-ZA"/>
        </w:rPr>
        <w:tab/>
      </w:r>
      <w:r w:rsidR="00DE6134" w:rsidRPr="000D5F03">
        <w:rPr>
          <w:rFonts w:ascii="Times New Roman" w:hAnsi="Times New Roman"/>
          <w:b/>
          <w:bCs/>
          <w:sz w:val="24"/>
          <w:szCs w:val="24"/>
          <w:lang w:val="en-US" w:eastAsia="en-ZA"/>
        </w:rPr>
        <w:t>MINTEK.</w:t>
      </w:r>
    </w:p>
    <w:p w14:paraId="0F06DC1F" w14:textId="77777777" w:rsidR="00DE6134" w:rsidRPr="000D5F03" w:rsidRDefault="00DE6134" w:rsidP="000D5F03">
      <w:pPr>
        <w:spacing w:line="360" w:lineRule="auto"/>
        <w:jc w:val="both"/>
        <w:rPr>
          <w:rFonts w:ascii="Times New Roman" w:hAnsi="Times New Roman"/>
          <w:sz w:val="24"/>
          <w:szCs w:val="24"/>
          <w:lang w:val="en-US" w:eastAsia="en-ZA"/>
        </w:rPr>
      </w:pPr>
    </w:p>
    <w:p w14:paraId="44EF37EF" w14:textId="7B83A231" w:rsidR="00DE6134" w:rsidRPr="000D5F03" w:rsidRDefault="00DE6134" w:rsidP="000D5F03">
      <w:pPr>
        <w:spacing w:line="360" w:lineRule="auto"/>
        <w:jc w:val="both"/>
        <w:rPr>
          <w:rFonts w:ascii="Times New Roman" w:hAnsi="Times New Roman"/>
          <w:sz w:val="24"/>
          <w:szCs w:val="24"/>
          <w:lang w:val="en-US" w:eastAsia="en-ZA"/>
        </w:rPr>
      </w:pPr>
      <w:r w:rsidRPr="000D5F03">
        <w:rPr>
          <w:rFonts w:ascii="Times New Roman" w:hAnsi="Times New Roman"/>
          <w:sz w:val="24"/>
          <w:szCs w:val="24"/>
          <w:lang w:val="en-US" w:eastAsia="en-ZA"/>
        </w:rPr>
        <w:t>MINTEK is a schedule 3B entity as per the PFMA, during the year under review the entity obtained an unqualified with findings, this was a reversal of a long-term operational excellence by the organization which has consistently obtained consecutive clean audit for the last five years. The entity recorded a surplus of R 5,4million during the year under review, this is a marginal decline from the previous financial year surplus of R 5</w:t>
      </w:r>
      <w:proofErr w:type="gramStart"/>
      <w:r w:rsidRPr="000D5F03">
        <w:rPr>
          <w:rFonts w:ascii="Times New Roman" w:hAnsi="Times New Roman"/>
          <w:sz w:val="24"/>
          <w:szCs w:val="24"/>
          <w:lang w:val="en-US" w:eastAsia="en-ZA"/>
        </w:rPr>
        <w:t>,8</w:t>
      </w:r>
      <w:proofErr w:type="gramEnd"/>
      <w:r w:rsidRPr="000D5F03">
        <w:rPr>
          <w:rFonts w:ascii="Times New Roman" w:hAnsi="Times New Roman"/>
          <w:sz w:val="24"/>
          <w:szCs w:val="24"/>
          <w:lang w:val="en-US" w:eastAsia="en-ZA"/>
        </w:rPr>
        <w:t xml:space="preserve"> million. </w:t>
      </w:r>
      <w:proofErr w:type="gramStart"/>
      <w:r w:rsidRPr="000D5F03">
        <w:rPr>
          <w:rFonts w:ascii="Times New Roman" w:hAnsi="Times New Roman"/>
          <w:sz w:val="24"/>
          <w:szCs w:val="24"/>
          <w:lang w:val="en-US" w:eastAsia="en-ZA"/>
        </w:rPr>
        <w:t>The organization has carefully examined its structure and operating model, it has recognized that the ratio of core to support staff is not desirable an</w:t>
      </w:r>
      <w:r w:rsidR="00940B17" w:rsidRPr="000D5F03">
        <w:rPr>
          <w:rFonts w:ascii="Times New Roman" w:hAnsi="Times New Roman"/>
          <w:sz w:val="24"/>
          <w:szCs w:val="24"/>
          <w:lang w:val="en-US" w:eastAsia="en-ZA"/>
        </w:rPr>
        <w:t>d</w:t>
      </w:r>
      <w:r w:rsidRPr="000D5F03">
        <w:rPr>
          <w:rFonts w:ascii="Times New Roman" w:hAnsi="Times New Roman"/>
          <w:sz w:val="24"/>
          <w:szCs w:val="24"/>
          <w:lang w:val="en-US" w:eastAsia="en-ZA"/>
        </w:rPr>
        <w:t xml:space="preserve"> inconsistent with a mandate of a scientific institution, furthermore the exercise also revealed that the organization will have to be more responsive to the requirements of the industry as articulated by the industry as opposed to product development approach which purport to understand the industry and its needs.</w:t>
      </w:r>
      <w:proofErr w:type="gramEnd"/>
    </w:p>
    <w:p w14:paraId="2841AFDB" w14:textId="5ACAD383" w:rsidR="00DE6134" w:rsidRDefault="00DE6134" w:rsidP="000D5F03">
      <w:pPr>
        <w:spacing w:line="360" w:lineRule="auto"/>
        <w:jc w:val="both"/>
        <w:rPr>
          <w:rFonts w:ascii="Times New Roman" w:hAnsi="Times New Roman"/>
          <w:sz w:val="24"/>
          <w:szCs w:val="24"/>
          <w:lang w:val="en-US" w:eastAsia="en-ZA"/>
        </w:rPr>
      </w:pPr>
    </w:p>
    <w:p w14:paraId="3221262D" w14:textId="6BCA5BF9" w:rsidR="000D5F03" w:rsidRDefault="000D5F03" w:rsidP="000D5F03">
      <w:pPr>
        <w:spacing w:line="360" w:lineRule="auto"/>
        <w:jc w:val="both"/>
        <w:rPr>
          <w:rFonts w:ascii="Times New Roman" w:hAnsi="Times New Roman"/>
          <w:sz w:val="24"/>
          <w:szCs w:val="24"/>
          <w:lang w:val="en-US" w:eastAsia="en-ZA"/>
        </w:rPr>
      </w:pPr>
    </w:p>
    <w:p w14:paraId="4D3755FE" w14:textId="77777777" w:rsidR="000D5F03" w:rsidRPr="000D5F03" w:rsidRDefault="000D5F03" w:rsidP="000D5F03">
      <w:pPr>
        <w:spacing w:line="360" w:lineRule="auto"/>
        <w:jc w:val="both"/>
        <w:rPr>
          <w:rFonts w:ascii="Times New Roman" w:hAnsi="Times New Roman"/>
          <w:sz w:val="24"/>
          <w:szCs w:val="24"/>
          <w:lang w:val="en-US" w:eastAsia="en-ZA"/>
        </w:rPr>
      </w:pPr>
    </w:p>
    <w:p w14:paraId="7B042AD7" w14:textId="6072E4EE" w:rsidR="00DE6134" w:rsidRPr="000D5F03" w:rsidRDefault="00BA5EA4" w:rsidP="000D5F03">
      <w:pPr>
        <w:spacing w:line="360" w:lineRule="auto"/>
        <w:jc w:val="both"/>
        <w:rPr>
          <w:rFonts w:ascii="Times New Roman" w:hAnsi="Times New Roman"/>
          <w:b/>
          <w:bCs/>
          <w:sz w:val="24"/>
          <w:szCs w:val="24"/>
          <w:lang w:val="en-US" w:eastAsia="en-ZA"/>
        </w:rPr>
      </w:pPr>
      <w:r w:rsidRPr="000D5F03">
        <w:rPr>
          <w:rFonts w:ascii="Times New Roman" w:hAnsi="Times New Roman"/>
          <w:b/>
          <w:bCs/>
          <w:sz w:val="24"/>
          <w:szCs w:val="24"/>
          <w:lang w:val="en-US" w:eastAsia="en-ZA"/>
        </w:rPr>
        <w:t>6.7</w:t>
      </w:r>
      <w:r w:rsidRPr="000D5F03">
        <w:rPr>
          <w:rFonts w:ascii="Times New Roman" w:hAnsi="Times New Roman"/>
          <w:b/>
          <w:bCs/>
          <w:sz w:val="24"/>
          <w:szCs w:val="24"/>
          <w:lang w:val="en-US" w:eastAsia="en-ZA"/>
        </w:rPr>
        <w:tab/>
      </w:r>
      <w:r w:rsidR="00DE6134" w:rsidRPr="000D5F03">
        <w:rPr>
          <w:rFonts w:ascii="Times New Roman" w:hAnsi="Times New Roman"/>
          <w:b/>
          <w:bCs/>
          <w:sz w:val="24"/>
          <w:szCs w:val="24"/>
          <w:lang w:val="en-US" w:eastAsia="en-ZA"/>
        </w:rPr>
        <w:t>Mine Health and Safety Council (MHSC).</w:t>
      </w:r>
    </w:p>
    <w:p w14:paraId="2334EE56" w14:textId="77777777" w:rsidR="00DE6134" w:rsidRPr="000D5F03" w:rsidRDefault="00DE6134" w:rsidP="000D5F03">
      <w:pPr>
        <w:spacing w:line="360" w:lineRule="auto"/>
        <w:jc w:val="both"/>
        <w:rPr>
          <w:rFonts w:ascii="Times New Roman" w:hAnsi="Times New Roman"/>
          <w:sz w:val="24"/>
          <w:szCs w:val="24"/>
          <w:lang w:val="en-US" w:eastAsia="en-ZA"/>
        </w:rPr>
      </w:pPr>
    </w:p>
    <w:p w14:paraId="69EC627A" w14:textId="03F218FB" w:rsidR="00DE6134" w:rsidRPr="000D5F03" w:rsidRDefault="00DE6134" w:rsidP="000D5F03">
      <w:pPr>
        <w:spacing w:line="360" w:lineRule="auto"/>
        <w:jc w:val="both"/>
        <w:rPr>
          <w:rFonts w:ascii="Times New Roman" w:hAnsi="Times New Roman"/>
          <w:sz w:val="24"/>
          <w:szCs w:val="24"/>
          <w:lang w:val="en-US" w:eastAsia="en-ZA"/>
        </w:rPr>
      </w:pPr>
      <w:r w:rsidRPr="000D5F03">
        <w:rPr>
          <w:rFonts w:ascii="Times New Roman" w:hAnsi="Times New Roman"/>
          <w:sz w:val="24"/>
          <w:szCs w:val="24"/>
          <w:lang w:val="en-US" w:eastAsia="en-ZA"/>
        </w:rPr>
        <w:t>The Mine Health and Safety Council is appointed by the Minister of the DMRE in accordance with provisions of Section 4 of the Mine Health and Safety Act (Act No. 29 of 1996), the council submits its statutory reports to the Minister for approval as legislated by the PFMA. The entity obtained an unqualified audit with findings from the Auditor General during the year under review. During the year under review the Council incurred a deficit of R 22</w:t>
      </w:r>
      <w:proofErr w:type="gramStart"/>
      <w:r w:rsidRPr="000D5F03">
        <w:rPr>
          <w:rFonts w:ascii="Times New Roman" w:hAnsi="Times New Roman"/>
          <w:sz w:val="24"/>
          <w:szCs w:val="24"/>
          <w:lang w:val="en-US" w:eastAsia="en-ZA"/>
        </w:rPr>
        <w:t>,64</w:t>
      </w:r>
      <w:proofErr w:type="gramEnd"/>
      <w:r w:rsidRPr="000D5F03">
        <w:rPr>
          <w:rFonts w:ascii="Times New Roman" w:hAnsi="Times New Roman"/>
          <w:sz w:val="24"/>
          <w:szCs w:val="24"/>
          <w:lang w:val="en-US" w:eastAsia="en-ZA"/>
        </w:rPr>
        <w:t xml:space="preserve"> from its operating activities, this was worse than the previous year financial loss of R 11, 76 million. Significant escalation in personnel and travelling costs while research costs moving in the opposite direction have contributed to the negative financial outcome as the entity continue to build its human resources and institutional capacity in order to be able to deliver to improved health and safety outcome</w:t>
      </w:r>
      <w:r w:rsidR="00940B17" w:rsidRPr="000D5F03">
        <w:rPr>
          <w:rFonts w:ascii="Times New Roman" w:hAnsi="Times New Roman"/>
          <w:sz w:val="24"/>
          <w:szCs w:val="24"/>
          <w:lang w:val="en-US" w:eastAsia="en-ZA"/>
        </w:rPr>
        <w:t>s</w:t>
      </w:r>
      <w:r w:rsidRPr="000D5F03">
        <w:rPr>
          <w:rFonts w:ascii="Times New Roman" w:hAnsi="Times New Roman"/>
          <w:sz w:val="24"/>
          <w:szCs w:val="24"/>
          <w:lang w:val="en-US" w:eastAsia="en-ZA"/>
        </w:rPr>
        <w:t xml:space="preserve"> in the industry going forward. However, the Council compared to other entities is in a better position to cope with negative financial performance given the amount of </w:t>
      </w:r>
      <w:proofErr w:type="gramStart"/>
      <w:r w:rsidRPr="000D5F03">
        <w:rPr>
          <w:rFonts w:ascii="Times New Roman" w:hAnsi="Times New Roman"/>
          <w:sz w:val="24"/>
          <w:szCs w:val="24"/>
          <w:lang w:val="en-US" w:eastAsia="en-ZA"/>
        </w:rPr>
        <w:t>reserves which</w:t>
      </w:r>
      <w:proofErr w:type="gramEnd"/>
      <w:r w:rsidRPr="000D5F03">
        <w:rPr>
          <w:rFonts w:ascii="Times New Roman" w:hAnsi="Times New Roman"/>
          <w:sz w:val="24"/>
          <w:szCs w:val="24"/>
          <w:lang w:val="en-US" w:eastAsia="en-ZA"/>
        </w:rPr>
        <w:t xml:space="preserve"> had been accumulated over the years.</w:t>
      </w:r>
    </w:p>
    <w:p w14:paraId="522C7CE3" w14:textId="77777777" w:rsidR="00DE6134" w:rsidRPr="000D5F03" w:rsidRDefault="00DE6134" w:rsidP="000D5F03">
      <w:pPr>
        <w:spacing w:line="360" w:lineRule="auto"/>
        <w:jc w:val="both"/>
        <w:rPr>
          <w:rFonts w:ascii="Times New Roman" w:hAnsi="Times New Roman"/>
          <w:sz w:val="24"/>
          <w:szCs w:val="24"/>
          <w:lang w:eastAsia="en-ZA"/>
        </w:rPr>
      </w:pPr>
    </w:p>
    <w:p w14:paraId="19C77C92" w14:textId="77777777" w:rsidR="00703321" w:rsidRPr="000D5F03" w:rsidRDefault="00703321" w:rsidP="000D5F03">
      <w:pPr>
        <w:spacing w:line="360" w:lineRule="auto"/>
        <w:rPr>
          <w:rFonts w:ascii="Times New Roman" w:hAnsi="Times New Roman"/>
          <w:sz w:val="24"/>
          <w:szCs w:val="24"/>
        </w:rPr>
      </w:pPr>
    </w:p>
    <w:p w14:paraId="1502A325" w14:textId="77777777" w:rsidR="00855997" w:rsidRPr="000D5F03" w:rsidRDefault="00855997" w:rsidP="000D5F03">
      <w:pPr>
        <w:suppressAutoHyphens w:val="0"/>
        <w:autoSpaceDN/>
        <w:spacing w:line="360" w:lineRule="auto"/>
        <w:jc w:val="both"/>
        <w:textAlignment w:val="auto"/>
        <w:rPr>
          <w:rFonts w:ascii="Times New Roman" w:hAnsi="Times New Roman"/>
          <w:sz w:val="24"/>
          <w:szCs w:val="24"/>
        </w:rPr>
      </w:pPr>
    </w:p>
    <w:p w14:paraId="21396C1B" w14:textId="77777777" w:rsidR="00DA3773" w:rsidRPr="000D5F03" w:rsidRDefault="00DA3773" w:rsidP="000D5F03">
      <w:pPr>
        <w:spacing w:line="360" w:lineRule="auto"/>
        <w:jc w:val="both"/>
        <w:rPr>
          <w:rFonts w:ascii="Times New Roman" w:hAnsi="Times New Roman"/>
          <w:sz w:val="24"/>
          <w:szCs w:val="24"/>
          <w:lang w:val="en-US"/>
        </w:rPr>
      </w:pPr>
    </w:p>
    <w:p w14:paraId="32F4FAFC" w14:textId="77777777" w:rsidR="009E10FE" w:rsidRPr="000D5F03" w:rsidRDefault="009E10FE" w:rsidP="000D5F03">
      <w:pPr>
        <w:spacing w:line="360" w:lineRule="auto"/>
        <w:jc w:val="both"/>
        <w:rPr>
          <w:rFonts w:ascii="Times New Roman" w:hAnsi="Times New Roman"/>
          <w:sz w:val="24"/>
          <w:szCs w:val="24"/>
          <w:lang w:val="en-US"/>
        </w:rPr>
      </w:pPr>
    </w:p>
    <w:p w14:paraId="3540EB4A" w14:textId="77777777" w:rsidR="009E10FE" w:rsidRPr="000D5F03" w:rsidRDefault="00FA30B6" w:rsidP="000D5F03">
      <w:pPr>
        <w:pStyle w:val="ListParagraph"/>
        <w:keepNext/>
        <w:keepLines/>
        <w:pageBreakBefore/>
        <w:numPr>
          <w:ilvl w:val="0"/>
          <w:numId w:val="16"/>
        </w:numPr>
        <w:suppressAutoHyphens w:val="0"/>
        <w:autoSpaceDN/>
        <w:spacing w:line="360" w:lineRule="auto"/>
        <w:ind w:hanging="720"/>
        <w:contextualSpacing/>
        <w:jc w:val="both"/>
        <w:textAlignment w:val="auto"/>
        <w:rPr>
          <w:rFonts w:ascii="Times New Roman" w:hAnsi="Times New Roman"/>
          <w:b/>
          <w:caps/>
          <w:sz w:val="24"/>
          <w:szCs w:val="24"/>
          <w:u w:val="single"/>
        </w:rPr>
      </w:pPr>
      <w:r w:rsidRPr="000D5F03">
        <w:rPr>
          <w:rFonts w:ascii="Times New Roman" w:hAnsi="Times New Roman"/>
          <w:b/>
          <w:caps/>
          <w:sz w:val="24"/>
          <w:szCs w:val="24"/>
          <w:u w:val="single"/>
        </w:rPr>
        <w:t>S</w:t>
      </w:r>
      <w:r w:rsidR="009E10FE" w:rsidRPr="000D5F03">
        <w:rPr>
          <w:rFonts w:ascii="Times New Roman" w:hAnsi="Times New Roman"/>
          <w:b/>
          <w:caps/>
          <w:sz w:val="24"/>
          <w:szCs w:val="24"/>
          <w:u w:val="single"/>
        </w:rPr>
        <w:t>UMMARY OF PREVIOUS KEY COMMITTEE RECOMMENDATIONS</w:t>
      </w:r>
    </w:p>
    <w:p w14:paraId="168F56B1" w14:textId="77777777" w:rsidR="009E10FE" w:rsidRPr="000D5F03" w:rsidRDefault="009E10FE" w:rsidP="000D5F03">
      <w:pPr>
        <w:pStyle w:val="ListParagraph"/>
        <w:spacing w:line="360" w:lineRule="auto"/>
        <w:ind w:left="360"/>
        <w:jc w:val="both"/>
        <w:rPr>
          <w:rFonts w:ascii="Times New Roman" w:hAnsi="Times New Roman"/>
          <w:sz w:val="24"/>
          <w:szCs w:val="24"/>
          <w:lang w:val="en-US"/>
        </w:rPr>
      </w:pPr>
    </w:p>
    <w:p w14:paraId="13FD91DB" w14:textId="58C8D0CF" w:rsidR="009E10FE" w:rsidRPr="000D5F03" w:rsidRDefault="009E10FE" w:rsidP="000D5F03">
      <w:pPr>
        <w:keepNext/>
        <w:keepLines/>
        <w:numPr>
          <w:ilvl w:val="1"/>
          <w:numId w:val="12"/>
        </w:numPr>
        <w:suppressAutoHyphens w:val="0"/>
        <w:autoSpaceDN/>
        <w:spacing w:line="360" w:lineRule="auto"/>
        <w:ind w:left="284" w:hanging="284"/>
        <w:textAlignment w:val="auto"/>
        <w:rPr>
          <w:rFonts w:ascii="Times New Roman" w:hAnsi="Times New Roman"/>
          <w:b/>
          <w:sz w:val="24"/>
          <w:szCs w:val="24"/>
        </w:rPr>
      </w:pPr>
      <w:r w:rsidRPr="000D5F03">
        <w:rPr>
          <w:rFonts w:ascii="Times New Roman" w:hAnsi="Times New Roman"/>
          <w:b/>
          <w:sz w:val="24"/>
          <w:szCs w:val="24"/>
          <w:lang w:val="en-US"/>
        </w:rPr>
        <w:t xml:space="preserve"> </w:t>
      </w:r>
      <w:r w:rsidR="001C4FBB" w:rsidRPr="000D5F03">
        <w:rPr>
          <w:rFonts w:ascii="Times New Roman" w:hAnsi="Times New Roman"/>
          <w:b/>
          <w:sz w:val="24"/>
          <w:szCs w:val="24"/>
        </w:rPr>
        <w:t>201</w:t>
      </w:r>
      <w:r w:rsidR="00826682" w:rsidRPr="000D5F03">
        <w:rPr>
          <w:rFonts w:ascii="Times New Roman" w:hAnsi="Times New Roman"/>
          <w:b/>
          <w:sz w:val="24"/>
          <w:szCs w:val="24"/>
        </w:rPr>
        <w:t>8</w:t>
      </w:r>
      <w:r w:rsidR="001C4FBB" w:rsidRPr="000D5F03">
        <w:rPr>
          <w:rFonts w:ascii="Times New Roman" w:hAnsi="Times New Roman"/>
          <w:b/>
          <w:sz w:val="24"/>
          <w:szCs w:val="24"/>
        </w:rPr>
        <w:t>/1</w:t>
      </w:r>
      <w:r w:rsidR="00826682" w:rsidRPr="000D5F03">
        <w:rPr>
          <w:rFonts w:ascii="Times New Roman" w:hAnsi="Times New Roman"/>
          <w:b/>
          <w:sz w:val="24"/>
          <w:szCs w:val="24"/>
        </w:rPr>
        <w:t>9</w:t>
      </w:r>
      <w:r w:rsidRPr="000D5F03">
        <w:rPr>
          <w:rFonts w:ascii="Times New Roman" w:hAnsi="Times New Roman"/>
          <w:b/>
          <w:sz w:val="24"/>
          <w:szCs w:val="24"/>
        </w:rPr>
        <w:t xml:space="preserve"> BRRR recommendations and responses</w:t>
      </w:r>
    </w:p>
    <w:p w14:paraId="01D131F7" w14:textId="77777777" w:rsidR="009E10FE" w:rsidRPr="000D5F03" w:rsidRDefault="009E10FE" w:rsidP="000D5F03">
      <w:pPr>
        <w:keepNext/>
        <w:keepLines/>
        <w:spacing w:line="360" w:lineRule="auto"/>
        <w:rPr>
          <w:rFonts w:ascii="Times New Roman" w:hAnsi="Times New Roman"/>
          <w:b/>
          <w:sz w:val="24"/>
          <w:szCs w:val="24"/>
        </w:rPr>
      </w:pPr>
    </w:p>
    <w:p w14:paraId="51767512" w14:textId="69E98315" w:rsidR="009E10FE" w:rsidRPr="000D5F03" w:rsidRDefault="009E10FE" w:rsidP="000D5F03">
      <w:pPr>
        <w:pStyle w:val="ListParagraph"/>
        <w:spacing w:line="360" w:lineRule="auto"/>
        <w:ind w:left="360"/>
        <w:jc w:val="both"/>
        <w:rPr>
          <w:rFonts w:ascii="Times New Roman" w:hAnsi="Times New Roman"/>
          <w:b/>
          <w:sz w:val="24"/>
          <w:szCs w:val="24"/>
        </w:rPr>
      </w:pPr>
      <w:r w:rsidRPr="000D5F03">
        <w:rPr>
          <w:rFonts w:ascii="Times New Roman" w:hAnsi="Times New Roman"/>
          <w:b/>
          <w:sz w:val="24"/>
          <w:szCs w:val="24"/>
        </w:rPr>
        <w:t>The Committee made the following recommendatio</w:t>
      </w:r>
      <w:r w:rsidR="00EE4A9D" w:rsidRPr="000D5F03">
        <w:rPr>
          <w:rFonts w:ascii="Times New Roman" w:hAnsi="Times New Roman"/>
          <w:b/>
          <w:sz w:val="24"/>
          <w:szCs w:val="24"/>
        </w:rPr>
        <w:t>ns to the Department in the 201</w:t>
      </w:r>
      <w:r w:rsidR="00826682" w:rsidRPr="000D5F03">
        <w:rPr>
          <w:rFonts w:ascii="Times New Roman" w:hAnsi="Times New Roman"/>
          <w:b/>
          <w:sz w:val="24"/>
          <w:szCs w:val="24"/>
        </w:rPr>
        <w:t>8</w:t>
      </w:r>
      <w:r w:rsidRPr="000D5F03">
        <w:rPr>
          <w:rFonts w:ascii="Times New Roman" w:hAnsi="Times New Roman"/>
          <w:b/>
          <w:sz w:val="24"/>
          <w:szCs w:val="24"/>
        </w:rPr>
        <w:t xml:space="preserve"> B</w:t>
      </w:r>
      <w:r w:rsidR="00826682" w:rsidRPr="000D5F03">
        <w:rPr>
          <w:rFonts w:ascii="Times New Roman" w:hAnsi="Times New Roman"/>
          <w:b/>
          <w:sz w:val="24"/>
          <w:szCs w:val="24"/>
        </w:rPr>
        <w:t>RRR</w:t>
      </w:r>
      <w:r w:rsidRPr="000D5F03">
        <w:rPr>
          <w:rFonts w:ascii="Times New Roman" w:hAnsi="Times New Roman"/>
          <w:b/>
          <w:sz w:val="24"/>
          <w:szCs w:val="24"/>
        </w:rPr>
        <w:t xml:space="preserve"> Report:</w:t>
      </w:r>
    </w:p>
    <w:p w14:paraId="4876110D" w14:textId="77777777" w:rsidR="00FA2569" w:rsidRPr="000D5F03" w:rsidRDefault="00FA2569" w:rsidP="000D5F03">
      <w:pPr>
        <w:pStyle w:val="ListParagraph"/>
        <w:spacing w:line="360" w:lineRule="auto"/>
        <w:ind w:left="360"/>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5098"/>
        <w:gridCol w:w="4111"/>
      </w:tblGrid>
      <w:tr w:rsidR="00FA2569" w:rsidRPr="000D5F03" w14:paraId="6DEE9CF0" w14:textId="77777777" w:rsidTr="00530F13">
        <w:trPr>
          <w:tblHeader/>
        </w:trPr>
        <w:tc>
          <w:tcPr>
            <w:tcW w:w="5098" w:type="dxa"/>
          </w:tcPr>
          <w:p w14:paraId="74790493" w14:textId="77777777" w:rsidR="00FA2569" w:rsidRPr="000D5F03" w:rsidRDefault="00FA2569" w:rsidP="000D5F03">
            <w:pPr>
              <w:spacing w:line="360" w:lineRule="auto"/>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201</w:t>
            </w:r>
            <w:r w:rsidR="00EA0C22" w:rsidRPr="000D5F03">
              <w:rPr>
                <w:rFonts w:ascii="Times New Roman" w:hAnsi="Times New Roman" w:cs="Times New Roman"/>
                <w:b/>
                <w:color w:val="001F00"/>
                <w:sz w:val="24"/>
                <w:szCs w:val="24"/>
              </w:rPr>
              <w:t>8</w:t>
            </w:r>
            <w:r w:rsidRPr="000D5F03">
              <w:rPr>
                <w:rFonts w:ascii="Times New Roman" w:hAnsi="Times New Roman" w:cs="Times New Roman"/>
                <w:b/>
                <w:color w:val="001F00"/>
                <w:sz w:val="24"/>
                <w:szCs w:val="24"/>
              </w:rPr>
              <w:t xml:space="preserve"> BRRR Recommendations</w:t>
            </w:r>
          </w:p>
        </w:tc>
        <w:tc>
          <w:tcPr>
            <w:tcW w:w="4111" w:type="dxa"/>
          </w:tcPr>
          <w:p w14:paraId="61B167F9" w14:textId="77777777" w:rsidR="00FA2569" w:rsidRPr="000D5F03" w:rsidRDefault="00FA2569" w:rsidP="000D5F03">
            <w:pPr>
              <w:spacing w:line="360" w:lineRule="auto"/>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Response</w:t>
            </w:r>
          </w:p>
        </w:tc>
      </w:tr>
      <w:tr w:rsidR="00FA2569" w:rsidRPr="000D5F03" w14:paraId="71C67540" w14:textId="77777777" w:rsidTr="00530F13">
        <w:tc>
          <w:tcPr>
            <w:tcW w:w="5098" w:type="dxa"/>
          </w:tcPr>
          <w:p w14:paraId="1A231265" w14:textId="484ED468" w:rsidR="00FA2569" w:rsidRPr="000D5F03" w:rsidRDefault="003205C9" w:rsidP="000D5F03">
            <w:pPr>
              <w:spacing w:line="360" w:lineRule="auto"/>
              <w:jc w:val="both"/>
              <w:rPr>
                <w:rFonts w:ascii="Times New Roman" w:hAnsi="Times New Roman" w:cs="Times New Roman"/>
                <w:sz w:val="24"/>
                <w:szCs w:val="24"/>
              </w:rPr>
            </w:pPr>
            <w:r w:rsidRPr="000D5F03">
              <w:rPr>
                <w:rFonts w:ascii="Times New Roman" w:hAnsi="Times New Roman" w:cs="Times New Roman"/>
                <w:color w:val="001F00"/>
                <w:sz w:val="24"/>
                <w:szCs w:val="24"/>
              </w:rPr>
              <w:t>The DMR should fully respond to previous BRR Reports recommendations and provide explanation where a response is not available</w:t>
            </w:r>
            <w:r w:rsidR="00097D13" w:rsidRPr="000D5F03">
              <w:rPr>
                <w:rFonts w:ascii="Times New Roman" w:hAnsi="Times New Roman" w:cs="Times New Roman"/>
                <w:color w:val="001F00"/>
                <w:sz w:val="24"/>
                <w:szCs w:val="24"/>
              </w:rPr>
              <w:t>.</w:t>
            </w:r>
          </w:p>
        </w:tc>
        <w:tc>
          <w:tcPr>
            <w:tcW w:w="4111" w:type="dxa"/>
          </w:tcPr>
          <w:p w14:paraId="4E857AD7" w14:textId="16BCEEE3" w:rsidR="00FA2569" w:rsidRPr="000D5F03" w:rsidRDefault="00097D13" w:rsidP="000D5F03">
            <w:pPr>
              <w:spacing w:line="360" w:lineRule="auto"/>
              <w:jc w:val="both"/>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Achieved</w:t>
            </w:r>
          </w:p>
        </w:tc>
      </w:tr>
      <w:tr w:rsidR="003205C9" w:rsidRPr="000D5F03" w14:paraId="662B0565" w14:textId="77777777" w:rsidTr="00530F13">
        <w:tc>
          <w:tcPr>
            <w:tcW w:w="5098" w:type="dxa"/>
          </w:tcPr>
          <w:p w14:paraId="6F7A3CB2" w14:textId="1C8F80D9" w:rsidR="003205C9" w:rsidRPr="000D5F03" w:rsidRDefault="003205C9" w:rsidP="000D5F03">
            <w:pPr>
              <w:spacing w:line="360" w:lineRule="auto"/>
              <w:rPr>
                <w:rFonts w:ascii="Times New Roman" w:hAnsi="Times New Roman" w:cs="Times New Roman"/>
                <w:sz w:val="24"/>
                <w:szCs w:val="24"/>
              </w:rPr>
            </w:pPr>
            <w:r w:rsidRPr="000D5F03">
              <w:rPr>
                <w:rFonts w:ascii="Times New Roman" w:hAnsi="Times New Roman" w:cs="Times New Roman"/>
                <w:color w:val="001F00"/>
                <w:sz w:val="24"/>
                <w:szCs w:val="24"/>
              </w:rPr>
              <w:t>The DMR should devise a strategy to deal with the reopening of closed parts of operations, in order to address safety issues associated with unused old shafts becoming operational</w:t>
            </w:r>
            <w:r w:rsidR="00097D13" w:rsidRPr="000D5F03">
              <w:rPr>
                <w:rFonts w:ascii="Times New Roman" w:hAnsi="Times New Roman" w:cs="Times New Roman"/>
                <w:color w:val="001F00"/>
                <w:sz w:val="24"/>
                <w:szCs w:val="24"/>
              </w:rPr>
              <w:t>.</w:t>
            </w:r>
          </w:p>
        </w:tc>
        <w:tc>
          <w:tcPr>
            <w:tcW w:w="4111" w:type="dxa"/>
          </w:tcPr>
          <w:p w14:paraId="3F777E09" w14:textId="5AAB562F" w:rsidR="003205C9" w:rsidRPr="000D5F03" w:rsidRDefault="00097D13" w:rsidP="000D5F03">
            <w:pPr>
              <w:spacing w:line="360" w:lineRule="auto"/>
              <w:jc w:val="both"/>
              <w:rPr>
                <w:rFonts w:ascii="Times New Roman" w:eastAsia="Times New Roman" w:hAnsi="Times New Roman" w:cs="Times New Roman"/>
                <w:b/>
                <w:color w:val="001F00"/>
                <w:sz w:val="24"/>
                <w:szCs w:val="24"/>
              </w:rPr>
            </w:pPr>
            <w:r w:rsidRPr="000D5F03">
              <w:rPr>
                <w:rFonts w:ascii="Times New Roman" w:eastAsia="Times New Roman" w:hAnsi="Times New Roman" w:cs="Times New Roman"/>
                <w:b/>
                <w:color w:val="001F00"/>
                <w:sz w:val="24"/>
                <w:szCs w:val="24"/>
              </w:rPr>
              <w:t>Achieved.</w:t>
            </w:r>
          </w:p>
        </w:tc>
      </w:tr>
      <w:tr w:rsidR="003205C9" w:rsidRPr="000D5F03" w14:paraId="642DEB12" w14:textId="77777777" w:rsidTr="00530F13">
        <w:tc>
          <w:tcPr>
            <w:tcW w:w="5098" w:type="dxa"/>
          </w:tcPr>
          <w:p w14:paraId="547BA5ED" w14:textId="79DF2CA6" w:rsidR="003205C9" w:rsidRPr="000D5F03" w:rsidRDefault="003205C9"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The DMR should provide the Committee with its legislative agenda between now and the end of the 5th parliament as to enable the committee to finalize its programme for the remainder of the term.</w:t>
            </w:r>
          </w:p>
        </w:tc>
        <w:tc>
          <w:tcPr>
            <w:tcW w:w="4111" w:type="dxa"/>
          </w:tcPr>
          <w:p w14:paraId="26995A67" w14:textId="6B250B57" w:rsidR="003205C9" w:rsidRPr="000D5F03" w:rsidRDefault="00097D13" w:rsidP="000D5F03">
            <w:pPr>
              <w:spacing w:line="360" w:lineRule="auto"/>
              <w:jc w:val="both"/>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Achieved</w:t>
            </w:r>
          </w:p>
        </w:tc>
      </w:tr>
      <w:tr w:rsidR="003205C9" w:rsidRPr="000D5F03" w14:paraId="0B8045E2" w14:textId="77777777" w:rsidTr="00530F13">
        <w:tc>
          <w:tcPr>
            <w:tcW w:w="5098" w:type="dxa"/>
          </w:tcPr>
          <w:p w14:paraId="25433550" w14:textId="526234C6" w:rsidR="003205C9" w:rsidRPr="000D5F03" w:rsidRDefault="003205C9"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The DMR should make accident enquiry/investigation reports available to the PCMR</w:t>
            </w:r>
            <w:r w:rsidR="00097D13" w:rsidRPr="000D5F03">
              <w:rPr>
                <w:rFonts w:ascii="Times New Roman" w:hAnsi="Times New Roman" w:cs="Times New Roman"/>
                <w:color w:val="001F00"/>
                <w:sz w:val="24"/>
                <w:szCs w:val="24"/>
              </w:rPr>
              <w:t>.</w:t>
            </w:r>
          </w:p>
        </w:tc>
        <w:tc>
          <w:tcPr>
            <w:tcW w:w="4111" w:type="dxa"/>
          </w:tcPr>
          <w:p w14:paraId="1E610818" w14:textId="68609FA2" w:rsidR="003205C9" w:rsidRPr="000D5F03" w:rsidRDefault="00097D13" w:rsidP="000D5F03">
            <w:pPr>
              <w:spacing w:line="360" w:lineRule="auto"/>
              <w:jc w:val="both"/>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Pending</w:t>
            </w:r>
          </w:p>
        </w:tc>
      </w:tr>
      <w:tr w:rsidR="003205C9" w:rsidRPr="000D5F03" w14:paraId="0485949B" w14:textId="77777777" w:rsidTr="00530F13">
        <w:tc>
          <w:tcPr>
            <w:tcW w:w="5098" w:type="dxa"/>
          </w:tcPr>
          <w:p w14:paraId="183E1055" w14:textId="4ACF060C" w:rsidR="003205C9" w:rsidRPr="000D5F03" w:rsidRDefault="003205C9" w:rsidP="000D5F03">
            <w:pPr>
              <w:spacing w:line="360" w:lineRule="auto"/>
              <w:jc w:val="both"/>
              <w:rPr>
                <w:rFonts w:ascii="Times New Roman" w:hAnsi="Times New Roman" w:cs="Times New Roman"/>
                <w:sz w:val="24"/>
                <w:szCs w:val="24"/>
              </w:rPr>
            </w:pPr>
            <w:r w:rsidRPr="000D5F03">
              <w:rPr>
                <w:rFonts w:ascii="Times New Roman" w:hAnsi="Times New Roman" w:cs="Times New Roman"/>
                <w:sz w:val="24"/>
                <w:szCs w:val="24"/>
              </w:rPr>
              <w:t xml:space="preserve">The monitoring of the One Environmental System for mining requires a comprehensive annual report that includes </w:t>
            </w:r>
            <w:r w:rsidRPr="000D5F03">
              <w:rPr>
                <w:rFonts w:ascii="Times New Roman" w:hAnsi="Times New Roman" w:cs="Times New Roman"/>
                <w:sz w:val="24"/>
                <w:szCs w:val="24"/>
                <w:lang w:val="en-ZA"/>
              </w:rPr>
              <w:t>a formalised report on the work and challenges of the Environmental Mineral Resource Inspectorate</w:t>
            </w:r>
          </w:p>
        </w:tc>
        <w:tc>
          <w:tcPr>
            <w:tcW w:w="4111" w:type="dxa"/>
          </w:tcPr>
          <w:p w14:paraId="2005406F" w14:textId="6CCD54ED" w:rsidR="003205C9" w:rsidRPr="000D5F03" w:rsidRDefault="00097D13" w:rsidP="000D5F03">
            <w:pPr>
              <w:spacing w:line="360" w:lineRule="auto"/>
              <w:jc w:val="both"/>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Pending</w:t>
            </w:r>
          </w:p>
        </w:tc>
      </w:tr>
      <w:tr w:rsidR="003205C9" w:rsidRPr="000D5F03" w14:paraId="7EBBA027" w14:textId="77777777" w:rsidTr="00530F13">
        <w:trPr>
          <w:trHeight w:val="1241"/>
        </w:trPr>
        <w:tc>
          <w:tcPr>
            <w:tcW w:w="5098" w:type="dxa"/>
          </w:tcPr>
          <w:p w14:paraId="62DBE594" w14:textId="2662FC8B" w:rsidR="003205C9" w:rsidRPr="000D5F03" w:rsidRDefault="003205C9" w:rsidP="000D5F03">
            <w:pPr>
              <w:spacing w:line="360" w:lineRule="auto"/>
              <w:jc w:val="both"/>
              <w:rPr>
                <w:rFonts w:ascii="Times New Roman" w:hAnsi="Times New Roman" w:cs="Times New Roman"/>
                <w:sz w:val="24"/>
                <w:szCs w:val="24"/>
              </w:rPr>
            </w:pPr>
            <w:r w:rsidRPr="000D5F03">
              <w:rPr>
                <w:rFonts w:ascii="Times New Roman" w:hAnsi="Times New Roman" w:cs="Times New Roman"/>
                <w:sz w:val="24"/>
                <w:szCs w:val="24"/>
              </w:rPr>
              <w:t>SADPMR urgently needs a full time, permanent CEO and CFO.</w:t>
            </w:r>
          </w:p>
        </w:tc>
        <w:tc>
          <w:tcPr>
            <w:tcW w:w="4111" w:type="dxa"/>
          </w:tcPr>
          <w:p w14:paraId="29034D5D" w14:textId="43FB3519" w:rsidR="003205C9" w:rsidRPr="000D5F03" w:rsidRDefault="003205C9" w:rsidP="000D5F03">
            <w:pPr>
              <w:spacing w:line="360" w:lineRule="auto"/>
              <w:jc w:val="both"/>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 xml:space="preserve">Both post have been </w:t>
            </w:r>
            <w:proofErr w:type="gramStart"/>
            <w:r w:rsidRPr="000D5F03">
              <w:rPr>
                <w:rFonts w:ascii="Times New Roman" w:hAnsi="Times New Roman" w:cs="Times New Roman"/>
                <w:b/>
                <w:color w:val="001F00"/>
                <w:sz w:val="24"/>
                <w:szCs w:val="24"/>
              </w:rPr>
              <w:t>filled .</w:t>
            </w:r>
            <w:proofErr w:type="gramEnd"/>
          </w:p>
        </w:tc>
      </w:tr>
      <w:tr w:rsidR="003205C9" w:rsidRPr="000D5F03" w14:paraId="3A79493D" w14:textId="77777777" w:rsidTr="00530F13">
        <w:tc>
          <w:tcPr>
            <w:tcW w:w="5098" w:type="dxa"/>
          </w:tcPr>
          <w:p w14:paraId="24CA36F2" w14:textId="60342BCC" w:rsidR="003205C9" w:rsidRPr="000D5F03" w:rsidRDefault="003205C9" w:rsidP="000D5F03">
            <w:pPr>
              <w:spacing w:line="360" w:lineRule="auto"/>
              <w:jc w:val="both"/>
              <w:rPr>
                <w:rFonts w:ascii="Times New Roman" w:hAnsi="Times New Roman" w:cs="Times New Roman"/>
                <w:sz w:val="24"/>
                <w:szCs w:val="24"/>
                <w:lang w:val="en-US"/>
              </w:rPr>
            </w:pPr>
            <w:r w:rsidRPr="000D5F03">
              <w:rPr>
                <w:rFonts w:ascii="Times New Roman" w:hAnsi="Times New Roman" w:cs="Times New Roman"/>
                <w:sz w:val="24"/>
                <w:szCs w:val="24"/>
              </w:rPr>
              <w:t xml:space="preserve">DMR should give the numbers that underlie the calculation of indicators that </w:t>
            </w:r>
            <w:proofErr w:type="gramStart"/>
            <w:r w:rsidRPr="000D5F03">
              <w:rPr>
                <w:rFonts w:ascii="Times New Roman" w:hAnsi="Times New Roman" w:cs="Times New Roman"/>
                <w:sz w:val="24"/>
                <w:szCs w:val="24"/>
              </w:rPr>
              <w:t>are expressed</w:t>
            </w:r>
            <w:proofErr w:type="gramEnd"/>
            <w:r w:rsidRPr="000D5F03">
              <w:rPr>
                <w:rFonts w:ascii="Times New Roman" w:hAnsi="Times New Roman" w:cs="Times New Roman"/>
                <w:sz w:val="24"/>
                <w:szCs w:val="24"/>
              </w:rPr>
              <w:t xml:space="preserve"> as percentages. (This should include the size of the backlogs in processing applications).</w:t>
            </w:r>
          </w:p>
        </w:tc>
        <w:tc>
          <w:tcPr>
            <w:tcW w:w="4111" w:type="dxa"/>
          </w:tcPr>
          <w:p w14:paraId="7CAAAB44" w14:textId="3AFDC31C" w:rsidR="003205C9" w:rsidRPr="000D5F03" w:rsidRDefault="003205C9" w:rsidP="000D5F03">
            <w:pPr>
              <w:spacing w:line="360" w:lineRule="auto"/>
              <w:jc w:val="both"/>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Pending</w:t>
            </w:r>
          </w:p>
        </w:tc>
      </w:tr>
      <w:tr w:rsidR="003205C9" w:rsidRPr="000D5F03" w14:paraId="538415C2" w14:textId="77777777" w:rsidTr="00530F13">
        <w:tc>
          <w:tcPr>
            <w:tcW w:w="5098" w:type="dxa"/>
          </w:tcPr>
          <w:p w14:paraId="2228D5FA" w14:textId="40CF70AC" w:rsidR="003205C9" w:rsidRPr="000D5F03" w:rsidRDefault="003205C9"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sz w:val="24"/>
                <w:szCs w:val="24"/>
              </w:rPr>
              <w:t>DMR should present a progress report in February 2019 specifically on the progress with correcting the poor performance of mineral regulation (which was still strongly visible after the 2017/18 year end, in the report of the first quarter of 2018/19).</w:t>
            </w:r>
          </w:p>
        </w:tc>
        <w:tc>
          <w:tcPr>
            <w:tcW w:w="4111" w:type="dxa"/>
          </w:tcPr>
          <w:p w14:paraId="13A59CFB" w14:textId="77777777" w:rsidR="003205C9" w:rsidRPr="000D5F03" w:rsidRDefault="003205C9"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b/>
                <w:color w:val="001F00"/>
                <w:sz w:val="24"/>
                <w:szCs w:val="24"/>
              </w:rPr>
              <w:t>Pending</w:t>
            </w:r>
          </w:p>
        </w:tc>
      </w:tr>
      <w:tr w:rsidR="003205C9" w:rsidRPr="000D5F03" w14:paraId="57D7685C" w14:textId="77777777" w:rsidTr="00530F13">
        <w:tc>
          <w:tcPr>
            <w:tcW w:w="5098" w:type="dxa"/>
          </w:tcPr>
          <w:p w14:paraId="773A43EF" w14:textId="5490CF01" w:rsidR="003205C9" w:rsidRPr="000D5F03" w:rsidRDefault="003205C9"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sz w:val="24"/>
                <w:szCs w:val="24"/>
              </w:rPr>
              <w:t>MHSC to produce an expenditure plan detailing how it is going to utilize the surplus</w:t>
            </w:r>
            <w:r w:rsidR="00097D13" w:rsidRPr="000D5F03">
              <w:rPr>
                <w:rFonts w:ascii="Times New Roman" w:hAnsi="Times New Roman" w:cs="Times New Roman"/>
                <w:sz w:val="24"/>
                <w:szCs w:val="24"/>
              </w:rPr>
              <w:t>.</w:t>
            </w:r>
          </w:p>
        </w:tc>
        <w:tc>
          <w:tcPr>
            <w:tcW w:w="4111" w:type="dxa"/>
          </w:tcPr>
          <w:p w14:paraId="114D26D5" w14:textId="18E06C89" w:rsidR="003205C9" w:rsidRPr="000D5F03" w:rsidRDefault="00097D13"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b/>
                <w:color w:val="001F00"/>
                <w:sz w:val="24"/>
                <w:szCs w:val="24"/>
              </w:rPr>
              <w:t>Achieved</w:t>
            </w:r>
          </w:p>
        </w:tc>
      </w:tr>
      <w:tr w:rsidR="003205C9" w:rsidRPr="000D5F03" w14:paraId="1EFF6FBB" w14:textId="77777777" w:rsidTr="00530F13">
        <w:tc>
          <w:tcPr>
            <w:tcW w:w="5098" w:type="dxa"/>
          </w:tcPr>
          <w:p w14:paraId="2F7A30B2" w14:textId="69253C8D" w:rsidR="003205C9" w:rsidRPr="000D5F03" w:rsidRDefault="003205C9"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The DMR should provide the Committee with a full legislative agenda and timetable for the MTEF</w:t>
            </w:r>
            <w:r w:rsidR="00097D13" w:rsidRPr="000D5F03">
              <w:rPr>
                <w:rFonts w:ascii="Times New Roman" w:hAnsi="Times New Roman" w:cs="Times New Roman"/>
                <w:color w:val="001F00"/>
                <w:sz w:val="24"/>
                <w:szCs w:val="24"/>
              </w:rPr>
              <w:t>.</w:t>
            </w:r>
          </w:p>
        </w:tc>
        <w:tc>
          <w:tcPr>
            <w:tcW w:w="4111" w:type="dxa"/>
          </w:tcPr>
          <w:p w14:paraId="7DAADD79" w14:textId="2B76F0B0" w:rsidR="003205C9" w:rsidRPr="000D5F03" w:rsidRDefault="003205C9"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The Committee was briefed on the intend legislative programme for this financial year on 13 September 2019</w:t>
            </w:r>
          </w:p>
        </w:tc>
      </w:tr>
      <w:tr w:rsidR="003205C9" w:rsidRPr="000D5F03" w14:paraId="18C6B4A5" w14:textId="77777777" w:rsidTr="00530F13">
        <w:tc>
          <w:tcPr>
            <w:tcW w:w="5098" w:type="dxa"/>
          </w:tcPr>
          <w:p w14:paraId="65F715E3" w14:textId="237F118E" w:rsidR="003205C9" w:rsidRPr="000D5F03" w:rsidRDefault="008C2148"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Treasury should fund the necessary infrastructural upgrade accordingly of the CGS to ensure compliance with its designation as a National key point.</w:t>
            </w:r>
          </w:p>
        </w:tc>
        <w:tc>
          <w:tcPr>
            <w:tcW w:w="4111" w:type="dxa"/>
          </w:tcPr>
          <w:p w14:paraId="530F9B54" w14:textId="279B01EF" w:rsidR="003205C9" w:rsidRPr="000D5F03" w:rsidRDefault="00097D13"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b/>
                <w:color w:val="001F00"/>
                <w:sz w:val="24"/>
                <w:szCs w:val="24"/>
              </w:rPr>
              <w:t>Declined</w:t>
            </w:r>
          </w:p>
        </w:tc>
      </w:tr>
      <w:tr w:rsidR="008C2148" w:rsidRPr="000D5F03" w14:paraId="77D640EB" w14:textId="77777777" w:rsidTr="00530F13">
        <w:tc>
          <w:tcPr>
            <w:tcW w:w="5098" w:type="dxa"/>
          </w:tcPr>
          <w:p w14:paraId="0D55AD26" w14:textId="60C346A6" w:rsidR="008C2148" w:rsidRPr="000D5F03" w:rsidRDefault="008C2148"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 xml:space="preserve">Treasury provide additional funding to the DMR to </w:t>
            </w:r>
            <w:proofErr w:type="gramStart"/>
            <w:r w:rsidRPr="000D5F03">
              <w:rPr>
                <w:rFonts w:ascii="Times New Roman" w:hAnsi="Times New Roman" w:cs="Times New Roman"/>
                <w:color w:val="001F00"/>
                <w:sz w:val="24"/>
                <w:szCs w:val="24"/>
              </w:rPr>
              <w:t>be used</w:t>
            </w:r>
            <w:proofErr w:type="gramEnd"/>
            <w:r w:rsidRPr="000D5F03">
              <w:rPr>
                <w:rFonts w:ascii="Times New Roman" w:hAnsi="Times New Roman" w:cs="Times New Roman"/>
                <w:color w:val="001F00"/>
                <w:sz w:val="24"/>
                <w:szCs w:val="24"/>
              </w:rPr>
              <w:t xml:space="preserve"> in the upgrading of the cadastral system</w:t>
            </w:r>
            <w:r w:rsidR="00097D13" w:rsidRPr="000D5F03">
              <w:rPr>
                <w:rFonts w:ascii="Times New Roman" w:hAnsi="Times New Roman" w:cs="Times New Roman"/>
                <w:color w:val="001F00"/>
                <w:sz w:val="24"/>
                <w:szCs w:val="24"/>
              </w:rPr>
              <w:t>.</w:t>
            </w:r>
          </w:p>
        </w:tc>
        <w:tc>
          <w:tcPr>
            <w:tcW w:w="4111" w:type="dxa"/>
          </w:tcPr>
          <w:p w14:paraId="2AE03ECE" w14:textId="1B15F339" w:rsidR="008C2148" w:rsidRPr="000D5F03" w:rsidRDefault="00097D13"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b/>
                <w:color w:val="001F00"/>
                <w:sz w:val="24"/>
                <w:szCs w:val="24"/>
              </w:rPr>
              <w:t>Partially achieved</w:t>
            </w:r>
          </w:p>
        </w:tc>
      </w:tr>
      <w:tr w:rsidR="008C2148" w:rsidRPr="000D5F03" w14:paraId="4C22EFF4" w14:textId="77777777" w:rsidTr="00530F13">
        <w:tc>
          <w:tcPr>
            <w:tcW w:w="5098" w:type="dxa"/>
          </w:tcPr>
          <w:p w14:paraId="50CEB68A" w14:textId="28135C54" w:rsidR="008C2148" w:rsidRPr="000D5F03" w:rsidRDefault="008C2148"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 xml:space="preserve">The DMR should report to the PCMR specifically on what irregular expenditure </w:t>
            </w:r>
            <w:proofErr w:type="gramStart"/>
            <w:r w:rsidRPr="000D5F03">
              <w:rPr>
                <w:rFonts w:ascii="Times New Roman" w:hAnsi="Times New Roman" w:cs="Times New Roman"/>
                <w:color w:val="001F00"/>
                <w:sz w:val="24"/>
                <w:szCs w:val="24"/>
              </w:rPr>
              <w:t>is condoned</w:t>
            </w:r>
            <w:proofErr w:type="gramEnd"/>
            <w:r w:rsidRPr="000D5F03">
              <w:rPr>
                <w:rFonts w:ascii="Times New Roman" w:hAnsi="Times New Roman" w:cs="Times New Roman"/>
                <w:color w:val="001F00"/>
                <w:sz w:val="24"/>
                <w:szCs w:val="24"/>
              </w:rPr>
              <w:t xml:space="preserve"> during the year and what the reasons are.</w:t>
            </w:r>
          </w:p>
        </w:tc>
        <w:tc>
          <w:tcPr>
            <w:tcW w:w="4111" w:type="dxa"/>
          </w:tcPr>
          <w:p w14:paraId="253DBA5B" w14:textId="0D204839" w:rsidR="008C2148" w:rsidRPr="000D5F03" w:rsidRDefault="00BF74EF" w:rsidP="000D5F03">
            <w:pPr>
              <w:spacing w:line="360" w:lineRule="auto"/>
              <w:jc w:val="both"/>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Pending</w:t>
            </w:r>
          </w:p>
        </w:tc>
      </w:tr>
      <w:tr w:rsidR="008C2148" w:rsidRPr="000D5F03" w14:paraId="468D6171" w14:textId="77777777" w:rsidTr="00530F13">
        <w:tc>
          <w:tcPr>
            <w:tcW w:w="5098" w:type="dxa"/>
          </w:tcPr>
          <w:p w14:paraId="5D6EA044" w14:textId="4361EA74" w:rsidR="008C2148" w:rsidRPr="000D5F03" w:rsidRDefault="008C2148"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 xml:space="preserve">DMR should involve other departments to perform their respective roles when, for example, CGS assists by providing water as a by-product from their drilling research. This is to ensure the CGS </w:t>
            </w:r>
            <w:proofErr w:type="gramStart"/>
            <w:r w:rsidRPr="000D5F03">
              <w:rPr>
                <w:rFonts w:ascii="Times New Roman" w:hAnsi="Times New Roman" w:cs="Times New Roman"/>
                <w:color w:val="001F00"/>
                <w:sz w:val="24"/>
                <w:szCs w:val="24"/>
              </w:rPr>
              <w:t>does not get</w:t>
            </w:r>
            <w:proofErr w:type="gramEnd"/>
            <w:r w:rsidRPr="000D5F03">
              <w:rPr>
                <w:rFonts w:ascii="Times New Roman" w:hAnsi="Times New Roman" w:cs="Times New Roman"/>
                <w:color w:val="001F00"/>
                <w:sz w:val="24"/>
                <w:szCs w:val="24"/>
              </w:rPr>
              <w:t xml:space="preserve"> diverted into undertaking the responsibilities that properly belong elsewhere.  It also makes the CGS intervention more effective.</w:t>
            </w:r>
          </w:p>
        </w:tc>
        <w:tc>
          <w:tcPr>
            <w:tcW w:w="4111" w:type="dxa"/>
          </w:tcPr>
          <w:p w14:paraId="78072E6F" w14:textId="04A299B1" w:rsidR="008C2148" w:rsidRPr="000D5F03" w:rsidRDefault="008A790A" w:rsidP="000D5F03">
            <w:pPr>
              <w:spacing w:line="360" w:lineRule="auto"/>
              <w:jc w:val="both"/>
              <w:rPr>
                <w:rFonts w:ascii="Times New Roman" w:hAnsi="Times New Roman" w:cs="Times New Roman"/>
                <w:b/>
                <w:bCs/>
                <w:color w:val="001F00"/>
                <w:sz w:val="24"/>
                <w:szCs w:val="24"/>
              </w:rPr>
            </w:pPr>
            <w:r w:rsidRPr="000D5F03">
              <w:rPr>
                <w:rFonts w:ascii="Times New Roman" w:hAnsi="Times New Roman" w:cs="Times New Roman"/>
                <w:b/>
                <w:bCs/>
                <w:color w:val="001F00"/>
                <w:sz w:val="24"/>
                <w:szCs w:val="24"/>
              </w:rPr>
              <w:t>Achieved</w:t>
            </w:r>
          </w:p>
        </w:tc>
      </w:tr>
      <w:tr w:rsidR="008C2148" w:rsidRPr="000D5F03" w14:paraId="0BCBBCD1" w14:textId="77777777" w:rsidTr="00530F13">
        <w:tc>
          <w:tcPr>
            <w:tcW w:w="5098" w:type="dxa"/>
          </w:tcPr>
          <w:p w14:paraId="4A037659" w14:textId="24749081" w:rsidR="008C2148" w:rsidRPr="000D5F03" w:rsidRDefault="008C2148"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The President should not delay further in signing into law the Public Audit Amendment Bill B13-2018 which was passed by Parliament on 23 May 2018</w:t>
            </w:r>
          </w:p>
        </w:tc>
        <w:tc>
          <w:tcPr>
            <w:tcW w:w="4111" w:type="dxa"/>
          </w:tcPr>
          <w:p w14:paraId="01E00FD3" w14:textId="01148D2C" w:rsidR="008C2148" w:rsidRPr="000D5F03" w:rsidRDefault="00BF74EF" w:rsidP="000D5F03">
            <w:pPr>
              <w:spacing w:line="360" w:lineRule="auto"/>
              <w:jc w:val="both"/>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Done</w:t>
            </w:r>
          </w:p>
        </w:tc>
      </w:tr>
      <w:tr w:rsidR="008C2148" w:rsidRPr="000D5F03" w14:paraId="462AE336" w14:textId="77777777" w:rsidTr="00530F13">
        <w:tc>
          <w:tcPr>
            <w:tcW w:w="5098" w:type="dxa"/>
          </w:tcPr>
          <w:p w14:paraId="14132809" w14:textId="50BC97EB" w:rsidR="008C2148" w:rsidRPr="000D5F03" w:rsidRDefault="008C2148"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 xml:space="preserve">The Minister should review the recommendations of this BRRR and give a specific response to </w:t>
            </w:r>
            <w:proofErr w:type="gramStart"/>
            <w:r w:rsidRPr="000D5F03">
              <w:rPr>
                <w:rFonts w:ascii="Times New Roman" w:hAnsi="Times New Roman" w:cs="Times New Roman"/>
                <w:color w:val="001F00"/>
                <w:sz w:val="24"/>
                <w:szCs w:val="24"/>
              </w:rPr>
              <w:t>the  Committee</w:t>
            </w:r>
            <w:proofErr w:type="gramEnd"/>
            <w:r w:rsidRPr="000D5F03">
              <w:rPr>
                <w:rFonts w:ascii="Times New Roman" w:hAnsi="Times New Roman" w:cs="Times New Roman"/>
                <w:color w:val="001F00"/>
                <w:sz w:val="24"/>
                <w:szCs w:val="24"/>
              </w:rPr>
              <w:t xml:space="preserve"> and make commitments on which recommendations will be addressed and on what time frames.</w:t>
            </w:r>
          </w:p>
        </w:tc>
        <w:tc>
          <w:tcPr>
            <w:tcW w:w="4111" w:type="dxa"/>
          </w:tcPr>
          <w:p w14:paraId="3DF39F16" w14:textId="655A38FB" w:rsidR="008C2148" w:rsidRPr="000D5F03" w:rsidRDefault="008A790A" w:rsidP="000D5F03">
            <w:pPr>
              <w:spacing w:line="360" w:lineRule="auto"/>
              <w:jc w:val="both"/>
              <w:rPr>
                <w:rFonts w:ascii="Times New Roman" w:hAnsi="Times New Roman" w:cs="Times New Roman"/>
                <w:b/>
                <w:bCs/>
                <w:color w:val="001F00"/>
                <w:sz w:val="24"/>
                <w:szCs w:val="24"/>
              </w:rPr>
            </w:pPr>
            <w:r w:rsidRPr="000D5F03">
              <w:rPr>
                <w:rFonts w:ascii="Times New Roman" w:hAnsi="Times New Roman" w:cs="Times New Roman"/>
                <w:b/>
                <w:bCs/>
                <w:color w:val="001F00"/>
                <w:sz w:val="24"/>
                <w:szCs w:val="24"/>
              </w:rPr>
              <w:t>Achieved</w:t>
            </w:r>
          </w:p>
        </w:tc>
      </w:tr>
    </w:tbl>
    <w:p w14:paraId="7DCB66FD" w14:textId="77777777" w:rsidR="00FA30B6" w:rsidRPr="000D5F03" w:rsidRDefault="00FA30B6" w:rsidP="000D5F03">
      <w:pPr>
        <w:spacing w:line="360" w:lineRule="auto"/>
        <w:jc w:val="both"/>
        <w:rPr>
          <w:rFonts w:ascii="Times New Roman" w:hAnsi="Times New Roman"/>
          <w:b/>
          <w:sz w:val="24"/>
          <w:szCs w:val="24"/>
          <w:lang w:val="en-US"/>
        </w:rPr>
      </w:pPr>
    </w:p>
    <w:p w14:paraId="7F3AE261" w14:textId="2B5826D6" w:rsidR="009E10FE" w:rsidRPr="000D5F03" w:rsidRDefault="009E10FE" w:rsidP="000D5F03">
      <w:pPr>
        <w:spacing w:line="360" w:lineRule="auto"/>
        <w:jc w:val="both"/>
        <w:rPr>
          <w:rFonts w:ascii="Times New Roman" w:hAnsi="Times New Roman"/>
          <w:b/>
          <w:sz w:val="24"/>
          <w:szCs w:val="24"/>
          <w:lang w:val="en-US"/>
        </w:rPr>
      </w:pPr>
      <w:r w:rsidRPr="000D5F03">
        <w:rPr>
          <w:rFonts w:ascii="Times New Roman" w:hAnsi="Times New Roman"/>
          <w:b/>
          <w:sz w:val="24"/>
          <w:szCs w:val="24"/>
          <w:lang w:val="en-US"/>
        </w:rPr>
        <w:t xml:space="preserve"> </w:t>
      </w:r>
      <w:r w:rsidR="001C4FBB" w:rsidRPr="000D5F03">
        <w:rPr>
          <w:rFonts w:ascii="Times New Roman" w:hAnsi="Times New Roman"/>
          <w:b/>
          <w:sz w:val="24"/>
          <w:szCs w:val="24"/>
          <w:lang w:val="en-US"/>
        </w:rPr>
        <w:t>8.</w:t>
      </w:r>
      <w:r w:rsidR="00DC1E5F" w:rsidRPr="000D5F03">
        <w:rPr>
          <w:rFonts w:ascii="Times New Roman" w:hAnsi="Times New Roman"/>
          <w:b/>
          <w:sz w:val="24"/>
          <w:szCs w:val="24"/>
          <w:lang w:val="en-US"/>
        </w:rPr>
        <w:tab/>
        <w:t>201</w:t>
      </w:r>
      <w:r w:rsidR="00826682" w:rsidRPr="000D5F03">
        <w:rPr>
          <w:rFonts w:ascii="Times New Roman" w:hAnsi="Times New Roman"/>
          <w:b/>
          <w:sz w:val="24"/>
          <w:szCs w:val="24"/>
          <w:lang w:val="en-US"/>
        </w:rPr>
        <w:t>9</w:t>
      </w:r>
      <w:r w:rsidR="00DC1E5F" w:rsidRPr="000D5F03">
        <w:rPr>
          <w:rFonts w:ascii="Times New Roman" w:hAnsi="Times New Roman"/>
          <w:b/>
          <w:sz w:val="24"/>
          <w:szCs w:val="24"/>
          <w:lang w:val="en-US"/>
        </w:rPr>
        <w:t>/</w:t>
      </w:r>
      <w:r w:rsidR="00826682" w:rsidRPr="000D5F03">
        <w:rPr>
          <w:rFonts w:ascii="Times New Roman" w:hAnsi="Times New Roman"/>
          <w:b/>
          <w:sz w:val="24"/>
          <w:szCs w:val="24"/>
          <w:lang w:val="en-US"/>
        </w:rPr>
        <w:t>20</w:t>
      </w:r>
      <w:r w:rsidRPr="000D5F03">
        <w:rPr>
          <w:rFonts w:ascii="Times New Roman" w:hAnsi="Times New Roman"/>
          <w:b/>
          <w:sz w:val="24"/>
          <w:szCs w:val="24"/>
          <w:lang w:val="en-US"/>
        </w:rPr>
        <w:t xml:space="preserve"> Budget Vote Recommendations</w:t>
      </w:r>
    </w:p>
    <w:p w14:paraId="110BA7CA" w14:textId="77777777" w:rsidR="009E10FE" w:rsidRPr="000D5F03" w:rsidRDefault="009E10FE" w:rsidP="000D5F03">
      <w:pPr>
        <w:spacing w:line="360" w:lineRule="auto"/>
        <w:jc w:val="both"/>
        <w:rPr>
          <w:rFonts w:ascii="Times New Roman" w:hAnsi="Times New Roman"/>
          <w:b/>
          <w:sz w:val="24"/>
          <w:szCs w:val="24"/>
          <w:lang w:val="en-US"/>
        </w:rPr>
      </w:pPr>
    </w:p>
    <w:p w14:paraId="7857DB78" w14:textId="39297B70" w:rsidR="00EE6C7E" w:rsidRPr="000D5F03" w:rsidRDefault="009E10FE" w:rsidP="000D5F03">
      <w:pPr>
        <w:spacing w:line="360" w:lineRule="auto"/>
        <w:jc w:val="both"/>
        <w:rPr>
          <w:rFonts w:ascii="Times New Roman" w:hAnsi="Times New Roman"/>
          <w:b/>
          <w:sz w:val="24"/>
          <w:szCs w:val="24"/>
        </w:rPr>
      </w:pPr>
      <w:r w:rsidRPr="000D5F03">
        <w:rPr>
          <w:rFonts w:ascii="Times New Roman" w:hAnsi="Times New Roman"/>
          <w:b/>
          <w:sz w:val="24"/>
          <w:szCs w:val="24"/>
          <w:lang w:val="en-US"/>
        </w:rPr>
        <w:t xml:space="preserve">The Committee made the following recommendations for the </w:t>
      </w:r>
      <w:r w:rsidR="007C4217" w:rsidRPr="000D5F03">
        <w:rPr>
          <w:rFonts w:ascii="Times New Roman" w:hAnsi="Times New Roman"/>
          <w:b/>
          <w:sz w:val="24"/>
          <w:szCs w:val="24"/>
          <w:lang w:val="en-US"/>
        </w:rPr>
        <w:t>201</w:t>
      </w:r>
      <w:r w:rsidR="007E0605" w:rsidRPr="000D5F03">
        <w:rPr>
          <w:rFonts w:ascii="Times New Roman" w:hAnsi="Times New Roman"/>
          <w:b/>
          <w:sz w:val="24"/>
          <w:szCs w:val="24"/>
          <w:lang w:val="en-US"/>
        </w:rPr>
        <w:t>9</w:t>
      </w:r>
      <w:r w:rsidRPr="000D5F03">
        <w:rPr>
          <w:rFonts w:ascii="Times New Roman" w:hAnsi="Times New Roman"/>
          <w:b/>
          <w:sz w:val="24"/>
          <w:szCs w:val="24"/>
          <w:lang w:val="en-US"/>
        </w:rPr>
        <w:t>/</w:t>
      </w:r>
      <w:r w:rsidR="007E0605" w:rsidRPr="000D5F03">
        <w:rPr>
          <w:rFonts w:ascii="Times New Roman" w:hAnsi="Times New Roman"/>
          <w:b/>
          <w:sz w:val="24"/>
          <w:szCs w:val="24"/>
          <w:lang w:val="en-US"/>
        </w:rPr>
        <w:t>20</w:t>
      </w:r>
      <w:r w:rsidR="007C4217" w:rsidRPr="000D5F03">
        <w:rPr>
          <w:rFonts w:ascii="Times New Roman" w:hAnsi="Times New Roman"/>
          <w:b/>
          <w:sz w:val="24"/>
          <w:szCs w:val="24"/>
          <w:lang w:val="en-US"/>
        </w:rPr>
        <w:t xml:space="preserve"> </w:t>
      </w:r>
      <w:r w:rsidRPr="000D5F03">
        <w:rPr>
          <w:rFonts w:ascii="Times New Roman" w:hAnsi="Times New Roman"/>
          <w:b/>
          <w:sz w:val="24"/>
          <w:szCs w:val="24"/>
          <w:lang w:val="en-US"/>
        </w:rPr>
        <w:t xml:space="preserve">financial year, after considering the Annual Performance Plan and </w:t>
      </w:r>
      <w:r w:rsidRPr="000D5F03">
        <w:rPr>
          <w:rFonts w:ascii="Times New Roman" w:hAnsi="Times New Roman"/>
          <w:b/>
          <w:sz w:val="24"/>
          <w:szCs w:val="24"/>
        </w:rPr>
        <w:t>the Budget of the D</w:t>
      </w:r>
      <w:r w:rsidR="000F493D" w:rsidRPr="000D5F03">
        <w:rPr>
          <w:rFonts w:ascii="Times New Roman" w:hAnsi="Times New Roman"/>
          <w:b/>
          <w:sz w:val="24"/>
          <w:szCs w:val="24"/>
        </w:rPr>
        <w:t>MR</w:t>
      </w:r>
      <w:r w:rsidR="007E0605" w:rsidRPr="000D5F03">
        <w:rPr>
          <w:rFonts w:ascii="Times New Roman" w:hAnsi="Times New Roman"/>
          <w:b/>
          <w:sz w:val="24"/>
          <w:szCs w:val="24"/>
        </w:rPr>
        <w:t>E (Vote 29)</w:t>
      </w:r>
      <w:r w:rsidRPr="000D5F03">
        <w:rPr>
          <w:rFonts w:ascii="Times New Roman" w:hAnsi="Times New Roman"/>
          <w:b/>
          <w:sz w:val="24"/>
          <w:szCs w:val="24"/>
        </w:rPr>
        <w:t>:</w:t>
      </w:r>
    </w:p>
    <w:p w14:paraId="4E893826" w14:textId="77777777" w:rsidR="00EE6C7E" w:rsidRPr="000D5F03" w:rsidRDefault="00EE6C7E" w:rsidP="000D5F03">
      <w:pPr>
        <w:spacing w:line="360" w:lineRule="auto"/>
        <w:jc w:val="both"/>
        <w:rPr>
          <w:rFonts w:ascii="Times New Roman" w:hAnsi="Times New Roman"/>
          <w:b/>
          <w:sz w:val="24"/>
          <w:szCs w:val="24"/>
        </w:rPr>
      </w:pPr>
    </w:p>
    <w:p w14:paraId="65DAA8C5" w14:textId="77777777" w:rsidR="00BA5EA4" w:rsidRPr="000D5F03" w:rsidRDefault="00BA5EA4" w:rsidP="000D5F03">
      <w:pPr>
        <w:suppressAutoHyphens w:val="0"/>
        <w:spacing w:after="200" w:line="360" w:lineRule="auto"/>
        <w:textAlignment w:val="auto"/>
        <w:rPr>
          <w:rFonts w:ascii="Times New Roman" w:hAnsi="Times New Roman"/>
          <w:b/>
          <w:i/>
          <w:color w:val="auto"/>
          <w:spacing w:val="0"/>
          <w:sz w:val="24"/>
          <w:szCs w:val="24"/>
          <w:lang w:val="en-ZA" w:eastAsia="en-US"/>
        </w:rPr>
      </w:pPr>
      <w:r w:rsidRPr="000D5F03">
        <w:rPr>
          <w:rFonts w:ascii="Times New Roman" w:hAnsi="Times New Roman"/>
          <w:b/>
          <w:i/>
          <w:color w:val="auto"/>
          <w:spacing w:val="0"/>
          <w:sz w:val="24"/>
          <w:szCs w:val="24"/>
          <w:lang w:val="en-US" w:eastAsia="en-US"/>
        </w:rPr>
        <w:t>The Minister of Mineral Resources and Energy:</w:t>
      </w:r>
    </w:p>
    <w:p w14:paraId="10897B44"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Should report on the comprehensive strategy that will deal with the whole value chain of i</w:t>
      </w:r>
      <w:r w:rsidRPr="000D5F03">
        <w:rPr>
          <w:rFonts w:ascii="Times New Roman" w:hAnsi="Times New Roman"/>
          <w:color w:val="auto"/>
          <w:spacing w:val="0"/>
          <w:sz w:val="24"/>
          <w:szCs w:val="24"/>
          <w:lang w:val="en-ZA" w:eastAsia="en-US"/>
        </w:rPr>
        <w:t>l</w:t>
      </w:r>
      <w:r w:rsidRPr="000D5F03">
        <w:rPr>
          <w:rFonts w:ascii="Times New Roman" w:hAnsi="Times New Roman"/>
          <w:color w:val="auto"/>
          <w:spacing w:val="0"/>
          <w:sz w:val="24"/>
          <w:szCs w:val="24"/>
          <w:lang w:val="en-ZA" w:eastAsia="en-US"/>
        </w:rPr>
        <w:t>legal mining, including artisanal miners.</w:t>
      </w:r>
    </w:p>
    <w:p w14:paraId="054A9030"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Should clarify the stage of its Beneficiation strategy and present it to the Committee in due course.</w:t>
      </w:r>
    </w:p>
    <w:p w14:paraId="188A228F" w14:textId="0A8A8DB5"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Should invest more in publicity drives on the Mining Cha</w:t>
      </w:r>
      <w:r w:rsidR="000D5A88" w:rsidRPr="000D5F03">
        <w:rPr>
          <w:rFonts w:ascii="Times New Roman" w:hAnsi="Times New Roman"/>
          <w:color w:val="auto"/>
          <w:spacing w:val="0"/>
          <w:sz w:val="24"/>
          <w:szCs w:val="24"/>
          <w:lang w:val="en-ZA" w:eastAsia="en-US"/>
        </w:rPr>
        <w:t>r</w:t>
      </w:r>
      <w:r w:rsidRPr="000D5F03">
        <w:rPr>
          <w:rFonts w:ascii="Times New Roman" w:hAnsi="Times New Roman"/>
          <w:color w:val="auto"/>
          <w:spacing w:val="0"/>
          <w:sz w:val="24"/>
          <w:szCs w:val="24"/>
          <w:lang w:val="en-ZA" w:eastAsia="en-US"/>
        </w:rPr>
        <w:t xml:space="preserve">ter </w:t>
      </w:r>
      <w:proofErr w:type="gramStart"/>
      <w:r w:rsidRPr="000D5F03">
        <w:rPr>
          <w:rFonts w:ascii="Times New Roman" w:hAnsi="Times New Roman"/>
          <w:color w:val="auto"/>
          <w:spacing w:val="0"/>
          <w:sz w:val="24"/>
          <w:szCs w:val="24"/>
          <w:lang w:val="en-ZA" w:eastAsia="en-US"/>
        </w:rPr>
        <w:t>three</w:t>
      </w:r>
      <w:proofErr w:type="gramEnd"/>
      <w:r w:rsidRPr="000D5F03">
        <w:rPr>
          <w:rFonts w:ascii="Times New Roman" w:hAnsi="Times New Roman"/>
          <w:color w:val="auto"/>
          <w:spacing w:val="0"/>
          <w:sz w:val="24"/>
          <w:szCs w:val="24"/>
          <w:lang w:val="en-ZA" w:eastAsia="en-US"/>
        </w:rPr>
        <w:t xml:space="preserve"> and its associated ben</w:t>
      </w:r>
      <w:r w:rsidRPr="000D5F03">
        <w:rPr>
          <w:rFonts w:ascii="Times New Roman" w:hAnsi="Times New Roman"/>
          <w:color w:val="auto"/>
          <w:spacing w:val="0"/>
          <w:sz w:val="24"/>
          <w:szCs w:val="24"/>
          <w:lang w:val="en-ZA" w:eastAsia="en-US"/>
        </w:rPr>
        <w:t>e</w:t>
      </w:r>
      <w:r w:rsidRPr="000D5F03">
        <w:rPr>
          <w:rFonts w:ascii="Times New Roman" w:hAnsi="Times New Roman"/>
          <w:color w:val="auto"/>
          <w:spacing w:val="0"/>
          <w:sz w:val="24"/>
          <w:szCs w:val="24"/>
          <w:lang w:val="en-ZA" w:eastAsia="en-US"/>
        </w:rPr>
        <w:t>fits to mining employees as well as host communities.</w:t>
      </w:r>
    </w:p>
    <w:p w14:paraId="065C865E"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Should have a balanced approach in financing studies related to mining scarce skills, focus also needs to be given to mine rescue skills.</w:t>
      </w:r>
    </w:p>
    <w:p w14:paraId="269B8364"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 xml:space="preserve">Should continue to invest on occupational disease related research </w:t>
      </w:r>
      <w:proofErr w:type="gramStart"/>
      <w:r w:rsidRPr="000D5F03">
        <w:rPr>
          <w:rFonts w:ascii="Times New Roman" w:hAnsi="Times New Roman"/>
          <w:color w:val="auto"/>
          <w:spacing w:val="0"/>
          <w:sz w:val="24"/>
          <w:szCs w:val="24"/>
          <w:lang w:val="en-ZA" w:eastAsia="en-US"/>
        </w:rPr>
        <w:t>in order to drastically r</w:t>
      </w:r>
      <w:r w:rsidRPr="000D5F03">
        <w:rPr>
          <w:rFonts w:ascii="Times New Roman" w:hAnsi="Times New Roman"/>
          <w:color w:val="auto"/>
          <w:spacing w:val="0"/>
          <w:sz w:val="24"/>
          <w:szCs w:val="24"/>
          <w:lang w:val="en-ZA" w:eastAsia="en-US"/>
        </w:rPr>
        <w:t>e</w:t>
      </w:r>
      <w:r w:rsidRPr="000D5F03">
        <w:rPr>
          <w:rFonts w:ascii="Times New Roman" w:hAnsi="Times New Roman"/>
          <w:color w:val="auto"/>
          <w:spacing w:val="0"/>
          <w:sz w:val="24"/>
          <w:szCs w:val="24"/>
          <w:lang w:val="en-ZA" w:eastAsia="en-US"/>
        </w:rPr>
        <w:t>duce</w:t>
      </w:r>
      <w:proofErr w:type="gramEnd"/>
      <w:r w:rsidRPr="000D5F03">
        <w:rPr>
          <w:rFonts w:ascii="Times New Roman" w:hAnsi="Times New Roman"/>
          <w:color w:val="auto"/>
          <w:spacing w:val="0"/>
          <w:sz w:val="24"/>
          <w:szCs w:val="24"/>
          <w:lang w:val="en-ZA" w:eastAsia="en-US"/>
        </w:rPr>
        <w:t xml:space="preserve"> the burden of occupational disease in the industry.</w:t>
      </w:r>
    </w:p>
    <w:p w14:paraId="370C527E"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 xml:space="preserve">Should produce a timeframe specific legislative program, with a binding </w:t>
      </w:r>
      <w:proofErr w:type="gramStart"/>
      <w:r w:rsidRPr="000D5F03">
        <w:rPr>
          <w:rFonts w:ascii="Times New Roman" w:hAnsi="Times New Roman"/>
          <w:color w:val="auto"/>
          <w:spacing w:val="0"/>
          <w:sz w:val="24"/>
          <w:szCs w:val="24"/>
          <w:lang w:val="en-ZA" w:eastAsia="en-US"/>
        </w:rPr>
        <w:t>time frame</w:t>
      </w:r>
      <w:proofErr w:type="gramEnd"/>
      <w:r w:rsidRPr="000D5F03">
        <w:rPr>
          <w:rFonts w:ascii="Times New Roman" w:hAnsi="Times New Roman"/>
          <w:color w:val="auto"/>
          <w:spacing w:val="0"/>
          <w:sz w:val="24"/>
          <w:szCs w:val="24"/>
          <w:lang w:val="en-ZA" w:eastAsia="en-US"/>
        </w:rPr>
        <w:t>.</w:t>
      </w:r>
    </w:p>
    <w:p w14:paraId="6EC58A55"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Should also invest in mine rescue training over and above issuing of bursaries for rock m</w:t>
      </w:r>
      <w:r w:rsidRPr="000D5F03">
        <w:rPr>
          <w:rFonts w:ascii="Times New Roman" w:hAnsi="Times New Roman"/>
          <w:color w:val="auto"/>
          <w:spacing w:val="0"/>
          <w:sz w:val="24"/>
          <w:szCs w:val="24"/>
          <w:lang w:val="en-ZA" w:eastAsia="en-US"/>
        </w:rPr>
        <w:t>e</w:t>
      </w:r>
      <w:r w:rsidRPr="000D5F03">
        <w:rPr>
          <w:rFonts w:ascii="Times New Roman" w:hAnsi="Times New Roman"/>
          <w:color w:val="auto"/>
          <w:spacing w:val="0"/>
          <w:sz w:val="24"/>
          <w:szCs w:val="24"/>
          <w:lang w:val="en-ZA" w:eastAsia="en-US"/>
        </w:rPr>
        <w:t>chanic and seismicity studies, in order to deal comprehensively with the fatalities and inj</w:t>
      </w:r>
      <w:r w:rsidRPr="000D5F03">
        <w:rPr>
          <w:rFonts w:ascii="Times New Roman" w:hAnsi="Times New Roman"/>
          <w:color w:val="auto"/>
          <w:spacing w:val="0"/>
          <w:sz w:val="24"/>
          <w:szCs w:val="24"/>
          <w:lang w:val="en-ZA" w:eastAsia="en-US"/>
        </w:rPr>
        <w:t>u</w:t>
      </w:r>
      <w:r w:rsidRPr="000D5F03">
        <w:rPr>
          <w:rFonts w:ascii="Times New Roman" w:hAnsi="Times New Roman"/>
          <w:color w:val="auto"/>
          <w:spacing w:val="0"/>
          <w:sz w:val="24"/>
          <w:szCs w:val="24"/>
          <w:lang w:val="en-ZA" w:eastAsia="en-US"/>
        </w:rPr>
        <w:t>ries in the industry.</w:t>
      </w:r>
    </w:p>
    <w:p w14:paraId="2B58C190"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Should continuously brief the Committee on the challenges on Mine Health and safety i</w:t>
      </w:r>
      <w:r w:rsidRPr="000D5F03">
        <w:rPr>
          <w:rFonts w:ascii="Times New Roman" w:hAnsi="Times New Roman"/>
          <w:color w:val="auto"/>
          <w:spacing w:val="0"/>
          <w:sz w:val="24"/>
          <w:szCs w:val="24"/>
          <w:lang w:val="en-ZA" w:eastAsia="en-US"/>
        </w:rPr>
        <w:t>s</w:t>
      </w:r>
      <w:r w:rsidRPr="000D5F03">
        <w:rPr>
          <w:rFonts w:ascii="Times New Roman" w:hAnsi="Times New Roman"/>
          <w:color w:val="auto"/>
          <w:spacing w:val="0"/>
          <w:sz w:val="24"/>
          <w:szCs w:val="24"/>
          <w:lang w:val="en-ZA" w:eastAsia="en-US"/>
        </w:rPr>
        <w:t>sues including fatalities.</w:t>
      </w:r>
    </w:p>
    <w:p w14:paraId="07066D55"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Should explore all possible funding avenues (including approaching Treasury) to speed up the modernization of the SAMRAD database.</w:t>
      </w:r>
    </w:p>
    <w:p w14:paraId="1C9D1C50"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Should continue to facilitate a resolution to the Lily Mine tragedy, and continuously provide progress report to the Portfolio Committee.</w:t>
      </w:r>
    </w:p>
    <w:p w14:paraId="5253F903"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 xml:space="preserve">Should present plans on how to mitigate the retrenchments in the mining sector, and plans to increase investment attractiveness. </w:t>
      </w:r>
    </w:p>
    <w:p w14:paraId="7A84BAA8"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 xml:space="preserve">Should ensure that the legislative programme </w:t>
      </w:r>
      <w:proofErr w:type="gramStart"/>
      <w:r w:rsidRPr="000D5F03">
        <w:rPr>
          <w:rFonts w:ascii="Times New Roman" w:hAnsi="Times New Roman"/>
          <w:color w:val="auto"/>
          <w:spacing w:val="0"/>
          <w:sz w:val="24"/>
          <w:szCs w:val="24"/>
          <w:lang w:val="en-ZA" w:eastAsia="en-US"/>
        </w:rPr>
        <w:t>is submitted</w:t>
      </w:r>
      <w:proofErr w:type="gramEnd"/>
      <w:r w:rsidRPr="000D5F03">
        <w:rPr>
          <w:rFonts w:ascii="Times New Roman" w:hAnsi="Times New Roman"/>
          <w:color w:val="auto"/>
          <w:spacing w:val="0"/>
          <w:sz w:val="24"/>
          <w:szCs w:val="24"/>
          <w:lang w:val="en-ZA" w:eastAsia="en-US"/>
        </w:rPr>
        <w:t xml:space="preserve"> to the Committee by 31 July 2019.</w:t>
      </w:r>
    </w:p>
    <w:p w14:paraId="50F9C5AD"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 xml:space="preserve">Should present to the Committee the </w:t>
      </w:r>
      <w:proofErr w:type="gramStart"/>
      <w:r w:rsidRPr="000D5F03">
        <w:rPr>
          <w:rFonts w:ascii="Times New Roman" w:hAnsi="Times New Roman"/>
          <w:color w:val="auto"/>
          <w:spacing w:val="0"/>
          <w:sz w:val="24"/>
          <w:szCs w:val="24"/>
          <w:lang w:val="en-ZA" w:eastAsia="en-US"/>
        </w:rPr>
        <w:t>strategies which</w:t>
      </w:r>
      <w:proofErr w:type="gramEnd"/>
      <w:r w:rsidRPr="000D5F03">
        <w:rPr>
          <w:rFonts w:ascii="Times New Roman" w:hAnsi="Times New Roman"/>
          <w:color w:val="auto"/>
          <w:spacing w:val="0"/>
          <w:sz w:val="24"/>
          <w:szCs w:val="24"/>
          <w:lang w:val="en-ZA" w:eastAsia="en-US"/>
        </w:rPr>
        <w:t xml:space="preserve"> are outstanding from the previous f</w:t>
      </w:r>
      <w:r w:rsidRPr="000D5F03">
        <w:rPr>
          <w:rFonts w:ascii="Times New Roman" w:hAnsi="Times New Roman"/>
          <w:color w:val="auto"/>
          <w:spacing w:val="0"/>
          <w:sz w:val="24"/>
          <w:szCs w:val="24"/>
          <w:lang w:val="en-ZA" w:eastAsia="en-US"/>
        </w:rPr>
        <w:t>i</w:t>
      </w:r>
      <w:r w:rsidRPr="000D5F03">
        <w:rPr>
          <w:rFonts w:ascii="Times New Roman" w:hAnsi="Times New Roman"/>
          <w:color w:val="auto"/>
          <w:spacing w:val="0"/>
          <w:sz w:val="24"/>
          <w:szCs w:val="24"/>
          <w:lang w:val="en-ZA" w:eastAsia="en-US"/>
        </w:rPr>
        <w:t>nancial year’s commitments, namely the Woman in Mining and Coal Strategy etc.</w:t>
      </w:r>
    </w:p>
    <w:p w14:paraId="1921676D" w14:textId="77777777" w:rsidR="00BA5EA4" w:rsidRPr="000D5F03" w:rsidRDefault="00BA5EA4" w:rsidP="000D5F03">
      <w:pPr>
        <w:numPr>
          <w:ilvl w:val="0"/>
          <w:numId w:val="14"/>
        </w:numPr>
        <w:suppressAutoHyphens w:val="0"/>
        <w:autoSpaceDN/>
        <w:spacing w:line="360" w:lineRule="auto"/>
        <w:ind w:left="709" w:hanging="567"/>
        <w:contextualSpacing/>
        <w:jc w:val="both"/>
        <w:textAlignment w:val="auto"/>
        <w:rPr>
          <w:rFonts w:ascii="Times New Roman" w:hAnsi="Times New Roman"/>
          <w:color w:val="auto"/>
          <w:spacing w:val="0"/>
          <w:sz w:val="24"/>
          <w:szCs w:val="24"/>
          <w:lang w:val="en-ZA" w:eastAsia="en-US"/>
        </w:rPr>
      </w:pPr>
      <w:r w:rsidRPr="000D5F03">
        <w:rPr>
          <w:rFonts w:ascii="Times New Roman" w:hAnsi="Times New Roman"/>
          <w:color w:val="auto"/>
          <w:spacing w:val="0"/>
          <w:sz w:val="24"/>
          <w:szCs w:val="24"/>
          <w:lang w:val="en-ZA" w:eastAsia="en-US"/>
        </w:rPr>
        <w:t>Should present a plan to the Committee clearly demonstrating how it is going to address the backlog on the MTSF goal for rehabilitation of derelict and ownerless mines.</w:t>
      </w:r>
    </w:p>
    <w:p w14:paraId="62FB8455" w14:textId="77777777" w:rsidR="009E10FE" w:rsidRPr="000D5F03" w:rsidRDefault="009E10FE" w:rsidP="000D5F03">
      <w:pPr>
        <w:spacing w:line="360" w:lineRule="auto"/>
        <w:jc w:val="both"/>
        <w:rPr>
          <w:rFonts w:ascii="Times New Roman" w:hAnsi="Times New Roman"/>
          <w:sz w:val="24"/>
          <w:szCs w:val="24"/>
        </w:rPr>
      </w:pPr>
    </w:p>
    <w:p w14:paraId="66109235" w14:textId="24807C82" w:rsidR="009E10FE" w:rsidRPr="000D5F03" w:rsidRDefault="009E10FE" w:rsidP="000D5F03">
      <w:pPr>
        <w:pStyle w:val="ListParagraph"/>
        <w:numPr>
          <w:ilvl w:val="0"/>
          <w:numId w:val="21"/>
        </w:numPr>
        <w:suppressAutoHyphens w:val="0"/>
        <w:autoSpaceDN/>
        <w:spacing w:after="200" w:line="360" w:lineRule="auto"/>
        <w:ind w:hanging="720"/>
        <w:contextualSpacing/>
        <w:jc w:val="both"/>
        <w:textAlignment w:val="auto"/>
        <w:rPr>
          <w:rFonts w:ascii="Times New Roman" w:hAnsi="Times New Roman"/>
          <w:b/>
          <w:color w:val="001F00"/>
          <w:sz w:val="24"/>
          <w:szCs w:val="24"/>
          <w:u w:val="single"/>
        </w:rPr>
      </w:pPr>
      <w:r w:rsidRPr="000D5F03">
        <w:rPr>
          <w:rFonts w:ascii="Times New Roman" w:hAnsi="Times New Roman"/>
          <w:b/>
          <w:color w:val="001F00"/>
          <w:sz w:val="24"/>
          <w:szCs w:val="24"/>
          <w:u w:val="single"/>
        </w:rPr>
        <w:t>COM</w:t>
      </w:r>
      <w:r w:rsidR="00A96BE6" w:rsidRPr="000D5F03">
        <w:rPr>
          <w:rFonts w:ascii="Times New Roman" w:hAnsi="Times New Roman"/>
          <w:b/>
          <w:color w:val="001F00"/>
          <w:sz w:val="24"/>
          <w:szCs w:val="24"/>
          <w:u w:val="single"/>
        </w:rPr>
        <w:t>MITTEE OBSERVATION</w:t>
      </w:r>
      <w:r w:rsidR="00C40C76" w:rsidRPr="000D5F03">
        <w:rPr>
          <w:rFonts w:ascii="Times New Roman" w:hAnsi="Times New Roman"/>
          <w:b/>
          <w:color w:val="001F00"/>
          <w:sz w:val="24"/>
          <w:szCs w:val="24"/>
          <w:u w:val="single"/>
        </w:rPr>
        <w:t>S</w:t>
      </w:r>
    </w:p>
    <w:p w14:paraId="24C5F996" w14:textId="2BCF4E92" w:rsidR="009E10FE" w:rsidRPr="000D5F03" w:rsidRDefault="009E10FE" w:rsidP="000D5F03">
      <w:pPr>
        <w:spacing w:line="360" w:lineRule="auto"/>
        <w:jc w:val="both"/>
        <w:rPr>
          <w:rFonts w:ascii="Times New Roman" w:hAnsi="Times New Roman"/>
          <w:color w:val="001F00"/>
          <w:sz w:val="24"/>
          <w:szCs w:val="24"/>
        </w:rPr>
      </w:pPr>
      <w:r w:rsidRPr="000D5F03">
        <w:rPr>
          <w:rFonts w:ascii="Times New Roman" w:hAnsi="Times New Roman"/>
          <w:color w:val="001F00"/>
          <w:sz w:val="24"/>
          <w:szCs w:val="24"/>
        </w:rPr>
        <w:t>The Portfolio Committee of Mineral Resources</w:t>
      </w:r>
      <w:r w:rsidR="007E0605" w:rsidRPr="000D5F03">
        <w:rPr>
          <w:rFonts w:ascii="Times New Roman" w:hAnsi="Times New Roman"/>
          <w:color w:val="001F00"/>
          <w:sz w:val="24"/>
          <w:szCs w:val="24"/>
        </w:rPr>
        <w:t xml:space="preserve"> and Energy (Vote 29)</w:t>
      </w:r>
      <w:r w:rsidRPr="000D5F03">
        <w:rPr>
          <w:rFonts w:ascii="Times New Roman" w:hAnsi="Times New Roman"/>
          <w:color w:val="001F00"/>
          <w:sz w:val="24"/>
          <w:szCs w:val="24"/>
        </w:rPr>
        <w:t xml:space="preserve"> having assessed the performance of the Department of Minerals Resources and its five entities made the following findings and observations:</w:t>
      </w:r>
    </w:p>
    <w:p w14:paraId="5A04AC68" w14:textId="77777777" w:rsidR="001C4FBB" w:rsidRPr="000D5F03" w:rsidRDefault="001C4FBB" w:rsidP="000D5F03">
      <w:pPr>
        <w:spacing w:line="360" w:lineRule="auto"/>
        <w:jc w:val="both"/>
        <w:rPr>
          <w:rFonts w:ascii="Times New Roman" w:hAnsi="Times New Roman"/>
          <w:color w:val="001F00"/>
          <w:sz w:val="24"/>
          <w:szCs w:val="24"/>
        </w:rPr>
      </w:pPr>
    </w:p>
    <w:p w14:paraId="102461B5" w14:textId="4CB84BFA" w:rsidR="00826682" w:rsidRPr="000D5F03" w:rsidRDefault="0082668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 xml:space="preserve">The DMR and the CGS achieved a clean </w:t>
      </w:r>
      <w:proofErr w:type="gramStart"/>
      <w:r w:rsidRPr="000D5F03">
        <w:rPr>
          <w:rFonts w:ascii="Times New Roman" w:hAnsi="Times New Roman"/>
          <w:color w:val="001F00"/>
          <w:sz w:val="24"/>
          <w:szCs w:val="24"/>
        </w:rPr>
        <w:t>audit which</w:t>
      </w:r>
      <w:proofErr w:type="gramEnd"/>
      <w:r w:rsidRPr="000D5F03">
        <w:rPr>
          <w:rFonts w:ascii="Times New Roman" w:hAnsi="Times New Roman"/>
          <w:color w:val="001F00"/>
          <w:sz w:val="24"/>
          <w:szCs w:val="24"/>
        </w:rPr>
        <w:t xml:space="preserve"> was an improvement from the previous financial year performance for both organizations.</w:t>
      </w:r>
    </w:p>
    <w:p w14:paraId="55479281" w14:textId="248E6BDD" w:rsidR="00826682" w:rsidRPr="000D5F03" w:rsidRDefault="0082668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Deficiencies in fully complying with supply chain processes, relevant prescribed legislation and internal controls continue to prevent the other four entities reporting to the DMRE (Vote 29</w:t>
      </w:r>
      <w:r w:rsidR="00EE6C7E" w:rsidRPr="000D5F03">
        <w:rPr>
          <w:rFonts w:ascii="Times New Roman" w:hAnsi="Times New Roman"/>
          <w:color w:val="001F00"/>
          <w:sz w:val="24"/>
          <w:szCs w:val="24"/>
        </w:rPr>
        <w:t>)</w:t>
      </w:r>
      <w:r w:rsidRPr="000D5F03">
        <w:rPr>
          <w:rFonts w:ascii="Times New Roman" w:hAnsi="Times New Roman"/>
          <w:color w:val="001F00"/>
          <w:sz w:val="24"/>
          <w:szCs w:val="24"/>
        </w:rPr>
        <w:t xml:space="preserve"> from achieving a clean audit.</w:t>
      </w:r>
    </w:p>
    <w:p w14:paraId="221D79C1" w14:textId="654FE606" w:rsidR="00826682" w:rsidRPr="000D5F03" w:rsidRDefault="0082668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Health and safety performance of the Department has improved arresting a declining trend that has been evident in the last two previous financial years.</w:t>
      </w:r>
    </w:p>
    <w:p w14:paraId="45387030" w14:textId="3F27CC69" w:rsidR="00826682" w:rsidRPr="000D5F03" w:rsidRDefault="0082668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 xml:space="preserve">Despite the outstanding performance of the </w:t>
      </w:r>
      <w:r w:rsidR="006A57DE" w:rsidRPr="000D5F03">
        <w:rPr>
          <w:rFonts w:ascii="Times New Roman" w:hAnsi="Times New Roman"/>
          <w:color w:val="001F00"/>
          <w:sz w:val="24"/>
          <w:szCs w:val="24"/>
        </w:rPr>
        <w:t>D</w:t>
      </w:r>
      <w:r w:rsidRPr="000D5F03">
        <w:rPr>
          <w:rFonts w:ascii="Times New Roman" w:hAnsi="Times New Roman"/>
          <w:color w:val="001F00"/>
          <w:sz w:val="24"/>
          <w:szCs w:val="24"/>
        </w:rPr>
        <w:t xml:space="preserve">epartment in the current financial year, there are still serious issues negatively affecting mining employees and </w:t>
      </w:r>
      <w:proofErr w:type="gramStart"/>
      <w:r w:rsidRPr="000D5F03">
        <w:rPr>
          <w:rFonts w:ascii="Times New Roman" w:hAnsi="Times New Roman"/>
          <w:color w:val="001F00"/>
          <w:sz w:val="24"/>
          <w:szCs w:val="24"/>
        </w:rPr>
        <w:t>communities</w:t>
      </w:r>
      <w:proofErr w:type="gramEnd"/>
      <w:r w:rsidRPr="000D5F03">
        <w:rPr>
          <w:rFonts w:ascii="Times New Roman" w:hAnsi="Times New Roman"/>
          <w:color w:val="001F00"/>
          <w:sz w:val="24"/>
          <w:szCs w:val="24"/>
        </w:rPr>
        <w:t xml:space="preserve"> especially in Mpumalanga province, that require urgent attention (e.g. Nkomazi Anthracite).</w:t>
      </w:r>
    </w:p>
    <w:p w14:paraId="34AFBD24" w14:textId="74D9B86D" w:rsidR="00826682" w:rsidRPr="000D5F03" w:rsidRDefault="0082668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 xml:space="preserve">Mineral regulation programme is struggling to meet its targets, this might be due to budget constraints which negatively affect operational capacity </w:t>
      </w:r>
      <w:proofErr w:type="gramStart"/>
      <w:r w:rsidRPr="000D5F03">
        <w:rPr>
          <w:rFonts w:ascii="Times New Roman" w:hAnsi="Times New Roman"/>
          <w:color w:val="001F00"/>
          <w:sz w:val="24"/>
          <w:szCs w:val="24"/>
        </w:rPr>
        <w:t>or  inability</w:t>
      </w:r>
      <w:proofErr w:type="gramEnd"/>
      <w:r w:rsidRPr="000D5F03">
        <w:rPr>
          <w:rFonts w:ascii="Times New Roman" w:hAnsi="Times New Roman"/>
          <w:color w:val="001F00"/>
          <w:sz w:val="24"/>
          <w:szCs w:val="24"/>
        </w:rPr>
        <w:t xml:space="preserve"> to properly formulate such targets in light of available resources.</w:t>
      </w:r>
    </w:p>
    <w:p w14:paraId="045BC79F" w14:textId="27F6CF97" w:rsidR="00826682" w:rsidRPr="000D5F03" w:rsidRDefault="0082668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Debtor collection cycle for the Department continue to rise while the creditor payment period falls, which is inconsistent with sound financial management principles.</w:t>
      </w:r>
    </w:p>
    <w:p w14:paraId="428689BB" w14:textId="7526D3E9" w:rsidR="00826682" w:rsidRPr="000D5F03" w:rsidRDefault="0069113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 xml:space="preserve">Mineral Policy </w:t>
      </w:r>
      <w:r w:rsidR="006A57DE" w:rsidRPr="000D5F03">
        <w:rPr>
          <w:rFonts w:ascii="Times New Roman" w:hAnsi="Times New Roman"/>
          <w:color w:val="001F00"/>
          <w:sz w:val="24"/>
          <w:szCs w:val="24"/>
        </w:rPr>
        <w:t xml:space="preserve">and Promotion </w:t>
      </w:r>
      <w:r w:rsidRPr="000D5F03">
        <w:rPr>
          <w:rFonts w:ascii="Times New Roman" w:hAnsi="Times New Roman"/>
          <w:color w:val="001F00"/>
          <w:sz w:val="24"/>
          <w:szCs w:val="24"/>
        </w:rPr>
        <w:t xml:space="preserve">programme overachieved with regard to developing </w:t>
      </w:r>
      <w:proofErr w:type="gramStart"/>
      <w:r w:rsidRPr="000D5F03">
        <w:rPr>
          <w:rFonts w:ascii="Times New Roman" w:hAnsi="Times New Roman"/>
          <w:color w:val="001F00"/>
          <w:sz w:val="24"/>
          <w:szCs w:val="24"/>
        </w:rPr>
        <w:t>small scale</w:t>
      </w:r>
      <w:proofErr w:type="gramEnd"/>
      <w:r w:rsidRPr="000D5F03">
        <w:rPr>
          <w:rFonts w:ascii="Times New Roman" w:hAnsi="Times New Roman"/>
          <w:color w:val="001F00"/>
          <w:sz w:val="24"/>
          <w:szCs w:val="24"/>
        </w:rPr>
        <w:t xml:space="preserve"> miners, this is a positive development.</w:t>
      </w:r>
    </w:p>
    <w:p w14:paraId="7076A103" w14:textId="33439579" w:rsidR="00691132" w:rsidRPr="000D5F03" w:rsidRDefault="0069113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Financials of the Mine Health and Safety Council reveal a trend where compensation of employees is rising while research funding is falling.</w:t>
      </w:r>
    </w:p>
    <w:p w14:paraId="42CA14A1" w14:textId="3548BFBE" w:rsidR="00691132" w:rsidRPr="000D5F03" w:rsidRDefault="0069113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Trading activities of the State Diamond Trader (SDT</w:t>
      </w:r>
      <w:proofErr w:type="gramStart"/>
      <w:r w:rsidRPr="000D5F03">
        <w:rPr>
          <w:rFonts w:ascii="Times New Roman" w:hAnsi="Times New Roman"/>
          <w:color w:val="001F00"/>
          <w:sz w:val="24"/>
          <w:szCs w:val="24"/>
        </w:rPr>
        <w:t>)which</w:t>
      </w:r>
      <w:proofErr w:type="gramEnd"/>
      <w:r w:rsidRPr="000D5F03">
        <w:rPr>
          <w:rFonts w:ascii="Times New Roman" w:hAnsi="Times New Roman"/>
          <w:color w:val="001F00"/>
          <w:sz w:val="24"/>
          <w:szCs w:val="24"/>
        </w:rPr>
        <w:t xml:space="preserve"> are characterized by falling diamond production, increased adoption of synthetic diamonds and </w:t>
      </w:r>
      <w:r w:rsidR="006A57DE" w:rsidRPr="000D5F03">
        <w:rPr>
          <w:rFonts w:ascii="Times New Roman" w:hAnsi="Times New Roman"/>
          <w:color w:val="001F00"/>
          <w:sz w:val="24"/>
          <w:szCs w:val="24"/>
        </w:rPr>
        <w:t xml:space="preserve">the </w:t>
      </w:r>
      <w:r w:rsidRPr="000D5F03">
        <w:rPr>
          <w:rFonts w:ascii="Times New Roman" w:hAnsi="Times New Roman"/>
          <w:color w:val="001F00"/>
          <w:sz w:val="24"/>
          <w:szCs w:val="24"/>
        </w:rPr>
        <w:t>US and China trade war, continue to define the unfavourable operating environment for the entity.</w:t>
      </w:r>
    </w:p>
    <w:p w14:paraId="136361C9" w14:textId="5BE75ED3" w:rsidR="00691132" w:rsidRPr="000D5F03" w:rsidRDefault="0069113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The new business plan of the SDT require legislative amendments for it to be implementable.</w:t>
      </w:r>
    </w:p>
    <w:p w14:paraId="562DBCD6" w14:textId="5F851718" w:rsidR="00691132" w:rsidRPr="000D5F03" w:rsidRDefault="0069113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One of the major challenges of the SADPMR is weak legislation in combating illicit trade in precious metals and diamonds.</w:t>
      </w:r>
    </w:p>
    <w:p w14:paraId="4F111B0E" w14:textId="5545BC9E" w:rsidR="00691132" w:rsidRPr="000D5F03" w:rsidRDefault="0069113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SADPMR board meetings are too frequent (49), this does not contribute to sound corporate governance and threaten financial stability of the organization.</w:t>
      </w:r>
    </w:p>
    <w:p w14:paraId="6F61DEEC" w14:textId="1730D59E" w:rsidR="00691132" w:rsidRPr="000D5F03" w:rsidRDefault="00691132"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CGS require a long term financial commitment in order to be able to fulfil its long term mandate, the withdrawal of the MTEF funding for exploration does not assist in this regard.</w:t>
      </w:r>
    </w:p>
    <w:p w14:paraId="477FBBCE" w14:textId="3AADD6DD" w:rsidR="00940B17" w:rsidRPr="000D5F03" w:rsidRDefault="00940B17"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 xml:space="preserve">The DMRE (Vote 29) has been able to effectively address the issue of an office </w:t>
      </w:r>
      <w:proofErr w:type="gramStart"/>
      <w:r w:rsidRPr="000D5F03">
        <w:rPr>
          <w:rFonts w:ascii="Times New Roman" w:hAnsi="Times New Roman"/>
          <w:color w:val="001F00"/>
          <w:sz w:val="24"/>
          <w:szCs w:val="24"/>
        </w:rPr>
        <w:t>lease which</w:t>
      </w:r>
      <w:proofErr w:type="gramEnd"/>
      <w:r w:rsidRPr="000D5F03">
        <w:rPr>
          <w:rFonts w:ascii="Times New Roman" w:hAnsi="Times New Roman"/>
          <w:color w:val="001F00"/>
          <w:sz w:val="24"/>
          <w:szCs w:val="24"/>
        </w:rPr>
        <w:t xml:space="preserve"> was a source of a finding during the previous financial year.</w:t>
      </w:r>
    </w:p>
    <w:p w14:paraId="3A18BF44" w14:textId="62080A8A" w:rsidR="00E502E5" w:rsidRPr="000D5F03" w:rsidRDefault="00E502E5" w:rsidP="000D5F03">
      <w:pPr>
        <w:pStyle w:val="ListParagraph"/>
        <w:numPr>
          <w:ilvl w:val="0"/>
          <w:numId w:val="22"/>
        </w:numPr>
        <w:spacing w:line="360" w:lineRule="auto"/>
        <w:ind w:hanging="578"/>
        <w:jc w:val="both"/>
        <w:rPr>
          <w:rFonts w:ascii="Times New Roman" w:hAnsi="Times New Roman"/>
          <w:color w:val="001F00"/>
          <w:sz w:val="24"/>
          <w:szCs w:val="24"/>
        </w:rPr>
      </w:pPr>
      <w:r w:rsidRPr="000D5F03">
        <w:rPr>
          <w:rFonts w:ascii="Times New Roman" w:hAnsi="Times New Roman"/>
          <w:color w:val="001F00"/>
          <w:sz w:val="24"/>
          <w:szCs w:val="24"/>
        </w:rPr>
        <w:t xml:space="preserve">The </w:t>
      </w:r>
      <w:r w:rsidR="00FF269D" w:rsidRPr="000D5F03">
        <w:rPr>
          <w:rFonts w:ascii="Times New Roman" w:hAnsi="Times New Roman"/>
          <w:color w:val="001F00"/>
          <w:sz w:val="24"/>
          <w:szCs w:val="24"/>
        </w:rPr>
        <w:t>Committee</w:t>
      </w:r>
      <w:r w:rsidRPr="000D5F03">
        <w:rPr>
          <w:rFonts w:ascii="Times New Roman" w:hAnsi="Times New Roman"/>
          <w:color w:val="001F00"/>
          <w:sz w:val="24"/>
          <w:szCs w:val="24"/>
        </w:rPr>
        <w:t xml:space="preserve"> noted the </w:t>
      </w:r>
      <w:r w:rsidR="00FF269D" w:rsidRPr="000D5F03">
        <w:rPr>
          <w:rFonts w:ascii="Times New Roman" w:hAnsi="Times New Roman"/>
          <w:color w:val="001F00"/>
          <w:sz w:val="24"/>
          <w:szCs w:val="24"/>
        </w:rPr>
        <w:t xml:space="preserve">lack of </w:t>
      </w:r>
      <w:r w:rsidRPr="000D5F03">
        <w:rPr>
          <w:rFonts w:ascii="Times New Roman" w:hAnsi="Times New Roman"/>
          <w:color w:val="001F00"/>
          <w:sz w:val="24"/>
          <w:szCs w:val="24"/>
        </w:rPr>
        <w:t>efficiencies o</w:t>
      </w:r>
      <w:r w:rsidR="00FF269D" w:rsidRPr="000D5F03">
        <w:rPr>
          <w:rFonts w:ascii="Times New Roman" w:hAnsi="Times New Roman"/>
          <w:color w:val="001F00"/>
          <w:sz w:val="24"/>
          <w:szCs w:val="24"/>
        </w:rPr>
        <w:t>n</w:t>
      </w:r>
      <w:r w:rsidRPr="000D5F03">
        <w:rPr>
          <w:rFonts w:ascii="Times New Roman" w:hAnsi="Times New Roman"/>
          <w:color w:val="001F00"/>
          <w:sz w:val="24"/>
          <w:szCs w:val="24"/>
        </w:rPr>
        <w:t xml:space="preserve"> the f</w:t>
      </w:r>
      <w:r w:rsidR="00FF269D" w:rsidRPr="000D5F03">
        <w:rPr>
          <w:rFonts w:ascii="Times New Roman" w:hAnsi="Times New Roman"/>
          <w:color w:val="001F00"/>
          <w:sz w:val="24"/>
          <w:szCs w:val="24"/>
        </w:rPr>
        <w:t>unctioning of the</w:t>
      </w:r>
      <w:r w:rsidRPr="000D5F03">
        <w:rPr>
          <w:rFonts w:ascii="Times New Roman" w:hAnsi="Times New Roman"/>
          <w:color w:val="001F00"/>
          <w:sz w:val="24"/>
          <w:szCs w:val="24"/>
        </w:rPr>
        <w:t xml:space="preserve"> </w:t>
      </w:r>
      <w:proofErr w:type="spellStart"/>
      <w:r w:rsidRPr="000D5F03">
        <w:rPr>
          <w:rFonts w:ascii="Times New Roman" w:hAnsi="Times New Roman"/>
          <w:color w:val="001F00"/>
          <w:sz w:val="24"/>
          <w:szCs w:val="24"/>
        </w:rPr>
        <w:t>Samrad</w:t>
      </w:r>
      <w:proofErr w:type="spellEnd"/>
      <w:r w:rsidRPr="000D5F03">
        <w:rPr>
          <w:rFonts w:ascii="Times New Roman" w:hAnsi="Times New Roman"/>
          <w:color w:val="001F00"/>
          <w:sz w:val="24"/>
          <w:szCs w:val="24"/>
        </w:rPr>
        <w:t xml:space="preserve"> system</w:t>
      </w:r>
    </w:p>
    <w:p w14:paraId="3B4BA3FC" w14:textId="15A3D9C2" w:rsidR="00E502E5" w:rsidRPr="000D5F03" w:rsidRDefault="00E502E5" w:rsidP="000D5F03">
      <w:pPr>
        <w:pStyle w:val="ListParagraph"/>
        <w:numPr>
          <w:ilvl w:val="0"/>
          <w:numId w:val="22"/>
        </w:numPr>
        <w:spacing w:line="360" w:lineRule="auto"/>
        <w:ind w:hanging="578"/>
        <w:jc w:val="both"/>
        <w:rPr>
          <w:rFonts w:ascii="Times New Roman" w:hAnsi="Times New Roman"/>
          <w:color w:val="001F00"/>
          <w:sz w:val="24"/>
          <w:szCs w:val="24"/>
        </w:rPr>
      </w:pPr>
      <w:proofErr w:type="gramStart"/>
      <w:r w:rsidRPr="000D5F03">
        <w:rPr>
          <w:rFonts w:ascii="Times New Roman" w:hAnsi="Times New Roman"/>
          <w:color w:val="001F00"/>
          <w:sz w:val="24"/>
          <w:szCs w:val="24"/>
        </w:rPr>
        <w:t xml:space="preserve">Although the department </w:t>
      </w:r>
      <w:r w:rsidR="00FF269D" w:rsidRPr="000D5F03">
        <w:rPr>
          <w:rFonts w:ascii="Times New Roman" w:hAnsi="Times New Roman"/>
          <w:color w:val="001F00"/>
          <w:sz w:val="24"/>
          <w:szCs w:val="24"/>
        </w:rPr>
        <w:t>presented</w:t>
      </w:r>
      <w:r w:rsidRPr="000D5F03">
        <w:rPr>
          <w:rFonts w:ascii="Times New Roman" w:hAnsi="Times New Roman"/>
          <w:color w:val="001F00"/>
          <w:sz w:val="24"/>
          <w:szCs w:val="24"/>
        </w:rPr>
        <w:t xml:space="preserve"> its intention o</w:t>
      </w:r>
      <w:r w:rsidR="00FF269D" w:rsidRPr="000D5F03">
        <w:rPr>
          <w:rFonts w:ascii="Times New Roman" w:hAnsi="Times New Roman"/>
          <w:color w:val="001F00"/>
          <w:sz w:val="24"/>
          <w:szCs w:val="24"/>
        </w:rPr>
        <w:t>n the</w:t>
      </w:r>
      <w:r w:rsidRPr="000D5F03">
        <w:rPr>
          <w:rFonts w:ascii="Times New Roman" w:hAnsi="Times New Roman"/>
          <w:color w:val="001F00"/>
          <w:sz w:val="24"/>
          <w:szCs w:val="24"/>
        </w:rPr>
        <w:t xml:space="preserve"> legislative programme, there is no clear programme that demonstrate clear </w:t>
      </w:r>
      <w:r w:rsidR="00FF269D" w:rsidRPr="000D5F03">
        <w:rPr>
          <w:rFonts w:ascii="Times New Roman" w:hAnsi="Times New Roman"/>
          <w:color w:val="001F00"/>
          <w:sz w:val="24"/>
          <w:szCs w:val="24"/>
        </w:rPr>
        <w:t xml:space="preserve">and definite </w:t>
      </w:r>
      <w:r w:rsidRPr="000D5F03">
        <w:rPr>
          <w:rFonts w:ascii="Times New Roman" w:hAnsi="Times New Roman"/>
          <w:color w:val="001F00"/>
          <w:sz w:val="24"/>
          <w:szCs w:val="24"/>
        </w:rPr>
        <w:t>framework.</w:t>
      </w:r>
      <w:proofErr w:type="gramEnd"/>
    </w:p>
    <w:p w14:paraId="1B0C03A4" w14:textId="77777777" w:rsidR="00863CB3" w:rsidRPr="000D5F03" w:rsidRDefault="00863CB3" w:rsidP="000D5F03">
      <w:pPr>
        <w:pStyle w:val="ListParagraph"/>
        <w:suppressAutoHyphens w:val="0"/>
        <w:autoSpaceDN/>
        <w:spacing w:after="200" w:line="360" w:lineRule="auto"/>
        <w:contextualSpacing/>
        <w:jc w:val="both"/>
        <w:textAlignment w:val="auto"/>
        <w:rPr>
          <w:rFonts w:ascii="Times New Roman" w:hAnsi="Times New Roman"/>
          <w:color w:val="001F00"/>
          <w:sz w:val="24"/>
          <w:szCs w:val="24"/>
        </w:rPr>
      </w:pPr>
    </w:p>
    <w:p w14:paraId="36F46399" w14:textId="77777777" w:rsidR="009E10FE" w:rsidRPr="000D5F03" w:rsidRDefault="00C20B4E" w:rsidP="000D5F03">
      <w:pPr>
        <w:pStyle w:val="ListParagraph"/>
        <w:numPr>
          <w:ilvl w:val="0"/>
          <w:numId w:val="21"/>
        </w:numPr>
        <w:suppressAutoHyphens w:val="0"/>
        <w:autoSpaceDN/>
        <w:spacing w:after="200" w:line="360" w:lineRule="auto"/>
        <w:ind w:hanging="720"/>
        <w:contextualSpacing/>
        <w:jc w:val="both"/>
        <w:textAlignment w:val="auto"/>
        <w:rPr>
          <w:rFonts w:ascii="Times New Roman" w:hAnsi="Times New Roman"/>
          <w:b/>
          <w:color w:val="001F00"/>
          <w:sz w:val="24"/>
          <w:szCs w:val="24"/>
          <w:u w:val="single"/>
        </w:rPr>
      </w:pPr>
      <w:r w:rsidRPr="000D5F03">
        <w:rPr>
          <w:rFonts w:ascii="Times New Roman" w:hAnsi="Times New Roman"/>
          <w:b/>
          <w:color w:val="001F00"/>
          <w:sz w:val="24"/>
          <w:szCs w:val="24"/>
          <w:u w:val="single"/>
        </w:rPr>
        <w:t>REC</w:t>
      </w:r>
      <w:r w:rsidR="009E10FE" w:rsidRPr="000D5F03">
        <w:rPr>
          <w:rFonts w:ascii="Times New Roman" w:hAnsi="Times New Roman"/>
          <w:b/>
          <w:color w:val="001F00"/>
          <w:sz w:val="24"/>
          <w:szCs w:val="24"/>
          <w:u w:val="single"/>
        </w:rPr>
        <w:t>O</w:t>
      </w:r>
      <w:r w:rsidRPr="000D5F03">
        <w:rPr>
          <w:rFonts w:ascii="Times New Roman" w:hAnsi="Times New Roman"/>
          <w:b/>
          <w:color w:val="001F00"/>
          <w:sz w:val="24"/>
          <w:szCs w:val="24"/>
          <w:u w:val="single"/>
        </w:rPr>
        <w:t>M</w:t>
      </w:r>
      <w:r w:rsidR="009E10FE" w:rsidRPr="000D5F03">
        <w:rPr>
          <w:rFonts w:ascii="Times New Roman" w:hAnsi="Times New Roman"/>
          <w:b/>
          <w:color w:val="001F00"/>
          <w:sz w:val="24"/>
          <w:szCs w:val="24"/>
          <w:u w:val="single"/>
        </w:rPr>
        <w:t>MENDATIONS</w:t>
      </w:r>
    </w:p>
    <w:p w14:paraId="589DC730" w14:textId="4AE26EF5" w:rsidR="009E10FE" w:rsidRPr="000D5F03" w:rsidRDefault="009E10FE" w:rsidP="000D5F03">
      <w:pPr>
        <w:spacing w:line="360" w:lineRule="auto"/>
        <w:jc w:val="both"/>
        <w:rPr>
          <w:rFonts w:ascii="Times New Roman" w:hAnsi="Times New Roman"/>
          <w:color w:val="001F00"/>
          <w:sz w:val="24"/>
          <w:szCs w:val="24"/>
        </w:rPr>
      </w:pPr>
      <w:r w:rsidRPr="000D5F03">
        <w:rPr>
          <w:rFonts w:ascii="Times New Roman" w:hAnsi="Times New Roman"/>
          <w:color w:val="001F00"/>
          <w:sz w:val="24"/>
          <w:szCs w:val="24"/>
        </w:rPr>
        <w:t>The Committee recommends that the Department of Mineral Resources</w:t>
      </w:r>
      <w:r w:rsidR="007E0605" w:rsidRPr="000D5F03">
        <w:rPr>
          <w:rFonts w:ascii="Times New Roman" w:hAnsi="Times New Roman"/>
          <w:color w:val="001F00"/>
          <w:sz w:val="24"/>
          <w:szCs w:val="24"/>
        </w:rPr>
        <w:t xml:space="preserve"> and Energy.</w:t>
      </w:r>
    </w:p>
    <w:p w14:paraId="37EF57C7" w14:textId="77777777" w:rsidR="00C20B4E" w:rsidRPr="000D5F03" w:rsidRDefault="00C20B4E" w:rsidP="000D5F03">
      <w:pPr>
        <w:spacing w:line="360" w:lineRule="auto"/>
        <w:jc w:val="both"/>
        <w:rPr>
          <w:rFonts w:ascii="Times New Roman" w:hAnsi="Times New Roman"/>
          <w:color w:val="001F00"/>
          <w:sz w:val="24"/>
          <w:szCs w:val="24"/>
        </w:rPr>
      </w:pPr>
    </w:p>
    <w:tbl>
      <w:tblPr>
        <w:tblStyle w:val="TableGrid"/>
        <w:tblW w:w="9747" w:type="dxa"/>
        <w:tblLayout w:type="fixed"/>
        <w:tblLook w:val="04A0" w:firstRow="1" w:lastRow="0" w:firstColumn="1" w:lastColumn="0" w:noHBand="0" w:noVBand="1"/>
      </w:tblPr>
      <w:tblGrid>
        <w:gridCol w:w="6204"/>
        <w:gridCol w:w="1842"/>
        <w:gridCol w:w="1701"/>
      </w:tblGrid>
      <w:tr w:rsidR="000E7526" w:rsidRPr="000D5F03" w14:paraId="2F6402EA" w14:textId="77777777" w:rsidTr="006A57DE">
        <w:tc>
          <w:tcPr>
            <w:tcW w:w="6204" w:type="dxa"/>
          </w:tcPr>
          <w:p w14:paraId="740730E0" w14:textId="77777777" w:rsidR="009E10FE" w:rsidRPr="000D5F03" w:rsidRDefault="009E10FE" w:rsidP="000D5F03">
            <w:pPr>
              <w:spacing w:line="360" w:lineRule="auto"/>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201</w:t>
            </w:r>
            <w:r w:rsidR="00EA0C22" w:rsidRPr="000D5F03">
              <w:rPr>
                <w:rFonts w:ascii="Times New Roman" w:hAnsi="Times New Roman" w:cs="Times New Roman"/>
                <w:b/>
                <w:color w:val="001F00"/>
                <w:sz w:val="24"/>
                <w:szCs w:val="24"/>
              </w:rPr>
              <w:t>9</w:t>
            </w:r>
            <w:r w:rsidRPr="000D5F03">
              <w:rPr>
                <w:rFonts w:ascii="Times New Roman" w:hAnsi="Times New Roman" w:cs="Times New Roman"/>
                <w:b/>
                <w:color w:val="001F00"/>
                <w:sz w:val="24"/>
                <w:szCs w:val="24"/>
              </w:rPr>
              <w:t xml:space="preserve"> BRRR Recommendations</w:t>
            </w:r>
          </w:p>
        </w:tc>
        <w:tc>
          <w:tcPr>
            <w:tcW w:w="1842" w:type="dxa"/>
          </w:tcPr>
          <w:p w14:paraId="52EAFB6F" w14:textId="77777777" w:rsidR="009E10FE" w:rsidRPr="000D5F03" w:rsidRDefault="009E10FE" w:rsidP="000D5F03">
            <w:pPr>
              <w:spacing w:line="360" w:lineRule="auto"/>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Motivation for Inclusion</w:t>
            </w:r>
          </w:p>
        </w:tc>
        <w:tc>
          <w:tcPr>
            <w:tcW w:w="1701" w:type="dxa"/>
          </w:tcPr>
          <w:p w14:paraId="1BBCA71F" w14:textId="77777777" w:rsidR="009E10FE" w:rsidRPr="000D5F03" w:rsidRDefault="009E10FE" w:rsidP="000D5F03">
            <w:pPr>
              <w:spacing w:line="360" w:lineRule="auto"/>
              <w:jc w:val="both"/>
              <w:rPr>
                <w:rFonts w:ascii="Times New Roman" w:hAnsi="Times New Roman" w:cs="Times New Roman"/>
                <w:b/>
                <w:color w:val="001F00"/>
                <w:sz w:val="24"/>
                <w:szCs w:val="24"/>
              </w:rPr>
            </w:pPr>
            <w:r w:rsidRPr="000D5F03">
              <w:rPr>
                <w:rFonts w:ascii="Times New Roman" w:hAnsi="Times New Roman" w:cs="Times New Roman"/>
                <w:b/>
                <w:color w:val="001F00"/>
                <w:sz w:val="24"/>
                <w:szCs w:val="24"/>
              </w:rPr>
              <w:t xml:space="preserve">Time Frames  </w:t>
            </w:r>
          </w:p>
        </w:tc>
      </w:tr>
      <w:tr w:rsidR="000E7526" w:rsidRPr="000D5F03" w14:paraId="53B325F0" w14:textId="77777777" w:rsidTr="006A57DE">
        <w:tc>
          <w:tcPr>
            <w:tcW w:w="6204" w:type="dxa"/>
          </w:tcPr>
          <w:p w14:paraId="2AD09CC2" w14:textId="40B32441" w:rsidR="008F3FCD" w:rsidRPr="000D5F03" w:rsidRDefault="00EE6C7E" w:rsidP="000D5F03">
            <w:pPr>
              <w:spacing w:line="360" w:lineRule="auto"/>
              <w:jc w:val="both"/>
              <w:rPr>
                <w:rFonts w:ascii="Times New Roman" w:eastAsia="Times New Roman" w:hAnsi="Times New Roman" w:cs="Times New Roman"/>
                <w:color w:val="001F00"/>
                <w:sz w:val="24"/>
                <w:szCs w:val="24"/>
              </w:rPr>
            </w:pPr>
            <w:r w:rsidRPr="000D5F03">
              <w:rPr>
                <w:rFonts w:ascii="Times New Roman" w:eastAsia="Times New Roman" w:hAnsi="Times New Roman" w:cs="Times New Roman"/>
                <w:color w:val="001F00"/>
                <w:sz w:val="24"/>
                <w:szCs w:val="24"/>
              </w:rPr>
              <w:t xml:space="preserve">The Department must ensure that the culture of organizational and financial governance is adopted and maintained by all the entities reporting to the Department, a plan of action </w:t>
            </w:r>
            <w:proofErr w:type="gramStart"/>
            <w:r w:rsidRPr="000D5F03">
              <w:rPr>
                <w:rFonts w:ascii="Times New Roman" w:eastAsia="Times New Roman" w:hAnsi="Times New Roman" w:cs="Times New Roman"/>
                <w:color w:val="001F00"/>
                <w:sz w:val="24"/>
                <w:szCs w:val="24"/>
              </w:rPr>
              <w:t>must be produced and executed to ensure clean audits across all entities</w:t>
            </w:r>
            <w:proofErr w:type="gramEnd"/>
            <w:r w:rsidRPr="000D5F03">
              <w:rPr>
                <w:rFonts w:ascii="Times New Roman" w:eastAsia="Times New Roman" w:hAnsi="Times New Roman" w:cs="Times New Roman"/>
                <w:color w:val="001F00"/>
                <w:sz w:val="24"/>
                <w:szCs w:val="24"/>
              </w:rPr>
              <w:t>.</w:t>
            </w:r>
          </w:p>
        </w:tc>
        <w:tc>
          <w:tcPr>
            <w:tcW w:w="1842" w:type="dxa"/>
          </w:tcPr>
          <w:p w14:paraId="201A7879" w14:textId="07D61DCC" w:rsidR="008F3FCD" w:rsidRPr="000D5F03" w:rsidRDefault="008F3FCD"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Ensure</w:t>
            </w:r>
            <w:r w:rsidR="007E0605" w:rsidRPr="000D5F03">
              <w:rPr>
                <w:rFonts w:ascii="Times New Roman" w:hAnsi="Times New Roman" w:cs="Times New Roman"/>
                <w:color w:val="001F00"/>
                <w:sz w:val="24"/>
                <w:szCs w:val="24"/>
              </w:rPr>
              <w:t xml:space="preserve"> Financial Sustainability</w:t>
            </w:r>
          </w:p>
        </w:tc>
        <w:tc>
          <w:tcPr>
            <w:tcW w:w="1701" w:type="dxa"/>
          </w:tcPr>
          <w:p w14:paraId="328C8410" w14:textId="77777777" w:rsidR="008F3FCD" w:rsidRPr="000D5F03" w:rsidRDefault="00630DB4"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3</w:t>
            </w:r>
            <w:r w:rsidR="008F3FCD" w:rsidRPr="000D5F03">
              <w:rPr>
                <w:rFonts w:ascii="Times New Roman" w:hAnsi="Times New Roman" w:cs="Times New Roman"/>
                <w:color w:val="001F00"/>
                <w:sz w:val="24"/>
                <w:szCs w:val="24"/>
              </w:rPr>
              <w:t xml:space="preserve"> Months</w:t>
            </w:r>
          </w:p>
        </w:tc>
      </w:tr>
      <w:tr w:rsidR="000E7526" w:rsidRPr="000D5F03" w14:paraId="42CFB683" w14:textId="77777777" w:rsidTr="006A57DE">
        <w:tc>
          <w:tcPr>
            <w:tcW w:w="6204" w:type="dxa"/>
          </w:tcPr>
          <w:p w14:paraId="1AC35702" w14:textId="742CF862" w:rsidR="00023DF2" w:rsidRPr="000D5F03" w:rsidRDefault="00EE6C7E" w:rsidP="000D5F03">
            <w:pPr>
              <w:spacing w:line="360" w:lineRule="auto"/>
              <w:jc w:val="both"/>
              <w:rPr>
                <w:rFonts w:ascii="Times New Roman" w:eastAsia="Times New Roman" w:hAnsi="Times New Roman" w:cs="Times New Roman"/>
                <w:color w:val="001F00"/>
                <w:sz w:val="24"/>
                <w:szCs w:val="24"/>
              </w:rPr>
            </w:pPr>
            <w:r w:rsidRPr="000D5F03">
              <w:rPr>
                <w:rFonts w:ascii="Times New Roman" w:eastAsia="Times New Roman" w:hAnsi="Times New Roman" w:cs="Times New Roman"/>
                <w:color w:val="001F00"/>
                <w:sz w:val="24"/>
                <w:szCs w:val="24"/>
              </w:rPr>
              <w:t xml:space="preserve">A comprehensive diagnosis of issues underpinning the underperformance of the Mineral Regulation branch </w:t>
            </w:r>
            <w:proofErr w:type="gramStart"/>
            <w:r w:rsidRPr="000D5F03">
              <w:rPr>
                <w:rFonts w:ascii="Times New Roman" w:eastAsia="Times New Roman" w:hAnsi="Times New Roman" w:cs="Times New Roman"/>
                <w:color w:val="001F00"/>
                <w:sz w:val="24"/>
                <w:szCs w:val="24"/>
              </w:rPr>
              <w:t>be</w:t>
            </w:r>
            <w:proofErr w:type="gramEnd"/>
            <w:r w:rsidRPr="000D5F03">
              <w:rPr>
                <w:rFonts w:ascii="Times New Roman" w:eastAsia="Times New Roman" w:hAnsi="Times New Roman" w:cs="Times New Roman"/>
                <w:color w:val="001F00"/>
                <w:sz w:val="24"/>
                <w:szCs w:val="24"/>
              </w:rPr>
              <w:t xml:space="preserve"> undertaken and an improvement plan implemented to ensure that targets are aligned to available capacity.</w:t>
            </w:r>
          </w:p>
        </w:tc>
        <w:tc>
          <w:tcPr>
            <w:tcW w:w="1842" w:type="dxa"/>
          </w:tcPr>
          <w:p w14:paraId="52EDB401" w14:textId="18E3FE34" w:rsidR="008F3FCD" w:rsidRPr="000D5F03" w:rsidRDefault="007E0605"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Improve Operational Performance</w:t>
            </w:r>
          </w:p>
        </w:tc>
        <w:tc>
          <w:tcPr>
            <w:tcW w:w="1701" w:type="dxa"/>
          </w:tcPr>
          <w:p w14:paraId="041F60C2" w14:textId="55C4C04E" w:rsidR="008F3FCD" w:rsidRPr="000D5F03" w:rsidRDefault="006538A3"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6</w:t>
            </w:r>
            <w:r w:rsidR="008F3FCD" w:rsidRPr="000D5F03">
              <w:rPr>
                <w:rFonts w:ascii="Times New Roman" w:hAnsi="Times New Roman" w:cs="Times New Roman"/>
                <w:color w:val="001F00"/>
                <w:sz w:val="24"/>
                <w:szCs w:val="24"/>
              </w:rPr>
              <w:t xml:space="preserve"> Months</w:t>
            </w:r>
          </w:p>
        </w:tc>
      </w:tr>
      <w:tr w:rsidR="000E7526" w:rsidRPr="000D5F03" w14:paraId="08F9E374" w14:textId="77777777" w:rsidTr="006A57DE">
        <w:tc>
          <w:tcPr>
            <w:tcW w:w="6204" w:type="dxa"/>
          </w:tcPr>
          <w:p w14:paraId="359996BB" w14:textId="33489ECA" w:rsidR="008F3FCD" w:rsidRPr="000D5F03" w:rsidRDefault="006538A3" w:rsidP="000D5F03">
            <w:pPr>
              <w:spacing w:line="360" w:lineRule="auto"/>
              <w:jc w:val="both"/>
              <w:rPr>
                <w:rFonts w:ascii="Times New Roman" w:eastAsia="Times New Roman" w:hAnsi="Times New Roman" w:cs="Times New Roman"/>
                <w:color w:val="001F00"/>
                <w:sz w:val="24"/>
                <w:szCs w:val="24"/>
              </w:rPr>
            </w:pPr>
            <w:r w:rsidRPr="000D5F03">
              <w:rPr>
                <w:rFonts w:ascii="Times New Roman" w:eastAsia="Times New Roman" w:hAnsi="Times New Roman" w:cs="Times New Roman"/>
                <w:color w:val="001F00"/>
                <w:sz w:val="24"/>
                <w:szCs w:val="24"/>
              </w:rPr>
              <w:t>Ensure that the health and safety programme is adequately resourced especially research on seismicity in order to progressively reduce the fatality rate in the mining industry.</w:t>
            </w:r>
          </w:p>
        </w:tc>
        <w:tc>
          <w:tcPr>
            <w:tcW w:w="1842" w:type="dxa"/>
          </w:tcPr>
          <w:p w14:paraId="60386749" w14:textId="78125377" w:rsidR="008F3FCD" w:rsidRPr="000D5F03" w:rsidRDefault="006538A3"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Improve safety</w:t>
            </w:r>
            <w:r w:rsidRPr="000D5F03" w:rsidDel="006538A3">
              <w:rPr>
                <w:rFonts w:ascii="Times New Roman" w:hAnsi="Times New Roman" w:cs="Times New Roman"/>
                <w:color w:val="001F00"/>
                <w:sz w:val="24"/>
                <w:szCs w:val="24"/>
              </w:rPr>
              <w:t xml:space="preserve"> </w:t>
            </w:r>
          </w:p>
        </w:tc>
        <w:tc>
          <w:tcPr>
            <w:tcW w:w="1701" w:type="dxa"/>
          </w:tcPr>
          <w:p w14:paraId="6EDF562D" w14:textId="7218E1FB" w:rsidR="008F3FCD" w:rsidRPr="000D5F03" w:rsidRDefault="006538A3"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6</w:t>
            </w:r>
            <w:r w:rsidR="000E7526" w:rsidRPr="000D5F03">
              <w:rPr>
                <w:rFonts w:ascii="Times New Roman" w:hAnsi="Times New Roman" w:cs="Times New Roman"/>
                <w:color w:val="001F00"/>
                <w:sz w:val="24"/>
                <w:szCs w:val="24"/>
              </w:rPr>
              <w:t xml:space="preserve"> Months</w:t>
            </w:r>
          </w:p>
        </w:tc>
      </w:tr>
      <w:tr w:rsidR="000E7526" w:rsidRPr="000D5F03" w14:paraId="6CB423F0" w14:textId="77777777" w:rsidTr="006A57DE">
        <w:tc>
          <w:tcPr>
            <w:tcW w:w="6204" w:type="dxa"/>
          </w:tcPr>
          <w:p w14:paraId="75978A37" w14:textId="380A2C40" w:rsidR="008F3FCD" w:rsidRPr="000D5F03" w:rsidRDefault="006538A3" w:rsidP="000D5F03">
            <w:pPr>
              <w:spacing w:line="360" w:lineRule="auto"/>
              <w:jc w:val="both"/>
              <w:rPr>
                <w:rFonts w:ascii="Times New Roman" w:eastAsia="Times New Roman" w:hAnsi="Times New Roman" w:cs="Times New Roman"/>
                <w:color w:val="001F00"/>
                <w:sz w:val="24"/>
                <w:szCs w:val="24"/>
              </w:rPr>
            </w:pPr>
            <w:r w:rsidRPr="000D5F03">
              <w:rPr>
                <w:rFonts w:ascii="Times New Roman" w:eastAsia="Times New Roman" w:hAnsi="Times New Roman" w:cs="Times New Roman"/>
                <w:color w:val="001F00"/>
                <w:sz w:val="24"/>
                <w:szCs w:val="24"/>
              </w:rPr>
              <w:t>The Department attend to all issues affecting mining communities especially in Mpumalanga and report back to the Committee.</w:t>
            </w:r>
          </w:p>
        </w:tc>
        <w:tc>
          <w:tcPr>
            <w:tcW w:w="1842" w:type="dxa"/>
          </w:tcPr>
          <w:p w14:paraId="519E5F35" w14:textId="3FA24DCC" w:rsidR="008F3FCD" w:rsidRPr="000D5F03" w:rsidRDefault="000E7526"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 xml:space="preserve">Facilitate </w:t>
            </w:r>
            <w:r w:rsidR="006538A3" w:rsidRPr="000D5F03">
              <w:rPr>
                <w:rFonts w:ascii="Times New Roman" w:hAnsi="Times New Roman" w:cs="Times New Roman"/>
                <w:color w:val="001F00"/>
                <w:sz w:val="24"/>
                <w:szCs w:val="24"/>
              </w:rPr>
              <w:t>Stakeholder Engagement</w:t>
            </w:r>
          </w:p>
        </w:tc>
        <w:tc>
          <w:tcPr>
            <w:tcW w:w="1701" w:type="dxa"/>
          </w:tcPr>
          <w:p w14:paraId="43B75E94" w14:textId="77777777" w:rsidR="008F3FCD" w:rsidRPr="000D5F03" w:rsidRDefault="000E7526"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6 Months</w:t>
            </w:r>
          </w:p>
        </w:tc>
      </w:tr>
      <w:tr w:rsidR="000E7526" w:rsidRPr="000D5F03" w14:paraId="7DE0CA87" w14:textId="77777777" w:rsidTr="006A57DE">
        <w:tc>
          <w:tcPr>
            <w:tcW w:w="6204" w:type="dxa"/>
          </w:tcPr>
          <w:p w14:paraId="55D395AA" w14:textId="4A39AD18" w:rsidR="000E7526" w:rsidRPr="000D5F03" w:rsidRDefault="006538A3" w:rsidP="000D5F03">
            <w:pPr>
              <w:spacing w:line="360" w:lineRule="auto"/>
              <w:jc w:val="both"/>
              <w:rPr>
                <w:rFonts w:ascii="Times New Roman" w:hAnsi="Times New Roman" w:cs="Times New Roman"/>
                <w:sz w:val="24"/>
                <w:szCs w:val="24"/>
              </w:rPr>
            </w:pPr>
            <w:r w:rsidRPr="000D5F03">
              <w:rPr>
                <w:rFonts w:ascii="Times New Roman" w:eastAsia="Times New Roman" w:hAnsi="Times New Roman" w:cs="Times New Roman"/>
                <w:color w:val="001F00"/>
                <w:sz w:val="24"/>
                <w:szCs w:val="24"/>
              </w:rPr>
              <w:t>The Department must evaluate its debt collection policy and ensure it is consistent with sound finance management principles (minimize collection</w:t>
            </w:r>
            <w:r w:rsidR="00146B5E" w:rsidRPr="000D5F03">
              <w:rPr>
                <w:rFonts w:ascii="Times New Roman" w:eastAsia="Times New Roman" w:hAnsi="Times New Roman" w:cs="Times New Roman"/>
                <w:color w:val="001F00"/>
                <w:sz w:val="24"/>
                <w:szCs w:val="24"/>
              </w:rPr>
              <w:t xml:space="preserve"> perio</w:t>
            </w:r>
            <w:r w:rsidR="003A17FD" w:rsidRPr="000D5F03">
              <w:rPr>
                <w:rFonts w:ascii="Times New Roman" w:eastAsia="Times New Roman" w:hAnsi="Times New Roman" w:cs="Times New Roman"/>
                <w:color w:val="001F00"/>
                <w:sz w:val="24"/>
                <w:szCs w:val="24"/>
              </w:rPr>
              <w:t>d</w:t>
            </w:r>
            <w:r w:rsidRPr="000D5F03">
              <w:rPr>
                <w:rFonts w:ascii="Times New Roman" w:eastAsia="Times New Roman" w:hAnsi="Times New Roman" w:cs="Times New Roman"/>
                <w:color w:val="001F00"/>
                <w:sz w:val="24"/>
                <w:szCs w:val="24"/>
              </w:rPr>
              <w:t>, while maximizing payment cycle).</w:t>
            </w:r>
          </w:p>
        </w:tc>
        <w:tc>
          <w:tcPr>
            <w:tcW w:w="1842" w:type="dxa"/>
          </w:tcPr>
          <w:p w14:paraId="31216EC1" w14:textId="508F6F70" w:rsidR="000E7526" w:rsidRPr="000D5F03" w:rsidRDefault="006538A3"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Enhance Efficiency</w:t>
            </w:r>
          </w:p>
        </w:tc>
        <w:tc>
          <w:tcPr>
            <w:tcW w:w="1701" w:type="dxa"/>
          </w:tcPr>
          <w:p w14:paraId="6AA2AD57" w14:textId="205D28FA" w:rsidR="000E7526" w:rsidRPr="000D5F03" w:rsidRDefault="006538A3"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12 Moths</w:t>
            </w:r>
          </w:p>
        </w:tc>
      </w:tr>
      <w:tr w:rsidR="000E7526" w:rsidRPr="000D5F03" w14:paraId="028B02ED" w14:textId="77777777" w:rsidTr="006A57DE">
        <w:tc>
          <w:tcPr>
            <w:tcW w:w="6204" w:type="dxa"/>
          </w:tcPr>
          <w:p w14:paraId="33C69AC6" w14:textId="7ABDCA85" w:rsidR="000E7526" w:rsidRPr="000D5F03" w:rsidRDefault="006538A3" w:rsidP="000D5F03">
            <w:pPr>
              <w:spacing w:line="360" w:lineRule="auto"/>
              <w:rPr>
                <w:rFonts w:ascii="Times New Roman" w:hAnsi="Times New Roman" w:cs="Times New Roman"/>
                <w:sz w:val="24"/>
                <w:szCs w:val="24"/>
              </w:rPr>
            </w:pPr>
            <w:r w:rsidRPr="000D5F03">
              <w:rPr>
                <w:rFonts w:ascii="Times New Roman" w:hAnsi="Times New Roman" w:cs="Times New Roman"/>
                <w:sz w:val="24"/>
                <w:szCs w:val="24"/>
              </w:rPr>
              <w:t xml:space="preserve">The SDT and SADPMR present its proposed legislative amendments to the Committee so they </w:t>
            </w:r>
            <w:proofErr w:type="gramStart"/>
            <w:r w:rsidRPr="000D5F03">
              <w:rPr>
                <w:rFonts w:ascii="Times New Roman" w:hAnsi="Times New Roman" w:cs="Times New Roman"/>
                <w:sz w:val="24"/>
                <w:szCs w:val="24"/>
              </w:rPr>
              <w:t>can be considered and processed accordingly</w:t>
            </w:r>
            <w:proofErr w:type="gramEnd"/>
            <w:r w:rsidRPr="000D5F03">
              <w:rPr>
                <w:rFonts w:ascii="Times New Roman" w:hAnsi="Times New Roman" w:cs="Times New Roman"/>
                <w:sz w:val="24"/>
                <w:szCs w:val="24"/>
              </w:rPr>
              <w:t>.</w:t>
            </w:r>
          </w:p>
        </w:tc>
        <w:tc>
          <w:tcPr>
            <w:tcW w:w="1842" w:type="dxa"/>
          </w:tcPr>
          <w:p w14:paraId="652C6FF9" w14:textId="29B2FDD8" w:rsidR="000E7526" w:rsidRPr="000D5F03" w:rsidRDefault="008B4C12"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 xml:space="preserve">Facilitate </w:t>
            </w:r>
            <w:r w:rsidR="006538A3" w:rsidRPr="000D5F03">
              <w:rPr>
                <w:rFonts w:ascii="Times New Roman" w:hAnsi="Times New Roman" w:cs="Times New Roman"/>
                <w:color w:val="001F00"/>
                <w:sz w:val="24"/>
                <w:szCs w:val="24"/>
              </w:rPr>
              <w:t>Legislative Agenda</w:t>
            </w:r>
          </w:p>
        </w:tc>
        <w:tc>
          <w:tcPr>
            <w:tcW w:w="1701" w:type="dxa"/>
          </w:tcPr>
          <w:p w14:paraId="74D09FAF" w14:textId="77777777" w:rsidR="000E7526" w:rsidRPr="000D5F03" w:rsidRDefault="008B4C12"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10 Months</w:t>
            </w:r>
          </w:p>
        </w:tc>
      </w:tr>
      <w:tr w:rsidR="000E7526" w:rsidRPr="000D5F03" w14:paraId="6A2482EB" w14:textId="77777777" w:rsidTr="006A57DE">
        <w:tc>
          <w:tcPr>
            <w:tcW w:w="6204" w:type="dxa"/>
          </w:tcPr>
          <w:p w14:paraId="29FBE570" w14:textId="5DD11E29" w:rsidR="000E7526" w:rsidRPr="000D5F03" w:rsidRDefault="006538A3" w:rsidP="000D5F03">
            <w:pPr>
              <w:spacing w:line="360" w:lineRule="auto"/>
              <w:rPr>
                <w:rFonts w:ascii="Times New Roman" w:hAnsi="Times New Roman" w:cs="Times New Roman"/>
                <w:sz w:val="24"/>
                <w:szCs w:val="24"/>
              </w:rPr>
            </w:pPr>
            <w:r w:rsidRPr="000D5F03">
              <w:rPr>
                <w:rFonts w:ascii="Times New Roman" w:hAnsi="Times New Roman" w:cs="Times New Roman"/>
                <w:sz w:val="24"/>
                <w:szCs w:val="24"/>
              </w:rPr>
              <w:t xml:space="preserve">SADPMR to consider </w:t>
            </w:r>
            <w:proofErr w:type="gramStart"/>
            <w:r w:rsidRPr="000D5F03">
              <w:rPr>
                <w:rFonts w:ascii="Times New Roman" w:hAnsi="Times New Roman" w:cs="Times New Roman"/>
                <w:sz w:val="24"/>
                <w:szCs w:val="24"/>
              </w:rPr>
              <w:t>reducing  (</w:t>
            </w:r>
            <w:proofErr w:type="gramEnd"/>
            <w:r w:rsidRPr="000D5F03">
              <w:rPr>
                <w:rFonts w:ascii="Times New Roman" w:hAnsi="Times New Roman" w:cs="Times New Roman"/>
                <w:sz w:val="24"/>
                <w:szCs w:val="24"/>
              </w:rPr>
              <w:t>schedule) the number of Board meetings held in a cost effective manner.</w:t>
            </w:r>
          </w:p>
        </w:tc>
        <w:tc>
          <w:tcPr>
            <w:tcW w:w="1842" w:type="dxa"/>
          </w:tcPr>
          <w:p w14:paraId="3F9DBB07" w14:textId="52C11F5C" w:rsidR="000E7526" w:rsidRPr="000D5F03" w:rsidRDefault="006538A3"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Enhance Cost Effectiveness</w:t>
            </w:r>
          </w:p>
        </w:tc>
        <w:tc>
          <w:tcPr>
            <w:tcW w:w="1701" w:type="dxa"/>
          </w:tcPr>
          <w:p w14:paraId="211CD502" w14:textId="77777777" w:rsidR="000E7526" w:rsidRPr="000D5F03" w:rsidRDefault="008B4C12"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10 Months</w:t>
            </w:r>
          </w:p>
        </w:tc>
      </w:tr>
      <w:tr w:rsidR="000E7526" w:rsidRPr="000D5F03" w14:paraId="325E2A33" w14:textId="77777777" w:rsidTr="006A57DE">
        <w:tc>
          <w:tcPr>
            <w:tcW w:w="6204" w:type="dxa"/>
          </w:tcPr>
          <w:p w14:paraId="15BF5F5E" w14:textId="09B845D5" w:rsidR="000E7526" w:rsidRPr="000D5F03" w:rsidRDefault="006538A3" w:rsidP="000D5F03">
            <w:pPr>
              <w:spacing w:line="360" w:lineRule="auto"/>
              <w:rPr>
                <w:rFonts w:ascii="Times New Roman" w:hAnsi="Times New Roman" w:cs="Times New Roman"/>
                <w:sz w:val="24"/>
                <w:szCs w:val="24"/>
              </w:rPr>
            </w:pPr>
            <w:bookmarkStart w:id="3" w:name="_Hlk21840694"/>
            <w:proofErr w:type="gramStart"/>
            <w:r w:rsidRPr="000D5F03">
              <w:rPr>
                <w:rFonts w:ascii="Times New Roman" w:hAnsi="Times New Roman" w:cs="Times New Roman"/>
                <w:sz w:val="24"/>
                <w:szCs w:val="24"/>
              </w:rPr>
              <w:t xml:space="preserve">Treasury to restore MTEF funding of the CGS in the short term, while securing R300 million baseline funding for the medium to long term in order to ensure that the entity is able to meet its mandate which is long term in nature and </w:t>
            </w:r>
            <w:r w:rsidR="00B93FCD" w:rsidRPr="000D5F03">
              <w:rPr>
                <w:rFonts w:ascii="Times New Roman" w:hAnsi="Times New Roman" w:cs="Times New Roman"/>
                <w:sz w:val="24"/>
                <w:szCs w:val="24"/>
              </w:rPr>
              <w:t>scope, including</w:t>
            </w:r>
            <w:r w:rsidR="000D5A88" w:rsidRPr="000D5F03">
              <w:rPr>
                <w:rFonts w:ascii="Times New Roman" w:hAnsi="Times New Roman" w:cs="Times New Roman"/>
                <w:sz w:val="24"/>
                <w:szCs w:val="24"/>
              </w:rPr>
              <w:t xml:space="preserve"> the funding model that accommodate the National Key Point d</w:t>
            </w:r>
            <w:r w:rsidR="00B93FCD" w:rsidRPr="000D5F03">
              <w:rPr>
                <w:rFonts w:ascii="Times New Roman" w:hAnsi="Times New Roman" w:cs="Times New Roman"/>
                <w:sz w:val="24"/>
                <w:szCs w:val="24"/>
              </w:rPr>
              <w:t>esignation of the entity, in order to ensure compliance.</w:t>
            </w:r>
            <w:bookmarkEnd w:id="3"/>
            <w:proofErr w:type="gramEnd"/>
          </w:p>
        </w:tc>
        <w:tc>
          <w:tcPr>
            <w:tcW w:w="1842" w:type="dxa"/>
          </w:tcPr>
          <w:p w14:paraId="69BA6580" w14:textId="39F1FCA6" w:rsidR="000E7526" w:rsidRPr="000D5F03" w:rsidRDefault="006538A3"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Enhance Financial Sustainability</w:t>
            </w:r>
          </w:p>
        </w:tc>
        <w:tc>
          <w:tcPr>
            <w:tcW w:w="1701" w:type="dxa"/>
          </w:tcPr>
          <w:p w14:paraId="2ED4BCDD" w14:textId="1754BA9A" w:rsidR="000E7526" w:rsidRPr="000D5F03" w:rsidRDefault="006538A3"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6 Months</w:t>
            </w:r>
          </w:p>
        </w:tc>
      </w:tr>
      <w:tr w:rsidR="00E37AB4" w:rsidRPr="000D5F03" w14:paraId="4B4FB726" w14:textId="77777777" w:rsidTr="006A57DE">
        <w:tc>
          <w:tcPr>
            <w:tcW w:w="6204" w:type="dxa"/>
          </w:tcPr>
          <w:p w14:paraId="6185BE0B" w14:textId="7898429B" w:rsidR="00E37AB4" w:rsidRPr="000D5F03" w:rsidRDefault="006A57DE" w:rsidP="000D5F03">
            <w:pPr>
              <w:spacing w:line="360" w:lineRule="auto"/>
              <w:rPr>
                <w:rFonts w:ascii="Times New Roman" w:hAnsi="Times New Roman" w:cs="Times New Roman"/>
                <w:sz w:val="24"/>
                <w:szCs w:val="24"/>
              </w:rPr>
            </w:pPr>
            <w:r w:rsidRPr="000D5F03">
              <w:rPr>
                <w:rFonts w:ascii="Times New Roman" w:hAnsi="Times New Roman" w:cs="Times New Roman"/>
                <w:sz w:val="24"/>
                <w:szCs w:val="24"/>
              </w:rPr>
              <w:t>Carefully consider the issue of overlapping mandates between entities during the merger process and provide the Committee with the outcome of the above analysis as well as any applicable legislative proposals.</w:t>
            </w:r>
          </w:p>
        </w:tc>
        <w:tc>
          <w:tcPr>
            <w:tcW w:w="1842" w:type="dxa"/>
          </w:tcPr>
          <w:p w14:paraId="62D88BD4" w14:textId="6726F658" w:rsidR="00E37AB4" w:rsidRPr="000D5F03" w:rsidRDefault="006A57DE"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Enhance Efficiency</w:t>
            </w:r>
          </w:p>
        </w:tc>
        <w:tc>
          <w:tcPr>
            <w:tcW w:w="1701" w:type="dxa"/>
          </w:tcPr>
          <w:p w14:paraId="28792A12" w14:textId="77777777" w:rsidR="00E37AB4" w:rsidRPr="000D5F03" w:rsidRDefault="008B4C12"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6 Months</w:t>
            </w:r>
          </w:p>
        </w:tc>
      </w:tr>
      <w:tr w:rsidR="00E502E5" w:rsidRPr="000D5F03" w14:paraId="68200C23" w14:textId="77777777" w:rsidTr="003B0B11">
        <w:tc>
          <w:tcPr>
            <w:tcW w:w="6204" w:type="dxa"/>
            <w:shd w:val="clear" w:color="auto" w:fill="auto"/>
          </w:tcPr>
          <w:p w14:paraId="239F5E76" w14:textId="3AFD7B86" w:rsidR="00E502E5" w:rsidRPr="000D5F03" w:rsidRDefault="00E502E5" w:rsidP="000D5F03">
            <w:pPr>
              <w:spacing w:line="360" w:lineRule="auto"/>
              <w:rPr>
                <w:rFonts w:ascii="Times New Roman" w:hAnsi="Times New Roman" w:cs="Times New Roman"/>
                <w:sz w:val="24"/>
                <w:szCs w:val="24"/>
              </w:rPr>
            </w:pPr>
            <w:r w:rsidRPr="000D5F03">
              <w:rPr>
                <w:rFonts w:ascii="Times New Roman" w:hAnsi="Times New Roman" w:cs="Times New Roman"/>
                <w:sz w:val="24"/>
                <w:szCs w:val="24"/>
              </w:rPr>
              <w:t>DMRE should present a plan on how it intends to fix the</w:t>
            </w:r>
            <w:r w:rsidR="000D5A88" w:rsidRPr="000D5F03">
              <w:rPr>
                <w:rFonts w:ascii="Times New Roman" w:hAnsi="Times New Roman" w:cs="Times New Roman"/>
                <w:sz w:val="24"/>
                <w:szCs w:val="24"/>
              </w:rPr>
              <w:t xml:space="preserve"> inefficiencies on the</w:t>
            </w:r>
            <w:r w:rsidRPr="000D5F03">
              <w:rPr>
                <w:rFonts w:ascii="Times New Roman" w:hAnsi="Times New Roman" w:cs="Times New Roman"/>
                <w:sz w:val="24"/>
                <w:szCs w:val="24"/>
              </w:rPr>
              <w:t xml:space="preserve"> </w:t>
            </w:r>
            <w:proofErr w:type="spellStart"/>
            <w:r w:rsidRPr="000D5F03">
              <w:rPr>
                <w:rFonts w:ascii="Times New Roman" w:hAnsi="Times New Roman" w:cs="Times New Roman"/>
                <w:sz w:val="24"/>
                <w:szCs w:val="24"/>
              </w:rPr>
              <w:t>Samrad</w:t>
            </w:r>
            <w:proofErr w:type="spellEnd"/>
            <w:r w:rsidRPr="000D5F03">
              <w:rPr>
                <w:rFonts w:ascii="Times New Roman" w:hAnsi="Times New Roman" w:cs="Times New Roman"/>
                <w:sz w:val="24"/>
                <w:szCs w:val="24"/>
              </w:rPr>
              <w:t xml:space="preserve"> system</w:t>
            </w:r>
            <w:r w:rsidR="000D5A88" w:rsidRPr="000D5F03">
              <w:rPr>
                <w:rFonts w:ascii="Times New Roman" w:hAnsi="Times New Roman" w:cs="Times New Roman"/>
                <w:sz w:val="24"/>
                <w:szCs w:val="24"/>
              </w:rPr>
              <w:t>.</w:t>
            </w:r>
          </w:p>
        </w:tc>
        <w:tc>
          <w:tcPr>
            <w:tcW w:w="1842" w:type="dxa"/>
            <w:shd w:val="clear" w:color="auto" w:fill="auto"/>
          </w:tcPr>
          <w:p w14:paraId="33F78AF7" w14:textId="12347505" w:rsidR="00E502E5" w:rsidRPr="000D5F03" w:rsidRDefault="00E502E5"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Enhance Efficie</w:t>
            </w:r>
            <w:r w:rsidR="00FF269D" w:rsidRPr="000D5F03">
              <w:rPr>
                <w:rFonts w:ascii="Times New Roman" w:hAnsi="Times New Roman" w:cs="Times New Roman"/>
                <w:color w:val="001F00"/>
                <w:sz w:val="24"/>
                <w:szCs w:val="24"/>
              </w:rPr>
              <w:t>ncy</w:t>
            </w:r>
            <w:r w:rsidRPr="000D5F03">
              <w:rPr>
                <w:rFonts w:ascii="Times New Roman" w:hAnsi="Times New Roman" w:cs="Times New Roman"/>
                <w:color w:val="001F00"/>
                <w:sz w:val="24"/>
                <w:szCs w:val="24"/>
              </w:rPr>
              <w:t xml:space="preserve"> and transparency</w:t>
            </w:r>
          </w:p>
        </w:tc>
        <w:tc>
          <w:tcPr>
            <w:tcW w:w="1701" w:type="dxa"/>
            <w:shd w:val="clear" w:color="auto" w:fill="auto"/>
          </w:tcPr>
          <w:p w14:paraId="3A9B051D" w14:textId="0357864A" w:rsidR="00E502E5" w:rsidRPr="000D5F03" w:rsidRDefault="00E502E5"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6 months</w:t>
            </w:r>
          </w:p>
        </w:tc>
      </w:tr>
      <w:tr w:rsidR="00E502E5" w:rsidRPr="000D5F03" w14:paraId="073F06FF" w14:textId="77777777" w:rsidTr="00E502E5">
        <w:tc>
          <w:tcPr>
            <w:tcW w:w="6204" w:type="dxa"/>
            <w:shd w:val="clear" w:color="auto" w:fill="auto"/>
          </w:tcPr>
          <w:p w14:paraId="591EA37D" w14:textId="122A328D" w:rsidR="00E502E5" w:rsidRPr="000D5F03" w:rsidRDefault="00E502E5" w:rsidP="000D5F03">
            <w:pPr>
              <w:spacing w:line="360" w:lineRule="auto"/>
              <w:rPr>
                <w:rFonts w:ascii="Times New Roman" w:hAnsi="Times New Roman" w:cs="Times New Roman"/>
                <w:sz w:val="24"/>
                <w:szCs w:val="24"/>
              </w:rPr>
            </w:pPr>
            <w:r w:rsidRPr="000D5F03">
              <w:rPr>
                <w:rFonts w:ascii="Times New Roman" w:hAnsi="Times New Roman" w:cs="Times New Roman"/>
                <w:sz w:val="24"/>
                <w:szCs w:val="24"/>
              </w:rPr>
              <w:t>DMRE should present comprehensive plan of legislative e programme and timelines</w:t>
            </w:r>
          </w:p>
        </w:tc>
        <w:tc>
          <w:tcPr>
            <w:tcW w:w="1842" w:type="dxa"/>
            <w:shd w:val="clear" w:color="auto" w:fill="auto"/>
          </w:tcPr>
          <w:p w14:paraId="0772DE29" w14:textId="51A4DB90" w:rsidR="00E502E5" w:rsidRPr="000D5F03" w:rsidRDefault="00E502E5"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Transparency</w:t>
            </w:r>
          </w:p>
        </w:tc>
        <w:tc>
          <w:tcPr>
            <w:tcW w:w="1701" w:type="dxa"/>
            <w:shd w:val="clear" w:color="auto" w:fill="auto"/>
          </w:tcPr>
          <w:p w14:paraId="5CC18603" w14:textId="0F13386D" w:rsidR="00E502E5" w:rsidRPr="000D5F03" w:rsidRDefault="00E502E5" w:rsidP="000D5F03">
            <w:pPr>
              <w:spacing w:line="360" w:lineRule="auto"/>
              <w:jc w:val="both"/>
              <w:rPr>
                <w:rFonts w:ascii="Times New Roman" w:hAnsi="Times New Roman" w:cs="Times New Roman"/>
                <w:color w:val="001F00"/>
                <w:sz w:val="24"/>
                <w:szCs w:val="24"/>
              </w:rPr>
            </w:pPr>
            <w:r w:rsidRPr="000D5F03">
              <w:rPr>
                <w:rFonts w:ascii="Times New Roman" w:hAnsi="Times New Roman" w:cs="Times New Roman"/>
                <w:color w:val="001F00"/>
                <w:sz w:val="24"/>
                <w:szCs w:val="24"/>
              </w:rPr>
              <w:t>3 months</w:t>
            </w:r>
          </w:p>
        </w:tc>
      </w:tr>
    </w:tbl>
    <w:p w14:paraId="6CE63BCE" w14:textId="77777777" w:rsidR="009E10FE" w:rsidRPr="000D5F03" w:rsidRDefault="009E10FE" w:rsidP="000D5F03">
      <w:pPr>
        <w:spacing w:line="360" w:lineRule="auto"/>
        <w:jc w:val="both"/>
        <w:rPr>
          <w:rFonts w:ascii="Times New Roman" w:hAnsi="Times New Roman"/>
          <w:color w:val="001F00"/>
          <w:sz w:val="24"/>
          <w:szCs w:val="24"/>
        </w:rPr>
      </w:pPr>
    </w:p>
    <w:p w14:paraId="57914FD6" w14:textId="77777777" w:rsidR="009E10FE" w:rsidRPr="000D5F03" w:rsidRDefault="009E10FE" w:rsidP="000D5F03">
      <w:pPr>
        <w:spacing w:line="360" w:lineRule="auto"/>
        <w:jc w:val="both"/>
        <w:rPr>
          <w:rFonts w:ascii="Times New Roman" w:hAnsi="Times New Roman"/>
          <w:b/>
          <w:sz w:val="24"/>
          <w:szCs w:val="24"/>
          <w:u w:val="single"/>
        </w:rPr>
      </w:pPr>
      <w:r w:rsidRPr="000D5F03">
        <w:rPr>
          <w:rFonts w:ascii="Times New Roman" w:hAnsi="Times New Roman"/>
          <w:b/>
          <w:sz w:val="24"/>
          <w:szCs w:val="24"/>
          <w:u w:val="single"/>
        </w:rPr>
        <w:t>Summary of recommendations with financial implications</w:t>
      </w:r>
    </w:p>
    <w:p w14:paraId="7CB0A446" w14:textId="77777777" w:rsidR="00C20B4E" w:rsidRPr="000D5F03" w:rsidRDefault="00C20B4E" w:rsidP="000D5F03">
      <w:pPr>
        <w:spacing w:line="360" w:lineRule="auto"/>
        <w:jc w:val="both"/>
        <w:rPr>
          <w:rFonts w:ascii="Times New Roman" w:hAnsi="Times New Roman"/>
          <w:sz w:val="24"/>
          <w:szCs w:val="24"/>
        </w:rPr>
      </w:pPr>
    </w:p>
    <w:p w14:paraId="6D014BA9" w14:textId="514B9AE1" w:rsidR="00863CB3" w:rsidRPr="000D5F03" w:rsidRDefault="006A57DE" w:rsidP="000D5F03">
      <w:pPr>
        <w:pStyle w:val="ListParagraph"/>
        <w:numPr>
          <w:ilvl w:val="0"/>
          <w:numId w:val="29"/>
        </w:numPr>
        <w:tabs>
          <w:tab w:val="left" w:pos="284"/>
        </w:tabs>
        <w:spacing w:line="360" w:lineRule="auto"/>
        <w:ind w:left="284" w:hanging="284"/>
        <w:jc w:val="both"/>
        <w:rPr>
          <w:rFonts w:ascii="Times New Roman" w:hAnsi="Times New Roman"/>
          <w:sz w:val="24"/>
          <w:szCs w:val="24"/>
        </w:rPr>
      </w:pPr>
      <w:proofErr w:type="gramStart"/>
      <w:r w:rsidRPr="000D5F03">
        <w:rPr>
          <w:rFonts w:ascii="Times New Roman" w:hAnsi="Times New Roman"/>
          <w:sz w:val="24"/>
          <w:szCs w:val="24"/>
        </w:rPr>
        <w:t>Treasury to restore MTEF funding of the CGS in the short term, while securing R300 million baseline funding for the medium to long term in order to ensure that the entity is able to meet its mandate which is long term in nature and scope</w:t>
      </w:r>
      <w:r w:rsidR="00E502E5" w:rsidRPr="000D5F03">
        <w:rPr>
          <w:rFonts w:ascii="Times New Roman" w:hAnsi="Times New Roman"/>
          <w:sz w:val="24"/>
          <w:szCs w:val="24"/>
        </w:rPr>
        <w:t xml:space="preserve"> including </w:t>
      </w:r>
      <w:r w:rsidR="000D5A88" w:rsidRPr="000D5F03">
        <w:rPr>
          <w:rFonts w:ascii="Times New Roman" w:hAnsi="Times New Roman"/>
          <w:sz w:val="24"/>
          <w:szCs w:val="24"/>
        </w:rPr>
        <w:t>the</w:t>
      </w:r>
      <w:r w:rsidR="00E502E5" w:rsidRPr="000D5F03">
        <w:rPr>
          <w:rFonts w:ascii="Times New Roman" w:hAnsi="Times New Roman"/>
          <w:sz w:val="24"/>
          <w:szCs w:val="24"/>
        </w:rPr>
        <w:t xml:space="preserve"> funding model </w:t>
      </w:r>
      <w:r w:rsidR="000D5A88" w:rsidRPr="000D5F03">
        <w:rPr>
          <w:rFonts w:ascii="Times New Roman" w:hAnsi="Times New Roman"/>
          <w:sz w:val="24"/>
          <w:szCs w:val="24"/>
        </w:rPr>
        <w:t xml:space="preserve">that accommodate </w:t>
      </w:r>
      <w:r w:rsidR="00B93FCD" w:rsidRPr="000D5F03">
        <w:rPr>
          <w:rFonts w:ascii="Times New Roman" w:hAnsi="Times New Roman"/>
          <w:sz w:val="24"/>
          <w:szCs w:val="24"/>
        </w:rPr>
        <w:t>the</w:t>
      </w:r>
      <w:r w:rsidR="000D5A88" w:rsidRPr="000D5F03">
        <w:rPr>
          <w:rFonts w:ascii="Times New Roman" w:hAnsi="Times New Roman"/>
          <w:sz w:val="24"/>
          <w:szCs w:val="24"/>
        </w:rPr>
        <w:t xml:space="preserve"> National Key </w:t>
      </w:r>
      <w:r w:rsidR="003B0B11" w:rsidRPr="000D5F03">
        <w:rPr>
          <w:rFonts w:ascii="Times New Roman" w:hAnsi="Times New Roman"/>
          <w:sz w:val="24"/>
          <w:szCs w:val="24"/>
        </w:rPr>
        <w:t>Point designation</w:t>
      </w:r>
      <w:r w:rsidR="000D5A88" w:rsidRPr="000D5F03">
        <w:rPr>
          <w:rFonts w:ascii="Times New Roman" w:hAnsi="Times New Roman"/>
          <w:sz w:val="24"/>
          <w:szCs w:val="24"/>
        </w:rPr>
        <w:t xml:space="preserve"> of the entity</w:t>
      </w:r>
      <w:r w:rsidR="00B93FCD" w:rsidRPr="000D5F03">
        <w:rPr>
          <w:rFonts w:ascii="Times New Roman" w:hAnsi="Times New Roman"/>
          <w:sz w:val="24"/>
          <w:szCs w:val="24"/>
        </w:rPr>
        <w:t>, in order to ensure compliance</w:t>
      </w:r>
      <w:r w:rsidR="000D5A88" w:rsidRPr="000D5F03">
        <w:rPr>
          <w:rFonts w:ascii="Times New Roman" w:hAnsi="Times New Roman"/>
          <w:sz w:val="24"/>
          <w:szCs w:val="24"/>
        </w:rPr>
        <w:t>.</w:t>
      </w:r>
      <w:proofErr w:type="gramEnd"/>
      <w:r w:rsidR="00E502E5" w:rsidRPr="000D5F03">
        <w:rPr>
          <w:rFonts w:ascii="Times New Roman" w:hAnsi="Times New Roman"/>
          <w:sz w:val="24"/>
          <w:szCs w:val="24"/>
        </w:rPr>
        <w:t xml:space="preserve"> </w:t>
      </w:r>
      <w:r w:rsidR="00FF269D" w:rsidRPr="000D5F03">
        <w:rPr>
          <w:rFonts w:ascii="Times New Roman" w:hAnsi="Times New Roman"/>
          <w:sz w:val="24"/>
          <w:szCs w:val="24"/>
        </w:rPr>
        <w:t>a</w:t>
      </w:r>
    </w:p>
    <w:p w14:paraId="0890D644" w14:textId="77777777" w:rsidR="00570325" w:rsidRPr="000D5F03" w:rsidRDefault="00570325" w:rsidP="000D5F03">
      <w:pPr>
        <w:pStyle w:val="ListParagraph"/>
        <w:spacing w:line="360" w:lineRule="auto"/>
        <w:jc w:val="both"/>
        <w:rPr>
          <w:rFonts w:ascii="Times New Roman" w:hAnsi="Times New Roman"/>
          <w:sz w:val="24"/>
          <w:szCs w:val="24"/>
        </w:rPr>
      </w:pPr>
    </w:p>
    <w:p w14:paraId="65C07D2A" w14:textId="77777777" w:rsidR="009E10FE" w:rsidRPr="000D5F03" w:rsidRDefault="001C4FBB" w:rsidP="000D5F03">
      <w:pPr>
        <w:spacing w:line="360" w:lineRule="auto"/>
        <w:jc w:val="both"/>
        <w:rPr>
          <w:rFonts w:ascii="Times New Roman" w:hAnsi="Times New Roman"/>
          <w:b/>
          <w:sz w:val="24"/>
          <w:szCs w:val="24"/>
          <w:u w:val="single"/>
        </w:rPr>
      </w:pPr>
      <w:r w:rsidRPr="000D5F03">
        <w:rPr>
          <w:rFonts w:ascii="Times New Roman" w:hAnsi="Times New Roman"/>
          <w:b/>
          <w:sz w:val="24"/>
          <w:szCs w:val="24"/>
        </w:rPr>
        <w:t>11</w:t>
      </w:r>
      <w:r w:rsidR="009E10FE" w:rsidRPr="000D5F03">
        <w:rPr>
          <w:rFonts w:ascii="Times New Roman" w:hAnsi="Times New Roman"/>
          <w:b/>
          <w:sz w:val="24"/>
          <w:szCs w:val="24"/>
        </w:rPr>
        <w:t xml:space="preserve">. </w:t>
      </w:r>
      <w:r w:rsidR="009E10FE" w:rsidRPr="000D5F03">
        <w:rPr>
          <w:rFonts w:ascii="Times New Roman" w:hAnsi="Times New Roman"/>
          <w:b/>
          <w:sz w:val="24"/>
          <w:szCs w:val="24"/>
        </w:rPr>
        <w:tab/>
      </w:r>
      <w:r w:rsidR="009E10FE" w:rsidRPr="000D5F03">
        <w:rPr>
          <w:rFonts w:ascii="Times New Roman" w:hAnsi="Times New Roman"/>
          <w:b/>
          <w:sz w:val="24"/>
          <w:szCs w:val="24"/>
          <w:u w:val="single"/>
        </w:rPr>
        <w:t>APPRECIATION</w:t>
      </w:r>
    </w:p>
    <w:p w14:paraId="248EAE51" w14:textId="77777777" w:rsidR="009E10FE" w:rsidRPr="000D5F03" w:rsidRDefault="009E10FE" w:rsidP="000D5F03">
      <w:pPr>
        <w:spacing w:line="360" w:lineRule="auto"/>
        <w:jc w:val="both"/>
        <w:rPr>
          <w:rFonts w:ascii="Times New Roman" w:hAnsi="Times New Roman"/>
          <w:b/>
          <w:sz w:val="24"/>
          <w:szCs w:val="24"/>
        </w:rPr>
      </w:pPr>
    </w:p>
    <w:p w14:paraId="4E86ED56" w14:textId="77777777" w:rsidR="00E80F19" w:rsidRPr="000D5F03" w:rsidRDefault="00E80F19" w:rsidP="000D5F03">
      <w:pPr>
        <w:suppressAutoHyphens w:val="0"/>
        <w:autoSpaceDN/>
        <w:spacing w:line="360" w:lineRule="auto"/>
        <w:jc w:val="both"/>
        <w:textAlignment w:val="auto"/>
        <w:rPr>
          <w:rFonts w:ascii="Times New Roman" w:hAnsi="Times New Roman"/>
          <w:b/>
          <w:sz w:val="24"/>
          <w:szCs w:val="24"/>
        </w:rPr>
      </w:pPr>
    </w:p>
    <w:p w14:paraId="294BDD20" w14:textId="508B4878" w:rsidR="00E80F19" w:rsidRPr="000D5F03" w:rsidRDefault="00E80F19"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The Committee would like to thank the Minister of Mineral Resour</w:t>
      </w:r>
      <w:r w:rsidR="000D5F03">
        <w:rPr>
          <w:rFonts w:ascii="Times New Roman" w:hAnsi="Times New Roman"/>
          <w:sz w:val="24"/>
          <w:szCs w:val="24"/>
        </w:rPr>
        <w:t xml:space="preserve">ces and Energy, Mr S.G </w:t>
      </w:r>
      <w:proofErr w:type="spellStart"/>
      <w:r w:rsidR="000D5F03">
        <w:rPr>
          <w:rFonts w:ascii="Times New Roman" w:hAnsi="Times New Roman"/>
          <w:sz w:val="24"/>
          <w:szCs w:val="24"/>
        </w:rPr>
        <w:t>Mantashe</w:t>
      </w:r>
      <w:proofErr w:type="spellEnd"/>
      <w:r w:rsidR="000D5F03">
        <w:rPr>
          <w:rFonts w:ascii="Times New Roman" w:hAnsi="Times New Roman"/>
          <w:sz w:val="24"/>
          <w:szCs w:val="24"/>
        </w:rPr>
        <w:t xml:space="preserve"> </w:t>
      </w:r>
      <w:r w:rsidR="000D5F03" w:rsidRPr="000D5F03">
        <w:rPr>
          <w:rFonts w:ascii="Times New Roman" w:hAnsi="Times New Roman"/>
          <w:sz w:val="24"/>
          <w:szCs w:val="24"/>
        </w:rPr>
        <w:t>and</w:t>
      </w:r>
      <w:r w:rsidRPr="000D5F03">
        <w:rPr>
          <w:rFonts w:ascii="Times New Roman" w:hAnsi="Times New Roman"/>
          <w:sz w:val="24"/>
          <w:szCs w:val="24"/>
        </w:rPr>
        <w:t xml:space="preserve"> </w:t>
      </w:r>
      <w:r w:rsidR="000D5F03">
        <w:rPr>
          <w:rFonts w:ascii="Times New Roman" w:hAnsi="Times New Roman"/>
          <w:sz w:val="24"/>
          <w:szCs w:val="24"/>
        </w:rPr>
        <w:t xml:space="preserve">the staff of the </w:t>
      </w:r>
      <w:r w:rsidR="000D5F03" w:rsidRPr="000D5F03">
        <w:rPr>
          <w:rFonts w:ascii="Times New Roman" w:hAnsi="Times New Roman"/>
          <w:sz w:val="24"/>
          <w:szCs w:val="24"/>
        </w:rPr>
        <w:t>Department</w:t>
      </w:r>
      <w:r w:rsidRPr="000D5F03">
        <w:rPr>
          <w:rFonts w:ascii="Times New Roman" w:hAnsi="Times New Roman"/>
          <w:sz w:val="24"/>
          <w:szCs w:val="24"/>
        </w:rPr>
        <w:t>, as well as the Board Members and</w:t>
      </w:r>
      <w:r w:rsidR="000D5F03">
        <w:rPr>
          <w:rFonts w:ascii="Times New Roman" w:hAnsi="Times New Roman"/>
          <w:sz w:val="24"/>
          <w:szCs w:val="24"/>
        </w:rPr>
        <w:t xml:space="preserve"> Management of all the Entities</w:t>
      </w:r>
      <w:r w:rsidRPr="000D5F03">
        <w:rPr>
          <w:rFonts w:ascii="Times New Roman" w:hAnsi="Times New Roman"/>
          <w:sz w:val="24"/>
          <w:szCs w:val="24"/>
        </w:rPr>
        <w:t xml:space="preserve"> for their cooperation and transparency during this process. </w:t>
      </w:r>
    </w:p>
    <w:p w14:paraId="5E6EE925" w14:textId="77777777" w:rsidR="00E80F19" w:rsidRPr="000D5F03" w:rsidRDefault="00E80F19" w:rsidP="000D5F03">
      <w:pPr>
        <w:suppressAutoHyphens w:val="0"/>
        <w:autoSpaceDN/>
        <w:spacing w:line="360" w:lineRule="auto"/>
        <w:jc w:val="both"/>
        <w:textAlignment w:val="auto"/>
        <w:rPr>
          <w:rFonts w:ascii="Times New Roman" w:hAnsi="Times New Roman"/>
          <w:sz w:val="24"/>
          <w:szCs w:val="24"/>
        </w:rPr>
      </w:pPr>
    </w:p>
    <w:p w14:paraId="5FF30615" w14:textId="77777777" w:rsidR="00E80F19" w:rsidRPr="000D5F03" w:rsidRDefault="00E80F19"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The Chairperson wishes to thank all Members of the Committee for their active participation during the process of engagement and deliberations and their constructive recommendations reflected in this report. </w:t>
      </w:r>
    </w:p>
    <w:p w14:paraId="093D4513" w14:textId="77777777" w:rsidR="00E80F19" w:rsidRPr="000D5F03" w:rsidRDefault="00E80F19" w:rsidP="000D5F03">
      <w:pPr>
        <w:suppressAutoHyphens w:val="0"/>
        <w:autoSpaceDN/>
        <w:spacing w:line="360" w:lineRule="auto"/>
        <w:jc w:val="both"/>
        <w:textAlignment w:val="auto"/>
        <w:rPr>
          <w:rFonts w:ascii="Times New Roman" w:hAnsi="Times New Roman"/>
          <w:sz w:val="24"/>
          <w:szCs w:val="24"/>
        </w:rPr>
      </w:pPr>
    </w:p>
    <w:p w14:paraId="0E8F9D88" w14:textId="77777777" w:rsidR="00E80F19" w:rsidRPr="000D5F03" w:rsidRDefault="00E80F19" w:rsidP="000D5F03">
      <w:pPr>
        <w:suppressAutoHyphens w:val="0"/>
        <w:autoSpaceDN/>
        <w:spacing w:line="360" w:lineRule="auto"/>
        <w:jc w:val="both"/>
        <w:textAlignment w:val="auto"/>
        <w:rPr>
          <w:rFonts w:ascii="Times New Roman" w:hAnsi="Times New Roman"/>
          <w:sz w:val="24"/>
          <w:szCs w:val="24"/>
        </w:rPr>
      </w:pPr>
      <w:r w:rsidRPr="000D5F03">
        <w:rPr>
          <w:rFonts w:ascii="Times New Roman" w:hAnsi="Times New Roman"/>
          <w:sz w:val="24"/>
          <w:szCs w:val="24"/>
        </w:rPr>
        <w:t xml:space="preserve">The Committee also wishes to thank its support staff, in particular the Committee Secretaries, Ms </w:t>
      </w:r>
      <w:proofErr w:type="gramStart"/>
      <w:r w:rsidRPr="000D5F03">
        <w:rPr>
          <w:rFonts w:ascii="Times New Roman" w:hAnsi="Times New Roman"/>
          <w:sz w:val="24"/>
          <w:szCs w:val="24"/>
        </w:rPr>
        <w:t>A</w:t>
      </w:r>
      <w:proofErr w:type="gramEnd"/>
      <w:r w:rsidRPr="000D5F03">
        <w:rPr>
          <w:rFonts w:ascii="Times New Roman" w:hAnsi="Times New Roman"/>
          <w:sz w:val="24"/>
          <w:szCs w:val="24"/>
        </w:rPr>
        <w:t xml:space="preserve"> Boss, Mr A Kotze, the Content Advisor, Mr N </w:t>
      </w:r>
      <w:proofErr w:type="spellStart"/>
      <w:r w:rsidRPr="000D5F03">
        <w:rPr>
          <w:rFonts w:ascii="Times New Roman" w:hAnsi="Times New Roman"/>
          <w:sz w:val="24"/>
          <w:szCs w:val="24"/>
        </w:rPr>
        <w:t>Kweyama</w:t>
      </w:r>
      <w:proofErr w:type="spellEnd"/>
      <w:r w:rsidRPr="000D5F03">
        <w:rPr>
          <w:rFonts w:ascii="Times New Roman" w:hAnsi="Times New Roman"/>
          <w:sz w:val="24"/>
          <w:szCs w:val="24"/>
        </w:rPr>
        <w:t>, the Researcher, Mr S M</w:t>
      </w:r>
      <w:r w:rsidRPr="000D5F03">
        <w:rPr>
          <w:rFonts w:ascii="Times New Roman" w:hAnsi="Times New Roman"/>
          <w:sz w:val="24"/>
          <w:szCs w:val="24"/>
        </w:rPr>
        <w:t>a</w:t>
      </w:r>
      <w:r w:rsidRPr="000D5F03">
        <w:rPr>
          <w:rFonts w:ascii="Times New Roman" w:hAnsi="Times New Roman"/>
          <w:sz w:val="24"/>
          <w:szCs w:val="24"/>
        </w:rPr>
        <w:t>boda, the Committee Assistant, Ms V Makubalo and the Executive Secretary to the Chairpe</w:t>
      </w:r>
      <w:r w:rsidRPr="000D5F03">
        <w:rPr>
          <w:rFonts w:ascii="Times New Roman" w:hAnsi="Times New Roman"/>
          <w:sz w:val="24"/>
          <w:szCs w:val="24"/>
        </w:rPr>
        <w:t>r</w:t>
      </w:r>
      <w:r w:rsidRPr="000D5F03">
        <w:rPr>
          <w:rFonts w:ascii="Times New Roman" w:hAnsi="Times New Roman"/>
          <w:sz w:val="24"/>
          <w:szCs w:val="24"/>
        </w:rPr>
        <w:t>son, Ms N Baleni, for their professional support and conscientious commitment and dedic</w:t>
      </w:r>
      <w:r w:rsidRPr="000D5F03">
        <w:rPr>
          <w:rFonts w:ascii="Times New Roman" w:hAnsi="Times New Roman"/>
          <w:sz w:val="24"/>
          <w:szCs w:val="24"/>
        </w:rPr>
        <w:t>a</w:t>
      </w:r>
      <w:r w:rsidRPr="000D5F03">
        <w:rPr>
          <w:rFonts w:ascii="Times New Roman" w:hAnsi="Times New Roman"/>
          <w:sz w:val="24"/>
          <w:szCs w:val="24"/>
        </w:rPr>
        <w:t xml:space="preserve">tion to their work.  </w:t>
      </w:r>
    </w:p>
    <w:p w14:paraId="4AF6650F" w14:textId="54ECE953" w:rsidR="00E80F19" w:rsidRPr="000D5F03" w:rsidRDefault="00E80F19" w:rsidP="000D5F03">
      <w:pPr>
        <w:pStyle w:val="ListParagraph"/>
        <w:keepNext/>
        <w:keepLines/>
        <w:spacing w:line="360" w:lineRule="auto"/>
        <w:ind w:left="0"/>
        <w:jc w:val="both"/>
        <w:rPr>
          <w:rFonts w:ascii="Times New Roman" w:hAnsi="Times New Roman"/>
          <w:sz w:val="24"/>
          <w:szCs w:val="24"/>
        </w:rPr>
      </w:pPr>
    </w:p>
    <w:p w14:paraId="1FC00A1E" w14:textId="77777777" w:rsidR="00E80F19" w:rsidRPr="000D5F03" w:rsidRDefault="00E80F19" w:rsidP="000D5F03">
      <w:pPr>
        <w:pStyle w:val="ListParagraph"/>
        <w:keepNext/>
        <w:keepLines/>
        <w:spacing w:line="360" w:lineRule="auto"/>
        <w:ind w:left="0"/>
        <w:jc w:val="both"/>
        <w:rPr>
          <w:rFonts w:ascii="Times New Roman" w:hAnsi="Times New Roman"/>
          <w:sz w:val="24"/>
          <w:szCs w:val="24"/>
        </w:rPr>
      </w:pPr>
    </w:p>
    <w:p w14:paraId="40C34147" w14:textId="3B306744" w:rsidR="009E10FE" w:rsidRPr="000D5F03" w:rsidRDefault="009E10FE" w:rsidP="000D5F03">
      <w:pPr>
        <w:pStyle w:val="ListParagraph"/>
        <w:keepNext/>
        <w:keepLines/>
        <w:spacing w:line="360" w:lineRule="auto"/>
        <w:ind w:left="0"/>
        <w:jc w:val="both"/>
        <w:rPr>
          <w:rFonts w:ascii="Times New Roman" w:hAnsi="Times New Roman"/>
          <w:sz w:val="24"/>
          <w:szCs w:val="24"/>
        </w:rPr>
      </w:pPr>
      <w:r w:rsidRPr="000D5F03">
        <w:rPr>
          <w:rFonts w:ascii="Times New Roman" w:hAnsi="Times New Roman"/>
          <w:sz w:val="24"/>
          <w:szCs w:val="24"/>
        </w:rPr>
        <w:t xml:space="preserve">Report to </w:t>
      </w:r>
      <w:proofErr w:type="gramStart"/>
      <w:r w:rsidRPr="000D5F03">
        <w:rPr>
          <w:rFonts w:ascii="Times New Roman" w:hAnsi="Times New Roman"/>
          <w:sz w:val="24"/>
          <w:szCs w:val="24"/>
        </w:rPr>
        <w:t>be considered</w:t>
      </w:r>
      <w:proofErr w:type="gramEnd"/>
      <w:r w:rsidRPr="000D5F03">
        <w:rPr>
          <w:rFonts w:ascii="Times New Roman" w:hAnsi="Times New Roman"/>
          <w:sz w:val="24"/>
          <w:szCs w:val="24"/>
        </w:rPr>
        <w:t>.</w:t>
      </w:r>
    </w:p>
    <w:p w14:paraId="1DAC20C7" w14:textId="77777777" w:rsidR="009E10FE" w:rsidRPr="000D5F03" w:rsidRDefault="009E10FE" w:rsidP="000D5F03">
      <w:pPr>
        <w:spacing w:line="360" w:lineRule="auto"/>
        <w:jc w:val="both"/>
        <w:rPr>
          <w:rFonts w:ascii="Times New Roman" w:hAnsi="Times New Roman"/>
          <w:sz w:val="24"/>
          <w:szCs w:val="24"/>
        </w:rPr>
      </w:pPr>
    </w:p>
    <w:p w14:paraId="102B73A8" w14:textId="77777777" w:rsidR="002F7071" w:rsidRPr="000D5F03" w:rsidRDefault="002F7071" w:rsidP="000D5F03">
      <w:pPr>
        <w:pStyle w:val="char"/>
        <w:tabs>
          <w:tab w:val="left" w:pos="7380"/>
        </w:tabs>
        <w:spacing w:line="360" w:lineRule="auto"/>
        <w:jc w:val="both"/>
        <w:rPr>
          <w:rFonts w:ascii="Times New Roman" w:hAnsi="Times New Roman" w:cs="Times New Roman"/>
        </w:rPr>
      </w:pPr>
    </w:p>
    <w:sectPr w:rsidR="002F7071" w:rsidRPr="000D5F03" w:rsidSect="00193C19">
      <w:footerReference w:type="default" r:id="rId9"/>
      <w:headerReference w:type="first" r:id="rId10"/>
      <w:footerReference w:type="first" r:id="rId11"/>
      <w:pgSz w:w="11906" w:h="16838"/>
      <w:pgMar w:top="1438" w:right="1134" w:bottom="1191" w:left="1134" w:header="426" w:footer="535"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1F263" w14:textId="77777777" w:rsidR="00893C7E" w:rsidRDefault="00893C7E" w:rsidP="00193C19">
      <w:pPr>
        <w:spacing w:line="240" w:lineRule="auto"/>
      </w:pPr>
      <w:r>
        <w:separator/>
      </w:r>
    </w:p>
  </w:endnote>
  <w:endnote w:type="continuationSeparator" w:id="0">
    <w:p w14:paraId="36145727" w14:textId="77777777" w:rsidR="00893C7E" w:rsidRDefault="00893C7E"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ED53" w14:textId="3461CB97" w:rsidR="000D5F03" w:rsidRDefault="000D5F03">
    <w:pPr>
      <w:pStyle w:val="Footer"/>
    </w:pPr>
    <w:r>
      <w:fldChar w:fldCharType="begin"/>
    </w:r>
    <w:r>
      <w:instrText xml:space="preserve"> PAGE </w:instrText>
    </w:r>
    <w:r>
      <w:fldChar w:fldCharType="separate"/>
    </w:r>
    <w:r w:rsidR="004C12C0">
      <w:rPr>
        <w:noProof/>
      </w:rPr>
      <w:t>30</w:t>
    </w:r>
    <w:r>
      <w:rPr>
        <w:noProof/>
      </w:rPr>
      <w:fldChar w:fldCharType="end"/>
    </w:r>
  </w:p>
  <w:p w14:paraId="79E572DF" w14:textId="77777777" w:rsidR="000D5F03" w:rsidRDefault="000D5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05FF1" w14:textId="77777777" w:rsidR="000D5F03" w:rsidRDefault="000D5F03">
    <w:pPr>
      <w:pStyle w:val="Footer"/>
      <w:rPr>
        <w:sz w:val="12"/>
        <w:szCs w:val="12"/>
        <w:lang w:val="en-ZA"/>
      </w:rPr>
    </w:pPr>
    <w:r>
      <w:rPr>
        <w:sz w:val="12"/>
        <w:szCs w:val="12"/>
        <w:lang w:val="en-ZA"/>
      </w:rPr>
      <w:t xml:space="preserve">Enquiries: MS A Boss, Tel: (021) 403 – 3768, Fax: 086 691 40 </w:t>
    </w:r>
    <w:proofErr w:type="gramStart"/>
    <w:r>
      <w:rPr>
        <w:sz w:val="12"/>
        <w:szCs w:val="12"/>
        <w:lang w:val="en-ZA"/>
      </w:rPr>
      <w:t>93  ,</w:t>
    </w:r>
    <w:proofErr w:type="gramEnd"/>
    <w:r>
      <w:rPr>
        <w:sz w:val="12"/>
        <w:szCs w:val="12"/>
        <w:lang w:val="en-ZA"/>
      </w:rPr>
      <w:t xml:space="preserve"> Cell: 083 709 8515, E-mail: </w:t>
    </w:r>
    <w:hyperlink r:id="rId1" w:history="1">
      <w:r w:rsidRPr="00BF55D5">
        <w:rPr>
          <w:rStyle w:val="Hyperlink"/>
          <w:sz w:val="12"/>
          <w:szCs w:val="12"/>
          <w:lang w:val="en-ZA"/>
        </w:rPr>
        <w:t>aboss@parliament.gov.za</w:t>
      </w:r>
    </w:hyperlink>
  </w:p>
  <w:p w14:paraId="5B9D949D" w14:textId="77777777" w:rsidR="000D5F03" w:rsidRDefault="000D5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2FEB1" w14:textId="77777777" w:rsidR="00893C7E" w:rsidRDefault="00893C7E" w:rsidP="00193C19">
      <w:pPr>
        <w:spacing w:line="240" w:lineRule="auto"/>
      </w:pPr>
      <w:r w:rsidRPr="00193C19">
        <w:separator/>
      </w:r>
    </w:p>
  </w:footnote>
  <w:footnote w:type="continuationSeparator" w:id="0">
    <w:p w14:paraId="5F38BBC5" w14:textId="77777777" w:rsidR="00893C7E" w:rsidRDefault="00893C7E" w:rsidP="00193C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7D47" w14:textId="77777777" w:rsidR="000D5F03" w:rsidRDefault="000D5F03">
    <w:pPr>
      <w:pStyle w:val="Header"/>
    </w:pPr>
    <w:r>
      <w:rPr>
        <w:noProof/>
        <w:lang w:val="en-ZA" w:eastAsia="en-ZA"/>
      </w:rPr>
      <w:drawing>
        <wp:anchor distT="0" distB="0" distL="114300" distR="114300" simplePos="0" relativeHeight="251657216" behindDoc="1" locked="0" layoutInCell="1" allowOverlap="1" wp14:anchorId="28E6D06A" wp14:editId="39D639B1">
          <wp:simplePos x="0" y="0"/>
          <wp:positionH relativeFrom="page">
            <wp:posOffset>1764030</wp:posOffset>
          </wp:positionH>
          <wp:positionV relativeFrom="page">
            <wp:posOffset>3384550</wp:posOffset>
          </wp:positionV>
          <wp:extent cx="3998595" cy="3915410"/>
          <wp:effectExtent l="0" t="0" r="1905" b="8890"/>
          <wp:wrapNone/>
          <wp:docPr id="3" name="Picture 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8595" cy="39154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56"/>
    <w:multiLevelType w:val="hybridMultilevel"/>
    <w:tmpl w:val="EF124352"/>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D4681A"/>
    <w:multiLevelType w:val="multilevel"/>
    <w:tmpl w:val="5DDA0A8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2EF3F2F"/>
    <w:multiLevelType w:val="hybridMultilevel"/>
    <w:tmpl w:val="3186486C"/>
    <w:lvl w:ilvl="0" w:tplc="1C09000F">
      <w:start w:val="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6B18C6"/>
    <w:multiLevelType w:val="hybridMultilevel"/>
    <w:tmpl w:val="25826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085902"/>
    <w:multiLevelType w:val="multilevel"/>
    <w:tmpl w:val="DE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E78B4"/>
    <w:multiLevelType w:val="hybridMultilevel"/>
    <w:tmpl w:val="8102ABA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D1109F"/>
    <w:multiLevelType w:val="hybridMultilevel"/>
    <w:tmpl w:val="BB82E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90F6932"/>
    <w:multiLevelType w:val="hybridMultilevel"/>
    <w:tmpl w:val="BC9E7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8C0652"/>
    <w:multiLevelType w:val="hybridMultilevel"/>
    <w:tmpl w:val="7016653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89742F8"/>
    <w:multiLevelType w:val="hybridMultilevel"/>
    <w:tmpl w:val="37566764"/>
    <w:lvl w:ilvl="0" w:tplc="1C090001">
      <w:start w:val="1"/>
      <w:numFmt w:val="bullet"/>
      <w:pStyle w:val="Indent14p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2AA4878"/>
    <w:multiLevelType w:val="hybridMultilevel"/>
    <w:tmpl w:val="BF7C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12801"/>
    <w:multiLevelType w:val="multilevel"/>
    <w:tmpl w:val="DC64763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79741EC"/>
    <w:multiLevelType w:val="hybridMultilevel"/>
    <w:tmpl w:val="801E9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E1E2721"/>
    <w:multiLevelType w:val="hybridMultilevel"/>
    <w:tmpl w:val="B0CCF1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E28227C"/>
    <w:multiLevelType w:val="hybridMultilevel"/>
    <w:tmpl w:val="398C2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21829E7"/>
    <w:multiLevelType w:val="hybridMultilevel"/>
    <w:tmpl w:val="381CE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8613EAF"/>
    <w:multiLevelType w:val="hybridMultilevel"/>
    <w:tmpl w:val="501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D4397"/>
    <w:multiLevelType w:val="hybridMultilevel"/>
    <w:tmpl w:val="6D223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385E80"/>
    <w:multiLevelType w:val="hybridMultilevel"/>
    <w:tmpl w:val="25F473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663E28C0"/>
    <w:multiLevelType w:val="multilevel"/>
    <w:tmpl w:val="199241E4"/>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6A951211"/>
    <w:multiLevelType w:val="hybridMultilevel"/>
    <w:tmpl w:val="73342E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B9D3001"/>
    <w:multiLevelType w:val="hybridMultilevel"/>
    <w:tmpl w:val="A328C60E"/>
    <w:lvl w:ilvl="0" w:tplc="A5FE81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0F001D5"/>
    <w:multiLevelType w:val="hybridMultilevel"/>
    <w:tmpl w:val="CAC8E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4B520F0"/>
    <w:multiLevelType w:val="hybridMultilevel"/>
    <w:tmpl w:val="B29C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2D1A2C"/>
    <w:multiLevelType w:val="hybridMultilevel"/>
    <w:tmpl w:val="27263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8524636"/>
    <w:multiLevelType w:val="hybridMultilevel"/>
    <w:tmpl w:val="82A2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E07B16"/>
    <w:multiLevelType w:val="hybridMultilevel"/>
    <w:tmpl w:val="25E05FD0"/>
    <w:lvl w:ilvl="0" w:tplc="04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CE36E7B"/>
    <w:multiLevelType w:val="hybridMultilevel"/>
    <w:tmpl w:val="B15E09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E987408"/>
    <w:multiLevelType w:val="hybridMultilevel"/>
    <w:tmpl w:val="6B9C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4"/>
  </w:num>
  <w:num w:numId="4">
    <w:abstractNumId w:val="9"/>
  </w:num>
  <w:num w:numId="5">
    <w:abstractNumId w:val="27"/>
  </w:num>
  <w:num w:numId="6">
    <w:abstractNumId w:val="6"/>
  </w:num>
  <w:num w:numId="7">
    <w:abstractNumId w:val="13"/>
  </w:num>
  <w:num w:numId="8">
    <w:abstractNumId w:val="20"/>
  </w:num>
  <w:num w:numId="9">
    <w:abstractNumId w:val="10"/>
  </w:num>
  <w:num w:numId="10">
    <w:abstractNumId w:val="12"/>
  </w:num>
  <w:num w:numId="11">
    <w:abstractNumId w:val="14"/>
  </w:num>
  <w:num w:numId="12">
    <w:abstractNumId w:val="2"/>
  </w:num>
  <w:num w:numId="13">
    <w:abstractNumId w:val="22"/>
  </w:num>
  <w:num w:numId="14">
    <w:abstractNumId w:val="18"/>
  </w:num>
  <w:num w:numId="15">
    <w:abstractNumId w:val="28"/>
  </w:num>
  <w:num w:numId="16">
    <w:abstractNumId w:val="19"/>
  </w:num>
  <w:num w:numId="17">
    <w:abstractNumId w:val="26"/>
  </w:num>
  <w:num w:numId="18">
    <w:abstractNumId w:val="8"/>
  </w:num>
  <w:num w:numId="19">
    <w:abstractNumId w:val="3"/>
  </w:num>
  <w:num w:numId="20">
    <w:abstractNumId w:val="5"/>
  </w:num>
  <w:num w:numId="21">
    <w:abstractNumId w:val="0"/>
  </w:num>
  <w:num w:numId="22">
    <w:abstractNumId w:val="15"/>
  </w:num>
  <w:num w:numId="23">
    <w:abstractNumId w:val="23"/>
  </w:num>
  <w:num w:numId="24">
    <w:abstractNumId w:val="4"/>
  </w:num>
  <w:num w:numId="25">
    <w:abstractNumId w:val="17"/>
  </w:num>
  <w:num w:numId="26">
    <w:abstractNumId w:val="25"/>
  </w:num>
  <w:num w:numId="27">
    <w:abstractNumId w:val="16"/>
  </w:num>
  <w:num w:numId="28">
    <w:abstractNumId w:val="11"/>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proofState w:spelling="clean" w:grammar="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9"/>
    <w:rsid w:val="00007884"/>
    <w:rsid w:val="00007BCA"/>
    <w:rsid w:val="00011397"/>
    <w:rsid w:val="00013C99"/>
    <w:rsid w:val="00022A9E"/>
    <w:rsid w:val="00023DF2"/>
    <w:rsid w:val="00026A49"/>
    <w:rsid w:val="000309B7"/>
    <w:rsid w:val="00033368"/>
    <w:rsid w:val="00037357"/>
    <w:rsid w:val="000410CD"/>
    <w:rsid w:val="00042131"/>
    <w:rsid w:val="000428A6"/>
    <w:rsid w:val="000434EB"/>
    <w:rsid w:val="000451F5"/>
    <w:rsid w:val="00047C5E"/>
    <w:rsid w:val="0005004F"/>
    <w:rsid w:val="00052A81"/>
    <w:rsid w:val="00052A9B"/>
    <w:rsid w:val="000531AB"/>
    <w:rsid w:val="00053C72"/>
    <w:rsid w:val="000544E1"/>
    <w:rsid w:val="00056042"/>
    <w:rsid w:val="00057ECB"/>
    <w:rsid w:val="000617E2"/>
    <w:rsid w:val="00062222"/>
    <w:rsid w:val="00062324"/>
    <w:rsid w:val="00063744"/>
    <w:rsid w:val="0006779C"/>
    <w:rsid w:val="00067D6B"/>
    <w:rsid w:val="00071798"/>
    <w:rsid w:val="000719F0"/>
    <w:rsid w:val="00074969"/>
    <w:rsid w:val="00077A84"/>
    <w:rsid w:val="00081C98"/>
    <w:rsid w:val="00082B39"/>
    <w:rsid w:val="00082C30"/>
    <w:rsid w:val="00083869"/>
    <w:rsid w:val="00083F0D"/>
    <w:rsid w:val="00087085"/>
    <w:rsid w:val="00087618"/>
    <w:rsid w:val="000922FA"/>
    <w:rsid w:val="0009263B"/>
    <w:rsid w:val="000928AB"/>
    <w:rsid w:val="000936BC"/>
    <w:rsid w:val="00095162"/>
    <w:rsid w:val="00095642"/>
    <w:rsid w:val="0009629E"/>
    <w:rsid w:val="00096318"/>
    <w:rsid w:val="00097D13"/>
    <w:rsid w:val="000A3313"/>
    <w:rsid w:val="000A4CA0"/>
    <w:rsid w:val="000B1C71"/>
    <w:rsid w:val="000B24C9"/>
    <w:rsid w:val="000B45B0"/>
    <w:rsid w:val="000B52AB"/>
    <w:rsid w:val="000C2628"/>
    <w:rsid w:val="000C3C78"/>
    <w:rsid w:val="000C4314"/>
    <w:rsid w:val="000C4993"/>
    <w:rsid w:val="000C5BBC"/>
    <w:rsid w:val="000C61D1"/>
    <w:rsid w:val="000D0004"/>
    <w:rsid w:val="000D0AA4"/>
    <w:rsid w:val="000D3E74"/>
    <w:rsid w:val="000D5A88"/>
    <w:rsid w:val="000D5F03"/>
    <w:rsid w:val="000E009A"/>
    <w:rsid w:val="000E0E2A"/>
    <w:rsid w:val="000E13FF"/>
    <w:rsid w:val="000E1C14"/>
    <w:rsid w:val="000E2087"/>
    <w:rsid w:val="000E35B2"/>
    <w:rsid w:val="000E4B2A"/>
    <w:rsid w:val="000E7526"/>
    <w:rsid w:val="000F2203"/>
    <w:rsid w:val="000F493D"/>
    <w:rsid w:val="000F4A22"/>
    <w:rsid w:val="000F59F5"/>
    <w:rsid w:val="000F670C"/>
    <w:rsid w:val="000F6710"/>
    <w:rsid w:val="000F6BA1"/>
    <w:rsid w:val="00101561"/>
    <w:rsid w:val="00102B34"/>
    <w:rsid w:val="00102BE4"/>
    <w:rsid w:val="0010368D"/>
    <w:rsid w:val="00103D4A"/>
    <w:rsid w:val="001040C0"/>
    <w:rsid w:val="0010602E"/>
    <w:rsid w:val="00107404"/>
    <w:rsid w:val="0011037F"/>
    <w:rsid w:val="00112068"/>
    <w:rsid w:val="0011351F"/>
    <w:rsid w:val="00120493"/>
    <w:rsid w:val="00123712"/>
    <w:rsid w:val="00124719"/>
    <w:rsid w:val="0013131D"/>
    <w:rsid w:val="0013178C"/>
    <w:rsid w:val="00132D88"/>
    <w:rsid w:val="001331D6"/>
    <w:rsid w:val="00133A64"/>
    <w:rsid w:val="001359EB"/>
    <w:rsid w:val="00136A61"/>
    <w:rsid w:val="00140F3E"/>
    <w:rsid w:val="001416B0"/>
    <w:rsid w:val="00142A18"/>
    <w:rsid w:val="00142B6F"/>
    <w:rsid w:val="00145DAA"/>
    <w:rsid w:val="00146B5E"/>
    <w:rsid w:val="00147502"/>
    <w:rsid w:val="00151046"/>
    <w:rsid w:val="001543CF"/>
    <w:rsid w:val="00154867"/>
    <w:rsid w:val="00156FFA"/>
    <w:rsid w:val="001601E9"/>
    <w:rsid w:val="0016041C"/>
    <w:rsid w:val="00161BFA"/>
    <w:rsid w:val="00162026"/>
    <w:rsid w:val="0016347B"/>
    <w:rsid w:val="00164205"/>
    <w:rsid w:val="0016464F"/>
    <w:rsid w:val="001710F9"/>
    <w:rsid w:val="00172185"/>
    <w:rsid w:val="00172982"/>
    <w:rsid w:val="0017324E"/>
    <w:rsid w:val="00173B58"/>
    <w:rsid w:val="00173C2D"/>
    <w:rsid w:val="00174619"/>
    <w:rsid w:val="00176AAE"/>
    <w:rsid w:val="00176C26"/>
    <w:rsid w:val="00177EEB"/>
    <w:rsid w:val="00180044"/>
    <w:rsid w:val="001804B3"/>
    <w:rsid w:val="0018097A"/>
    <w:rsid w:val="00181D21"/>
    <w:rsid w:val="00183775"/>
    <w:rsid w:val="001848F8"/>
    <w:rsid w:val="0019162B"/>
    <w:rsid w:val="00193C19"/>
    <w:rsid w:val="001946E4"/>
    <w:rsid w:val="00196A29"/>
    <w:rsid w:val="00197526"/>
    <w:rsid w:val="001A09D8"/>
    <w:rsid w:val="001A7153"/>
    <w:rsid w:val="001B22BB"/>
    <w:rsid w:val="001B3DDF"/>
    <w:rsid w:val="001B424D"/>
    <w:rsid w:val="001B460B"/>
    <w:rsid w:val="001B5336"/>
    <w:rsid w:val="001B7455"/>
    <w:rsid w:val="001C04AA"/>
    <w:rsid w:val="001C4171"/>
    <w:rsid w:val="001C4FBB"/>
    <w:rsid w:val="001C73AE"/>
    <w:rsid w:val="001D231F"/>
    <w:rsid w:val="001D336A"/>
    <w:rsid w:val="001D3385"/>
    <w:rsid w:val="001D54B7"/>
    <w:rsid w:val="001D5DF2"/>
    <w:rsid w:val="001E48E3"/>
    <w:rsid w:val="001F7FE1"/>
    <w:rsid w:val="00201F4E"/>
    <w:rsid w:val="0020327D"/>
    <w:rsid w:val="00204FF7"/>
    <w:rsid w:val="00205BC1"/>
    <w:rsid w:val="00206969"/>
    <w:rsid w:val="00207634"/>
    <w:rsid w:val="002131B7"/>
    <w:rsid w:val="00214D25"/>
    <w:rsid w:val="00216210"/>
    <w:rsid w:val="002168D9"/>
    <w:rsid w:val="00216BB7"/>
    <w:rsid w:val="002175A1"/>
    <w:rsid w:val="00220B18"/>
    <w:rsid w:val="00224A5D"/>
    <w:rsid w:val="00232D64"/>
    <w:rsid w:val="00234DFB"/>
    <w:rsid w:val="00242068"/>
    <w:rsid w:val="00242882"/>
    <w:rsid w:val="00242941"/>
    <w:rsid w:val="00244809"/>
    <w:rsid w:val="002458A5"/>
    <w:rsid w:val="00247086"/>
    <w:rsid w:val="00247D15"/>
    <w:rsid w:val="002534BA"/>
    <w:rsid w:val="002568CA"/>
    <w:rsid w:val="00257579"/>
    <w:rsid w:val="00261A74"/>
    <w:rsid w:val="00262086"/>
    <w:rsid w:val="00263AAD"/>
    <w:rsid w:val="00265524"/>
    <w:rsid w:val="00270917"/>
    <w:rsid w:val="00270D9B"/>
    <w:rsid w:val="00271F80"/>
    <w:rsid w:val="00276A26"/>
    <w:rsid w:val="00276C4C"/>
    <w:rsid w:val="002770BB"/>
    <w:rsid w:val="002774DB"/>
    <w:rsid w:val="00281DDB"/>
    <w:rsid w:val="00283534"/>
    <w:rsid w:val="00283AF7"/>
    <w:rsid w:val="00283C7D"/>
    <w:rsid w:val="00287DD8"/>
    <w:rsid w:val="00290837"/>
    <w:rsid w:val="0029133E"/>
    <w:rsid w:val="002915F2"/>
    <w:rsid w:val="00291FB4"/>
    <w:rsid w:val="00294243"/>
    <w:rsid w:val="00295BFA"/>
    <w:rsid w:val="002A1FF5"/>
    <w:rsid w:val="002A312F"/>
    <w:rsid w:val="002A60DF"/>
    <w:rsid w:val="002A65DD"/>
    <w:rsid w:val="002B21CC"/>
    <w:rsid w:val="002B5BEB"/>
    <w:rsid w:val="002C1EC2"/>
    <w:rsid w:val="002C2438"/>
    <w:rsid w:val="002C56FA"/>
    <w:rsid w:val="002D09E6"/>
    <w:rsid w:val="002D114B"/>
    <w:rsid w:val="002D272F"/>
    <w:rsid w:val="002D3B19"/>
    <w:rsid w:val="002D4234"/>
    <w:rsid w:val="002D54AA"/>
    <w:rsid w:val="002E16C3"/>
    <w:rsid w:val="002E214C"/>
    <w:rsid w:val="002E341E"/>
    <w:rsid w:val="002E3EF1"/>
    <w:rsid w:val="002E438C"/>
    <w:rsid w:val="002E555B"/>
    <w:rsid w:val="002E7538"/>
    <w:rsid w:val="002F043F"/>
    <w:rsid w:val="002F11AA"/>
    <w:rsid w:val="002F1BE8"/>
    <w:rsid w:val="002F28FD"/>
    <w:rsid w:val="002F42C9"/>
    <w:rsid w:val="002F7071"/>
    <w:rsid w:val="00304BD0"/>
    <w:rsid w:val="003119BB"/>
    <w:rsid w:val="00314B7E"/>
    <w:rsid w:val="00315F3B"/>
    <w:rsid w:val="003171FC"/>
    <w:rsid w:val="0031777E"/>
    <w:rsid w:val="003205C9"/>
    <w:rsid w:val="00321BCA"/>
    <w:rsid w:val="00321F58"/>
    <w:rsid w:val="003236F1"/>
    <w:rsid w:val="003276E7"/>
    <w:rsid w:val="00330573"/>
    <w:rsid w:val="0033060F"/>
    <w:rsid w:val="00331251"/>
    <w:rsid w:val="003339C5"/>
    <w:rsid w:val="00333FF8"/>
    <w:rsid w:val="0033534A"/>
    <w:rsid w:val="003368EC"/>
    <w:rsid w:val="00336F0A"/>
    <w:rsid w:val="00340571"/>
    <w:rsid w:val="0034173B"/>
    <w:rsid w:val="00346DF4"/>
    <w:rsid w:val="003519CE"/>
    <w:rsid w:val="00351A9D"/>
    <w:rsid w:val="003527D6"/>
    <w:rsid w:val="00357696"/>
    <w:rsid w:val="00360082"/>
    <w:rsid w:val="003611A4"/>
    <w:rsid w:val="00362B10"/>
    <w:rsid w:val="003656A9"/>
    <w:rsid w:val="00365707"/>
    <w:rsid w:val="00365D37"/>
    <w:rsid w:val="003675DE"/>
    <w:rsid w:val="00370ADF"/>
    <w:rsid w:val="00377A70"/>
    <w:rsid w:val="003800EC"/>
    <w:rsid w:val="0038122E"/>
    <w:rsid w:val="00382667"/>
    <w:rsid w:val="00382AB0"/>
    <w:rsid w:val="0038566B"/>
    <w:rsid w:val="003871C0"/>
    <w:rsid w:val="00390EA8"/>
    <w:rsid w:val="00392773"/>
    <w:rsid w:val="00394027"/>
    <w:rsid w:val="003A1247"/>
    <w:rsid w:val="003A17FD"/>
    <w:rsid w:val="003A2443"/>
    <w:rsid w:val="003A3BE6"/>
    <w:rsid w:val="003A475A"/>
    <w:rsid w:val="003A4795"/>
    <w:rsid w:val="003A5E41"/>
    <w:rsid w:val="003A5F8F"/>
    <w:rsid w:val="003A68E4"/>
    <w:rsid w:val="003A7219"/>
    <w:rsid w:val="003A7673"/>
    <w:rsid w:val="003B0B11"/>
    <w:rsid w:val="003B3FA5"/>
    <w:rsid w:val="003B40D2"/>
    <w:rsid w:val="003B4896"/>
    <w:rsid w:val="003B6C91"/>
    <w:rsid w:val="003B70AC"/>
    <w:rsid w:val="003C129D"/>
    <w:rsid w:val="003C2C86"/>
    <w:rsid w:val="003C3F8D"/>
    <w:rsid w:val="003C40AE"/>
    <w:rsid w:val="003D0820"/>
    <w:rsid w:val="003D245A"/>
    <w:rsid w:val="003D3DB7"/>
    <w:rsid w:val="003D67ED"/>
    <w:rsid w:val="003E0032"/>
    <w:rsid w:val="003E1689"/>
    <w:rsid w:val="003E30B7"/>
    <w:rsid w:val="003E32C1"/>
    <w:rsid w:val="003E49FD"/>
    <w:rsid w:val="003E4F38"/>
    <w:rsid w:val="003E6054"/>
    <w:rsid w:val="003E6650"/>
    <w:rsid w:val="003E71F9"/>
    <w:rsid w:val="003F032B"/>
    <w:rsid w:val="003F1B0B"/>
    <w:rsid w:val="003F351A"/>
    <w:rsid w:val="003F3B82"/>
    <w:rsid w:val="003F4F24"/>
    <w:rsid w:val="00400E9F"/>
    <w:rsid w:val="00402209"/>
    <w:rsid w:val="00402306"/>
    <w:rsid w:val="004036AB"/>
    <w:rsid w:val="004058C4"/>
    <w:rsid w:val="00405BAA"/>
    <w:rsid w:val="00405BF5"/>
    <w:rsid w:val="00411512"/>
    <w:rsid w:val="00411514"/>
    <w:rsid w:val="00415D7A"/>
    <w:rsid w:val="004201D3"/>
    <w:rsid w:val="00420F30"/>
    <w:rsid w:val="004224C7"/>
    <w:rsid w:val="004252C6"/>
    <w:rsid w:val="00426396"/>
    <w:rsid w:val="00426FB5"/>
    <w:rsid w:val="00434C18"/>
    <w:rsid w:val="00441D6A"/>
    <w:rsid w:val="00441DDD"/>
    <w:rsid w:val="00442B26"/>
    <w:rsid w:val="004434AB"/>
    <w:rsid w:val="00446047"/>
    <w:rsid w:val="00450F55"/>
    <w:rsid w:val="0045517E"/>
    <w:rsid w:val="004553FC"/>
    <w:rsid w:val="00455D7B"/>
    <w:rsid w:val="004568AD"/>
    <w:rsid w:val="0046171C"/>
    <w:rsid w:val="0046221D"/>
    <w:rsid w:val="004634A7"/>
    <w:rsid w:val="004634D5"/>
    <w:rsid w:val="004643F6"/>
    <w:rsid w:val="00467D9C"/>
    <w:rsid w:val="00474614"/>
    <w:rsid w:val="004749F2"/>
    <w:rsid w:val="004759EC"/>
    <w:rsid w:val="004768FF"/>
    <w:rsid w:val="00480BA3"/>
    <w:rsid w:val="00481457"/>
    <w:rsid w:val="00484A6B"/>
    <w:rsid w:val="00485CFF"/>
    <w:rsid w:val="00486220"/>
    <w:rsid w:val="004863C2"/>
    <w:rsid w:val="00490C04"/>
    <w:rsid w:val="00492052"/>
    <w:rsid w:val="00495910"/>
    <w:rsid w:val="004A2105"/>
    <w:rsid w:val="004A225A"/>
    <w:rsid w:val="004A40E9"/>
    <w:rsid w:val="004A4A6A"/>
    <w:rsid w:val="004A4DB9"/>
    <w:rsid w:val="004A5665"/>
    <w:rsid w:val="004B0DF8"/>
    <w:rsid w:val="004B138A"/>
    <w:rsid w:val="004B301B"/>
    <w:rsid w:val="004B3D70"/>
    <w:rsid w:val="004B5F43"/>
    <w:rsid w:val="004B7D6C"/>
    <w:rsid w:val="004B7DA8"/>
    <w:rsid w:val="004C12C0"/>
    <w:rsid w:val="004D25FA"/>
    <w:rsid w:val="004D2F3E"/>
    <w:rsid w:val="004D5544"/>
    <w:rsid w:val="004E1B6B"/>
    <w:rsid w:val="004E51B7"/>
    <w:rsid w:val="004F0A04"/>
    <w:rsid w:val="004F0DBB"/>
    <w:rsid w:val="004F40F4"/>
    <w:rsid w:val="004F4601"/>
    <w:rsid w:val="004F5397"/>
    <w:rsid w:val="004F5B44"/>
    <w:rsid w:val="004F6186"/>
    <w:rsid w:val="005029F7"/>
    <w:rsid w:val="0050456B"/>
    <w:rsid w:val="00504B4E"/>
    <w:rsid w:val="00505A57"/>
    <w:rsid w:val="00505AD9"/>
    <w:rsid w:val="00507019"/>
    <w:rsid w:val="00511E3D"/>
    <w:rsid w:val="00514EE7"/>
    <w:rsid w:val="00520DFE"/>
    <w:rsid w:val="005218A5"/>
    <w:rsid w:val="0052613C"/>
    <w:rsid w:val="005279B3"/>
    <w:rsid w:val="00530F13"/>
    <w:rsid w:val="00531710"/>
    <w:rsid w:val="0053224B"/>
    <w:rsid w:val="0053276B"/>
    <w:rsid w:val="00536B8B"/>
    <w:rsid w:val="00537CCA"/>
    <w:rsid w:val="0054133E"/>
    <w:rsid w:val="00543279"/>
    <w:rsid w:val="00545768"/>
    <w:rsid w:val="00547159"/>
    <w:rsid w:val="005500EC"/>
    <w:rsid w:val="00551530"/>
    <w:rsid w:val="005521BE"/>
    <w:rsid w:val="00552F83"/>
    <w:rsid w:val="005530B3"/>
    <w:rsid w:val="005559D4"/>
    <w:rsid w:val="00563E96"/>
    <w:rsid w:val="00566C57"/>
    <w:rsid w:val="00567638"/>
    <w:rsid w:val="0056798D"/>
    <w:rsid w:val="00570325"/>
    <w:rsid w:val="00571138"/>
    <w:rsid w:val="00574990"/>
    <w:rsid w:val="00577BDB"/>
    <w:rsid w:val="005808C3"/>
    <w:rsid w:val="0058537E"/>
    <w:rsid w:val="00586F2F"/>
    <w:rsid w:val="005902B0"/>
    <w:rsid w:val="00593270"/>
    <w:rsid w:val="005939C7"/>
    <w:rsid w:val="00596E38"/>
    <w:rsid w:val="005A13AD"/>
    <w:rsid w:val="005A166F"/>
    <w:rsid w:val="005A1D39"/>
    <w:rsid w:val="005A1E70"/>
    <w:rsid w:val="005A472A"/>
    <w:rsid w:val="005A64C4"/>
    <w:rsid w:val="005A6FFC"/>
    <w:rsid w:val="005B010B"/>
    <w:rsid w:val="005B089C"/>
    <w:rsid w:val="005B313D"/>
    <w:rsid w:val="005B3EBE"/>
    <w:rsid w:val="005B44DA"/>
    <w:rsid w:val="005B6104"/>
    <w:rsid w:val="005B7607"/>
    <w:rsid w:val="005C1011"/>
    <w:rsid w:val="005C2A1B"/>
    <w:rsid w:val="005C496D"/>
    <w:rsid w:val="005C525A"/>
    <w:rsid w:val="005C5430"/>
    <w:rsid w:val="005C54A9"/>
    <w:rsid w:val="005C5685"/>
    <w:rsid w:val="005C5917"/>
    <w:rsid w:val="005C7A6B"/>
    <w:rsid w:val="005D2B22"/>
    <w:rsid w:val="005D49E5"/>
    <w:rsid w:val="005D76F3"/>
    <w:rsid w:val="005E03DB"/>
    <w:rsid w:val="005E13CB"/>
    <w:rsid w:val="005E3BA8"/>
    <w:rsid w:val="005E6B94"/>
    <w:rsid w:val="005F1902"/>
    <w:rsid w:val="005F488D"/>
    <w:rsid w:val="005F498E"/>
    <w:rsid w:val="005F75A0"/>
    <w:rsid w:val="006000B0"/>
    <w:rsid w:val="00602A18"/>
    <w:rsid w:val="00604E14"/>
    <w:rsid w:val="00607291"/>
    <w:rsid w:val="00611537"/>
    <w:rsid w:val="00612D5C"/>
    <w:rsid w:val="0061356E"/>
    <w:rsid w:val="00614F72"/>
    <w:rsid w:val="006162FF"/>
    <w:rsid w:val="00617D83"/>
    <w:rsid w:val="006203EE"/>
    <w:rsid w:val="00620845"/>
    <w:rsid w:val="00623740"/>
    <w:rsid w:val="00625F92"/>
    <w:rsid w:val="00630DB4"/>
    <w:rsid w:val="00632EAC"/>
    <w:rsid w:val="006404F9"/>
    <w:rsid w:val="0064151F"/>
    <w:rsid w:val="00641B8E"/>
    <w:rsid w:val="00642254"/>
    <w:rsid w:val="006422C2"/>
    <w:rsid w:val="006468B4"/>
    <w:rsid w:val="0064706F"/>
    <w:rsid w:val="0064739E"/>
    <w:rsid w:val="00647F44"/>
    <w:rsid w:val="0065175B"/>
    <w:rsid w:val="0065228F"/>
    <w:rsid w:val="006538A3"/>
    <w:rsid w:val="00654C7B"/>
    <w:rsid w:val="00655142"/>
    <w:rsid w:val="0065595E"/>
    <w:rsid w:val="00657E09"/>
    <w:rsid w:val="00660925"/>
    <w:rsid w:val="0066172E"/>
    <w:rsid w:val="0066296A"/>
    <w:rsid w:val="00665E32"/>
    <w:rsid w:val="00671BAB"/>
    <w:rsid w:val="006730CE"/>
    <w:rsid w:val="00674E21"/>
    <w:rsid w:val="00675F92"/>
    <w:rsid w:val="00676075"/>
    <w:rsid w:val="00677613"/>
    <w:rsid w:val="006803BF"/>
    <w:rsid w:val="00680536"/>
    <w:rsid w:val="00680FB9"/>
    <w:rsid w:val="0068161A"/>
    <w:rsid w:val="00684583"/>
    <w:rsid w:val="006850E2"/>
    <w:rsid w:val="00685C5E"/>
    <w:rsid w:val="00691132"/>
    <w:rsid w:val="0069148F"/>
    <w:rsid w:val="00691AFA"/>
    <w:rsid w:val="00695DD9"/>
    <w:rsid w:val="006A0396"/>
    <w:rsid w:val="006A0519"/>
    <w:rsid w:val="006A16D0"/>
    <w:rsid w:val="006A53FA"/>
    <w:rsid w:val="006A57DE"/>
    <w:rsid w:val="006A68E6"/>
    <w:rsid w:val="006A74EC"/>
    <w:rsid w:val="006A7809"/>
    <w:rsid w:val="006B0422"/>
    <w:rsid w:val="006B3E7D"/>
    <w:rsid w:val="006B4983"/>
    <w:rsid w:val="006B52E0"/>
    <w:rsid w:val="006B6E0E"/>
    <w:rsid w:val="006C00F1"/>
    <w:rsid w:val="006C568D"/>
    <w:rsid w:val="006C57F3"/>
    <w:rsid w:val="006C7570"/>
    <w:rsid w:val="006D7AAC"/>
    <w:rsid w:val="006E053E"/>
    <w:rsid w:val="006E307C"/>
    <w:rsid w:val="006E51C8"/>
    <w:rsid w:val="006E7A66"/>
    <w:rsid w:val="006F37CE"/>
    <w:rsid w:val="006F3EDE"/>
    <w:rsid w:val="006F5C6F"/>
    <w:rsid w:val="006F6579"/>
    <w:rsid w:val="006F6FF6"/>
    <w:rsid w:val="006F7C2C"/>
    <w:rsid w:val="00701269"/>
    <w:rsid w:val="00703321"/>
    <w:rsid w:val="0070364C"/>
    <w:rsid w:val="0070479B"/>
    <w:rsid w:val="00704940"/>
    <w:rsid w:val="00706A6C"/>
    <w:rsid w:val="00706D92"/>
    <w:rsid w:val="00710501"/>
    <w:rsid w:val="00710AD3"/>
    <w:rsid w:val="00714F55"/>
    <w:rsid w:val="007151E5"/>
    <w:rsid w:val="0072077E"/>
    <w:rsid w:val="00720B68"/>
    <w:rsid w:val="00722E0F"/>
    <w:rsid w:val="00723329"/>
    <w:rsid w:val="00723AB4"/>
    <w:rsid w:val="007302E1"/>
    <w:rsid w:val="00731441"/>
    <w:rsid w:val="00732286"/>
    <w:rsid w:val="007326CE"/>
    <w:rsid w:val="00732CE1"/>
    <w:rsid w:val="0073347C"/>
    <w:rsid w:val="00734395"/>
    <w:rsid w:val="00734BC6"/>
    <w:rsid w:val="00742F65"/>
    <w:rsid w:val="00745355"/>
    <w:rsid w:val="0075087A"/>
    <w:rsid w:val="00753C20"/>
    <w:rsid w:val="0075644A"/>
    <w:rsid w:val="00756E61"/>
    <w:rsid w:val="007577A5"/>
    <w:rsid w:val="00757D24"/>
    <w:rsid w:val="007606E8"/>
    <w:rsid w:val="00760EEB"/>
    <w:rsid w:val="00763105"/>
    <w:rsid w:val="00763CCE"/>
    <w:rsid w:val="00764386"/>
    <w:rsid w:val="0076543D"/>
    <w:rsid w:val="00765559"/>
    <w:rsid w:val="007668A0"/>
    <w:rsid w:val="00767A63"/>
    <w:rsid w:val="00771813"/>
    <w:rsid w:val="00772E22"/>
    <w:rsid w:val="00772E47"/>
    <w:rsid w:val="0077315E"/>
    <w:rsid w:val="00774BCC"/>
    <w:rsid w:val="00775849"/>
    <w:rsid w:val="007772FA"/>
    <w:rsid w:val="00780497"/>
    <w:rsid w:val="007813EF"/>
    <w:rsid w:val="00781DC4"/>
    <w:rsid w:val="0078248E"/>
    <w:rsid w:val="0078267F"/>
    <w:rsid w:val="00782A37"/>
    <w:rsid w:val="0078728D"/>
    <w:rsid w:val="0079128F"/>
    <w:rsid w:val="007915C8"/>
    <w:rsid w:val="00792726"/>
    <w:rsid w:val="007927B7"/>
    <w:rsid w:val="0079520A"/>
    <w:rsid w:val="00795F19"/>
    <w:rsid w:val="00796428"/>
    <w:rsid w:val="007A01F1"/>
    <w:rsid w:val="007A0A60"/>
    <w:rsid w:val="007A1069"/>
    <w:rsid w:val="007A1433"/>
    <w:rsid w:val="007A32A0"/>
    <w:rsid w:val="007A49F8"/>
    <w:rsid w:val="007A5EEB"/>
    <w:rsid w:val="007A7682"/>
    <w:rsid w:val="007B1947"/>
    <w:rsid w:val="007B2DA2"/>
    <w:rsid w:val="007B32CF"/>
    <w:rsid w:val="007B3AD1"/>
    <w:rsid w:val="007B3F9D"/>
    <w:rsid w:val="007C110E"/>
    <w:rsid w:val="007C1E85"/>
    <w:rsid w:val="007C26AA"/>
    <w:rsid w:val="007C2E98"/>
    <w:rsid w:val="007C4217"/>
    <w:rsid w:val="007C45F1"/>
    <w:rsid w:val="007C7A34"/>
    <w:rsid w:val="007D060F"/>
    <w:rsid w:val="007D0877"/>
    <w:rsid w:val="007D2686"/>
    <w:rsid w:val="007D2F1C"/>
    <w:rsid w:val="007D4B12"/>
    <w:rsid w:val="007D4F1B"/>
    <w:rsid w:val="007D6E94"/>
    <w:rsid w:val="007D7A17"/>
    <w:rsid w:val="007E01DD"/>
    <w:rsid w:val="007E0605"/>
    <w:rsid w:val="007E0AD8"/>
    <w:rsid w:val="007E0B91"/>
    <w:rsid w:val="007E2885"/>
    <w:rsid w:val="007E3004"/>
    <w:rsid w:val="007E3E46"/>
    <w:rsid w:val="007E4780"/>
    <w:rsid w:val="007E4C26"/>
    <w:rsid w:val="007E4C8D"/>
    <w:rsid w:val="007E5146"/>
    <w:rsid w:val="007F2986"/>
    <w:rsid w:val="007F31A9"/>
    <w:rsid w:val="007F4DB9"/>
    <w:rsid w:val="008036D9"/>
    <w:rsid w:val="00803936"/>
    <w:rsid w:val="00804166"/>
    <w:rsid w:val="0080478D"/>
    <w:rsid w:val="00804D60"/>
    <w:rsid w:val="00805877"/>
    <w:rsid w:val="008068D5"/>
    <w:rsid w:val="00807092"/>
    <w:rsid w:val="008175B8"/>
    <w:rsid w:val="00817C74"/>
    <w:rsid w:val="00820670"/>
    <w:rsid w:val="00821B8E"/>
    <w:rsid w:val="00821DA7"/>
    <w:rsid w:val="0082400D"/>
    <w:rsid w:val="00825D64"/>
    <w:rsid w:val="00826682"/>
    <w:rsid w:val="00826F88"/>
    <w:rsid w:val="00830153"/>
    <w:rsid w:val="008306E7"/>
    <w:rsid w:val="0083417A"/>
    <w:rsid w:val="00835131"/>
    <w:rsid w:val="00835E1F"/>
    <w:rsid w:val="0083633C"/>
    <w:rsid w:val="008432EF"/>
    <w:rsid w:val="00843543"/>
    <w:rsid w:val="00843D48"/>
    <w:rsid w:val="00844FE2"/>
    <w:rsid w:val="008458BC"/>
    <w:rsid w:val="00846637"/>
    <w:rsid w:val="00847F27"/>
    <w:rsid w:val="008507B5"/>
    <w:rsid w:val="0085110F"/>
    <w:rsid w:val="00851675"/>
    <w:rsid w:val="00853082"/>
    <w:rsid w:val="0085309D"/>
    <w:rsid w:val="00853929"/>
    <w:rsid w:val="00855026"/>
    <w:rsid w:val="00855997"/>
    <w:rsid w:val="00855F79"/>
    <w:rsid w:val="00863CB3"/>
    <w:rsid w:val="00865832"/>
    <w:rsid w:val="008703F8"/>
    <w:rsid w:val="00871542"/>
    <w:rsid w:val="008715FC"/>
    <w:rsid w:val="0087392A"/>
    <w:rsid w:val="00876DA9"/>
    <w:rsid w:val="00880769"/>
    <w:rsid w:val="00881447"/>
    <w:rsid w:val="00885123"/>
    <w:rsid w:val="008860F4"/>
    <w:rsid w:val="00886A72"/>
    <w:rsid w:val="00886C20"/>
    <w:rsid w:val="00893C7E"/>
    <w:rsid w:val="00894023"/>
    <w:rsid w:val="008A0F25"/>
    <w:rsid w:val="008A19F5"/>
    <w:rsid w:val="008A67A7"/>
    <w:rsid w:val="008A7032"/>
    <w:rsid w:val="008A790A"/>
    <w:rsid w:val="008B0043"/>
    <w:rsid w:val="008B1725"/>
    <w:rsid w:val="008B2224"/>
    <w:rsid w:val="008B2C86"/>
    <w:rsid w:val="008B4BA2"/>
    <w:rsid w:val="008B4C12"/>
    <w:rsid w:val="008B4FDE"/>
    <w:rsid w:val="008C2148"/>
    <w:rsid w:val="008C3B6E"/>
    <w:rsid w:val="008C48B3"/>
    <w:rsid w:val="008C6F29"/>
    <w:rsid w:val="008D4C52"/>
    <w:rsid w:val="008D59E5"/>
    <w:rsid w:val="008E1448"/>
    <w:rsid w:val="008E1F2F"/>
    <w:rsid w:val="008E26B7"/>
    <w:rsid w:val="008E402E"/>
    <w:rsid w:val="008F1CD0"/>
    <w:rsid w:val="008F3FCD"/>
    <w:rsid w:val="00900F70"/>
    <w:rsid w:val="00901A65"/>
    <w:rsid w:val="00903F2A"/>
    <w:rsid w:val="00904619"/>
    <w:rsid w:val="00904CB5"/>
    <w:rsid w:val="0090623A"/>
    <w:rsid w:val="009100AE"/>
    <w:rsid w:val="00912E1B"/>
    <w:rsid w:val="009170B2"/>
    <w:rsid w:val="00917D8C"/>
    <w:rsid w:val="00917F8B"/>
    <w:rsid w:val="00921534"/>
    <w:rsid w:val="00926F1F"/>
    <w:rsid w:val="0093049E"/>
    <w:rsid w:val="00931004"/>
    <w:rsid w:val="00936FE4"/>
    <w:rsid w:val="00937900"/>
    <w:rsid w:val="00937EA2"/>
    <w:rsid w:val="009408EC"/>
    <w:rsid w:val="00940B17"/>
    <w:rsid w:val="00940CF0"/>
    <w:rsid w:val="00941CA6"/>
    <w:rsid w:val="009439F3"/>
    <w:rsid w:val="00950AEF"/>
    <w:rsid w:val="00954798"/>
    <w:rsid w:val="0095565E"/>
    <w:rsid w:val="00960EB1"/>
    <w:rsid w:val="00963ED5"/>
    <w:rsid w:val="0096485C"/>
    <w:rsid w:val="009703A6"/>
    <w:rsid w:val="00972355"/>
    <w:rsid w:val="00972A56"/>
    <w:rsid w:val="00976A66"/>
    <w:rsid w:val="00980FDC"/>
    <w:rsid w:val="00981990"/>
    <w:rsid w:val="00982397"/>
    <w:rsid w:val="00984744"/>
    <w:rsid w:val="00992720"/>
    <w:rsid w:val="009949C5"/>
    <w:rsid w:val="009A0FC1"/>
    <w:rsid w:val="009A264F"/>
    <w:rsid w:val="009A453B"/>
    <w:rsid w:val="009A4B1B"/>
    <w:rsid w:val="009A59C4"/>
    <w:rsid w:val="009B2046"/>
    <w:rsid w:val="009B39E7"/>
    <w:rsid w:val="009B6F3A"/>
    <w:rsid w:val="009B7BFC"/>
    <w:rsid w:val="009C1EF1"/>
    <w:rsid w:val="009C3148"/>
    <w:rsid w:val="009C34D5"/>
    <w:rsid w:val="009C5B25"/>
    <w:rsid w:val="009C5BBF"/>
    <w:rsid w:val="009D093B"/>
    <w:rsid w:val="009D4EDC"/>
    <w:rsid w:val="009D50D7"/>
    <w:rsid w:val="009D51C9"/>
    <w:rsid w:val="009D5B74"/>
    <w:rsid w:val="009D755F"/>
    <w:rsid w:val="009E10FE"/>
    <w:rsid w:val="009E379F"/>
    <w:rsid w:val="009E4F85"/>
    <w:rsid w:val="009E6B56"/>
    <w:rsid w:val="009F5419"/>
    <w:rsid w:val="009F61B8"/>
    <w:rsid w:val="009F734C"/>
    <w:rsid w:val="00A009A0"/>
    <w:rsid w:val="00A015B9"/>
    <w:rsid w:val="00A01B90"/>
    <w:rsid w:val="00A01F6D"/>
    <w:rsid w:val="00A022FB"/>
    <w:rsid w:val="00A02B79"/>
    <w:rsid w:val="00A03A36"/>
    <w:rsid w:val="00A03E32"/>
    <w:rsid w:val="00A05F58"/>
    <w:rsid w:val="00A06399"/>
    <w:rsid w:val="00A06A49"/>
    <w:rsid w:val="00A07233"/>
    <w:rsid w:val="00A07673"/>
    <w:rsid w:val="00A07ACE"/>
    <w:rsid w:val="00A13391"/>
    <w:rsid w:val="00A13573"/>
    <w:rsid w:val="00A17A44"/>
    <w:rsid w:val="00A24E69"/>
    <w:rsid w:val="00A2679C"/>
    <w:rsid w:val="00A3353D"/>
    <w:rsid w:val="00A33A01"/>
    <w:rsid w:val="00A33B9C"/>
    <w:rsid w:val="00A3556D"/>
    <w:rsid w:val="00A37B56"/>
    <w:rsid w:val="00A40C24"/>
    <w:rsid w:val="00A41439"/>
    <w:rsid w:val="00A4278F"/>
    <w:rsid w:val="00A466F6"/>
    <w:rsid w:val="00A46F19"/>
    <w:rsid w:val="00A51334"/>
    <w:rsid w:val="00A53287"/>
    <w:rsid w:val="00A54C42"/>
    <w:rsid w:val="00A54FE5"/>
    <w:rsid w:val="00A55A33"/>
    <w:rsid w:val="00A56025"/>
    <w:rsid w:val="00A6015A"/>
    <w:rsid w:val="00A618FB"/>
    <w:rsid w:val="00A655C9"/>
    <w:rsid w:val="00A67554"/>
    <w:rsid w:val="00A678CE"/>
    <w:rsid w:val="00A67EB7"/>
    <w:rsid w:val="00A726A5"/>
    <w:rsid w:val="00A7300E"/>
    <w:rsid w:val="00A733E9"/>
    <w:rsid w:val="00A77B53"/>
    <w:rsid w:val="00A806F8"/>
    <w:rsid w:val="00A82525"/>
    <w:rsid w:val="00A826A4"/>
    <w:rsid w:val="00A83272"/>
    <w:rsid w:val="00A83CF7"/>
    <w:rsid w:val="00A84D6C"/>
    <w:rsid w:val="00A9277E"/>
    <w:rsid w:val="00A94B67"/>
    <w:rsid w:val="00A95589"/>
    <w:rsid w:val="00A96BE6"/>
    <w:rsid w:val="00AA08B0"/>
    <w:rsid w:val="00AA1417"/>
    <w:rsid w:val="00AA349B"/>
    <w:rsid w:val="00AA3533"/>
    <w:rsid w:val="00AA4504"/>
    <w:rsid w:val="00AA4EC8"/>
    <w:rsid w:val="00AA6500"/>
    <w:rsid w:val="00AB0433"/>
    <w:rsid w:val="00AB1F17"/>
    <w:rsid w:val="00AB223C"/>
    <w:rsid w:val="00AB37D2"/>
    <w:rsid w:val="00AC09A7"/>
    <w:rsid w:val="00AC1C21"/>
    <w:rsid w:val="00AC41DE"/>
    <w:rsid w:val="00AC4279"/>
    <w:rsid w:val="00AC495B"/>
    <w:rsid w:val="00AC667D"/>
    <w:rsid w:val="00AC7172"/>
    <w:rsid w:val="00AC7709"/>
    <w:rsid w:val="00AD0EAA"/>
    <w:rsid w:val="00AD1D0B"/>
    <w:rsid w:val="00AD2D6C"/>
    <w:rsid w:val="00AD2FE9"/>
    <w:rsid w:val="00AD3F14"/>
    <w:rsid w:val="00AD5AA5"/>
    <w:rsid w:val="00AE0AA1"/>
    <w:rsid w:val="00AE317F"/>
    <w:rsid w:val="00AE3D5C"/>
    <w:rsid w:val="00AE3DDD"/>
    <w:rsid w:val="00AE4E74"/>
    <w:rsid w:val="00AE5B62"/>
    <w:rsid w:val="00AE7BD1"/>
    <w:rsid w:val="00AE7F26"/>
    <w:rsid w:val="00AF0A8E"/>
    <w:rsid w:val="00AF1236"/>
    <w:rsid w:val="00AF2B8B"/>
    <w:rsid w:val="00AF3343"/>
    <w:rsid w:val="00AF6C70"/>
    <w:rsid w:val="00B011E5"/>
    <w:rsid w:val="00B02FA8"/>
    <w:rsid w:val="00B03FD8"/>
    <w:rsid w:val="00B06F0C"/>
    <w:rsid w:val="00B070C5"/>
    <w:rsid w:val="00B113D0"/>
    <w:rsid w:val="00B11C74"/>
    <w:rsid w:val="00B14C35"/>
    <w:rsid w:val="00B16076"/>
    <w:rsid w:val="00B20B73"/>
    <w:rsid w:val="00B22AA2"/>
    <w:rsid w:val="00B25587"/>
    <w:rsid w:val="00B263E0"/>
    <w:rsid w:val="00B26D09"/>
    <w:rsid w:val="00B31D5C"/>
    <w:rsid w:val="00B3365C"/>
    <w:rsid w:val="00B34ED2"/>
    <w:rsid w:val="00B40BC7"/>
    <w:rsid w:val="00B41C7F"/>
    <w:rsid w:val="00B44E67"/>
    <w:rsid w:val="00B45F71"/>
    <w:rsid w:val="00B46168"/>
    <w:rsid w:val="00B47AF7"/>
    <w:rsid w:val="00B50B3C"/>
    <w:rsid w:val="00B55AEB"/>
    <w:rsid w:val="00B56040"/>
    <w:rsid w:val="00B56D11"/>
    <w:rsid w:val="00B57B5C"/>
    <w:rsid w:val="00B617EB"/>
    <w:rsid w:val="00B6242E"/>
    <w:rsid w:val="00B635C3"/>
    <w:rsid w:val="00B6734B"/>
    <w:rsid w:val="00B67D60"/>
    <w:rsid w:val="00B700D1"/>
    <w:rsid w:val="00B70F50"/>
    <w:rsid w:val="00B721CE"/>
    <w:rsid w:val="00B775A6"/>
    <w:rsid w:val="00B77905"/>
    <w:rsid w:val="00B80E99"/>
    <w:rsid w:val="00B83A24"/>
    <w:rsid w:val="00B84F30"/>
    <w:rsid w:val="00B85B65"/>
    <w:rsid w:val="00B85D32"/>
    <w:rsid w:val="00B86B5F"/>
    <w:rsid w:val="00B928D7"/>
    <w:rsid w:val="00B93FCD"/>
    <w:rsid w:val="00B94979"/>
    <w:rsid w:val="00B94BA0"/>
    <w:rsid w:val="00B95ABE"/>
    <w:rsid w:val="00B95C7A"/>
    <w:rsid w:val="00B974D8"/>
    <w:rsid w:val="00B97F96"/>
    <w:rsid w:val="00BA04D6"/>
    <w:rsid w:val="00BA38F2"/>
    <w:rsid w:val="00BA3B05"/>
    <w:rsid w:val="00BA3D3E"/>
    <w:rsid w:val="00BA4893"/>
    <w:rsid w:val="00BA5EA4"/>
    <w:rsid w:val="00BA6E39"/>
    <w:rsid w:val="00BA7920"/>
    <w:rsid w:val="00BB2945"/>
    <w:rsid w:val="00BB7431"/>
    <w:rsid w:val="00BB7510"/>
    <w:rsid w:val="00BC0BB8"/>
    <w:rsid w:val="00BC146C"/>
    <w:rsid w:val="00BC3974"/>
    <w:rsid w:val="00BC58E5"/>
    <w:rsid w:val="00BD367B"/>
    <w:rsid w:val="00BE1394"/>
    <w:rsid w:val="00BE2440"/>
    <w:rsid w:val="00BE51BF"/>
    <w:rsid w:val="00BF1524"/>
    <w:rsid w:val="00BF6B32"/>
    <w:rsid w:val="00BF74EF"/>
    <w:rsid w:val="00C00B67"/>
    <w:rsid w:val="00C00C1A"/>
    <w:rsid w:val="00C01EE5"/>
    <w:rsid w:val="00C06C89"/>
    <w:rsid w:val="00C12488"/>
    <w:rsid w:val="00C14104"/>
    <w:rsid w:val="00C20AC3"/>
    <w:rsid w:val="00C20B4E"/>
    <w:rsid w:val="00C2242F"/>
    <w:rsid w:val="00C25664"/>
    <w:rsid w:val="00C27810"/>
    <w:rsid w:val="00C30512"/>
    <w:rsid w:val="00C31F67"/>
    <w:rsid w:val="00C3217B"/>
    <w:rsid w:val="00C32C7B"/>
    <w:rsid w:val="00C352E8"/>
    <w:rsid w:val="00C36787"/>
    <w:rsid w:val="00C378BD"/>
    <w:rsid w:val="00C4045C"/>
    <w:rsid w:val="00C40C76"/>
    <w:rsid w:val="00C424A8"/>
    <w:rsid w:val="00C42A9E"/>
    <w:rsid w:val="00C432C2"/>
    <w:rsid w:val="00C440EE"/>
    <w:rsid w:val="00C44587"/>
    <w:rsid w:val="00C446AE"/>
    <w:rsid w:val="00C452BE"/>
    <w:rsid w:val="00C46B98"/>
    <w:rsid w:val="00C46DEE"/>
    <w:rsid w:val="00C47C08"/>
    <w:rsid w:val="00C51ED8"/>
    <w:rsid w:val="00C605B7"/>
    <w:rsid w:val="00C61B84"/>
    <w:rsid w:val="00C62A1C"/>
    <w:rsid w:val="00C63493"/>
    <w:rsid w:val="00C635C6"/>
    <w:rsid w:val="00C63893"/>
    <w:rsid w:val="00C65E27"/>
    <w:rsid w:val="00C66733"/>
    <w:rsid w:val="00C66C1A"/>
    <w:rsid w:val="00C67AD2"/>
    <w:rsid w:val="00C67EA0"/>
    <w:rsid w:val="00C7051F"/>
    <w:rsid w:val="00C71FD1"/>
    <w:rsid w:val="00C73D03"/>
    <w:rsid w:val="00C74B0D"/>
    <w:rsid w:val="00C74F8A"/>
    <w:rsid w:val="00C75A78"/>
    <w:rsid w:val="00C767F6"/>
    <w:rsid w:val="00C82EB6"/>
    <w:rsid w:val="00C90E3C"/>
    <w:rsid w:val="00C90EC3"/>
    <w:rsid w:val="00C91735"/>
    <w:rsid w:val="00C91D29"/>
    <w:rsid w:val="00C921E9"/>
    <w:rsid w:val="00C94FB6"/>
    <w:rsid w:val="00C9607A"/>
    <w:rsid w:val="00C96F08"/>
    <w:rsid w:val="00CA0A82"/>
    <w:rsid w:val="00CA28BD"/>
    <w:rsid w:val="00CA39C6"/>
    <w:rsid w:val="00CA3C3B"/>
    <w:rsid w:val="00CB0A3B"/>
    <w:rsid w:val="00CB21AD"/>
    <w:rsid w:val="00CB2E2D"/>
    <w:rsid w:val="00CB2F2D"/>
    <w:rsid w:val="00CB30D9"/>
    <w:rsid w:val="00CB32DF"/>
    <w:rsid w:val="00CB4CA4"/>
    <w:rsid w:val="00CB67AD"/>
    <w:rsid w:val="00CC08DD"/>
    <w:rsid w:val="00CC1753"/>
    <w:rsid w:val="00CC1A87"/>
    <w:rsid w:val="00CC2CBB"/>
    <w:rsid w:val="00CC52A0"/>
    <w:rsid w:val="00CD03AD"/>
    <w:rsid w:val="00CD278A"/>
    <w:rsid w:val="00CD487C"/>
    <w:rsid w:val="00CD4BED"/>
    <w:rsid w:val="00CD60DC"/>
    <w:rsid w:val="00CE0C24"/>
    <w:rsid w:val="00CE4170"/>
    <w:rsid w:val="00CE7C10"/>
    <w:rsid w:val="00CF0BA8"/>
    <w:rsid w:val="00CF3163"/>
    <w:rsid w:val="00CF5D89"/>
    <w:rsid w:val="00CF6DA9"/>
    <w:rsid w:val="00CF741E"/>
    <w:rsid w:val="00D024B5"/>
    <w:rsid w:val="00D0738B"/>
    <w:rsid w:val="00D118D5"/>
    <w:rsid w:val="00D1195A"/>
    <w:rsid w:val="00D12206"/>
    <w:rsid w:val="00D13DDD"/>
    <w:rsid w:val="00D1421B"/>
    <w:rsid w:val="00D15DE1"/>
    <w:rsid w:val="00D16024"/>
    <w:rsid w:val="00D16F59"/>
    <w:rsid w:val="00D17280"/>
    <w:rsid w:val="00D24046"/>
    <w:rsid w:val="00D24C52"/>
    <w:rsid w:val="00D25837"/>
    <w:rsid w:val="00D26125"/>
    <w:rsid w:val="00D2756C"/>
    <w:rsid w:val="00D27986"/>
    <w:rsid w:val="00D301DC"/>
    <w:rsid w:val="00D315EF"/>
    <w:rsid w:val="00D3496E"/>
    <w:rsid w:val="00D34C76"/>
    <w:rsid w:val="00D35659"/>
    <w:rsid w:val="00D4173C"/>
    <w:rsid w:val="00D41B3A"/>
    <w:rsid w:val="00D442A5"/>
    <w:rsid w:val="00D451A4"/>
    <w:rsid w:val="00D47AE7"/>
    <w:rsid w:val="00D52F9A"/>
    <w:rsid w:val="00D5706B"/>
    <w:rsid w:val="00D5721B"/>
    <w:rsid w:val="00D6088F"/>
    <w:rsid w:val="00D6377B"/>
    <w:rsid w:val="00D63F90"/>
    <w:rsid w:val="00D65AE0"/>
    <w:rsid w:val="00D67A5B"/>
    <w:rsid w:val="00D706D7"/>
    <w:rsid w:val="00D70C83"/>
    <w:rsid w:val="00D71290"/>
    <w:rsid w:val="00D71D54"/>
    <w:rsid w:val="00D71F7F"/>
    <w:rsid w:val="00D734BC"/>
    <w:rsid w:val="00D73760"/>
    <w:rsid w:val="00D73D20"/>
    <w:rsid w:val="00D766FE"/>
    <w:rsid w:val="00D833BC"/>
    <w:rsid w:val="00D83FC2"/>
    <w:rsid w:val="00D849F0"/>
    <w:rsid w:val="00D8588C"/>
    <w:rsid w:val="00D862F9"/>
    <w:rsid w:val="00D90124"/>
    <w:rsid w:val="00D90CC1"/>
    <w:rsid w:val="00D913E2"/>
    <w:rsid w:val="00D91B9A"/>
    <w:rsid w:val="00D93335"/>
    <w:rsid w:val="00DA0092"/>
    <w:rsid w:val="00DA028A"/>
    <w:rsid w:val="00DA03BD"/>
    <w:rsid w:val="00DA089A"/>
    <w:rsid w:val="00DA0CEC"/>
    <w:rsid w:val="00DA1AF4"/>
    <w:rsid w:val="00DA2294"/>
    <w:rsid w:val="00DA3773"/>
    <w:rsid w:val="00DA3821"/>
    <w:rsid w:val="00DA3C08"/>
    <w:rsid w:val="00DA799A"/>
    <w:rsid w:val="00DA7F7F"/>
    <w:rsid w:val="00DB4CBE"/>
    <w:rsid w:val="00DB5600"/>
    <w:rsid w:val="00DC19CA"/>
    <w:rsid w:val="00DC1E5F"/>
    <w:rsid w:val="00DC20D4"/>
    <w:rsid w:val="00DC4D21"/>
    <w:rsid w:val="00DC7DB8"/>
    <w:rsid w:val="00DD2822"/>
    <w:rsid w:val="00DD2831"/>
    <w:rsid w:val="00DD4104"/>
    <w:rsid w:val="00DD5971"/>
    <w:rsid w:val="00DD6DB9"/>
    <w:rsid w:val="00DD7D39"/>
    <w:rsid w:val="00DE289F"/>
    <w:rsid w:val="00DE4A36"/>
    <w:rsid w:val="00DE6134"/>
    <w:rsid w:val="00DE76C3"/>
    <w:rsid w:val="00DF0512"/>
    <w:rsid w:val="00DF1D8D"/>
    <w:rsid w:val="00DF22D1"/>
    <w:rsid w:val="00DF2C3E"/>
    <w:rsid w:val="00DF32BA"/>
    <w:rsid w:val="00DF3AE6"/>
    <w:rsid w:val="00DF7525"/>
    <w:rsid w:val="00E00347"/>
    <w:rsid w:val="00E01177"/>
    <w:rsid w:val="00E039F8"/>
    <w:rsid w:val="00E042E9"/>
    <w:rsid w:val="00E04A5E"/>
    <w:rsid w:val="00E05715"/>
    <w:rsid w:val="00E0673C"/>
    <w:rsid w:val="00E10FDC"/>
    <w:rsid w:val="00E11DA7"/>
    <w:rsid w:val="00E173B2"/>
    <w:rsid w:val="00E1748A"/>
    <w:rsid w:val="00E2040A"/>
    <w:rsid w:val="00E22426"/>
    <w:rsid w:val="00E23D48"/>
    <w:rsid w:val="00E25481"/>
    <w:rsid w:val="00E258AF"/>
    <w:rsid w:val="00E258E1"/>
    <w:rsid w:val="00E316F8"/>
    <w:rsid w:val="00E33093"/>
    <w:rsid w:val="00E33D9F"/>
    <w:rsid w:val="00E33EF9"/>
    <w:rsid w:val="00E34B19"/>
    <w:rsid w:val="00E36D93"/>
    <w:rsid w:val="00E37AB4"/>
    <w:rsid w:val="00E40882"/>
    <w:rsid w:val="00E4364C"/>
    <w:rsid w:val="00E44A0C"/>
    <w:rsid w:val="00E45C88"/>
    <w:rsid w:val="00E502E5"/>
    <w:rsid w:val="00E50A3B"/>
    <w:rsid w:val="00E53318"/>
    <w:rsid w:val="00E5391D"/>
    <w:rsid w:val="00E53DB4"/>
    <w:rsid w:val="00E54D1F"/>
    <w:rsid w:val="00E54F02"/>
    <w:rsid w:val="00E554BB"/>
    <w:rsid w:val="00E62EC7"/>
    <w:rsid w:val="00E652FD"/>
    <w:rsid w:val="00E65EE4"/>
    <w:rsid w:val="00E723CD"/>
    <w:rsid w:val="00E73F34"/>
    <w:rsid w:val="00E750E9"/>
    <w:rsid w:val="00E750F7"/>
    <w:rsid w:val="00E751D2"/>
    <w:rsid w:val="00E80F19"/>
    <w:rsid w:val="00E81E53"/>
    <w:rsid w:val="00E81E83"/>
    <w:rsid w:val="00E833BB"/>
    <w:rsid w:val="00E83EE9"/>
    <w:rsid w:val="00E86C96"/>
    <w:rsid w:val="00E8789E"/>
    <w:rsid w:val="00E91932"/>
    <w:rsid w:val="00E92FE7"/>
    <w:rsid w:val="00E933EA"/>
    <w:rsid w:val="00E95825"/>
    <w:rsid w:val="00E960B7"/>
    <w:rsid w:val="00E9650E"/>
    <w:rsid w:val="00E974E6"/>
    <w:rsid w:val="00E97DD0"/>
    <w:rsid w:val="00EA0C22"/>
    <w:rsid w:val="00EA12FD"/>
    <w:rsid w:val="00EA3B5C"/>
    <w:rsid w:val="00EA440D"/>
    <w:rsid w:val="00EA47F3"/>
    <w:rsid w:val="00EA5254"/>
    <w:rsid w:val="00EA71D2"/>
    <w:rsid w:val="00EB0CE8"/>
    <w:rsid w:val="00EB0F25"/>
    <w:rsid w:val="00EB17A3"/>
    <w:rsid w:val="00EB1FD1"/>
    <w:rsid w:val="00EB294C"/>
    <w:rsid w:val="00EB3402"/>
    <w:rsid w:val="00EB5C11"/>
    <w:rsid w:val="00EB5EBE"/>
    <w:rsid w:val="00EB78AA"/>
    <w:rsid w:val="00EC0FDC"/>
    <w:rsid w:val="00EC1551"/>
    <w:rsid w:val="00EC2FFB"/>
    <w:rsid w:val="00EC4AEC"/>
    <w:rsid w:val="00EC7C98"/>
    <w:rsid w:val="00ED1846"/>
    <w:rsid w:val="00ED4426"/>
    <w:rsid w:val="00ED4E0B"/>
    <w:rsid w:val="00EE2A0E"/>
    <w:rsid w:val="00EE37E5"/>
    <w:rsid w:val="00EE4A9D"/>
    <w:rsid w:val="00EE51C5"/>
    <w:rsid w:val="00EE5C69"/>
    <w:rsid w:val="00EE6C7E"/>
    <w:rsid w:val="00EF2118"/>
    <w:rsid w:val="00EF2D71"/>
    <w:rsid w:val="00EF3683"/>
    <w:rsid w:val="00F047AF"/>
    <w:rsid w:val="00F06E48"/>
    <w:rsid w:val="00F07728"/>
    <w:rsid w:val="00F07B72"/>
    <w:rsid w:val="00F12792"/>
    <w:rsid w:val="00F136B2"/>
    <w:rsid w:val="00F1483B"/>
    <w:rsid w:val="00F16978"/>
    <w:rsid w:val="00F16FDE"/>
    <w:rsid w:val="00F175A9"/>
    <w:rsid w:val="00F20307"/>
    <w:rsid w:val="00F2196F"/>
    <w:rsid w:val="00F21CBB"/>
    <w:rsid w:val="00F24EE3"/>
    <w:rsid w:val="00F25C08"/>
    <w:rsid w:val="00F26A79"/>
    <w:rsid w:val="00F27352"/>
    <w:rsid w:val="00F31203"/>
    <w:rsid w:val="00F31DA6"/>
    <w:rsid w:val="00F345D7"/>
    <w:rsid w:val="00F35D1A"/>
    <w:rsid w:val="00F41939"/>
    <w:rsid w:val="00F42EE6"/>
    <w:rsid w:val="00F4466E"/>
    <w:rsid w:val="00F450C5"/>
    <w:rsid w:val="00F4542A"/>
    <w:rsid w:val="00F459C0"/>
    <w:rsid w:val="00F473ED"/>
    <w:rsid w:val="00F47620"/>
    <w:rsid w:val="00F47B0F"/>
    <w:rsid w:val="00F47DB3"/>
    <w:rsid w:val="00F54702"/>
    <w:rsid w:val="00F60065"/>
    <w:rsid w:val="00F6359E"/>
    <w:rsid w:val="00F66AB8"/>
    <w:rsid w:val="00F70551"/>
    <w:rsid w:val="00F75729"/>
    <w:rsid w:val="00F80CFE"/>
    <w:rsid w:val="00F8139A"/>
    <w:rsid w:val="00F81DBC"/>
    <w:rsid w:val="00F8317F"/>
    <w:rsid w:val="00F843E1"/>
    <w:rsid w:val="00F85194"/>
    <w:rsid w:val="00F854B4"/>
    <w:rsid w:val="00F879E4"/>
    <w:rsid w:val="00F907A1"/>
    <w:rsid w:val="00F93FF2"/>
    <w:rsid w:val="00F953F0"/>
    <w:rsid w:val="00F95CB3"/>
    <w:rsid w:val="00FA2569"/>
    <w:rsid w:val="00FA30B6"/>
    <w:rsid w:val="00FA3F3E"/>
    <w:rsid w:val="00FA410E"/>
    <w:rsid w:val="00FA6A56"/>
    <w:rsid w:val="00FB3F6D"/>
    <w:rsid w:val="00FB58BF"/>
    <w:rsid w:val="00FB5AFF"/>
    <w:rsid w:val="00FB7ECD"/>
    <w:rsid w:val="00FC059E"/>
    <w:rsid w:val="00FC1E4E"/>
    <w:rsid w:val="00FC4F3B"/>
    <w:rsid w:val="00FC6F7B"/>
    <w:rsid w:val="00FC735C"/>
    <w:rsid w:val="00FD383D"/>
    <w:rsid w:val="00FD3865"/>
    <w:rsid w:val="00FD3B60"/>
    <w:rsid w:val="00FD67C5"/>
    <w:rsid w:val="00FD6C80"/>
    <w:rsid w:val="00FD78B8"/>
    <w:rsid w:val="00FE5FE8"/>
    <w:rsid w:val="00FF0E17"/>
    <w:rsid w:val="00FF269D"/>
    <w:rsid w:val="00FF2FE3"/>
    <w:rsid w:val="00FF4029"/>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01"/>
    <w:pPr>
      <w:suppressAutoHyphens/>
      <w:autoSpaceDN w:val="0"/>
      <w:spacing w:line="280" w:lineRule="exact"/>
      <w:textAlignment w:val="baseline"/>
    </w:pPr>
    <w:rPr>
      <w:rFonts w:ascii="Arial" w:hAnsi="Arial"/>
      <w:color w:val="000000"/>
      <w:spacing w:val="6"/>
      <w:sz w:val="18"/>
      <w:szCs w:val="18"/>
      <w:lang w:val="en-GB" w:eastAsia="en-GB"/>
    </w:rPr>
  </w:style>
  <w:style w:type="paragraph" w:styleId="Heading1">
    <w:name w:val="heading 1"/>
    <w:basedOn w:val="Normal"/>
    <w:next w:val="Normal"/>
    <w:link w:val="Heading1Char"/>
    <w:uiPriority w:val="99"/>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rFonts w:cs="Times New Roman"/>
      <w:b/>
      <w:bCs/>
      <w:sz w:val="24"/>
      <w:szCs w:val="24"/>
      <w:lang w:val="en-GB" w:eastAsia="en-US"/>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rsid w:val="00193C19"/>
    <w:rPr>
      <w:rFonts w:ascii="Arial" w:hAnsi="Arial" w:cs="Times New Roman"/>
      <w:spacing w:val="6"/>
      <w:sz w:val="14"/>
      <w:szCs w:val="14"/>
      <w:lang w:val="en-GB" w:eastAsia="en-GB" w:bidi="ar-SA"/>
    </w:rPr>
  </w:style>
  <w:style w:type="paragraph" w:styleId="Header">
    <w:name w:val="header"/>
    <w:basedOn w:val="Normal"/>
    <w:link w:val="HeaderChar"/>
    <w:uiPriority w:val="99"/>
    <w:rsid w:val="00193C19"/>
    <w:pPr>
      <w:tabs>
        <w:tab w:val="center" w:pos="4153"/>
        <w:tab w:val="right" w:pos="8306"/>
      </w:tabs>
    </w:pPr>
  </w:style>
  <w:style w:type="character" w:customStyle="1" w:styleId="HeaderChar">
    <w:name w:val="Header Char"/>
    <w:link w:val="Header"/>
    <w:uiPriority w:val="99"/>
    <w:rsid w:val="0099257A"/>
    <w:rPr>
      <w:rFonts w:ascii="Arial" w:hAnsi="Arial"/>
      <w:color w:val="000000"/>
      <w:spacing w:val="6"/>
      <w:sz w:val="18"/>
      <w:szCs w:val="18"/>
      <w:lang w:val="en-GB" w:eastAsia="en-GB"/>
    </w:rPr>
  </w:style>
  <w:style w:type="character" w:styleId="Hyperlink">
    <w:name w:val="Hyperlink"/>
    <w:uiPriority w:val="99"/>
    <w:rsid w:val="00193C19"/>
    <w:rPr>
      <w:rFonts w:cs="Times New Roman"/>
      <w:color w:val="0000FF"/>
      <w:u w:val="single"/>
    </w:rPr>
  </w:style>
  <w:style w:type="paragraph" w:styleId="BalloonText">
    <w:name w:val="Balloon Text"/>
    <w:basedOn w:val="Normal"/>
    <w:link w:val="BalloonTextChar"/>
    <w:uiPriority w:val="99"/>
    <w:rsid w:val="00193C19"/>
    <w:rPr>
      <w:rFonts w:ascii="Tahoma" w:hAnsi="Tahoma" w:cs="Tahoma"/>
      <w:sz w:val="16"/>
      <w:szCs w:val="16"/>
    </w:rPr>
  </w:style>
  <w:style w:type="character" w:customStyle="1" w:styleId="BalloonTextChar">
    <w:name w:val="Balloon Text Char"/>
    <w:link w:val="BalloonText"/>
    <w:uiPriority w:val="99"/>
    <w:semiHidden/>
    <w:rsid w:val="0099257A"/>
    <w:rPr>
      <w:color w:val="000000"/>
      <w:spacing w:val="6"/>
      <w:sz w:val="0"/>
      <w:szCs w:val="0"/>
      <w:lang w:val="en-GB" w:eastAsia="en-GB"/>
    </w:rPr>
  </w:style>
  <w:style w:type="character" w:styleId="CommentReference">
    <w:name w:val="annotation reference"/>
    <w:uiPriority w:val="99"/>
    <w:rsid w:val="00193C19"/>
    <w:rPr>
      <w:rFonts w:cs="Times New Roman"/>
      <w:sz w:val="16"/>
      <w:szCs w:val="16"/>
    </w:rPr>
  </w:style>
  <w:style w:type="paragraph" w:styleId="CommentText">
    <w:name w:val="annotation text"/>
    <w:basedOn w:val="Normal"/>
    <w:link w:val="CommentTextChar"/>
    <w:uiPriority w:val="99"/>
    <w:rsid w:val="00193C19"/>
    <w:rPr>
      <w:sz w:val="20"/>
      <w:szCs w:val="20"/>
    </w:rPr>
  </w:style>
  <w:style w:type="character" w:customStyle="1" w:styleId="CommentTextChar">
    <w:name w:val="Comment Text Char"/>
    <w:link w:val="CommentText"/>
    <w:uiPriority w:val="99"/>
    <w:semiHidden/>
    <w:rsid w:val="0099257A"/>
    <w:rPr>
      <w:rFonts w:ascii="Arial" w:hAnsi="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uiPriority w:val="99"/>
    <w:rsid w:val="00193C19"/>
    <w:rPr>
      <w:rFonts w:cs="Times New Roman"/>
    </w:rPr>
  </w:style>
  <w:style w:type="paragraph" w:styleId="CommentSubject">
    <w:name w:val="annotation subject"/>
    <w:basedOn w:val="CommentText"/>
    <w:next w:val="CommentText"/>
    <w:link w:val="CommentSubjectChar"/>
    <w:uiPriority w:val="99"/>
    <w:rsid w:val="00193C19"/>
    <w:rPr>
      <w:b/>
      <w:bCs/>
    </w:rPr>
  </w:style>
  <w:style w:type="character" w:customStyle="1" w:styleId="CommentSubjectChar">
    <w:name w:val="Comment Subject Char"/>
    <w:link w:val="CommentSubject"/>
    <w:uiPriority w:val="99"/>
    <w:semiHidden/>
    <w:rsid w:val="0099257A"/>
    <w:rPr>
      <w:rFonts w:ascii="Arial" w:hAnsi="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link w:val="ListParagraphChar"/>
    <w:uiPriority w:val="34"/>
    <w:qFormat/>
    <w:rsid w:val="00193C19"/>
    <w:pPr>
      <w:ind w:left="720"/>
    </w:pPr>
  </w:style>
  <w:style w:type="paragraph" w:styleId="FootnoteText">
    <w:name w:val="footnote text"/>
    <w:aliases w:val="Footnote Text Char Char,Footnote Text Char1,a footnote text,Char Char Char,Footnote Text Char1 Char Char,Footnote Text Char Char Char Char,Footnote Text Char1 Char1 Char1 Char Char,Footnote Text Char Char Char1 Char1 Char Char,fn Char,ft"/>
    <w:basedOn w:val="Normal"/>
    <w:link w:val="FootnoteTextChar"/>
    <w:uiPriority w:val="99"/>
    <w:rsid w:val="00193C19"/>
    <w:rPr>
      <w:sz w:val="20"/>
      <w:szCs w:val="20"/>
    </w:rPr>
  </w:style>
  <w:style w:type="character" w:customStyle="1" w:styleId="FootnoteTextChar">
    <w:name w:val="Footnote Text Char"/>
    <w:aliases w:val="Footnote Text Char Char Char,Footnote Text Char1 Char,a footnote text Char,Char Char Char Char,Footnote Text Char1 Char Char Char,Footnote Text Char Char Char Char Char,Footnote Text Char1 Char1 Char1 Char Char Char,fn Char Char"/>
    <w:link w:val="FootnoteText"/>
    <w:uiPriority w:val="99"/>
    <w:rsid w:val="00193C19"/>
    <w:rPr>
      <w:rFonts w:ascii="Arial" w:hAnsi="Arial" w:cs="Times New Roman"/>
      <w:color w:val="000000"/>
      <w:spacing w:val="6"/>
      <w:lang w:eastAsia="en-GB"/>
    </w:rPr>
  </w:style>
  <w:style w:type="character" w:styleId="FootnoteReference">
    <w:name w:val="footnote reference"/>
    <w:aliases w:val="JCL Footnote Reference,ftref"/>
    <w:uiPriority w:val="99"/>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link w:val="Title"/>
    <w:uiPriority w:val="99"/>
    <w:rsid w:val="00193C19"/>
    <w:rPr>
      <w:rFonts w:cs="Times New Roman"/>
      <w:b/>
      <w:bCs/>
      <w:sz w:val="24"/>
      <w:szCs w:val="24"/>
      <w:lang w:val="en-US" w:eastAsia="en-US"/>
    </w:rPr>
  </w:style>
  <w:style w:type="paragraph" w:customStyle="1" w:styleId="Default">
    <w:name w:val="Default"/>
    <w:uiPriority w:val="99"/>
    <w:rsid w:val="00193C19"/>
    <w:pPr>
      <w:suppressAutoHyphens/>
      <w:autoSpaceDE w:val="0"/>
      <w:autoSpaceDN w:val="0"/>
      <w:textAlignment w:val="baseline"/>
    </w:pPr>
    <w:rPr>
      <w:rFonts w:ascii="Calibri" w:hAnsi="Calibri" w:cs="Calibri"/>
      <w:color w:val="000000"/>
      <w:sz w:val="24"/>
      <w:szCs w:val="24"/>
    </w:rPr>
  </w:style>
  <w:style w:type="paragraph" w:styleId="NormalWeb">
    <w:name w:val="Normal (Web)"/>
    <w:basedOn w:val="Normal"/>
    <w:uiPriority w:val="99"/>
    <w:unhideWhenUsed/>
    <w:rsid w:val="00DE76C3"/>
    <w:pPr>
      <w:suppressAutoHyphens w:val="0"/>
      <w:autoSpaceDN/>
      <w:spacing w:before="100" w:beforeAutospacing="1" w:after="100" w:afterAutospacing="1" w:line="240" w:lineRule="auto"/>
      <w:textAlignment w:val="auto"/>
    </w:pPr>
    <w:rPr>
      <w:rFonts w:ascii="Times New Roman" w:hAnsi="Times New Roman"/>
      <w:color w:val="auto"/>
      <w:spacing w:val="0"/>
      <w:sz w:val="24"/>
      <w:szCs w:val="24"/>
      <w:lang w:val="en-ZA" w:eastAsia="en-ZA"/>
    </w:rPr>
  </w:style>
  <w:style w:type="paragraph" w:styleId="Revision">
    <w:name w:val="Revision"/>
    <w:hidden/>
    <w:uiPriority w:val="99"/>
    <w:semiHidden/>
    <w:rsid w:val="008E402E"/>
    <w:rPr>
      <w:rFonts w:ascii="Arial" w:hAnsi="Arial"/>
      <w:color w:val="000000"/>
      <w:spacing w:val="6"/>
      <w:sz w:val="18"/>
      <w:szCs w:val="18"/>
      <w:lang w:val="en-GB" w:eastAsia="en-GB"/>
    </w:rPr>
  </w:style>
  <w:style w:type="paragraph" w:styleId="BodyText3">
    <w:name w:val="Body Text 3"/>
    <w:basedOn w:val="Normal"/>
    <w:link w:val="BodyText3Char"/>
    <w:rsid w:val="00EA47F3"/>
    <w:pPr>
      <w:suppressAutoHyphens w:val="0"/>
      <w:autoSpaceDN/>
      <w:spacing w:line="240" w:lineRule="auto"/>
      <w:jc w:val="both"/>
      <w:textAlignment w:val="auto"/>
    </w:pPr>
    <w:rPr>
      <w:rFonts w:cs="Arial"/>
      <w:color w:val="auto"/>
      <w:spacing w:val="0"/>
      <w:sz w:val="22"/>
      <w:szCs w:val="24"/>
      <w:lang w:val="en-ZA" w:eastAsia="en-US"/>
    </w:rPr>
  </w:style>
  <w:style w:type="character" w:customStyle="1" w:styleId="BodyText3Char">
    <w:name w:val="Body Text 3 Char"/>
    <w:basedOn w:val="DefaultParagraphFont"/>
    <w:link w:val="BodyText3"/>
    <w:rsid w:val="00EA47F3"/>
    <w:rPr>
      <w:rFonts w:ascii="Arial" w:hAnsi="Arial" w:cs="Arial"/>
      <w:sz w:val="22"/>
      <w:szCs w:val="24"/>
      <w:lang w:eastAsia="en-US"/>
    </w:rPr>
  </w:style>
  <w:style w:type="paragraph" w:customStyle="1" w:styleId="Char0">
    <w:name w:val="Char"/>
    <w:basedOn w:val="Normal"/>
    <w:rsid w:val="00EA47F3"/>
    <w:pPr>
      <w:suppressAutoHyphens w:val="0"/>
      <w:autoSpaceDN/>
      <w:spacing w:after="160" w:line="240" w:lineRule="exact"/>
      <w:textAlignment w:val="auto"/>
    </w:pPr>
    <w:rPr>
      <w:bCs/>
      <w:color w:val="auto"/>
      <w:spacing w:val="0"/>
      <w:sz w:val="22"/>
      <w:szCs w:val="24"/>
      <w:lang w:val="en-US" w:eastAsia="en-US"/>
    </w:rPr>
  </w:style>
  <w:style w:type="paragraph" w:styleId="BodyText">
    <w:name w:val="Body Text"/>
    <w:basedOn w:val="Normal"/>
    <w:link w:val="BodyTextChar"/>
    <w:unhideWhenUsed/>
    <w:rsid w:val="009E10FE"/>
    <w:pPr>
      <w:spacing w:after="120"/>
    </w:pPr>
  </w:style>
  <w:style w:type="character" w:customStyle="1" w:styleId="BodyTextChar">
    <w:name w:val="Body Text Char"/>
    <w:basedOn w:val="DefaultParagraphFont"/>
    <w:link w:val="BodyText"/>
    <w:rsid w:val="009E10FE"/>
    <w:rPr>
      <w:rFonts w:ascii="Arial" w:hAnsi="Arial"/>
      <w:color w:val="000000"/>
      <w:spacing w:val="6"/>
      <w:sz w:val="18"/>
      <w:szCs w:val="18"/>
      <w:lang w:val="en-GB" w:eastAsia="en-GB"/>
    </w:rPr>
  </w:style>
  <w:style w:type="character" w:customStyle="1" w:styleId="ListParagraphChar">
    <w:name w:val="List Paragraph Char"/>
    <w:link w:val="ListParagraph"/>
    <w:uiPriority w:val="34"/>
    <w:locked/>
    <w:rsid w:val="009E10FE"/>
    <w:rPr>
      <w:rFonts w:ascii="Arial" w:hAnsi="Arial"/>
      <w:color w:val="000000"/>
      <w:spacing w:val="6"/>
      <w:sz w:val="18"/>
      <w:szCs w:val="18"/>
      <w:lang w:val="en-GB" w:eastAsia="en-GB"/>
    </w:rPr>
  </w:style>
  <w:style w:type="paragraph" w:customStyle="1" w:styleId="Indent14pt">
    <w:name w:val="Indent 14pt"/>
    <w:basedOn w:val="ListParagraph"/>
    <w:link w:val="Indent14ptChar"/>
    <w:uiPriority w:val="99"/>
    <w:rsid w:val="009E10FE"/>
    <w:pPr>
      <w:numPr>
        <w:numId w:val="4"/>
      </w:numPr>
      <w:suppressAutoHyphens w:val="0"/>
      <w:autoSpaceDN/>
      <w:ind w:left="714" w:hanging="357"/>
      <w:contextualSpacing/>
      <w:jc w:val="both"/>
      <w:textAlignment w:val="auto"/>
    </w:pPr>
    <w:rPr>
      <w:rFonts w:cs="Arial"/>
      <w:sz w:val="22"/>
      <w:szCs w:val="22"/>
      <w:lang w:eastAsia="en-US"/>
    </w:rPr>
  </w:style>
  <w:style w:type="character" w:customStyle="1" w:styleId="Indent14ptChar">
    <w:name w:val="Indent 14pt Char"/>
    <w:basedOn w:val="ListParagraphChar"/>
    <w:link w:val="Indent14pt"/>
    <w:uiPriority w:val="99"/>
    <w:locked/>
    <w:rsid w:val="009E10FE"/>
    <w:rPr>
      <w:rFonts w:ascii="Arial" w:hAnsi="Arial" w:cs="Arial"/>
      <w:color w:val="000000"/>
      <w:spacing w:val="6"/>
      <w:sz w:val="22"/>
      <w:szCs w:val="22"/>
      <w:lang w:val="en-GB" w:eastAsia="en-US"/>
    </w:rPr>
  </w:style>
  <w:style w:type="table" w:styleId="TableGrid">
    <w:name w:val="Table Grid"/>
    <w:basedOn w:val="TableNormal"/>
    <w:uiPriority w:val="39"/>
    <w:locked/>
    <w:rsid w:val="009E10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10FE"/>
    <w:pPr>
      <w:jc w:val="both"/>
    </w:pPr>
    <w:rPr>
      <w:rFonts w:ascii="Arial" w:hAnsi="Arial"/>
      <w:color w:val="000000"/>
      <w:spacing w:val="6"/>
      <w:sz w:val="22"/>
      <w:szCs w:val="18"/>
      <w:lang w:val="en-GB" w:eastAsia="en-GB"/>
    </w:rPr>
  </w:style>
  <w:style w:type="character" w:customStyle="1" w:styleId="NoSpacingChar">
    <w:name w:val="No Spacing Char"/>
    <w:basedOn w:val="DefaultParagraphFont"/>
    <w:link w:val="NoSpacing"/>
    <w:uiPriority w:val="1"/>
    <w:locked/>
    <w:rsid w:val="009E10FE"/>
    <w:rPr>
      <w:rFonts w:ascii="Arial" w:hAnsi="Arial"/>
      <w:color w:val="000000"/>
      <w:spacing w:val="6"/>
      <w:sz w:val="22"/>
      <w:szCs w:val="18"/>
      <w:lang w:val="en-GB" w:eastAsia="en-GB"/>
    </w:rPr>
  </w:style>
  <w:style w:type="paragraph" w:styleId="BodyTextIndent2">
    <w:name w:val="Body Text Indent 2"/>
    <w:basedOn w:val="Normal"/>
    <w:link w:val="BodyTextIndent2Char"/>
    <w:uiPriority w:val="99"/>
    <w:semiHidden/>
    <w:unhideWhenUsed/>
    <w:rsid w:val="00DA3773"/>
    <w:pPr>
      <w:spacing w:after="120" w:line="480" w:lineRule="auto"/>
      <w:ind w:left="283"/>
    </w:pPr>
  </w:style>
  <w:style w:type="character" w:customStyle="1" w:styleId="BodyTextIndent2Char">
    <w:name w:val="Body Text Indent 2 Char"/>
    <w:basedOn w:val="DefaultParagraphFont"/>
    <w:link w:val="BodyTextIndent2"/>
    <w:uiPriority w:val="99"/>
    <w:semiHidden/>
    <w:rsid w:val="00DA3773"/>
    <w:rPr>
      <w:rFonts w:ascii="Arial" w:hAnsi="Arial"/>
      <w:color w:val="000000"/>
      <w:spacing w:val="6"/>
      <w:sz w:val="18"/>
      <w:szCs w:val="18"/>
      <w:lang w:val="en-GB" w:eastAsia="en-GB"/>
    </w:rPr>
  </w:style>
  <w:style w:type="paragraph" w:styleId="BodyText2">
    <w:name w:val="Body Text 2"/>
    <w:basedOn w:val="Normal"/>
    <w:link w:val="BodyText2Char"/>
    <w:uiPriority w:val="99"/>
    <w:unhideWhenUsed/>
    <w:rsid w:val="0085110F"/>
    <w:pPr>
      <w:spacing w:after="120" w:line="480" w:lineRule="auto"/>
    </w:pPr>
  </w:style>
  <w:style w:type="character" w:customStyle="1" w:styleId="BodyText2Char">
    <w:name w:val="Body Text 2 Char"/>
    <w:basedOn w:val="DefaultParagraphFont"/>
    <w:link w:val="BodyText2"/>
    <w:uiPriority w:val="99"/>
    <w:rsid w:val="0085110F"/>
    <w:rPr>
      <w:rFonts w:ascii="Arial" w:hAnsi="Arial"/>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01"/>
    <w:pPr>
      <w:suppressAutoHyphens/>
      <w:autoSpaceDN w:val="0"/>
      <w:spacing w:line="280" w:lineRule="exact"/>
      <w:textAlignment w:val="baseline"/>
    </w:pPr>
    <w:rPr>
      <w:rFonts w:ascii="Arial" w:hAnsi="Arial"/>
      <w:color w:val="000000"/>
      <w:spacing w:val="6"/>
      <w:sz w:val="18"/>
      <w:szCs w:val="18"/>
      <w:lang w:val="en-GB" w:eastAsia="en-GB"/>
    </w:rPr>
  </w:style>
  <w:style w:type="paragraph" w:styleId="Heading1">
    <w:name w:val="heading 1"/>
    <w:basedOn w:val="Normal"/>
    <w:next w:val="Normal"/>
    <w:link w:val="Heading1Char"/>
    <w:uiPriority w:val="99"/>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rFonts w:cs="Times New Roman"/>
      <w:b/>
      <w:bCs/>
      <w:sz w:val="24"/>
      <w:szCs w:val="24"/>
      <w:lang w:val="en-GB" w:eastAsia="en-US"/>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rsid w:val="00193C19"/>
    <w:rPr>
      <w:rFonts w:ascii="Arial" w:hAnsi="Arial" w:cs="Times New Roman"/>
      <w:spacing w:val="6"/>
      <w:sz w:val="14"/>
      <w:szCs w:val="14"/>
      <w:lang w:val="en-GB" w:eastAsia="en-GB" w:bidi="ar-SA"/>
    </w:rPr>
  </w:style>
  <w:style w:type="paragraph" w:styleId="Header">
    <w:name w:val="header"/>
    <w:basedOn w:val="Normal"/>
    <w:link w:val="HeaderChar"/>
    <w:uiPriority w:val="99"/>
    <w:rsid w:val="00193C19"/>
    <w:pPr>
      <w:tabs>
        <w:tab w:val="center" w:pos="4153"/>
        <w:tab w:val="right" w:pos="8306"/>
      </w:tabs>
    </w:pPr>
  </w:style>
  <w:style w:type="character" w:customStyle="1" w:styleId="HeaderChar">
    <w:name w:val="Header Char"/>
    <w:link w:val="Header"/>
    <w:uiPriority w:val="99"/>
    <w:rsid w:val="0099257A"/>
    <w:rPr>
      <w:rFonts w:ascii="Arial" w:hAnsi="Arial"/>
      <w:color w:val="000000"/>
      <w:spacing w:val="6"/>
      <w:sz w:val="18"/>
      <w:szCs w:val="18"/>
      <w:lang w:val="en-GB" w:eastAsia="en-GB"/>
    </w:rPr>
  </w:style>
  <w:style w:type="character" w:styleId="Hyperlink">
    <w:name w:val="Hyperlink"/>
    <w:uiPriority w:val="99"/>
    <w:rsid w:val="00193C19"/>
    <w:rPr>
      <w:rFonts w:cs="Times New Roman"/>
      <w:color w:val="0000FF"/>
      <w:u w:val="single"/>
    </w:rPr>
  </w:style>
  <w:style w:type="paragraph" w:styleId="BalloonText">
    <w:name w:val="Balloon Text"/>
    <w:basedOn w:val="Normal"/>
    <w:link w:val="BalloonTextChar"/>
    <w:uiPriority w:val="99"/>
    <w:rsid w:val="00193C19"/>
    <w:rPr>
      <w:rFonts w:ascii="Tahoma" w:hAnsi="Tahoma" w:cs="Tahoma"/>
      <w:sz w:val="16"/>
      <w:szCs w:val="16"/>
    </w:rPr>
  </w:style>
  <w:style w:type="character" w:customStyle="1" w:styleId="BalloonTextChar">
    <w:name w:val="Balloon Text Char"/>
    <w:link w:val="BalloonText"/>
    <w:uiPriority w:val="99"/>
    <w:semiHidden/>
    <w:rsid w:val="0099257A"/>
    <w:rPr>
      <w:color w:val="000000"/>
      <w:spacing w:val="6"/>
      <w:sz w:val="0"/>
      <w:szCs w:val="0"/>
      <w:lang w:val="en-GB" w:eastAsia="en-GB"/>
    </w:rPr>
  </w:style>
  <w:style w:type="character" w:styleId="CommentReference">
    <w:name w:val="annotation reference"/>
    <w:uiPriority w:val="99"/>
    <w:rsid w:val="00193C19"/>
    <w:rPr>
      <w:rFonts w:cs="Times New Roman"/>
      <w:sz w:val="16"/>
      <w:szCs w:val="16"/>
    </w:rPr>
  </w:style>
  <w:style w:type="paragraph" w:styleId="CommentText">
    <w:name w:val="annotation text"/>
    <w:basedOn w:val="Normal"/>
    <w:link w:val="CommentTextChar"/>
    <w:uiPriority w:val="99"/>
    <w:rsid w:val="00193C19"/>
    <w:rPr>
      <w:sz w:val="20"/>
      <w:szCs w:val="20"/>
    </w:rPr>
  </w:style>
  <w:style w:type="character" w:customStyle="1" w:styleId="CommentTextChar">
    <w:name w:val="Comment Text Char"/>
    <w:link w:val="CommentText"/>
    <w:uiPriority w:val="99"/>
    <w:semiHidden/>
    <w:rsid w:val="0099257A"/>
    <w:rPr>
      <w:rFonts w:ascii="Arial" w:hAnsi="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uiPriority w:val="99"/>
    <w:rsid w:val="00193C19"/>
    <w:rPr>
      <w:rFonts w:cs="Times New Roman"/>
    </w:rPr>
  </w:style>
  <w:style w:type="paragraph" w:styleId="CommentSubject">
    <w:name w:val="annotation subject"/>
    <w:basedOn w:val="CommentText"/>
    <w:next w:val="CommentText"/>
    <w:link w:val="CommentSubjectChar"/>
    <w:uiPriority w:val="99"/>
    <w:rsid w:val="00193C19"/>
    <w:rPr>
      <w:b/>
      <w:bCs/>
    </w:rPr>
  </w:style>
  <w:style w:type="character" w:customStyle="1" w:styleId="CommentSubjectChar">
    <w:name w:val="Comment Subject Char"/>
    <w:link w:val="CommentSubject"/>
    <w:uiPriority w:val="99"/>
    <w:semiHidden/>
    <w:rsid w:val="0099257A"/>
    <w:rPr>
      <w:rFonts w:ascii="Arial" w:hAnsi="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link w:val="ListParagraphChar"/>
    <w:uiPriority w:val="34"/>
    <w:qFormat/>
    <w:rsid w:val="00193C19"/>
    <w:pPr>
      <w:ind w:left="720"/>
    </w:pPr>
  </w:style>
  <w:style w:type="paragraph" w:styleId="FootnoteText">
    <w:name w:val="footnote text"/>
    <w:aliases w:val="Footnote Text Char Char,Footnote Text Char1,a footnote text,Char Char Char,Footnote Text Char1 Char Char,Footnote Text Char Char Char Char,Footnote Text Char1 Char1 Char1 Char Char,Footnote Text Char Char Char1 Char1 Char Char,fn Char,ft"/>
    <w:basedOn w:val="Normal"/>
    <w:link w:val="FootnoteTextChar"/>
    <w:uiPriority w:val="99"/>
    <w:rsid w:val="00193C19"/>
    <w:rPr>
      <w:sz w:val="20"/>
      <w:szCs w:val="20"/>
    </w:rPr>
  </w:style>
  <w:style w:type="character" w:customStyle="1" w:styleId="FootnoteTextChar">
    <w:name w:val="Footnote Text Char"/>
    <w:aliases w:val="Footnote Text Char Char Char,Footnote Text Char1 Char,a footnote text Char,Char Char Char Char,Footnote Text Char1 Char Char Char,Footnote Text Char Char Char Char Char,Footnote Text Char1 Char1 Char1 Char Char Char,fn Char Char"/>
    <w:link w:val="FootnoteText"/>
    <w:uiPriority w:val="99"/>
    <w:rsid w:val="00193C19"/>
    <w:rPr>
      <w:rFonts w:ascii="Arial" w:hAnsi="Arial" w:cs="Times New Roman"/>
      <w:color w:val="000000"/>
      <w:spacing w:val="6"/>
      <w:lang w:eastAsia="en-GB"/>
    </w:rPr>
  </w:style>
  <w:style w:type="character" w:styleId="FootnoteReference">
    <w:name w:val="footnote reference"/>
    <w:aliases w:val="JCL Footnote Reference,ftref"/>
    <w:uiPriority w:val="99"/>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link w:val="Title"/>
    <w:uiPriority w:val="99"/>
    <w:rsid w:val="00193C19"/>
    <w:rPr>
      <w:rFonts w:cs="Times New Roman"/>
      <w:b/>
      <w:bCs/>
      <w:sz w:val="24"/>
      <w:szCs w:val="24"/>
      <w:lang w:val="en-US" w:eastAsia="en-US"/>
    </w:rPr>
  </w:style>
  <w:style w:type="paragraph" w:customStyle="1" w:styleId="Default">
    <w:name w:val="Default"/>
    <w:uiPriority w:val="99"/>
    <w:rsid w:val="00193C19"/>
    <w:pPr>
      <w:suppressAutoHyphens/>
      <w:autoSpaceDE w:val="0"/>
      <w:autoSpaceDN w:val="0"/>
      <w:textAlignment w:val="baseline"/>
    </w:pPr>
    <w:rPr>
      <w:rFonts w:ascii="Calibri" w:hAnsi="Calibri" w:cs="Calibri"/>
      <w:color w:val="000000"/>
      <w:sz w:val="24"/>
      <w:szCs w:val="24"/>
    </w:rPr>
  </w:style>
  <w:style w:type="paragraph" w:styleId="NormalWeb">
    <w:name w:val="Normal (Web)"/>
    <w:basedOn w:val="Normal"/>
    <w:uiPriority w:val="99"/>
    <w:unhideWhenUsed/>
    <w:rsid w:val="00DE76C3"/>
    <w:pPr>
      <w:suppressAutoHyphens w:val="0"/>
      <w:autoSpaceDN/>
      <w:spacing w:before="100" w:beforeAutospacing="1" w:after="100" w:afterAutospacing="1" w:line="240" w:lineRule="auto"/>
      <w:textAlignment w:val="auto"/>
    </w:pPr>
    <w:rPr>
      <w:rFonts w:ascii="Times New Roman" w:hAnsi="Times New Roman"/>
      <w:color w:val="auto"/>
      <w:spacing w:val="0"/>
      <w:sz w:val="24"/>
      <w:szCs w:val="24"/>
      <w:lang w:val="en-ZA" w:eastAsia="en-ZA"/>
    </w:rPr>
  </w:style>
  <w:style w:type="paragraph" w:styleId="Revision">
    <w:name w:val="Revision"/>
    <w:hidden/>
    <w:uiPriority w:val="99"/>
    <w:semiHidden/>
    <w:rsid w:val="008E402E"/>
    <w:rPr>
      <w:rFonts w:ascii="Arial" w:hAnsi="Arial"/>
      <w:color w:val="000000"/>
      <w:spacing w:val="6"/>
      <w:sz w:val="18"/>
      <w:szCs w:val="18"/>
      <w:lang w:val="en-GB" w:eastAsia="en-GB"/>
    </w:rPr>
  </w:style>
  <w:style w:type="paragraph" w:styleId="BodyText3">
    <w:name w:val="Body Text 3"/>
    <w:basedOn w:val="Normal"/>
    <w:link w:val="BodyText3Char"/>
    <w:rsid w:val="00EA47F3"/>
    <w:pPr>
      <w:suppressAutoHyphens w:val="0"/>
      <w:autoSpaceDN/>
      <w:spacing w:line="240" w:lineRule="auto"/>
      <w:jc w:val="both"/>
      <w:textAlignment w:val="auto"/>
    </w:pPr>
    <w:rPr>
      <w:rFonts w:cs="Arial"/>
      <w:color w:val="auto"/>
      <w:spacing w:val="0"/>
      <w:sz w:val="22"/>
      <w:szCs w:val="24"/>
      <w:lang w:val="en-ZA" w:eastAsia="en-US"/>
    </w:rPr>
  </w:style>
  <w:style w:type="character" w:customStyle="1" w:styleId="BodyText3Char">
    <w:name w:val="Body Text 3 Char"/>
    <w:basedOn w:val="DefaultParagraphFont"/>
    <w:link w:val="BodyText3"/>
    <w:rsid w:val="00EA47F3"/>
    <w:rPr>
      <w:rFonts w:ascii="Arial" w:hAnsi="Arial" w:cs="Arial"/>
      <w:sz w:val="22"/>
      <w:szCs w:val="24"/>
      <w:lang w:eastAsia="en-US"/>
    </w:rPr>
  </w:style>
  <w:style w:type="paragraph" w:customStyle="1" w:styleId="Char0">
    <w:name w:val="Char"/>
    <w:basedOn w:val="Normal"/>
    <w:rsid w:val="00EA47F3"/>
    <w:pPr>
      <w:suppressAutoHyphens w:val="0"/>
      <w:autoSpaceDN/>
      <w:spacing w:after="160" w:line="240" w:lineRule="exact"/>
      <w:textAlignment w:val="auto"/>
    </w:pPr>
    <w:rPr>
      <w:bCs/>
      <w:color w:val="auto"/>
      <w:spacing w:val="0"/>
      <w:sz w:val="22"/>
      <w:szCs w:val="24"/>
      <w:lang w:val="en-US" w:eastAsia="en-US"/>
    </w:rPr>
  </w:style>
  <w:style w:type="paragraph" w:styleId="BodyText">
    <w:name w:val="Body Text"/>
    <w:basedOn w:val="Normal"/>
    <w:link w:val="BodyTextChar"/>
    <w:unhideWhenUsed/>
    <w:rsid w:val="009E10FE"/>
    <w:pPr>
      <w:spacing w:after="120"/>
    </w:pPr>
  </w:style>
  <w:style w:type="character" w:customStyle="1" w:styleId="BodyTextChar">
    <w:name w:val="Body Text Char"/>
    <w:basedOn w:val="DefaultParagraphFont"/>
    <w:link w:val="BodyText"/>
    <w:rsid w:val="009E10FE"/>
    <w:rPr>
      <w:rFonts w:ascii="Arial" w:hAnsi="Arial"/>
      <w:color w:val="000000"/>
      <w:spacing w:val="6"/>
      <w:sz w:val="18"/>
      <w:szCs w:val="18"/>
      <w:lang w:val="en-GB" w:eastAsia="en-GB"/>
    </w:rPr>
  </w:style>
  <w:style w:type="character" w:customStyle="1" w:styleId="ListParagraphChar">
    <w:name w:val="List Paragraph Char"/>
    <w:link w:val="ListParagraph"/>
    <w:uiPriority w:val="34"/>
    <w:locked/>
    <w:rsid w:val="009E10FE"/>
    <w:rPr>
      <w:rFonts w:ascii="Arial" w:hAnsi="Arial"/>
      <w:color w:val="000000"/>
      <w:spacing w:val="6"/>
      <w:sz w:val="18"/>
      <w:szCs w:val="18"/>
      <w:lang w:val="en-GB" w:eastAsia="en-GB"/>
    </w:rPr>
  </w:style>
  <w:style w:type="paragraph" w:customStyle="1" w:styleId="Indent14pt">
    <w:name w:val="Indent 14pt"/>
    <w:basedOn w:val="ListParagraph"/>
    <w:link w:val="Indent14ptChar"/>
    <w:uiPriority w:val="99"/>
    <w:rsid w:val="009E10FE"/>
    <w:pPr>
      <w:numPr>
        <w:numId w:val="4"/>
      </w:numPr>
      <w:suppressAutoHyphens w:val="0"/>
      <w:autoSpaceDN/>
      <w:ind w:left="714" w:hanging="357"/>
      <w:contextualSpacing/>
      <w:jc w:val="both"/>
      <w:textAlignment w:val="auto"/>
    </w:pPr>
    <w:rPr>
      <w:rFonts w:cs="Arial"/>
      <w:sz w:val="22"/>
      <w:szCs w:val="22"/>
      <w:lang w:eastAsia="en-US"/>
    </w:rPr>
  </w:style>
  <w:style w:type="character" w:customStyle="1" w:styleId="Indent14ptChar">
    <w:name w:val="Indent 14pt Char"/>
    <w:basedOn w:val="ListParagraphChar"/>
    <w:link w:val="Indent14pt"/>
    <w:uiPriority w:val="99"/>
    <w:locked/>
    <w:rsid w:val="009E10FE"/>
    <w:rPr>
      <w:rFonts w:ascii="Arial" w:hAnsi="Arial" w:cs="Arial"/>
      <w:color w:val="000000"/>
      <w:spacing w:val="6"/>
      <w:sz w:val="22"/>
      <w:szCs w:val="22"/>
      <w:lang w:val="en-GB" w:eastAsia="en-US"/>
    </w:rPr>
  </w:style>
  <w:style w:type="table" w:styleId="TableGrid">
    <w:name w:val="Table Grid"/>
    <w:basedOn w:val="TableNormal"/>
    <w:uiPriority w:val="39"/>
    <w:locked/>
    <w:rsid w:val="009E10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10FE"/>
    <w:pPr>
      <w:jc w:val="both"/>
    </w:pPr>
    <w:rPr>
      <w:rFonts w:ascii="Arial" w:hAnsi="Arial"/>
      <w:color w:val="000000"/>
      <w:spacing w:val="6"/>
      <w:sz w:val="22"/>
      <w:szCs w:val="18"/>
      <w:lang w:val="en-GB" w:eastAsia="en-GB"/>
    </w:rPr>
  </w:style>
  <w:style w:type="character" w:customStyle="1" w:styleId="NoSpacingChar">
    <w:name w:val="No Spacing Char"/>
    <w:basedOn w:val="DefaultParagraphFont"/>
    <w:link w:val="NoSpacing"/>
    <w:uiPriority w:val="1"/>
    <w:locked/>
    <w:rsid w:val="009E10FE"/>
    <w:rPr>
      <w:rFonts w:ascii="Arial" w:hAnsi="Arial"/>
      <w:color w:val="000000"/>
      <w:spacing w:val="6"/>
      <w:sz w:val="22"/>
      <w:szCs w:val="18"/>
      <w:lang w:val="en-GB" w:eastAsia="en-GB"/>
    </w:rPr>
  </w:style>
  <w:style w:type="paragraph" w:styleId="BodyTextIndent2">
    <w:name w:val="Body Text Indent 2"/>
    <w:basedOn w:val="Normal"/>
    <w:link w:val="BodyTextIndent2Char"/>
    <w:uiPriority w:val="99"/>
    <w:semiHidden/>
    <w:unhideWhenUsed/>
    <w:rsid w:val="00DA3773"/>
    <w:pPr>
      <w:spacing w:after="120" w:line="480" w:lineRule="auto"/>
      <w:ind w:left="283"/>
    </w:pPr>
  </w:style>
  <w:style w:type="character" w:customStyle="1" w:styleId="BodyTextIndent2Char">
    <w:name w:val="Body Text Indent 2 Char"/>
    <w:basedOn w:val="DefaultParagraphFont"/>
    <w:link w:val="BodyTextIndent2"/>
    <w:uiPriority w:val="99"/>
    <w:semiHidden/>
    <w:rsid w:val="00DA3773"/>
    <w:rPr>
      <w:rFonts w:ascii="Arial" w:hAnsi="Arial"/>
      <w:color w:val="000000"/>
      <w:spacing w:val="6"/>
      <w:sz w:val="18"/>
      <w:szCs w:val="18"/>
      <w:lang w:val="en-GB" w:eastAsia="en-GB"/>
    </w:rPr>
  </w:style>
  <w:style w:type="paragraph" w:styleId="BodyText2">
    <w:name w:val="Body Text 2"/>
    <w:basedOn w:val="Normal"/>
    <w:link w:val="BodyText2Char"/>
    <w:uiPriority w:val="99"/>
    <w:unhideWhenUsed/>
    <w:rsid w:val="0085110F"/>
    <w:pPr>
      <w:spacing w:after="120" w:line="480" w:lineRule="auto"/>
    </w:pPr>
  </w:style>
  <w:style w:type="character" w:customStyle="1" w:styleId="BodyText2Char">
    <w:name w:val="Body Text 2 Char"/>
    <w:basedOn w:val="DefaultParagraphFont"/>
    <w:link w:val="BodyText2"/>
    <w:uiPriority w:val="99"/>
    <w:rsid w:val="0085110F"/>
    <w:rPr>
      <w:rFonts w:ascii="Arial" w:hAnsi="Arial"/>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737">
      <w:bodyDiv w:val="1"/>
      <w:marLeft w:val="0"/>
      <w:marRight w:val="0"/>
      <w:marTop w:val="0"/>
      <w:marBottom w:val="0"/>
      <w:divBdr>
        <w:top w:val="none" w:sz="0" w:space="0" w:color="auto"/>
        <w:left w:val="none" w:sz="0" w:space="0" w:color="auto"/>
        <w:bottom w:val="none" w:sz="0" w:space="0" w:color="auto"/>
        <w:right w:val="none" w:sz="0" w:space="0" w:color="auto"/>
      </w:divBdr>
      <w:divsChild>
        <w:div w:id="498348588">
          <w:marLeft w:val="547"/>
          <w:marRight w:val="0"/>
          <w:marTop w:val="120"/>
          <w:marBottom w:val="0"/>
          <w:divBdr>
            <w:top w:val="none" w:sz="0" w:space="0" w:color="auto"/>
            <w:left w:val="none" w:sz="0" w:space="0" w:color="auto"/>
            <w:bottom w:val="none" w:sz="0" w:space="0" w:color="auto"/>
            <w:right w:val="none" w:sz="0" w:space="0" w:color="auto"/>
          </w:divBdr>
        </w:div>
        <w:div w:id="2083260328">
          <w:marLeft w:val="1166"/>
          <w:marRight w:val="0"/>
          <w:marTop w:val="106"/>
          <w:marBottom w:val="0"/>
          <w:divBdr>
            <w:top w:val="none" w:sz="0" w:space="0" w:color="auto"/>
            <w:left w:val="none" w:sz="0" w:space="0" w:color="auto"/>
            <w:bottom w:val="none" w:sz="0" w:space="0" w:color="auto"/>
            <w:right w:val="none" w:sz="0" w:space="0" w:color="auto"/>
          </w:divBdr>
        </w:div>
        <w:div w:id="65038303">
          <w:marLeft w:val="547"/>
          <w:marRight w:val="0"/>
          <w:marTop w:val="120"/>
          <w:marBottom w:val="0"/>
          <w:divBdr>
            <w:top w:val="none" w:sz="0" w:space="0" w:color="auto"/>
            <w:left w:val="none" w:sz="0" w:space="0" w:color="auto"/>
            <w:bottom w:val="none" w:sz="0" w:space="0" w:color="auto"/>
            <w:right w:val="none" w:sz="0" w:space="0" w:color="auto"/>
          </w:divBdr>
        </w:div>
        <w:div w:id="1675570682">
          <w:marLeft w:val="1166"/>
          <w:marRight w:val="0"/>
          <w:marTop w:val="106"/>
          <w:marBottom w:val="0"/>
          <w:divBdr>
            <w:top w:val="none" w:sz="0" w:space="0" w:color="auto"/>
            <w:left w:val="none" w:sz="0" w:space="0" w:color="auto"/>
            <w:bottom w:val="none" w:sz="0" w:space="0" w:color="auto"/>
            <w:right w:val="none" w:sz="0" w:space="0" w:color="auto"/>
          </w:divBdr>
        </w:div>
        <w:div w:id="1146706185">
          <w:marLeft w:val="547"/>
          <w:marRight w:val="0"/>
          <w:marTop w:val="120"/>
          <w:marBottom w:val="0"/>
          <w:divBdr>
            <w:top w:val="none" w:sz="0" w:space="0" w:color="auto"/>
            <w:left w:val="none" w:sz="0" w:space="0" w:color="auto"/>
            <w:bottom w:val="none" w:sz="0" w:space="0" w:color="auto"/>
            <w:right w:val="none" w:sz="0" w:space="0" w:color="auto"/>
          </w:divBdr>
        </w:div>
        <w:div w:id="1733652004">
          <w:marLeft w:val="1166"/>
          <w:marRight w:val="0"/>
          <w:marTop w:val="106"/>
          <w:marBottom w:val="0"/>
          <w:divBdr>
            <w:top w:val="none" w:sz="0" w:space="0" w:color="auto"/>
            <w:left w:val="none" w:sz="0" w:space="0" w:color="auto"/>
            <w:bottom w:val="none" w:sz="0" w:space="0" w:color="auto"/>
            <w:right w:val="none" w:sz="0" w:space="0" w:color="auto"/>
          </w:divBdr>
        </w:div>
        <w:div w:id="141822410">
          <w:marLeft w:val="547"/>
          <w:marRight w:val="0"/>
          <w:marTop w:val="115"/>
          <w:marBottom w:val="0"/>
          <w:divBdr>
            <w:top w:val="none" w:sz="0" w:space="0" w:color="auto"/>
            <w:left w:val="none" w:sz="0" w:space="0" w:color="auto"/>
            <w:bottom w:val="none" w:sz="0" w:space="0" w:color="auto"/>
            <w:right w:val="none" w:sz="0" w:space="0" w:color="auto"/>
          </w:divBdr>
        </w:div>
      </w:divsChild>
    </w:div>
    <w:div w:id="306789810">
      <w:bodyDiv w:val="1"/>
      <w:marLeft w:val="0"/>
      <w:marRight w:val="0"/>
      <w:marTop w:val="0"/>
      <w:marBottom w:val="0"/>
      <w:divBdr>
        <w:top w:val="none" w:sz="0" w:space="0" w:color="auto"/>
        <w:left w:val="none" w:sz="0" w:space="0" w:color="auto"/>
        <w:bottom w:val="none" w:sz="0" w:space="0" w:color="auto"/>
        <w:right w:val="none" w:sz="0" w:space="0" w:color="auto"/>
      </w:divBdr>
      <w:divsChild>
        <w:div w:id="1019744821">
          <w:marLeft w:val="0"/>
          <w:marRight w:val="0"/>
          <w:marTop w:val="0"/>
          <w:marBottom w:val="0"/>
          <w:divBdr>
            <w:top w:val="none" w:sz="0" w:space="0" w:color="auto"/>
            <w:left w:val="none" w:sz="0" w:space="0" w:color="auto"/>
            <w:bottom w:val="none" w:sz="0" w:space="0" w:color="auto"/>
            <w:right w:val="none" w:sz="0" w:space="0" w:color="auto"/>
          </w:divBdr>
        </w:div>
      </w:divsChild>
    </w:div>
    <w:div w:id="413403664">
      <w:bodyDiv w:val="1"/>
      <w:marLeft w:val="0"/>
      <w:marRight w:val="0"/>
      <w:marTop w:val="0"/>
      <w:marBottom w:val="0"/>
      <w:divBdr>
        <w:top w:val="none" w:sz="0" w:space="0" w:color="auto"/>
        <w:left w:val="none" w:sz="0" w:space="0" w:color="auto"/>
        <w:bottom w:val="none" w:sz="0" w:space="0" w:color="auto"/>
        <w:right w:val="none" w:sz="0" w:space="0" w:color="auto"/>
      </w:divBdr>
    </w:div>
    <w:div w:id="469441357">
      <w:bodyDiv w:val="1"/>
      <w:marLeft w:val="0"/>
      <w:marRight w:val="0"/>
      <w:marTop w:val="0"/>
      <w:marBottom w:val="0"/>
      <w:divBdr>
        <w:top w:val="none" w:sz="0" w:space="0" w:color="auto"/>
        <w:left w:val="none" w:sz="0" w:space="0" w:color="auto"/>
        <w:bottom w:val="none" w:sz="0" w:space="0" w:color="auto"/>
        <w:right w:val="none" w:sz="0" w:space="0" w:color="auto"/>
      </w:divBdr>
    </w:div>
    <w:div w:id="512381305">
      <w:bodyDiv w:val="1"/>
      <w:marLeft w:val="0"/>
      <w:marRight w:val="0"/>
      <w:marTop w:val="0"/>
      <w:marBottom w:val="0"/>
      <w:divBdr>
        <w:top w:val="none" w:sz="0" w:space="0" w:color="auto"/>
        <w:left w:val="none" w:sz="0" w:space="0" w:color="auto"/>
        <w:bottom w:val="none" w:sz="0" w:space="0" w:color="auto"/>
        <w:right w:val="none" w:sz="0" w:space="0" w:color="auto"/>
      </w:divBdr>
    </w:div>
    <w:div w:id="586616019">
      <w:bodyDiv w:val="1"/>
      <w:marLeft w:val="0"/>
      <w:marRight w:val="0"/>
      <w:marTop w:val="0"/>
      <w:marBottom w:val="0"/>
      <w:divBdr>
        <w:top w:val="none" w:sz="0" w:space="0" w:color="auto"/>
        <w:left w:val="none" w:sz="0" w:space="0" w:color="auto"/>
        <w:bottom w:val="none" w:sz="0" w:space="0" w:color="auto"/>
        <w:right w:val="none" w:sz="0" w:space="0" w:color="auto"/>
      </w:divBdr>
      <w:divsChild>
        <w:div w:id="1933003375">
          <w:marLeft w:val="720"/>
          <w:marRight w:val="0"/>
          <w:marTop w:val="0"/>
          <w:marBottom w:val="200"/>
          <w:divBdr>
            <w:top w:val="none" w:sz="0" w:space="0" w:color="auto"/>
            <w:left w:val="none" w:sz="0" w:space="0" w:color="auto"/>
            <w:bottom w:val="none" w:sz="0" w:space="0" w:color="auto"/>
            <w:right w:val="none" w:sz="0" w:space="0" w:color="auto"/>
          </w:divBdr>
        </w:div>
      </w:divsChild>
    </w:div>
    <w:div w:id="875198910">
      <w:bodyDiv w:val="1"/>
      <w:marLeft w:val="0"/>
      <w:marRight w:val="0"/>
      <w:marTop w:val="0"/>
      <w:marBottom w:val="0"/>
      <w:divBdr>
        <w:top w:val="none" w:sz="0" w:space="0" w:color="auto"/>
        <w:left w:val="none" w:sz="0" w:space="0" w:color="auto"/>
        <w:bottom w:val="none" w:sz="0" w:space="0" w:color="auto"/>
        <w:right w:val="none" w:sz="0" w:space="0" w:color="auto"/>
      </w:divBdr>
    </w:div>
    <w:div w:id="887255024">
      <w:bodyDiv w:val="1"/>
      <w:marLeft w:val="0"/>
      <w:marRight w:val="0"/>
      <w:marTop w:val="0"/>
      <w:marBottom w:val="0"/>
      <w:divBdr>
        <w:top w:val="none" w:sz="0" w:space="0" w:color="auto"/>
        <w:left w:val="none" w:sz="0" w:space="0" w:color="auto"/>
        <w:bottom w:val="none" w:sz="0" w:space="0" w:color="auto"/>
        <w:right w:val="none" w:sz="0" w:space="0" w:color="auto"/>
      </w:divBdr>
    </w:div>
    <w:div w:id="943077599">
      <w:bodyDiv w:val="1"/>
      <w:marLeft w:val="0"/>
      <w:marRight w:val="0"/>
      <w:marTop w:val="0"/>
      <w:marBottom w:val="0"/>
      <w:divBdr>
        <w:top w:val="none" w:sz="0" w:space="0" w:color="auto"/>
        <w:left w:val="none" w:sz="0" w:space="0" w:color="auto"/>
        <w:bottom w:val="none" w:sz="0" w:space="0" w:color="auto"/>
        <w:right w:val="none" w:sz="0" w:space="0" w:color="auto"/>
      </w:divBdr>
      <w:divsChild>
        <w:div w:id="684132807">
          <w:marLeft w:val="547"/>
          <w:marRight w:val="0"/>
          <w:marTop w:val="96"/>
          <w:marBottom w:val="0"/>
          <w:divBdr>
            <w:top w:val="none" w:sz="0" w:space="0" w:color="auto"/>
            <w:left w:val="none" w:sz="0" w:space="0" w:color="auto"/>
            <w:bottom w:val="none" w:sz="0" w:space="0" w:color="auto"/>
            <w:right w:val="none" w:sz="0" w:space="0" w:color="auto"/>
          </w:divBdr>
        </w:div>
        <w:div w:id="1418869926">
          <w:marLeft w:val="547"/>
          <w:marRight w:val="0"/>
          <w:marTop w:val="96"/>
          <w:marBottom w:val="0"/>
          <w:divBdr>
            <w:top w:val="none" w:sz="0" w:space="0" w:color="auto"/>
            <w:left w:val="none" w:sz="0" w:space="0" w:color="auto"/>
            <w:bottom w:val="none" w:sz="0" w:space="0" w:color="auto"/>
            <w:right w:val="none" w:sz="0" w:space="0" w:color="auto"/>
          </w:divBdr>
        </w:div>
        <w:div w:id="1071544835">
          <w:marLeft w:val="1166"/>
          <w:marRight w:val="0"/>
          <w:marTop w:val="67"/>
          <w:marBottom w:val="0"/>
          <w:divBdr>
            <w:top w:val="none" w:sz="0" w:space="0" w:color="auto"/>
            <w:left w:val="none" w:sz="0" w:space="0" w:color="auto"/>
            <w:bottom w:val="none" w:sz="0" w:space="0" w:color="auto"/>
            <w:right w:val="none" w:sz="0" w:space="0" w:color="auto"/>
          </w:divBdr>
        </w:div>
        <w:div w:id="841045725">
          <w:marLeft w:val="1166"/>
          <w:marRight w:val="0"/>
          <w:marTop w:val="67"/>
          <w:marBottom w:val="0"/>
          <w:divBdr>
            <w:top w:val="none" w:sz="0" w:space="0" w:color="auto"/>
            <w:left w:val="none" w:sz="0" w:space="0" w:color="auto"/>
            <w:bottom w:val="none" w:sz="0" w:space="0" w:color="auto"/>
            <w:right w:val="none" w:sz="0" w:space="0" w:color="auto"/>
          </w:divBdr>
        </w:div>
        <w:div w:id="98064871">
          <w:marLeft w:val="1166"/>
          <w:marRight w:val="0"/>
          <w:marTop w:val="72"/>
          <w:marBottom w:val="0"/>
          <w:divBdr>
            <w:top w:val="none" w:sz="0" w:space="0" w:color="auto"/>
            <w:left w:val="none" w:sz="0" w:space="0" w:color="auto"/>
            <w:bottom w:val="none" w:sz="0" w:space="0" w:color="auto"/>
            <w:right w:val="none" w:sz="0" w:space="0" w:color="auto"/>
          </w:divBdr>
        </w:div>
        <w:div w:id="1816098908">
          <w:marLeft w:val="1166"/>
          <w:marRight w:val="0"/>
          <w:marTop w:val="72"/>
          <w:marBottom w:val="0"/>
          <w:divBdr>
            <w:top w:val="none" w:sz="0" w:space="0" w:color="auto"/>
            <w:left w:val="none" w:sz="0" w:space="0" w:color="auto"/>
            <w:bottom w:val="none" w:sz="0" w:space="0" w:color="auto"/>
            <w:right w:val="none" w:sz="0" w:space="0" w:color="auto"/>
          </w:divBdr>
        </w:div>
        <w:div w:id="441805599">
          <w:marLeft w:val="547"/>
          <w:marRight w:val="0"/>
          <w:marTop w:val="96"/>
          <w:marBottom w:val="0"/>
          <w:divBdr>
            <w:top w:val="none" w:sz="0" w:space="0" w:color="auto"/>
            <w:left w:val="none" w:sz="0" w:space="0" w:color="auto"/>
            <w:bottom w:val="none" w:sz="0" w:space="0" w:color="auto"/>
            <w:right w:val="none" w:sz="0" w:space="0" w:color="auto"/>
          </w:divBdr>
        </w:div>
        <w:div w:id="1948155510">
          <w:marLeft w:val="1166"/>
          <w:marRight w:val="0"/>
          <w:marTop w:val="67"/>
          <w:marBottom w:val="0"/>
          <w:divBdr>
            <w:top w:val="none" w:sz="0" w:space="0" w:color="auto"/>
            <w:left w:val="none" w:sz="0" w:space="0" w:color="auto"/>
            <w:bottom w:val="none" w:sz="0" w:space="0" w:color="auto"/>
            <w:right w:val="none" w:sz="0" w:space="0" w:color="auto"/>
          </w:divBdr>
        </w:div>
        <w:div w:id="1716464752">
          <w:marLeft w:val="547"/>
          <w:marRight w:val="0"/>
          <w:marTop w:val="96"/>
          <w:marBottom w:val="0"/>
          <w:divBdr>
            <w:top w:val="none" w:sz="0" w:space="0" w:color="auto"/>
            <w:left w:val="none" w:sz="0" w:space="0" w:color="auto"/>
            <w:bottom w:val="none" w:sz="0" w:space="0" w:color="auto"/>
            <w:right w:val="none" w:sz="0" w:space="0" w:color="auto"/>
          </w:divBdr>
        </w:div>
        <w:div w:id="1875582059">
          <w:marLeft w:val="1166"/>
          <w:marRight w:val="0"/>
          <w:marTop w:val="86"/>
          <w:marBottom w:val="0"/>
          <w:divBdr>
            <w:top w:val="none" w:sz="0" w:space="0" w:color="auto"/>
            <w:left w:val="none" w:sz="0" w:space="0" w:color="auto"/>
            <w:bottom w:val="none" w:sz="0" w:space="0" w:color="auto"/>
            <w:right w:val="none" w:sz="0" w:space="0" w:color="auto"/>
          </w:divBdr>
        </w:div>
      </w:divsChild>
    </w:div>
    <w:div w:id="1034422856">
      <w:bodyDiv w:val="1"/>
      <w:marLeft w:val="0"/>
      <w:marRight w:val="0"/>
      <w:marTop w:val="0"/>
      <w:marBottom w:val="0"/>
      <w:divBdr>
        <w:top w:val="none" w:sz="0" w:space="0" w:color="auto"/>
        <w:left w:val="none" w:sz="0" w:space="0" w:color="auto"/>
        <w:bottom w:val="none" w:sz="0" w:space="0" w:color="auto"/>
        <w:right w:val="none" w:sz="0" w:space="0" w:color="auto"/>
      </w:divBdr>
    </w:div>
    <w:div w:id="1048453907">
      <w:bodyDiv w:val="1"/>
      <w:marLeft w:val="0"/>
      <w:marRight w:val="0"/>
      <w:marTop w:val="0"/>
      <w:marBottom w:val="0"/>
      <w:divBdr>
        <w:top w:val="none" w:sz="0" w:space="0" w:color="auto"/>
        <w:left w:val="none" w:sz="0" w:space="0" w:color="auto"/>
        <w:bottom w:val="none" w:sz="0" w:space="0" w:color="auto"/>
        <w:right w:val="none" w:sz="0" w:space="0" w:color="auto"/>
      </w:divBdr>
    </w:div>
    <w:div w:id="1067265010">
      <w:bodyDiv w:val="1"/>
      <w:marLeft w:val="0"/>
      <w:marRight w:val="0"/>
      <w:marTop w:val="0"/>
      <w:marBottom w:val="0"/>
      <w:divBdr>
        <w:top w:val="none" w:sz="0" w:space="0" w:color="auto"/>
        <w:left w:val="none" w:sz="0" w:space="0" w:color="auto"/>
        <w:bottom w:val="none" w:sz="0" w:space="0" w:color="auto"/>
        <w:right w:val="none" w:sz="0" w:space="0" w:color="auto"/>
      </w:divBdr>
    </w:div>
    <w:div w:id="1089276999">
      <w:bodyDiv w:val="1"/>
      <w:marLeft w:val="0"/>
      <w:marRight w:val="0"/>
      <w:marTop w:val="0"/>
      <w:marBottom w:val="0"/>
      <w:divBdr>
        <w:top w:val="none" w:sz="0" w:space="0" w:color="auto"/>
        <w:left w:val="none" w:sz="0" w:space="0" w:color="auto"/>
        <w:bottom w:val="none" w:sz="0" w:space="0" w:color="auto"/>
        <w:right w:val="none" w:sz="0" w:space="0" w:color="auto"/>
      </w:divBdr>
      <w:divsChild>
        <w:div w:id="207760826">
          <w:marLeft w:val="0"/>
          <w:marRight w:val="0"/>
          <w:marTop w:val="0"/>
          <w:marBottom w:val="0"/>
          <w:divBdr>
            <w:top w:val="none" w:sz="0" w:space="0" w:color="auto"/>
            <w:left w:val="none" w:sz="0" w:space="0" w:color="auto"/>
            <w:bottom w:val="none" w:sz="0" w:space="0" w:color="auto"/>
            <w:right w:val="none" w:sz="0" w:space="0" w:color="auto"/>
          </w:divBdr>
        </w:div>
      </w:divsChild>
    </w:div>
    <w:div w:id="1124471144">
      <w:bodyDiv w:val="1"/>
      <w:marLeft w:val="0"/>
      <w:marRight w:val="0"/>
      <w:marTop w:val="0"/>
      <w:marBottom w:val="0"/>
      <w:divBdr>
        <w:top w:val="none" w:sz="0" w:space="0" w:color="auto"/>
        <w:left w:val="none" w:sz="0" w:space="0" w:color="auto"/>
        <w:bottom w:val="none" w:sz="0" w:space="0" w:color="auto"/>
        <w:right w:val="none" w:sz="0" w:space="0" w:color="auto"/>
      </w:divBdr>
      <w:divsChild>
        <w:div w:id="30813319">
          <w:marLeft w:val="0"/>
          <w:marRight w:val="0"/>
          <w:marTop w:val="0"/>
          <w:marBottom w:val="0"/>
          <w:divBdr>
            <w:top w:val="none" w:sz="0" w:space="0" w:color="auto"/>
            <w:left w:val="none" w:sz="0" w:space="0" w:color="auto"/>
            <w:bottom w:val="none" w:sz="0" w:space="0" w:color="auto"/>
            <w:right w:val="none" w:sz="0" w:space="0" w:color="auto"/>
          </w:divBdr>
        </w:div>
      </w:divsChild>
    </w:div>
    <w:div w:id="1425958887">
      <w:bodyDiv w:val="1"/>
      <w:marLeft w:val="0"/>
      <w:marRight w:val="0"/>
      <w:marTop w:val="0"/>
      <w:marBottom w:val="0"/>
      <w:divBdr>
        <w:top w:val="none" w:sz="0" w:space="0" w:color="auto"/>
        <w:left w:val="none" w:sz="0" w:space="0" w:color="auto"/>
        <w:bottom w:val="none" w:sz="0" w:space="0" w:color="auto"/>
        <w:right w:val="none" w:sz="0" w:space="0" w:color="auto"/>
      </w:divBdr>
      <w:divsChild>
        <w:div w:id="1222209605">
          <w:marLeft w:val="1166"/>
          <w:marRight w:val="0"/>
          <w:marTop w:val="86"/>
          <w:marBottom w:val="0"/>
          <w:divBdr>
            <w:top w:val="none" w:sz="0" w:space="0" w:color="auto"/>
            <w:left w:val="none" w:sz="0" w:space="0" w:color="auto"/>
            <w:bottom w:val="none" w:sz="0" w:space="0" w:color="auto"/>
            <w:right w:val="none" w:sz="0" w:space="0" w:color="auto"/>
          </w:divBdr>
        </w:div>
        <w:div w:id="1145589471">
          <w:marLeft w:val="1886"/>
          <w:marRight w:val="0"/>
          <w:marTop w:val="86"/>
          <w:marBottom w:val="0"/>
          <w:divBdr>
            <w:top w:val="none" w:sz="0" w:space="0" w:color="auto"/>
            <w:left w:val="none" w:sz="0" w:space="0" w:color="auto"/>
            <w:bottom w:val="none" w:sz="0" w:space="0" w:color="auto"/>
            <w:right w:val="none" w:sz="0" w:space="0" w:color="auto"/>
          </w:divBdr>
        </w:div>
        <w:div w:id="1474119">
          <w:marLeft w:val="1886"/>
          <w:marRight w:val="0"/>
          <w:marTop w:val="86"/>
          <w:marBottom w:val="0"/>
          <w:divBdr>
            <w:top w:val="none" w:sz="0" w:space="0" w:color="auto"/>
            <w:left w:val="none" w:sz="0" w:space="0" w:color="auto"/>
            <w:bottom w:val="none" w:sz="0" w:space="0" w:color="auto"/>
            <w:right w:val="none" w:sz="0" w:space="0" w:color="auto"/>
          </w:divBdr>
        </w:div>
        <w:div w:id="806625688">
          <w:marLeft w:val="1886"/>
          <w:marRight w:val="0"/>
          <w:marTop w:val="86"/>
          <w:marBottom w:val="0"/>
          <w:divBdr>
            <w:top w:val="none" w:sz="0" w:space="0" w:color="auto"/>
            <w:left w:val="none" w:sz="0" w:space="0" w:color="auto"/>
            <w:bottom w:val="none" w:sz="0" w:space="0" w:color="auto"/>
            <w:right w:val="none" w:sz="0" w:space="0" w:color="auto"/>
          </w:divBdr>
        </w:div>
        <w:div w:id="44762167">
          <w:marLeft w:val="1166"/>
          <w:marRight w:val="0"/>
          <w:marTop w:val="86"/>
          <w:marBottom w:val="0"/>
          <w:divBdr>
            <w:top w:val="none" w:sz="0" w:space="0" w:color="auto"/>
            <w:left w:val="none" w:sz="0" w:space="0" w:color="auto"/>
            <w:bottom w:val="none" w:sz="0" w:space="0" w:color="auto"/>
            <w:right w:val="none" w:sz="0" w:space="0" w:color="auto"/>
          </w:divBdr>
        </w:div>
        <w:div w:id="1236234291">
          <w:marLeft w:val="1166"/>
          <w:marRight w:val="0"/>
          <w:marTop w:val="86"/>
          <w:marBottom w:val="0"/>
          <w:divBdr>
            <w:top w:val="none" w:sz="0" w:space="0" w:color="auto"/>
            <w:left w:val="none" w:sz="0" w:space="0" w:color="auto"/>
            <w:bottom w:val="none" w:sz="0" w:space="0" w:color="auto"/>
            <w:right w:val="none" w:sz="0" w:space="0" w:color="auto"/>
          </w:divBdr>
        </w:div>
        <w:div w:id="909198136">
          <w:marLeft w:val="1166"/>
          <w:marRight w:val="0"/>
          <w:marTop w:val="86"/>
          <w:marBottom w:val="0"/>
          <w:divBdr>
            <w:top w:val="none" w:sz="0" w:space="0" w:color="auto"/>
            <w:left w:val="none" w:sz="0" w:space="0" w:color="auto"/>
            <w:bottom w:val="none" w:sz="0" w:space="0" w:color="auto"/>
            <w:right w:val="none" w:sz="0" w:space="0" w:color="auto"/>
          </w:divBdr>
        </w:div>
        <w:div w:id="1950551370">
          <w:marLeft w:val="1166"/>
          <w:marRight w:val="0"/>
          <w:marTop w:val="86"/>
          <w:marBottom w:val="0"/>
          <w:divBdr>
            <w:top w:val="none" w:sz="0" w:space="0" w:color="auto"/>
            <w:left w:val="none" w:sz="0" w:space="0" w:color="auto"/>
            <w:bottom w:val="none" w:sz="0" w:space="0" w:color="auto"/>
            <w:right w:val="none" w:sz="0" w:space="0" w:color="auto"/>
          </w:divBdr>
        </w:div>
      </w:divsChild>
    </w:div>
    <w:div w:id="1607541273">
      <w:bodyDiv w:val="1"/>
      <w:marLeft w:val="0"/>
      <w:marRight w:val="0"/>
      <w:marTop w:val="0"/>
      <w:marBottom w:val="0"/>
      <w:divBdr>
        <w:top w:val="none" w:sz="0" w:space="0" w:color="auto"/>
        <w:left w:val="none" w:sz="0" w:space="0" w:color="auto"/>
        <w:bottom w:val="none" w:sz="0" w:space="0" w:color="auto"/>
        <w:right w:val="none" w:sz="0" w:space="0" w:color="auto"/>
      </w:divBdr>
      <w:divsChild>
        <w:div w:id="1366829932">
          <w:marLeft w:val="547"/>
          <w:marRight w:val="0"/>
          <w:marTop w:val="106"/>
          <w:marBottom w:val="0"/>
          <w:divBdr>
            <w:top w:val="none" w:sz="0" w:space="0" w:color="auto"/>
            <w:left w:val="none" w:sz="0" w:space="0" w:color="auto"/>
            <w:bottom w:val="none" w:sz="0" w:space="0" w:color="auto"/>
            <w:right w:val="none" w:sz="0" w:space="0" w:color="auto"/>
          </w:divBdr>
        </w:div>
        <w:div w:id="1417706678">
          <w:marLeft w:val="547"/>
          <w:marRight w:val="0"/>
          <w:marTop w:val="106"/>
          <w:marBottom w:val="0"/>
          <w:divBdr>
            <w:top w:val="none" w:sz="0" w:space="0" w:color="auto"/>
            <w:left w:val="none" w:sz="0" w:space="0" w:color="auto"/>
            <w:bottom w:val="none" w:sz="0" w:space="0" w:color="auto"/>
            <w:right w:val="none" w:sz="0" w:space="0" w:color="auto"/>
          </w:divBdr>
        </w:div>
        <w:div w:id="2077508055">
          <w:marLeft w:val="1166"/>
          <w:marRight w:val="0"/>
          <w:marTop w:val="96"/>
          <w:marBottom w:val="0"/>
          <w:divBdr>
            <w:top w:val="none" w:sz="0" w:space="0" w:color="auto"/>
            <w:left w:val="none" w:sz="0" w:space="0" w:color="auto"/>
            <w:bottom w:val="none" w:sz="0" w:space="0" w:color="auto"/>
            <w:right w:val="none" w:sz="0" w:space="0" w:color="auto"/>
          </w:divBdr>
        </w:div>
        <w:div w:id="1164853959">
          <w:marLeft w:val="1166"/>
          <w:marRight w:val="0"/>
          <w:marTop w:val="96"/>
          <w:marBottom w:val="0"/>
          <w:divBdr>
            <w:top w:val="none" w:sz="0" w:space="0" w:color="auto"/>
            <w:left w:val="none" w:sz="0" w:space="0" w:color="auto"/>
            <w:bottom w:val="none" w:sz="0" w:space="0" w:color="auto"/>
            <w:right w:val="none" w:sz="0" w:space="0" w:color="auto"/>
          </w:divBdr>
        </w:div>
      </w:divsChild>
    </w:div>
    <w:div w:id="1633903418">
      <w:bodyDiv w:val="1"/>
      <w:marLeft w:val="0"/>
      <w:marRight w:val="0"/>
      <w:marTop w:val="0"/>
      <w:marBottom w:val="0"/>
      <w:divBdr>
        <w:top w:val="none" w:sz="0" w:space="0" w:color="auto"/>
        <w:left w:val="none" w:sz="0" w:space="0" w:color="auto"/>
        <w:bottom w:val="none" w:sz="0" w:space="0" w:color="auto"/>
        <w:right w:val="none" w:sz="0" w:space="0" w:color="auto"/>
      </w:divBdr>
      <w:divsChild>
        <w:div w:id="1424305731">
          <w:marLeft w:val="547"/>
          <w:marRight w:val="0"/>
          <w:marTop w:val="154"/>
          <w:marBottom w:val="0"/>
          <w:divBdr>
            <w:top w:val="none" w:sz="0" w:space="0" w:color="auto"/>
            <w:left w:val="none" w:sz="0" w:space="0" w:color="auto"/>
            <w:bottom w:val="none" w:sz="0" w:space="0" w:color="auto"/>
            <w:right w:val="none" w:sz="0" w:space="0" w:color="auto"/>
          </w:divBdr>
        </w:div>
        <w:div w:id="1418862125">
          <w:marLeft w:val="547"/>
          <w:marRight w:val="0"/>
          <w:marTop w:val="154"/>
          <w:marBottom w:val="0"/>
          <w:divBdr>
            <w:top w:val="none" w:sz="0" w:space="0" w:color="auto"/>
            <w:left w:val="none" w:sz="0" w:space="0" w:color="auto"/>
            <w:bottom w:val="none" w:sz="0" w:space="0" w:color="auto"/>
            <w:right w:val="none" w:sz="0" w:space="0" w:color="auto"/>
          </w:divBdr>
        </w:div>
        <w:div w:id="125121080">
          <w:marLeft w:val="547"/>
          <w:marRight w:val="0"/>
          <w:marTop w:val="154"/>
          <w:marBottom w:val="0"/>
          <w:divBdr>
            <w:top w:val="none" w:sz="0" w:space="0" w:color="auto"/>
            <w:left w:val="none" w:sz="0" w:space="0" w:color="auto"/>
            <w:bottom w:val="none" w:sz="0" w:space="0" w:color="auto"/>
            <w:right w:val="none" w:sz="0" w:space="0" w:color="auto"/>
          </w:divBdr>
        </w:div>
        <w:div w:id="973560582">
          <w:marLeft w:val="547"/>
          <w:marRight w:val="0"/>
          <w:marTop w:val="154"/>
          <w:marBottom w:val="0"/>
          <w:divBdr>
            <w:top w:val="none" w:sz="0" w:space="0" w:color="auto"/>
            <w:left w:val="none" w:sz="0" w:space="0" w:color="auto"/>
            <w:bottom w:val="none" w:sz="0" w:space="0" w:color="auto"/>
            <w:right w:val="none" w:sz="0" w:space="0" w:color="auto"/>
          </w:divBdr>
        </w:div>
        <w:div w:id="1913275059">
          <w:marLeft w:val="547"/>
          <w:marRight w:val="0"/>
          <w:marTop w:val="154"/>
          <w:marBottom w:val="0"/>
          <w:divBdr>
            <w:top w:val="none" w:sz="0" w:space="0" w:color="auto"/>
            <w:left w:val="none" w:sz="0" w:space="0" w:color="auto"/>
            <w:bottom w:val="none" w:sz="0" w:space="0" w:color="auto"/>
            <w:right w:val="none" w:sz="0" w:space="0" w:color="auto"/>
          </w:divBdr>
        </w:div>
      </w:divsChild>
    </w:div>
    <w:div w:id="1719279617">
      <w:bodyDiv w:val="1"/>
      <w:marLeft w:val="0"/>
      <w:marRight w:val="0"/>
      <w:marTop w:val="0"/>
      <w:marBottom w:val="0"/>
      <w:divBdr>
        <w:top w:val="none" w:sz="0" w:space="0" w:color="auto"/>
        <w:left w:val="none" w:sz="0" w:space="0" w:color="auto"/>
        <w:bottom w:val="none" w:sz="0" w:space="0" w:color="auto"/>
        <w:right w:val="none" w:sz="0" w:space="0" w:color="auto"/>
      </w:divBdr>
    </w:div>
    <w:div w:id="1738286861">
      <w:bodyDiv w:val="1"/>
      <w:marLeft w:val="0"/>
      <w:marRight w:val="0"/>
      <w:marTop w:val="0"/>
      <w:marBottom w:val="0"/>
      <w:divBdr>
        <w:top w:val="none" w:sz="0" w:space="0" w:color="auto"/>
        <w:left w:val="none" w:sz="0" w:space="0" w:color="auto"/>
        <w:bottom w:val="none" w:sz="0" w:space="0" w:color="auto"/>
        <w:right w:val="none" w:sz="0" w:space="0" w:color="auto"/>
      </w:divBdr>
      <w:divsChild>
        <w:div w:id="986206743">
          <w:marLeft w:val="547"/>
          <w:marRight w:val="0"/>
          <w:marTop w:val="96"/>
          <w:marBottom w:val="0"/>
          <w:divBdr>
            <w:top w:val="none" w:sz="0" w:space="0" w:color="auto"/>
            <w:left w:val="none" w:sz="0" w:space="0" w:color="auto"/>
            <w:bottom w:val="none" w:sz="0" w:space="0" w:color="auto"/>
            <w:right w:val="none" w:sz="0" w:space="0" w:color="auto"/>
          </w:divBdr>
        </w:div>
        <w:div w:id="220990373">
          <w:marLeft w:val="547"/>
          <w:marRight w:val="0"/>
          <w:marTop w:val="96"/>
          <w:marBottom w:val="0"/>
          <w:divBdr>
            <w:top w:val="none" w:sz="0" w:space="0" w:color="auto"/>
            <w:left w:val="none" w:sz="0" w:space="0" w:color="auto"/>
            <w:bottom w:val="none" w:sz="0" w:space="0" w:color="auto"/>
            <w:right w:val="none" w:sz="0" w:space="0" w:color="auto"/>
          </w:divBdr>
        </w:div>
        <w:div w:id="1898668120">
          <w:marLeft w:val="1166"/>
          <w:marRight w:val="0"/>
          <w:marTop w:val="67"/>
          <w:marBottom w:val="0"/>
          <w:divBdr>
            <w:top w:val="none" w:sz="0" w:space="0" w:color="auto"/>
            <w:left w:val="none" w:sz="0" w:space="0" w:color="auto"/>
            <w:bottom w:val="none" w:sz="0" w:space="0" w:color="auto"/>
            <w:right w:val="none" w:sz="0" w:space="0" w:color="auto"/>
          </w:divBdr>
        </w:div>
        <w:div w:id="2043166788">
          <w:marLeft w:val="1166"/>
          <w:marRight w:val="0"/>
          <w:marTop w:val="67"/>
          <w:marBottom w:val="0"/>
          <w:divBdr>
            <w:top w:val="none" w:sz="0" w:space="0" w:color="auto"/>
            <w:left w:val="none" w:sz="0" w:space="0" w:color="auto"/>
            <w:bottom w:val="none" w:sz="0" w:space="0" w:color="auto"/>
            <w:right w:val="none" w:sz="0" w:space="0" w:color="auto"/>
          </w:divBdr>
        </w:div>
        <w:div w:id="725689436">
          <w:marLeft w:val="1166"/>
          <w:marRight w:val="0"/>
          <w:marTop w:val="72"/>
          <w:marBottom w:val="0"/>
          <w:divBdr>
            <w:top w:val="none" w:sz="0" w:space="0" w:color="auto"/>
            <w:left w:val="none" w:sz="0" w:space="0" w:color="auto"/>
            <w:bottom w:val="none" w:sz="0" w:space="0" w:color="auto"/>
            <w:right w:val="none" w:sz="0" w:space="0" w:color="auto"/>
          </w:divBdr>
        </w:div>
        <w:div w:id="675494922">
          <w:marLeft w:val="1166"/>
          <w:marRight w:val="0"/>
          <w:marTop w:val="72"/>
          <w:marBottom w:val="0"/>
          <w:divBdr>
            <w:top w:val="none" w:sz="0" w:space="0" w:color="auto"/>
            <w:left w:val="none" w:sz="0" w:space="0" w:color="auto"/>
            <w:bottom w:val="none" w:sz="0" w:space="0" w:color="auto"/>
            <w:right w:val="none" w:sz="0" w:space="0" w:color="auto"/>
          </w:divBdr>
        </w:div>
        <w:div w:id="188103561">
          <w:marLeft w:val="547"/>
          <w:marRight w:val="0"/>
          <w:marTop w:val="96"/>
          <w:marBottom w:val="0"/>
          <w:divBdr>
            <w:top w:val="none" w:sz="0" w:space="0" w:color="auto"/>
            <w:left w:val="none" w:sz="0" w:space="0" w:color="auto"/>
            <w:bottom w:val="none" w:sz="0" w:space="0" w:color="auto"/>
            <w:right w:val="none" w:sz="0" w:space="0" w:color="auto"/>
          </w:divBdr>
        </w:div>
        <w:div w:id="810319795">
          <w:marLeft w:val="1166"/>
          <w:marRight w:val="0"/>
          <w:marTop w:val="67"/>
          <w:marBottom w:val="0"/>
          <w:divBdr>
            <w:top w:val="none" w:sz="0" w:space="0" w:color="auto"/>
            <w:left w:val="none" w:sz="0" w:space="0" w:color="auto"/>
            <w:bottom w:val="none" w:sz="0" w:space="0" w:color="auto"/>
            <w:right w:val="none" w:sz="0" w:space="0" w:color="auto"/>
          </w:divBdr>
        </w:div>
        <w:div w:id="896940104">
          <w:marLeft w:val="547"/>
          <w:marRight w:val="0"/>
          <w:marTop w:val="96"/>
          <w:marBottom w:val="0"/>
          <w:divBdr>
            <w:top w:val="none" w:sz="0" w:space="0" w:color="auto"/>
            <w:left w:val="none" w:sz="0" w:space="0" w:color="auto"/>
            <w:bottom w:val="none" w:sz="0" w:space="0" w:color="auto"/>
            <w:right w:val="none" w:sz="0" w:space="0" w:color="auto"/>
          </w:divBdr>
        </w:div>
        <w:div w:id="7879006">
          <w:marLeft w:val="1166"/>
          <w:marRight w:val="0"/>
          <w:marTop w:val="86"/>
          <w:marBottom w:val="0"/>
          <w:divBdr>
            <w:top w:val="none" w:sz="0" w:space="0" w:color="auto"/>
            <w:left w:val="none" w:sz="0" w:space="0" w:color="auto"/>
            <w:bottom w:val="none" w:sz="0" w:space="0" w:color="auto"/>
            <w:right w:val="none" w:sz="0" w:space="0" w:color="auto"/>
          </w:divBdr>
        </w:div>
      </w:divsChild>
    </w:div>
    <w:div w:id="1822233663">
      <w:bodyDiv w:val="1"/>
      <w:marLeft w:val="0"/>
      <w:marRight w:val="0"/>
      <w:marTop w:val="0"/>
      <w:marBottom w:val="0"/>
      <w:divBdr>
        <w:top w:val="none" w:sz="0" w:space="0" w:color="auto"/>
        <w:left w:val="none" w:sz="0" w:space="0" w:color="auto"/>
        <w:bottom w:val="none" w:sz="0" w:space="0" w:color="auto"/>
        <w:right w:val="none" w:sz="0" w:space="0" w:color="auto"/>
      </w:divBdr>
      <w:divsChild>
        <w:div w:id="809596645">
          <w:marLeft w:val="0"/>
          <w:marRight w:val="0"/>
          <w:marTop w:val="0"/>
          <w:marBottom w:val="0"/>
          <w:divBdr>
            <w:top w:val="none" w:sz="0" w:space="0" w:color="auto"/>
            <w:left w:val="none" w:sz="0" w:space="0" w:color="auto"/>
            <w:bottom w:val="none" w:sz="0" w:space="0" w:color="auto"/>
            <w:right w:val="none" w:sz="0" w:space="0" w:color="auto"/>
          </w:divBdr>
        </w:div>
      </w:divsChild>
    </w:div>
    <w:div w:id="1838107726">
      <w:bodyDiv w:val="1"/>
      <w:marLeft w:val="0"/>
      <w:marRight w:val="0"/>
      <w:marTop w:val="0"/>
      <w:marBottom w:val="0"/>
      <w:divBdr>
        <w:top w:val="none" w:sz="0" w:space="0" w:color="auto"/>
        <w:left w:val="none" w:sz="0" w:space="0" w:color="auto"/>
        <w:bottom w:val="none" w:sz="0" w:space="0" w:color="auto"/>
        <w:right w:val="none" w:sz="0" w:space="0" w:color="auto"/>
      </w:divBdr>
    </w:div>
    <w:div w:id="1888177299">
      <w:bodyDiv w:val="1"/>
      <w:marLeft w:val="0"/>
      <w:marRight w:val="0"/>
      <w:marTop w:val="0"/>
      <w:marBottom w:val="0"/>
      <w:divBdr>
        <w:top w:val="none" w:sz="0" w:space="0" w:color="auto"/>
        <w:left w:val="none" w:sz="0" w:space="0" w:color="auto"/>
        <w:bottom w:val="none" w:sz="0" w:space="0" w:color="auto"/>
        <w:right w:val="none" w:sz="0" w:space="0" w:color="auto"/>
      </w:divBdr>
    </w:div>
    <w:div w:id="1897086975">
      <w:bodyDiv w:val="1"/>
      <w:marLeft w:val="0"/>
      <w:marRight w:val="0"/>
      <w:marTop w:val="0"/>
      <w:marBottom w:val="0"/>
      <w:divBdr>
        <w:top w:val="none" w:sz="0" w:space="0" w:color="auto"/>
        <w:left w:val="none" w:sz="0" w:space="0" w:color="auto"/>
        <w:bottom w:val="none" w:sz="0" w:space="0" w:color="auto"/>
        <w:right w:val="none" w:sz="0" w:space="0" w:color="auto"/>
      </w:divBdr>
      <w:divsChild>
        <w:div w:id="1144352525">
          <w:marLeft w:val="720"/>
          <w:marRight w:val="0"/>
          <w:marTop w:val="240"/>
          <w:marBottom w:val="0"/>
          <w:divBdr>
            <w:top w:val="none" w:sz="0" w:space="0" w:color="auto"/>
            <w:left w:val="none" w:sz="0" w:space="0" w:color="auto"/>
            <w:bottom w:val="none" w:sz="0" w:space="0" w:color="auto"/>
            <w:right w:val="none" w:sz="0" w:space="0" w:color="auto"/>
          </w:divBdr>
        </w:div>
      </w:divsChild>
    </w:div>
    <w:div w:id="1907884132">
      <w:bodyDiv w:val="1"/>
      <w:marLeft w:val="0"/>
      <w:marRight w:val="0"/>
      <w:marTop w:val="0"/>
      <w:marBottom w:val="0"/>
      <w:divBdr>
        <w:top w:val="none" w:sz="0" w:space="0" w:color="auto"/>
        <w:left w:val="none" w:sz="0" w:space="0" w:color="auto"/>
        <w:bottom w:val="none" w:sz="0" w:space="0" w:color="auto"/>
        <w:right w:val="none" w:sz="0" w:space="0" w:color="auto"/>
      </w:divBdr>
      <w:divsChild>
        <w:div w:id="1451247070">
          <w:marLeft w:val="547"/>
          <w:marRight w:val="0"/>
          <w:marTop w:val="96"/>
          <w:marBottom w:val="0"/>
          <w:divBdr>
            <w:top w:val="none" w:sz="0" w:space="0" w:color="auto"/>
            <w:left w:val="none" w:sz="0" w:space="0" w:color="auto"/>
            <w:bottom w:val="none" w:sz="0" w:space="0" w:color="auto"/>
            <w:right w:val="none" w:sz="0" w:space="0" w:color="auto"/>
          </w:divBdr>
        </w:div>
        <w:div w:id="1744253028">
          <w:marLeft w:val="547"/>
          <w:marRight w:val="0"/>
          <w:marTop w:val="96"/>
          <w:marBottom w:val="0"/>
          <w:divBdr>
            <w:top w:val="none" w:sz="0" w:space="0" w:color="auto"/>
            <w:left w:val="none" w:sz="0" w:space="0" w:color="auto"/>
            <w:bottom w:val="none" w:sz="0" w:space="0" w:color="auto"/>
            <w:right w:val="none" w:sz="0" w:space="0" w:color="auto"/>
          </w:divBdr>
        </w:div>
        <w:div w:id="2075202518">
          <w:marLeft w:val="1166"/>
          <w:marRight w:val="0"/>
          <w:marTop w:val="67"/>
          <w:marBottom w:val="0"/>
          <w:divBdr>
            <w:top w:val="none" w:sz="0" w:space="0" w:color="auto"/>
            <w:left w:val="none" w:sz="0" w:space="0" w:color="auto"/>
            <w:bottom w:val="none" w:sz="0" w:space="0" w:color="auto"/>
            <w:right w:val="none" w:sz="0" w:space="0" w:color="auto"/>
          </w:divBdr>
        </w:div>
        <w:div w:id="1702047932">
          <w:marLeft w:val="1166"/>
          <w:marRight w:val="0"/>
          <w:marTop w:val="67"/>
          <w:marBottom w:val="0"/>
          <w:divBdr>
            <w:top w:val="none" w:sz="0" w:space="0" w:color="auto"/>
            <w:left w:val="none" w:sz="0" w:space="0" w:color="auto"/>
            <w:bottom w:val="none" w:sz="0" w:space="0" w:color="auto"/>
            <w:right w:val="none" w:sz="0" w:space="0" w:color="auto"/>
          </w:divBdr>
        </w:div>
        <w:div w:id="1500347896">
          <w:marLeft w:val="1166"/>
          <w:marRight w:val="0"/>
          <w:marTop w:val="72"/>
          <w:marBottom w:val="0"/>
          <w:divBdr>
            <w:top w:val="none" w:sz="0" w:space="0" w:color="auto"/>
            <w:left w:val="none" w:sz="0" w:space="0" w:color="auto"/>
            <w:bottom w:val="none" w:sz="0" w:space="0" w:color="auto"/>
            <w:right w:val="none" w:sz="0" w:space="0" w:color="auto"/>
          </w:divBdr>
        </w:div>
        <w:div w:id="1875921876">
          <w:marLeft w:val="1166"/>
          <w:marRight w:val="0"/>
          <w:marTop w:val="72"/>
          <w:marBottom w:val="0"/>
          <w:divBdr>
            <w:top w:val="none" w:sz="0" w:space="0" w:color="auto"/>
            <w:left w:val="none" w:sz="0" w:space="0" w:color="auto"/>
            <w:bottom w:val="none" w:sz="0" w:space="0" w:color="auto"/>
            <w:right w:val="none" w:sz="0" w:space="0" w:color="auto"/>
          </w:divBdr>
        </w:div>
        <w:div w:id="888689486">
          <w:marLeft w:val="547"/>
          <w:marRight w:val="0"/>
          <w:marTop w:val="96"/>
          <w:marBottom w:val="0"/>
          <w:divBdr>
            <w:top w:val="none" w:sz="0" w:space="0" w:color="auto"/>
            <w:left w:val="none" w:sz="0" w:space="0" w:color="auto"/>
            <w:bottom w:val="none" w:sz="0" w:space="0" w:color="auto"/>
            <w:right w:val="none" w:sz="0" w:space="0" w:color="auto"/>
          </w:divBdr>
        </w:div>
        <w:div w:id="1140617173">
          <w:marLeft w:val="1166"/>
          <w:marRight w:val="0"/>
          <w:marTop w:val="67"/>
          <w:marBottom w:val="0"/>
          <w:divBdr>
            <w:top w:val="none" w:sz="0" w:space="0" w:color="auto"/>
            <w:left w:val="none" w:sz="0" w:space="0" w:color="auto"/>
            <w:bottom w:val="none" w:sz="0" w:space="0" w:color="auto"/>
            <w:right w:val="none" w:sz="0" w:space="0" w:color="auto"/>
          </w:divBdr>
        </w:div>
        <w:div w:id="1821144879">
          <w:marLeft w:val="547"/>
          <w:marRight w:val="0"/>
          <w:marTop w:val="96"/>
          <w:marBottom w:val="0"/>
          <w:divBdr>
            <w:top w:val="none" w:sz="0" w:space="0" w:color="auto"/>
            <w:left w:val="none" w:sz="0" w:space="0" w:color="auto"/>
            <w:bottom w:val="none" w:sz="0" w:space="0" w:color="auto"/>
            <w:right w:val="none" w:sz="0" w:space="0" w:color="auto"/>
          </w:divBdr>
        </w:div>
        <w:div w:id="838934480">
          <w:marLeft w:val="1166"/>
          <w:marRight w:val="0"/>
          <w:marTop w:val="86"/>
          <w:marBottom w:val="0"/>
          <w:divBdr>
            <w:top w:val="none" w:sz="0" w:space="0" w:color="auto"/>
            <w:left w:val="none" w:sz="0" w:space="0" w:color="auto"/>
            <w:bottom w:val="none" w:sz="0" w:space="0" w:color="auto"/>
            <w:right w:val="none" w:sz="0" w:space="0" w:color="auto"/>
          </w:divBdr>
        </w:div>
      </w:divsChild>
    </w:div>
    <w:div w:id="1923483592">
      <w:bodyDiv w:val="1"/>
      <w:marLeft w:val="0"/>
      <w:marRight w:val="0"/>
      <w:marTop w:val="0"/>
      <w:marBottom w:val="0"/>
      <w:divBdr>
        <w:top w:val="none" w:sz="0" w:space="0" w:color="auto"/>
        <w:left w:val="none" w:sz="0" w:space="0" w:color="auto"/>
        <w:bottom w:val="none" w:sz="0" w:space="0" w:color="auto"/>
        <w:right w:val="none" w:sz="0" w:space="0" w:color="auto"/>
      </w:divBdr>
    </w:div>
    <w:div w:id="19858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boss@parliament.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0A2A-A845-406E-A8D4-1ABE11FF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8091</Words>
  <Characters>46119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January 17, 2008</vt:lpstr>
    </vt:vector>
  </TitlesOfParts>
  <Company>HP</Company>
  <LinksUpToDate>false</LinksUpToDate>
  <CharactersWithSpaces>54102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2019-10-07T14:12:00Z</cp:lastPrinted>
  <dcterms:created xsi:type="dcterms:W3CDTF">2019-10-23T08:53:00Z</dcterms:created>
  <dcterms:modified xsi:type="dcterms:W3CDTF">2019-10-23T08:53:00Z</dcterms:modified>
</cp:coreProperties>
</file>