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EB2B1" w14:textId="77777777" w:rsidR="003F0902" w:rsidRPr="00625F0A" w:rsidRDefault="003F0902" w:rsidP="002F0A9A">
      <w:pPr>
        <w:tabs>
          <w:tab w:val="center" w:pos="4819"/>
        </w:tabs>
        <w:suppressAutoHyphens/>
        <w:ind w:left="720" w:right="-46"/>
        <w:jc w:val="center"/>
        <w:rPr>
          <w:rFonts w:ascii="Arial" w:hAnsi="Arial" w:cs="Arial"/>
          <w:b/>
          <w:spacing w:val="-3"/>
          <w:sz w:val="22"/>
          <w:szCs w:val="22"/>
        </w:rPr>
      </w:pPr>
      <w:r w:rsidRPr="00625F0A">
        <w:rPr>
          <w:rFonts w:ascii="Arial" w:hAnsi="Arial" w:cs="Arial"/>
          <w:noProof/>
          <w:sz w:val="22"/>
          <w:szCs w:val="22"/>
          <w:lang w:val="en-ZA" w:eastAsia="en-ZA"/>
        </w:rPr>
        <w:drawing>
          <wp:anchor distT="0" distB="0" distL="114300" distR="114300" simplePos="0" relativeHeight="251658240" behindDoc="0" locked="0" layoutInCell="1" allowOverlap="1" wp14:anchorId="17BDE9BF" wp14:editId="6BBD057F">
            <wp:simplePos x="0" y="0"/>
            <wp:positionH relativeFrom="column">
              <wp:posOffset>2653665</wp:posOffset>
            </wp:positionH>
            <wp:positionV relativeFrom="paragraph">
              <wp:posOffset>0</wp:posOffset>
            </wp:positionV>
            <wp:extent cx="1428750" cy="1162050"/>
            <wp:effectExtent l="19050" t="0" r="0" b="0"/>
            <wp:wrapTopAndBottom/>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1428750" cy="1162050"/>
                    </a:xfrm>
                    <a:prstGeom prst="rect">
                      <a:avLst/>
                    </a:prstGeom>
                    <a:noFill/>
                  </pic:spPr>
                </pic:pic>
              </a:graphicData>
            </a:graphic>
          </wp:anchor>
        </w:drawing>
      </w:r>
    </w:p>
    <w:p w14:paraId="7419E2CD" w14:textId="77777777" w:rsidR="003F0902" w:rsidRPr="00625F0A" w:rsidRDefault="0025078B" w:rsidP="00D15A19">
      <w:pPr>
        <w:tabs>
          <w:tab w:val="center" w:pos="4819"/>
        </w:tabs>
        <w:suppressAutoHyphens/>
        <w:spacing w:line="276" w:lineRule="auto"/>
        <w:ind w:left="720" w:right="-46"/>
        <w:jc w:val="center"/>
        <w:rPr>
          <w:rFonts w:ascii="Arial" w:hAnsi="Arial" w:cs="Arial"/>
          <w:b/>
          <w:spacing w:val="-3"/>
          <w:sz w:val="22"/>
          <w:szCs w:val="22"/>
        </w:rPr>
      </w:pPr>
      <w:r w:rsidRPr="00625F0A">
        <w:rPr>
          <w:rFonts w:ascii="Arial" w:hAnsi="Arial" w:cs="Arial"/>
          <w:b/>
          <w:spacing w:val="-3"/>
          <w:sz w:val="22"/>
          <w:szCs w:val="22"/>
        </w:rPr>
        <w:t>FINANCE PORTFOLIO COMMITTEE</w:t>
      </w:r>
    </w:p>
    <w:p w14:paraId="201EBCA6" w14:textId="77777777" w:rsidR="003F0902" w:rsidRPr="00625F0A" w:rsidRDefault="003F0902" w:rsidP="00D15A19">
      <w:pPr>
        <w:tabs>
          <w:tab w:val="center" w:pos="4819"/>
        </w:tabs>
        <w:suppressAutoHyphens/>
        <w:spacing w:line="276" w:lineRule="auto"/>
        <w:ind w:left="720" w:right="-46"/>
        <w:jc w:val="center"/>
        <w:rPr>
          <w:rFonts w:ascii="Arial" w:hAnsi="Arial" w:cs="Arial"/>
          <w:b/>
          <w:spacing w:val="-3"/>
          <w:sz w:val="22"/>
          <w:szCs w:val="22"/>
        </w:rPr>
      </w:pPr>
    </w:p>
    <w:p w14:paraId="5637EE9D" w14:textId="72F96C9C" w:rsidR="00215DDD" w:rsidRPr="00625F0A" w:rsidRDefault="00A528A4" w:rsidP="00734225">
      <w:pPr>
        <w:pStyle w:val="ListParagraph"/>
        <w:tabs>
          <w:tab w:val="center" w:pos="4819"/>
        </w:tabs>
        <w:suppressAutoHyphens/>
        <w:spacing w:line="276" w:lineRule="auto"/>
        <w:ind w:left="709" w:right="-46"/>
        <w:jc w:val="both"/>
        <w:rPr>
          <w:rFonts w:ascii="Arial" w:hAnsi="Arial" w:cs="Arial"/>
          <w:b/>
          <w:i/>
          <w:spacing w:val="-3"/>
          <w:sz w:val="22"/>
          <w:szCs w:val="22"/>
        </w:rPr>
      </w:pPr>
      <w:r w:rsidRPr="00625F0A">
        <w:rPr>
          <w:rFonts w:ascii="Arial" w:hAnsi="Arial" w:cs="Arial"/>
          <w:b/>
          <w:spacing w:val="-3"/>
          <w:sz w:val="22"/>
          <w:szCs w:val="22"/>
        </w:rPr>
        <w:t xml:space="preserve"> THE </w:t>
      </w:r>
      <w:r w:rsidR="00EA64DA" w:rsidRPr="00625F0A">
        <w:rPr>
          <w:rFonts w:ascii="Arial" w:hAnsi="Arial" w:cs="Arial"/>
          <w:b/>
          <w:spacing w:val="-3"/>
          <w:sz w:val="22"/>
          <w:szCs w:val="22"/>
        </w:rPr>
        <w:fldChar w:fldCharType="begin"/>
      </w:r>
      <w:r w:rsidR="00215DDD" w:rsidRPr="00625F0A">
        <w:rPr>
          <w:rFonts w:ascii="Arial" w:hAnsi="Arial" w:cs="Arial"/>
          <w:b/>
          <w:spacing w:val="-3"/>
          <w:sz w:val="22"/>
          <w:szCs w:val="22"/>
        </w:rPr>
        <w:instrText xml:space="preserve">PRIVATE </w:instrText>
      </w:r>
      <w:r w:rsidR="00EA64DA" w:rsidRPr="00625F0A">
        <w:rPr>
          <w:rFonts w:ascii="Arial" w:hAnsi="Arial" w:cs="Arial"/>
          <w:b/>
          <w:spacing w:val="-3"/>
          <w:sz w:val="22"/>
          <w:szCs w:val="22"/>
        </w:rPr>
        <w:fldChar w:fldCharType="end"/>
      </w:r>
      <w:r w:rsidRPr="00625F0A">
        <w:rPr>
          <w:rFonts w:ascii="Arial" w:hAnsi="Arial" w:cs="Arial"/>
          <w:b/>
          <w:spacing w:val="-3"/>
          <w:sz w:val="22"/>
          <w:szCs w:val="22"/>
        </w:rPr>
        <w:t xml:space="preserve"> DIVISION OF REVENUE BILL [B</w:t>
      </w:r>
      <w:r w:rsidR="00DC3071" w:rsidRPr="00625F0A">
        <w:rPr>
          <w:rFonts w:ascii="Arial" w:hAnsi="Arial" w:cs="Arial"/>
          <w:b/>
          <w:spacing w:val="-3"/>
          <w:sz w:val="22"/>
          <w:szCs w:val="22"/>
        </w:rPr>
        <w:t>3</w:t>
      </w:r>
      <w:r w:rsidRPr="00625F0A">
        <w:rPr>
          <w:rFonts w:ascii="Arial" w:hAnsi="Arial" w:cs="Arial"/>
          <w:b/>
          <w:spacing w:val="-3"/>
          <w:sz w:val="22"/>
          <w:szCs w:val="22"/>
        </w:rPr>
        <w:t>-20</w:t>
      </w:r>
      <w:r w:rsidR="00DC3071" w:rsidRPr="00625F0A">
        <w:rPr>
          <w:rFonts w:ascii="Arial" w:hAnsi="Arial" w:cs="Arial"/>
          <w:b/>
          <w:spacing w:val="-3"/>
          <w:sz w:val="22"/>
          <w:szCs w:val="22"/>
        </w:rPr>
        <w:t>20</w:t>
      </w:r>
      <w:r w:rsidRPr="00625F0A">
        <w:rPr>
          <w:rFonts w:ascii="Arial" w:hAnsi="Arial" w:cs="Arial"/>
          <w:b/>
          <w:spacing w:val="-3"/>
          <w:sz w:val="22"/>
          <w:szCs w:val="22"/>
        </w:rPr>
        <w:t>] – SECTION 76</w:t>
      </w:r>
    </w:p>
    <w:p w14:paraId="3AC9F3B9" w14:textId="77777777" w:rsidR="00295518" w:rsidRPr="00625F0A" w:rsidRDefault="00295518" w:rsidP="00D15A19">
      <w:pPr>
        <w:tabs>
          <w:tab w:val="center" w:pos="4819"/>
        </w:tabs>
        <w:suppressAutoHyphens/>
        <w:spacing w:line="276" w:lineRule="auto"/>
        <w:ind w:left="431" w:right="-46"/>
        <w:jc w:val="both"/>
        <w:rPr>
          <w:rFonts w:ascii="Arial" w:hAnsi="Arial" w:cs="Arial"/>
          <w:b/>
          <w:sz w:val="22"/>
          <w:szCs w:val="22"/>
        </w:rPr>
      </w:pPr>
    </w:p>
    <w:p w14:paraId="3C620C31" w14:textId="20642214" w:rsidR="00FA05F6" w:rsidRPr="00625F0A" w:rsidRDefault="00FA05F6" w:rsidP="00734225">
      <w:pPr>
        <w:pStyle w:val="Heading1"/>
        <w:numPr>
          <w:ilvl w:val="0"/>
          <w:numId w:val="46"/>
        </w:numPr>
        <w:spacing w:before="0" w:after="0" w:line="276" w:lineRule="auto"/>
        <w:jc w:val="both"/>
        <w:rPr>
          <w:sz w:val="22"/>
          <w:szCs w:val="22"/>
          <w:u w:val="single"/>
          <w:lang w:val="en-ZA"/>
        </w:rPr>
      </w:pPr>
      <w:r w:rsidRPr="00625F0A">
        <w:rPr>
          <w:sz w:val="22"/>
          <w:szCs w:val="22"/>
          <w:u w:val="single"/>
          <w:lang w:val="en-ZA"/>
        </w:rPr>
        <w:t>INTRODUCTION</w:t>
      </w:r>
    </w:p>
    <w:p w14:paraId="187A8061" w14:textId="77777777" w:rsidR="0006425F" w:rsidRPr="00625F0A" w:rsidRDefault="0006425F" w:rsidP="00D15A19">
      <w:pPr>
        <w:pStyle w:val="BodyTextIndent"/>
        <w:spacing w:line="276" w:lineRule="auto"/>
        <w:ind w:left="360"/>
        <w:rPr>
          <w:rFonts w:ascii="Arial" w:hAnsi="Arial" w:cs="Arial"/>
          <w:sz w:val="22"/>
          <w:szCs w:val="22"/>
        </w:rPr>
      </w:pPr>
    </w:p>
    <w:p w14:paraId="0CA6E8F1" w14:textId="48511A70" w:rsidR="00B84462" w:rsidRPr="00B84462" w:rsidRDefault="0006425F" w:rsidP="00B84462">
      <w:pPr>
        <w:autoSpaceDE w:val="0"/>
        <w:autoSpaceDN w:val="0"/>
        <w:adjustRightInd w:val="0"/>
        <w:spacing w:line="276" w:lineRule="auto"/>
        <w:ind w:left="426"/>
        <w:jc w:val="both"/>
        <w:rPr>
          <w:rFonts w:ascii="Arial" w:hAnsi="Arial" w:cs="Arial"/>
          <w:sz w:val="22"/>
          <w:szCs w:val="22"/>
          <w:lang w:val="en-ZA"/>
        </w:rPr>
      </w:pPr>
      <w:r w:rsidRPr="00625F0A">
        <w:rPr>
          <w:rFonts w:ascii="Arial" w:hAnsi="Arial" w:cs="Arial"/>
          <w:sz w:val="22"/>
          <w:szCs w:val="22"/>
        </w:rPr>
        <w:t>The</w:t>
      </w:r>
      <w:r w:rsidR="00E97663" w:rsidRPr="00625F0A">
        <w:rPr>
          <w:rFonts w:ascii="Arial" w:hAnsi="Arial" w:cs="Arial"/>
          <w:sz w:val="22"/>
          <w:szCs w:val="22"/>
        </w:rPr>
        <w:t xml:space="preserve"> Division of Revenue Bill [B3-2020</w:t>
      </w:r>
      <w:r w:rsidR="001211D0" w:rsidRPr="00625F0A">
        <w:rPr>
          <w:rFonts w:ascii="Arial" w:hAnsi="Arial" w:cs="Arial"/>
          <w:sz w:val="22"/>
          <w:szCs w:val="22"/>
        </w:rPr>
        <w:t xml:space="preserve">] was tabled by the Minister of Finance in the National Assembly on </w:t>
      </w:r>
      <w:r w:rsidR="0086698F" w:rsidRPr="00625F0A">
        <w:rPr>
          <w:rFonts w:ascii="Arial" w:hAnsi="Arial" w:cs="Arial"/>
          <w:sz w:val="22"/>
          <w:szCs w:val="22"/>
        </w:rPr>
        <w:t xml:space="preserve">26 February 2020. </w:t>
      </w:r>
      <w:r w:rsidR="00625F0A" w:rsidRPr="00625F0A">
        <w:rPr>
          <w:rFonts w:ascii="Arial" w:hAnsi="Arial" w:cs="Arial"/>
          <w:sz w:val="22"/>
          <w:szCs w:val="22"/>
        </w:rPr>
        <w:t>After</w:t>
      </w:r>
      <w:r w:rsidR="0086698F" w:rsidRPr="00625F0A">
        <w:rPr>
          <w:rFonts w:ascii="Arial" w:hAnsi="Arial" w:cs="Arial"/>
          <w:sz w:val="22"/>
          <w:szCs w:val="22"/>
        </w:rPr>
        <w:t xml:space="preserve"> its tabling, </w:t>
      </w:r>
      <w:r w:rsidR="006D6FFE" w:rsidRPr="00625F0A">
        <w:rPr>
          <w:rFonts w:ascii="Arial" w:hAnsi="Arial" w:cs="Arial"/>
          <w:sz w:val="22"/>
          <w:szCs w:val="22"/>
        </w:rPr>
        <w:t xml:space="preserve">South Africa’s </w:t>
      </w:r>
      <w:r w:rsidR="00492F4C" w:rsidRPr="00625F0A">
        <w:rPr>
          <w:rFonts w:ascii="Arial" w:hAnsi="Arial" w:cs="Arial"/>
          <w:sz w:val="22"/>
          <w:szCs w:val="22"/>
          <w:shd w:val="clear" w:color="auto" w:fill="FFFFFF"/>
        </w:rPr>
        <w:t>credit rating was cut below investment grade, delivering the country a full house of junk assessments as it grapples with a nationwide lockdown to curb the spread of the novel coronavirus.</w:t>
      </w:r>
      <w:r w:rsidR="00F27B10" w:rsidRPr="00625F0A">
        <w:rPr>
          <w:rFonts w:ascii="Arial" w:hAnsi="Arial" w:cs="Arial"/>
          <w:sz w:val="22"/>
          <w:szCs w:val="22"/>
          <w:shd w:val="clear" w:color="auto" w:fill="FFFFFF"/>
        </w:rPr>
        <w:t xml:space="preserve"> The move reflects continuing deterioration in fiscal strength and structurally very weak economic growth.</w:t>
      </w:r>
      <w:r w:rsidR="008927ED" w:rsidRPr="00625F0A">
        <w:rPr>
          <w:rFonts w:ascii="Arial" w:hAnsi="Arial" w:cs="Arial"/>
          <w:sz w:val="22"/>
          <w:szCs w:val="22"/>
          <w:shd w:val="clear" w:color="auto" w:fill="FFFFFF"/>
        </w:rPr>
        <w:t xml:space="preserve"> </w:t>
      </w:r>
      <w:r w:rsidR="00D17F44" w:rsidRPr="00625F0A">
        <w:rPr>
          <w:rFonts w:ascii="Arial" w:hAnsi="Arial" w:cs="Arial"/>
          <w:sz w:val="22"/>
          <w:szCs w:val="22"/>
          <w:shd w:val="clear" w:color="auto" w:fill="FFFFFF"/>
        </w:rPr>
        <w:t xml:space="preserve">South Africa’s vulnerable economic </w:t>
      </w:r>
      <w:r w:rsidR="009A4187" w:rsidRPr="00625F0A">
        <w:rPr>
          <w:rFonts w:ascii="Arial" w:hAnsi="Arial" w:cs="Arial"/>
          <w:sz w:val="22"/>
          <w:szCs w:val="22"/>
          <w:shd w:val="clear" w:color="auto" w:fill="FFFFFF"/>
        </w:rPr>
        <w:t xml:space="preserve">growth is constrained </w:t>
      </w:r>
      <w:r w:rsidR="00A07D50" w:rsidRPr="00625F0A">
        <w:rPr>
          <w:rFonts w:ascii="Arial" w:hAnsi="Arial" w:cs="Arial"/>
          <w:sz w:val="22"/>
          <w:szCs w:val="22"/>
          <w:shd w:val="clear" w:color="auto" w:fill="FFFFFF"/>
        </w:rPr>
        <w:t>by unreliable electricity supply,</w:t>
      </w:r>
      <w:r w:rsidR="00193788">
        <w:rPr>
          <w:rFonts w:ascii="Arial" w:hAnsi="Arial" w:cs="Arial"/>
          <w:sz w:val="22"/>
          <w:szCs w:val="22"/>
          <w:shd w:val="clear" w:color="auto" w:fill="FFFFFF"/>
        </w:rPr>
        <w:t xml:space="preserve"> financially unsustainable state-owned enterprises,</w:t>
      </w:r>
      <w:r w:rsidR="00A07D50" w:rsidRPr="00625F0A">
        <w:rPr>
          <w:rFonts w:ascii="Arial" w:hAnsi="Arial" w:cs="Arial"/>
          <w:sz w:val="22"/>
          <w:szCs w:val="22"/>
          <w:shd w:val="clear" w:color="auto" w:fill="FFFFFF"/>
        </w:rPr>
        <w:t xml:space="preserve"> persistent weak business confidence and investment as well as long-standing structural labour market rigidities. </w:t>
      </w:r>
    </w:p>
    <w:p w14:paraId="5A94688B" w14:textId="77777777" w:rsidR="00B84462" w:rsidRDefault="00B84462" w:rsidP="00B84462">
      <w:pPr>
        <w:autoSpaceDE w:val="0"/>
        <w:autoSpaceDN w:val="0"/>
        <w:adjustRightInd w:val="0"/>
        <w:spacing w:line="276" w:lineRule="auto"/>
        <w:ind w:left="426"/>
        <w:jc w:val="both"/>
        <w:rPr>
          <w:rFonts w:ascii="Arial" w:hAnsi="Arial" w:cs="Arial"/>
          <w:sz w:val="22"/>
          <w:szCs w:val="22"/>
          <w:shd w:val="clear" w:color="auto" w:fill="FFFFFF"/>
        </w:rPr>
      </w:pPr>
    </w:p>
    <w:p w14:paraId="6A700756" w14:textId="0CCA0F2A" w:rsidR="00B84462" w:rsidRPr="00B84462" w:rsidRDefault="00504D46" w:rsidP="00B84462">
      <w:pPr>
        <w:autoSpaceDE w:val="0"/>
        <w:autoSpaceDN w:val="0"/>
        <w:adjustRightInd w:val="0"/>
        <w:spacing w:line="276" w:lineRule="auto"/>
        <w:ind w:left="426"/>
        <w:jc w:val="both"/>
        <w:rPr>
          <w:rFonts w:ascii="Arial" w:hAnsi="Arial" w:cs="Arial"/>
          <w:sz w:val="22"/>
          <w:szCs w:val="22"/>
          <w:lang w:val="en-ZA"/>
        </w:rPr>
      </w:pPr>
      <w:r w:rsidRPr="00625F0A">
        <w:rPr>
          <w:rFonts w:ascii="Arial" w:hAnsi="Arial" w:cs="Arial"/>
          <w:sz w:val="22"/>
          <w:szCs w:val="22"/>
          <w:shd w:val="clear" w:color="auto" w:fill="FFFFFF"/>
        </w:rPr>
        <w:t xml:space="preserve">The consideration of the </w:t>
      </w:r>
      <w:r w:rsidR="00215556" w:rsidRPr="00625F0A">
        <w:rPr>
          <w:rFonts w:ascii="Arial" w:hAnsi="Arial" w:cs="Arial"/>
          <w:sz w:val="22"/>
          <w:szCs w:val="22"/>
          <w:shd w:val="clear" w:color="auto" w:fill="FFFFFF"/>
        </w:rPr>
        <w:t xml:space="preserve">tabled </w:t>
      </w:r>
      <w:r w:rsidRPr="00625F0A">
        <w:rPr>
          <w:rFonts w:ascii="Arial" w:hAnsi="Arial" w:cs="Arial"/>
          <w:sz w:val="22"/>
          <w:szCs w:val="22"/>
          <w:shd w:val="clear" w:color="auto" w:fill="FFFFFF"/>
        </w:rPr>
        <w:t xml:space="preserve">Division of Revenue Bill </w:t>
      </w:r>
      <w:r w:rsidR="00A1262E" w:rsidRPr="00625F0A">
        <w:rPr>
          <w:rFonts w:ascii="Arial" w:hAnsi="Arial" w:cs="Arial"/>
          <w:sz w:val="22"/>
          <w:szCs w:val="22"/>
          <w:shd w:val="clear" w:color="auto" w:fill="FFFFFF"/>
        </w:rPr>
        <w:t>[B3-2020]</w:t>
      </w:r>
      <w:r w:rsidR="00A723E6" w:rsidRPr="00625F0A">
        <w:rPr>
          <w:rFonts w:ascii="Arial" w:hAnsi="Arial" w:cs="Arial"/>
          <w:sz w:val="22"/>
          <w:szCs w:val="22"/>
          <w:shd w:val="clear" w:color="auto" w:fill="FFFFFF"/>
        </w:rPr>
        <w:t xml:space="preserve"> </w:t>
      </w:r>
      <w:r w:rsidR="00A22537" w:rsidRPr="00625F0A">
        <w:rPr>
          <w:rFonts w:ascii="Arial" w:hAnsi="Arial" w:cs="Arial"/>
          <w:sz w:val="22"/>
          <w:szCs w:val="22"/>
          <w:lang w:val="en-ZA"/>
        </w:rPr>
        <w:t xml:space="preserve">is to allow </w:t>
      </w:r>
      <w:r w:rsidR="003243CE" w:rsidRPr="00625F0A">
        <w:rPr>
          <w:rFonts w:ascii="Arial" w:hAnsi="Arial" w:cs="Arial"/>
          <w:sz w:val="22"/>
          <w:szCs w:val="22"/>
          <w:lang w:val="en-ZA"/>
        </w:rPr>
        <w:t xml:space="preserve">for the </w:t>
      </w:r>
      <w:r w:rsidR="00061AC6" w:rsidRPr="00625F0A">
        <w:rPr>
          <w:rFonts w:ascii="Arial" w:hAnsi="Arial" w:cs="Arial"/>
          <w:sz w:val="22"/>
          <w:szCs w:val="22"/>
          <w:lang w:val="en-ZA"/>
        </w:rPr>
        <w:t>adjustment budget announced by the President to respond to the COVID-19 pandemic</w:t>
      </w:r>
      <w:r w:rsidR="00087E3A" w:rsidRPr="00625F0A">
        <w:rPr>
          <w:rFonts w:ascii="Arial" w:hAnsi="Arial" w:cs="Arial"/>
          <w:sz w:val="22"/>
          <w:szCs w:val="22"/>
          <w:lang w:val="en-ZA"/>
        </w:rPr>
        <w:t>.</w:t>
      </w:r>
      <w:r w:rsidR="00193788">
        <w:rPr>
          <w:rFonts w:ascii="Arial" w:hAnsi="Arial" w:cs="Arial"/>
          <w:sz w:val="22"/>
          <w:szCs w:val="22"/>
          <w:lang w:val="en-ZA"/>
        </w:rPr>
        <w:t xml:space="preserve"> However, disaster provisions in the 2019 Division of Revenue Act has been activated, resulting in the transfer of R466 million to provincial health departments for the procurement pf personal protective equipment. Reallocations in</w:t>
      </w:r>
      <w:r w:rsidR="00B84462">
        <w:rPr>
          <w:rFonts w:ascii="Arial" w:hAnsi="Arial" w:cs="Arial"/>
          <w:sz w:val="22"/>
          <w:szCs w:val="22"/>
          <w:lang w:val="en-ZA"/>
        </w:rPr>
        <w:t xml:space="preserve"> </w:t>
      </w:r>
      <w:r w:rsidR="00193788">
        <w:rPr>
          <w:rFonts w:ascii="Arial" w:hAnsi="Arial" w:cs="Arial"/>
          <w:sz w:val="22"/>
          <w:szCs w:val="22"/>
          <w:lang w:val="en-ZA"/>
        </w:rPr>
        <w:t>terms of section 20(6) for the reprioritization of ex</w:t>
      </w:r>
      <w:r w:rsidR="00B84462">
        <w:rPr>
          <w:rFonts w:ascii="Arial" w:hAnsi="Arial" w:cs="Arial"/>
          <w:sz w:val="22"/>
          <w:szCs w:val="22"/>
          <w:lang w:val="en-ZA"/>
        </w:rPr>
        <w:t>is</w:t>
      </w:r>
      <w:r w:rsidR="00193788">
        <w:rPr>
          <w:rFonts w:ascii="Arial" w:hAnsi="Arial" w:cs="Arial"/>
          <w:sz w:val="22"/>
          <w:szCs w:val="22"/>
          <w:lang w:val="en-ZA"/>
        </w:rPr>
        <w:t>ti</w:t>
      </w:r>
      <w:r w:rsidR="00B84462">
        <w:rPr>
          <w:rFonts w:ascii="Arial" w:hAnsi="Arial" w:cs="Arial"/>
          <w:sz w:val="22"/>
          <w:szCs w:val="22"/>
          <w:lang w:val="en-ZA"/>
        </w:rPr>
        <w:t xml:space="preserve">ng grants towards disaster alleviation. Furthermore, </w:t>
      </w:r>
      <w:r w:rsidR="001D42C1">
        <w:rPr>
          <w:rFonts w:ascii="Arial" w:hAnsi="Arial" w:cs="Arial"/>
          <w:sz w:val="22"/>
          <w:szCs w:val="22"/>
          <w:lang w:val="en-ZA"/>
        </w:rPr>
        <w:t>R</w:t>
      </w:r>
      <w:r w:rsidR="00B84462">
        <w:rPr>
          <w:rFonts w:ascii="Arial" w:hAnsi="Arial" w:cs="Arial"/>
          <w:sz w:val="22"/>
          <w:szCs w:val="22"/>
          <w:lang w:val="en-ZA"/>
        </w:rPr>
        <w:t xml:space="preserve">306 </w:t>
      </w:r>
      <w:r w:rsidR="00B84462" w:rsidRPr="00B84462">
        <w:rPr>
          <w:rFonts w:ascii="Arial" w:hAnsi="Arial" w:cs="Arial"/>
          <w:sz w:val="22"/>
          <w:szCs w:val="22"/>
          <w:lang w:val="en-ZA"/>
        </w:rPr>
        <w:t>million in the indirect Regional Bulk Infrastructure Grant was reallocated for interim</w:t>
      </w:r>
      <w:r w:rsidR="00B84462">
        <w:rPr>
          <w:rFonts w:ascii="Arial" w:hAnsi="Arial" w:cs="Arial"/>
          <w:sz w:val="22"/>
          <w:szCs w:val="22"/>
          <w:lang w:val="en-ZA"/>
        </w:rPr>
        <w:t xml:space="preserve"> </w:t>
      </w:r>
      <w:r w:rsidR="00B84462" w:rsidRPr="00B84462">
        <w:rPr>
          <w:rFonts w:ascii="Arial" w:hAnsi="Arial" w:cs="Arial"/>
          <w:sz w:val="22"/>
          <w:szCs w:val="22"/>
          <w:lang w:val="en-ZA"/>
        </w:rPr>
        <w:t>water supply measures</w:t>
      </w:r>
      <w:r w:rsidR="00B84462">
        <w:rPr>
          <w:rFonts w:ascii="Arial" w:hAnsi="Arial" w:cs="Arial"/>
          <w:sz w:val="22"/>
          <w:szCs w:val="22"/>
          <w:lang w:val="en-ZA"/>
        </w:rPr>
        <w:t xml:space="preserve">; </w:t>
      </w:r>
      <w:r w:rsidR="001D42C1">
        <w:rPr>
          <w:rFonts w:ascii="Arial" w:hAnsi="Arial" w:cs="Arial"/>
          <w:sz w:val="22"/>
          <w:szCs w:val="22"/>
          <w:shd w:val="clear" w:color="auto" w:fill="FFFFFF"/>
        </w:rPr>
        <w:t>u</w:t>
      </w:r>
      <w:r w:rsidR="00B84462">
        <w:rPr>
          <w:rFonts w:ascii="Arial" w:hAnsi="Arial" w:cs="Arial"/>
          <w:sz w:val="22"/>
          <w:szCs w:val="22"/>
          <w:shd w:val="clear" w:color="auto" w:fill="FFFFFF"/>
        </w:rPr>
        <w:t xml:space="preserve">ncommitted </w:t>
      </w:r>
      <w:r w:rsidR="00B84462" w:rsidRPr="00B84462">
        <w:rPr>
          <w:rFonts w:ascii="Arial" w:hAnsi="Arial" w:cs="Arial"/>
          <w:sz w:val="22"/>
          <w:szCs w:val="22"/>
          <w:lang w:val="en-ZA"/>
        </w:rPr>
        <w:t>2019/20 Urban Settlements Development Grant funds have been reallocated to allow cities to fund increased services in</w:t>
      </w:r>
      <w:r w:rsidR="00B84462">
        <w:rPr>
          <w:rFonts w:ascii="Arial" w:hAnsi="Arial" w:cs="Arial"/>
          <w:sz w:val="22"/>
          <w:szCs w:val="22"/>
          <w:lang w:val="en-ZA"/>
        </w:rPr>
        <w:t xml:space="preserve"> </w:t>
      </w:r>
      <w:r w:rsidR="00B84462" w:rsidRPr="00B84462">
        <w:rPr>
          <w:rFonts w:ascii="Arial" w:hAnsi="Arial" w:cs="Arial"/>
          <w:sz w:val="22"/>
          <w:szCs w:val="22"/>
          <w:lang w:val="en-ZA"/>
        </w:rPr>
        <w:t>informal settlements and vulnerable communities</w:t>
      </w:r>
      <w:r w:rsidR="00B84462">
        <w:rPr>
          <w:rFonts w:ascii="Arial" w:hAnsi="Arial" w:cs="Arial"/>
          <w:sz w:val="22"/>
          <w:szCs w:val="22"/>
          <w:lang w:val="en-ZA"/>
        </w:rPr>
        <w:t xml:space="preserve">; and R1.5 billion in 2019/20 Municipal Infrastructure Grant are directed to urgent water supply projects. </w:t>
      </w:r>
    </w:p>
    <w:p w14:paraId="159050BC" w14:textId="77777777" w:rsidR="00A04BD4" w:rsidRPr="00625F0A" w:rsidRDefault="00A04BD4" w:rsidP="00D15A19">
      <w:pPr>
        <w:pStyle w:val="BodyTextIndent"/>
        <w:spacing w:line="276" w:lineRule="auto"/>
        <w:rPr>
          <w:rFonts w:ascii="Arial" w:hAnsi="Arial" w:cs="Arial"/>
          <w:sz w:val="22"/>
          <w:szCs w:val="22"/>
        </w:rPr>
      </w:pPr>
    </w:p>
    <w:p w14:paraId="2E9BD524" w14:textId="4CF2B180" w:rsidR="0006425F" w:rsidRPr="00625F0A" w:rsidRDefault="0006425F" w:rsidP="00D15A19">
      <w:pPr>
        <w:pStyle w:val="BodyTextIndent"/>
        <w:spacing w:line="276" w:lineRule="auto"/>
        <w:rPr>
          <w:rFonts w:ascii="Arial" w:hAnsi="Arial" w:cs="Arial"/>
          <w:sz w:val="22"/>
          <w:szCs w:val="22"/>
        </w:rPr>
      </w:pPr>
      <w:r w:rsidRPr="00625F0A">
        <w:rPr>
          <w:rFonts w:ascii="Arial" w:hAnsi="Arial" w:cs="Arial"/>
          <w:sz w:val="22"/>
          <w:szCs w:val="22"/>
        </w:rPr>
        <w:t xml:space="preserve"> Bill is introduced in terms of section 76 of the Constitution of the Republic of South Africa, 1996 (“the Constitution”) and it is widely referred to as a section 76 Bill.</w:t>
      </w:r>
    </w:p>
    <w:p w14:paraId="2B4C9FFE" w14:textId="77777777" w:rsidR="0006425F" w:rsidRPr="00625F0A" w:rsidRDefault="0006425F" w:rsidP="00D15A19">
      <w:pPr>
        <w:pStyle w:val="BodyTextIndent"/>
        <w:spacing w:line="276" w:lineRule="auto"/>
        <w:ind w:left="720"/>
        <w:rPr>
          <w:rFonts w:ascii="Arial" w:hAnsi="Arial" w:cs="Arial"/>
          <w:sz w:val="22"/>
          <w:szCs w:val="22"/>
        </w:rPr>
      </w:pPr>
    </w:p>
    <w:p w14:paraId="35A2ABEA" w14:textId="2963B35F" w:rsidR="00013231" w:rsidRPr="00625F0A" w:rsidRDefault="00013231" w:rsidP="00D15A19">
      <w:pPr>
        <w:pStyle w:val="BodyTextIndent"/>
        <w:spacing w:line="276" w:lineRule="auto"/>
        <w:rPr>
          <w:rFonts w:ascii="Arial" w:hAnsi="Arial" w:cs="Arial"/>
          <w:sz w:val="22"/>
          <w:szCs w:val="22"/>
        </w:rPr>
      </w:pPr>
      <w:r w:rsidRPr="00625F0A">
        <w:rPr>
          <w:rFonts w:ascii="Arial" w:hAnsi="Arial" w:cs="Arial"/>
          <w:sz w:val="22"/>
          <w:szCs w:val="22"/>
        </w:rPr>
        <w:t xml:space="preserve">The Bill is introduced annually to give effect to Section 214(1) of the Constitution and the Intergovernmental Fiscal Relations Act, 1990 (“IGFRA”). The Bill provides for the equitable </w:t>
      </w:r>
      <w:r w:rsidR="00DC3071" w:rsidRPr="00625F0A">
        <w:rPr>
          <w:rFonts w:ascii="Arial" w:hAnsi="Arial" w:cs="Arial"/>
          <w:sz w:val="22"/>
          <w:szCs w:val="22"/>
        </w:rPr>
        <w:t>d</w:t>
      </w:r>
      <w:r w:rsidRPr="00625F0A">
        <w:rPr>
          <w:rFonts w:ascii="Arial" w:hAnsi="Arial" w:cs="Arial"/>
          <w:sz w:val="22"/>
          <w:szCs w:val="22"/>
        </w:rPr>
        <w:t xml:space="preserve">ivision of </w:t>
      </w:r>
      <w:r w:rsidR="00DC3071" w:rsidRPr="00625F0A">
        <w:rPr>
          <w:rFonts w:ascii="Arial" w:hAnsi="Arial" w:cs="Arial"/>
          <w:sz w:val="22"/>
          <w:szCs w:val="22"/>
        </w:rPr>
        <w:t>r</w:t>
      </w:r>
      <w:r w:rsidRPr="00625F0A">
        <w:rPr>
          <w:rFonts w:ascii="Arial" w:hAnsi="Arial" w:cs="Arial"/>
          <w:sz w:val="22"/>
          <w:szCs w:val="22"/>
        </w:rPr>
        <w:t xml:space="preserve">evenue anticipated to be raised nationally among the </w:t>
      </w:r>
      <w:r w:rsidR="001D42C1">
        <w:rPr>
          <w:rFonts w:ascii="Arial" w:hAnsi="Arial" w:cs="Arial"/>
          <w:sz w:val="22"/>
          <w:szCs w:val="22"/>
        </w:rPr>
        <w:t>n</w:t>
      </w:r>
      <w:r w:rsidRPr="00625F0A">
        <w:rPr>
          <w:rFonts w:ascii="Arial" w:hAnsi="Arial" w:cs="Arial"/>
          <w:sz w:val="22"/>
          <w:szCs w:val="22"/>
        </w:rPr>
        <w:t xml:space="preserve">ational, </w:t>
      </w:r>
      <w:r w:rsidR="001D42C1">
        <w:rPr>
          <w:rFonts w:ascii="Arial" w:hAnsi="Arial" w:cs="Arial"/>
          <w:sz w:val="22"/>
          <w:szCs w:val="22"/>
        </w:rPr>
        <w:t>p</w:t>
      </w:r>
      <w:r w:rsidRPr="00625F0A">
        <w:rPr>
          <w:rFonts w:ascii="Arial" w:hAnsi="Arial" w:cs="Arial"/>
          <w:sz w:val="22"/>
          <w:szCs w:val="22"/>
        </w:rPr>
        <w:t xml:space="preserve">rovincial and </w:t>
      </w:r>
      <w:r w:rsidR="001D42C1">
        <w:rPr>
          <w:rFonts w:ascii="Arial" w:hAnsi="Arial" w:cs="Arial"/>
          <w:sz w:val="22"/>
          <w:szCs w:val="22"/>
        </w:rPr>
        <w:t>l</w:t>
      </w:r>
      <w:r w:rsidRPr="00625F0A">
        <w:rPr>
          <w:rFonts w:ascii="Arial" w:hAnsi="Arial" w:cs="Arial"/>
          <w:sz w:val="22"/>
          <w:szCs w:val="22"/>
        </w:rPr>
        <w:t xml:space="preserve">ocal spheres of </w:t>
      </w:r>
      <w:r w:rsidR="001D42C1">
        <w:rPr>
          <w:rFonts w:ascii="Arial" w:hAnsi="Arial" w:cs="Arial"/>
          <w:sz w:val="22"/>
          <w:szCs w:val="22"/>
        </w:rPr>
        <w:t>g</w:t>
      </w:r>
      <w:r w:rsidRPr="00625F0A">
        <w:rPr>
          <w:rFonts w:ascii="Arial" w:hAnsi="Arial" w:cs="Arial"/>
          <w:sz w:val="22"/>
          <w:szCs w:val="22"/>
        </w:rPr>
        <w:t>overnment for the 20</w:t>
      </w:r>
      <w:r w:rsidR="00DC3071" w:rsidRPr="00625F0A">
        <w:rPr>
          <w:rFonts w:ascii="Arial" w:hAnsi="Arial" w:cs="Arial"/>
          <w:sz w:val="22"/>
          <w:szCs w:val="22"/>
        </w:rPr>
        <w:t>20</w:t>
      </w:r>
      <w:r w:rsidR="009B5B53" w:rsidRPr="00625F0A">
        <w:rPr>
          <w:rFonts w:ascii="Arial" w:hAnsi="Arial" w:cs="Arial"/>
          <w:sz w:val="22"/>
          <w:szCs w:val="22"/>
        </w:rPr>
        <w:t>/2</w:t>
      </w:r>
      <w:r w:rsidR="00DC3071" w:rsidRPr="00625F0A">
        <w:rPr>
          <w:rFonts w:ascii="Arial" w:hAnsi="Arial" w:cs="Arial"/>
          <w:sz w:val="22"/>
          <w:szCs w:val="22"/>
        </w:rPr>
        <w:t>1</w:t>
      </w:r>
      <w:r w:rsidRPr="00625F0A">
        <w:rPr>
          <w:rFonts w:ascii="Arial" w:hAnsi="Arial" w:cs="Arial"/>
          <w:sz w:val="22"/>
          <w:szCs w:val="22"/>
        </w:rPr>
        <w:t xml:space="preserve"> financial year.  </w:t>
      </w:r>
    </w:p>
    <w:p w14:paraId="3CAA0547" w14:textId="77777777" w:rsidR="00013231" w:rsidRPr="00625F0A" w:rsidRDefault="00013231" w:rsidP="00D15A19">
      <w:pPr>
        <w:pStyle w:val="BodyTextIndent"/>
        <w:spacing w:line="276" w:lineRule="auto"/>
        <w:ind w:left="720"/>
        <w:rPr>
          <w:rFonts w:ascii="Arial" w:hAnsi="Arial" w:cs="Arial"/>
          <w:sz w:val="22"/>
          <w:szCs w:val="22"/>
        </w:rPr>
      </w:pPr>
    </w:p>
    <w:p w14:paraId="61994364" w14:textId="208AB4D7" w:rsidR="00013231" w:rsidRPr="00625F0A" w:rsidRDefault="00013231" w:rsidP="00D15A19">
      <w:pPr>
        <w:pStyle w:val="BodyTextIndent"/>
        <w:spacing w:line="276" w:lineRule="auto"/>
        <w:rPr>
          <w:rFonts w:ascii="Arial" w:hAnsi="Arial" w:cs="Arial"/>
          <w:sz w:val="22"/>
          <w:szCs w:val="22"/>
        </w:rPr>
      </w:pPr>
      <w:r w:rsidRPr="00625F0A">
        <w:rPr>
          <w:rFonts w:ascii="Arial" w:hAnsi="Arial" w:cs="Arial"/>
          <w:sz w:val="22"/>
          <w:szCs w:val="22"/>
        </w:rPr>
        <w:t>The total revenue raised and to be shared amongst the three spheres of government, amounts to</w:t>
      </w:r>
      <w:r w:rsidR="00A528A4" w:rsidRPr="00625F0A">
        <w:rPr>
          <w:rFonts w:ascii="Arial" w:hAnsi="Arial" w:cs="Arial"/>
          <w:sz w:val="22"/>
          <w:szCs w:val="22"/>
        </w:rPr>
        <w:t xml:space="preserve"> R1</w:t>
      </w:r>
      <w:r w:rsidR="00E95ACE">
        <w:rPr>
          <w:rFonts w:ascii="Arial" w:hAnsi="Arial" w:cs="Arial"/>
          <w:sz w:val="22"/>
          <w:szCs w:val="22"/>
        </w:rPr>
        <w:t xml:space="preserve"> 765 994 </w:t>
      </w:r>
      <w:r w:rsidR="00A528A4" w:rsidRPr="00625F0A">
        <w:rPr>
          <w:rFonts w:ascii="Arial" w:hAnsi="Arial" w:cs="Arial"/>
          <w:sz w:val="22"/>
          <w:szCs w:val="22"/>
        </w:rPr>
        <w:t>000</w:t>
      </w:r>
      <w:r w:rsidR="00974168" w:rsidRPr="00625F0A">
        <w:rPr>
          <w:rFonts w:ascii="Arial" w:hAnsi="Arial" w:cs="Arial"/>
          <w:sz w:val="22"/>
          <w:szCs w:val="22"/>
        </w:rPr>
        <w:t xml:space="preserve"> 000 </w:t>
      </w:r>
      <w:r w:rsidR="00A528A4" w:rsidRPr="00625F0A">
        <w:rPr>
          <w:rFonts w:ascii="Arial" w:hAnsi="Arial" w:cs="Arial"/>
          <w:sz w:val="22"/>
          <w:szCs w:val="22"/>
        </w:rPr>
        <w:t>in 20</w:t>
      </w:r>
      <w:r w:rsidR="00E95ACE">
        <w:rPr>
          <w:rFonts w:ascii="Arial" w:hAnsi="Arial" w:cs="Arial"/>
          <w:sz w:val="22"/>
          <w:szCs w:val="22"/>
        </w:rPr>
        <w:t>20</w:t>
      </w:r>
      <w:r w:rsidR="00265F54" w:rsidRPr="00625F0A">
        <w:rPr>
          <w:rFonts w:ascii="Arial" w:hAnsi="Arial" w:cs="Arial"/>
          <w:sz w:val="22"/>
          <w:szCs w:val="22"/>
        </w:rPr>
        <w:t>/2</w:t>
      </w:r>
      <w:r w:rsidR="00E95ACE">
        <w:rPr>
          <w:rFonts w:ascii="Arial" w:hAnsi="Arial" w:cs="Arial"/>
          <w:sz w:val="22"/>
          <w:szCs w:val="22"/>
        </w:rPr>
        <w:t>1</w:t>
      </w:r>
      <w:r w:rsidR="00A528A4" w:rsidRPr="00625F0A">
        <w:rPr>
          <w:rFonts w:ascii="Arial" w:hAnsi="Arial" w:cs="Arial"/>
          <w:sz w:val="22"/>
          <w:szCs w:val="22"/>
        </w:rPr>
        <w:t>, increasing to R1</w:t>
      </w:r>
      <w:r w:rsidR="00E95ACE">
        <w:rPr>
          <w:rFonts w:ascii="Arial" w:hAnsi="Arial" w:cs="Arial"/>
          <w:sz w:val="22"/>
          <w:szCs w:val="22"/>
        </w:rPr>
        <w:t> 850 668</w:t>
      </w:r>
      <w:r w:rsidR="00A528A4" w:rsidRPr="00625F0A">
        <w:rPr>
          <w:rFonts w:ascii="Arial" w:hAnsi="Arial" w:cs="Arial"/>
          <w:sz w:val="22"/>
          <w:szCs w:val="22"/>
        </w:rPr>
        <w:t xml:space="preserve"> 000</w:t>
      </w:r>
      <w:r w:rsidR="009F2619" w:rsidRPr="00625F0A">
        <w:rPr>
          <w:rFonts w:ascii="Arial" w:hAnsi="Arial" w:cs="Arial"/>
          <w:sz w:val="22"/>
          <w:szCs w:val="22"/>
        </w:rPr>
        <w:t xml:space="preserve"> 000 </w:t>
      </w:r>
      <w:r w:rsidR="00A528A4" w:rsidRPr="00625F0A">
        <w:rPr>
          <w:rFonts w:ascii="Arial" w:hAnsi="Arial" w:cs="Arial"/>
          <w:sz w:val="22"/>
          <w:szCs w:val="22"/>
        </w:rPr>
        <w:t>in 20</w:t>
      </w:r>
      <w:r w:rsidR="00265F54" w:rsidRPr="00625F0A">
        <w:rPr>
          <w:rFonts w:ascii="Arial" w:hAnsi="Arial" w:cs="Arial"/>
          <w:sz w:val="22"/>
          <w:szCs w:val="22"/>
        </w:rPr>
        <w:t>2</w:t>
      </w:r>
      <w:r w:rsidR="00E95ACE">
        <w:rPr>
          <w:rFonts w:ascii="Arial" w:hAnsi="Arial" w:cs="Arial"/>
          <w:sz w:val="22"/>
          <w:szCs w:val="22"/>
        </w:rPr>
        <w:t>1</w:t>
      </w:r>
      <w:r w:rsidR="00A528A4" w:rsidRPr="00625F0A">
        <w:rPr>
          <w:rFonts w:ascii="Arial" w:hAnsi="Arial" w:cs="Arial"/>
          <w:sz w:val="22"/>
          <w:szCs w:val="22"/>
        </w:rPr>
        <w:t>/</w:t>
      </w:r>
      <w:r w:rsidR="00265F54" w:rsidRPr="00625F0A">
        <w:rPr>
          <w:rFonts w:ascii="Arial" w:hAnsi="Arial" w:cs="Arial"/>
          <w:sz w:val="22"/>
          <w:szCs w:val="22"/>
        </w:rPr>
        <w:t>2</w:t>
      </w:r>
      <w:r w:rsidR="00E95ACE">
        <w:rPr>
          <w:rFonts w:ascii="Arial" w:hAnsi="Arial" w:cs="Arial"/>
          <w:sz w:val="22"/>
          <w:szCs w:val="22"/>
        </w:rPr>
        <w:t>2</w:t>
      </w:r>
      <w:r w:rsidR="00A528A4" w:rsidRPr="00625F0A">
        <w:rPr>
          <w:rFonts w:ascii="Arial" w:hAnsi="Arial" w:cs="Arial"/>
          <w:sz w:val="22"/>
          <w:szCs w:val="22"/>
        </w:rPr>
        <w:t xml:space="preserve"> an</w:t>
      </w:r>
      <w:r w:rsidR="000D03A7" w:rsidRPr="00625F0A">
        <w:rPr>
          <w:rFonts w:ascii="Arial" w:hAnsi="Arial" w:cs="Arial"/>
          <w:sz w:val="22"/>
          <w:szCs w:val="22"/>
        </w:rPr>
        <w:t>d R1 </w:t>
      </w:r>
      <w:r w:rsidR="00265F54" w:rsidRPr="00625F0A">
        <w:rPr>
          <w:rFonts w:ascii="Arial" w:hAnsi="Arial" w:cs="Arial"/>
          <w:sz w:val="22"/>
          <w:szCs w:val="22"/>
        </w:rPr>
        <w:t>9</w:t>
      </w:r>
      <w:r w:rsidR="00E95ACE">
        <w:rPr>
          <w:rFonts w:ascii="Arial" w:hAnsi="Arial" w:cs="Arial"/>
          <w:sz w:val="22"/>
          <w:szCs w:val="22"/>
        </w:rPr>
        <w:t>4</w:t>
      </w:r>
      <w:r w:rsidR="00265F54" w:rsidRPr="00625F0A">
        <w:rPr>
          <w:rFonts w:ascii="Arial" w:hAnsi="Arial" w:cs="Arial"/>
          <w:sz w:val="22"/>
          <w:szCs w:val="22"/>
        </w:rPr>
        <w:t xml:space="preserve">0 </w:t>
      </w:r>
      <w:r w:rsidR="00E95ACE">
        <w:rPr>
          <w:rFonts w:ascii="Arial" w:hAnsi="Arial" w:cs="Arial"/>
          <w:sz w:val="22"/>
          <w:szCs w:val="22"/>
        </w:rPr>
        <w:t>22</w:t>
      </w:r>
      <w:r w:rsidR="00265F54" w:rsidRPr="00625F0A">
        <w:rPr>
          <w:rFonts w:ascii="Arial" w:hAnsi="Arial" w:cs="Arial"/>
          <w:sz w:val="22"/>
          <w:szCs w:val="22"/>
        </w:rPr>
        <w:t>5 000</w:t>
      </w:r>
      <w:r w:rsidR="009F2619" w:rsidRPr="00625F0A">
        <w:rPr>
          <w:rFonts w:ascii="Arial" w:hAnsi="Arial" w:cs="Arial"/>
          <w:sz w:val="22"/>
          <w:szCs w:val="22"/>
        </w:rPr>
        <w:t xml:space="preserve"> 000 </w:t>
      </w:r>
      <w:r w:rsidR="00265F54" w:rsidRPr="00625F0A">
        <w:rPr>
          <w:rFonts w:ascii="Arial" w:hAnsi="Arial" w:cs="Arial"/>
          <w:sz w:val="22"/>
          <w:szCs w:val="22"/>
        </w:rPr>
        <w:t>in 202</w:t>
      </w:r>
      <w:r w:rsidR="00E95ACE">
        <w:rPr>
          <w:rFonts w:ascii="Arial" w:hAnsi="Arial" w:cs="Arial"/>
          <w:sz w:val="22"/>
          <w:szCs w:val="22"/>
        </w:rPr>
        <w:t>2</w:t>
      </w:r>
      <w:r w:rsidR="000D03A7" w:rsidRPr="00625F0A">
        <w:rPr>
          <w:rFonts w:ascii="Arial" w:hAnsi="Arial" w:cs="Arial"/>
          <w:sz w:val="22"/>
          <w:szCs w:val="22"/>
        </w:rPr>
        <w:t>/2</w:t>
      </w:r>
      <w:r w:rsidR="00E95ACE">
        <w:rPr>
          <w:rFonts w:ascii="Arial" w:hAnsi="Arial" w:cs="Arial"/>
          <w:sz w:val="22"/>
          <w:szCs w:val="22"/>
        </w:rPr>
        <w:t>3</w:t>
      </w:r>
      <w:r w:rsidR="00A528A4" w:rsidRPr="00625F0A">
        <w:rPr>
          <w:rFonts w:ascii="Arial" w:hAnsi="Arial" w:cs="Arial"/>
          <w:sz w:val="22"/>
          <w:szCs w:val="22"/>
        </w:rPr>
        <w:t xml:space="preserve"> financial years respectively. </w:t>
      </w:r>
      <w:r w:rsidRPr="00625F0A">
        <w:rPr>
          <w:rFonts w:ascii="Arial" w:hAnsi="Arial" w:cs="Arial"/>
          <w:sz w:val="22"/>
          <w:szCs w:val="22"/>
        </w:rPr>
        <w:t xml:space="preserve">It is </w:t>
      </w:r>
      <w:r w:rsidR="000D03A7" w:rsidRPr="00625F0A">
        <w:rPr>
          <w:rFonts w:ascii="Arial" w:hAnsi="Arial" w:cs="Arial"/>
          <w:sz w:val="22"/>
          <w:szCs w:val="22"/>
        </w:rPr>
        <w:t xml:space="preserve">worth noting </w:t>
      </w:r>
      <w:r w:rsidRPr="00625F0A">
        <w:rPr>
          <w:rFonts w:ascii="Arial" w:hAnsi="Arial" w:cs="Arial"/>
          <w:sz w:val="22"/>
          <w:szCs w:val="22"/>
        </w:rPr>
        <w:t xml:space="preserve">that Gauteng Province receives </w:t>
      </w:r>
      <w:r w:rsidR="000D03A7" w:rsidRPr="00625F0A">
        <w:rPr>
          <w:rFonts w:ascii="Arial" w:hAnsi="Arial" w:cs="Arial"/>
          <w:sz w:val="22"/>
          <w:szCs w:val="22"/>
        </w:rPr>
        <w:t>total national transfers of R1</w:t>
      </w:r>
      <w:r w:rsidR="00E95ACE">
        <w:rPr>
          <w:rFonts w:ascii="Arial" w:hAnsi="Arial" w:cs="Arial"/>
          <w:sz w:val="22"/>
          <w:szCs w:val="22"/>
        </w:rPr>
        <w:t>36 053</w:t>
      </w:r>
      <w:r w:rsidR="00265F54" w:rsidRPr="00625F0A">
        <w:rPr>
          <w:rFonts w:ascii="Arial" w:hAnsi="Arial" w:cs="Arial"/>
          <w:sz w:val="22"/>
          <w:szCs w:val="22"/>
        </w:rPr>
        <w:t xml:space="preserve"> 000 </w:t>
      </w:r>
      <w:r w:rsidR="000D03A7" w:rsidRPr="00625F0A">
        <w:rPr>
          <w:rFonts w:ascii="Arial" w:hAnsi="Arial" w:cs="Arial"/>
          <w:sz w:val="22"/>
          <w:szCs w:val="22"/>
        </w:rPr>
        <w:t xml:space="preserve">000 comprising of </w:t>
      </w:r>
      <w:r w:rsidRPr="00625F0A">
        <w:rPr>
          <w:rFonts w:ascii="Arial" w:hAnsi="Arial" w:cs="Arial"/>
          <w:sz w:val="22"/>
          <w:szCs w:val="22"/>
        </w:rPr>
        <w:t>R</w:t>
      </w:r>
      <w:r w:rsidR="00265F54" w:rsidRPr="00625F0A">
        <w:rPr>
          <w:rFonts w:ascii="Arial" w:hAnsi="Arial" w:cs="Arial"/>
          <w:sz w:val="22"/>
          <w:szCs w:val="22"/>
        </w:rPr>
        <w:t>1</w:t>
      </w:r>
      <w:r w:rsidR="00E95ACE">
        <w:rPr>
          <w:rFonts w:ascii="Arial" w:hAnsi="Arial" w:cs="Arial"/>
          <w:sz w:val="22"/>
          <w:szCs w:val="22"/>
        </w:rPr>
        <w:t>1</w:t>
      </w:r>
      <w:r w:rsidR="00265F54" w:rsidRPr="00625F0A">
        <w:rPr>
          <w:rFonts w:ascii="Arial" w:hAnsi="Arial" w:cs="Arial"/>
          <w:sz w:val="22"/>
          <w:szCs w:val="22"/>
        </w:rPr>
        <w:t xml:space="preserve">2 </w:t>
      </w:r>
      <w:r w:rsidR="00E95ACE">
        <w:rPr>
          <w:rFonts w:ascii="Arial" w:hAnsi="Arial" w:cs="Arial"/>
          <w:sz w:val="22"/>
          <w:szCs w:val="22"/>
        </w:rPr>
        <w:t>11</w:t>
      </w:r>
      <w:r w:rsidR="00265F54" w:rsidRPr="00625F0A">
        <w:rPr>
          <w:rFonts w:ascii="Arial" w:hAnsi="Arial" w:cs="Arial"/>
          <w:sz w:val="22"/>
          <w:szCs w:val="22"/>
        </w:rPr>
        <w:t>8 000</w:t>
      </w:r>
      <w:r w:rsidR="000D03A7" w:rsidRPr="00625F0A">
        <w:rPr>
          <w:rFonts w:ascii="Arial" w:hAnsi="Arial" w:cs="Arial"/>
          <w:sz w:val="22"/>
          <w:szCs w:val="22"/>
        </w:rPr>
        <w:t> 000 in</w:t>
      </w:r>
      <w:r w:rsidRPr="00625F0A">
        <w:rPr>
          <w:rFonts w:ascii="Arial" w:hAnsi="Arial" w:cs="Arial"/>
          <w:sz w:val="22"/>
          <w:szCs w:val="22"/>
        </w:rPr>
        <w:t xml:space="preserve"> equitable share </w:t>
      </w:r>
      <w:r w:rsidR="000D03A7" w:rsidRPr="00625F0A">
        <w:rPr>
          <w:rFonts w:ascii="Arial" w:hAnsi="Arial" w:cs="Arial"/>
          <w:sz w:val="22"/>
          <w:szCs w:val="22"/>
        </w:rPr>
        <w:t>and R2</w:t>
      </w:r>
      <w:r w:rsidR="00265F54" w:rsidRPr="00625F0A">
        <w:rPr>
          <w:rFonts w:ascii="Arial" w:hAnsi="Arial" w:cs="Arial"/>
          <w:sz w:val="22"/>
          <w:szCs w:val="22"/>
        </w:rPr>
        <w:t xml:space="preserve">3 </w:t>
      </w:r>
      <w:r w:rsidR="00E95ACE">
        <w:rPr>
          <w:rFonts w:ascii="Arial" w:hAnsi="Arial" w:cs="Arial"/>
          <w:sz w:val="22"/>
          <w:szCs w:val="22"/>
        </w:rPr>
        <w:t>935</w:t>
      </w:r>
      <w:r w:rsidR="00265F54" w:rsidRPr="00625F0A">
        <w:rPr>
          <w:rFonts w:ascii="Arial" w:hAnsi="Arial" w:cs="Arial"/>
          <w:sz w:val="22"/>
          <w:szCs w:val="22"/>
        </w:rPr>
        <w:t xml:space="preserve"> 000</w:t>
      </w:r>
      <w:r w:rsidR="000D03A7" w:rsidRPr="00625F0A">
        <w:rPr>
          <w:rFonts w:ascii="Arial" w:hAnsi="Arial" w:cs="Arial"/>
          <w:sz w:val="22"/>
          <w:szCs w:val="22"/>
        </w:rPr>
        <w:t xml:space="preserve"> 000 </w:t>
      </w:r>
      <w:r w:rsidRPr="00625F0A">
        <w:rPr>
          <w:rFonts w:ascii="Arial" w:hAnsi="Arial" w:cs="Arial"/>
          <w:sz w:val="22"/>
          <w:szCs w:val="22"/>
        </w:rPr>
        <w:t>in</w:t>
      </w:r>
      <w:r w:rsidR="000D03A7" w:rsidRPr="00625F0A">
        <w:rPr>
          <w:rFonts w:ascii="Arial" w:hAnsi="Arial" w:cs="Arial"/>
          <w:sz w:val="22"/>
          <w:szCs w:val="22"/>
        </w:rPr>
        <w:t xml:space="preserve"> conditional grants for</w:t>
      </w:r>
      <w:r w:rsidRPr="00625F0A">
        <w:rPr>
          <w:rFonts w:ascii="Arial" w:hAnsi="Arial" w:cs="Arial"/>
          <w:sz w:val="22"/>
          <w:szCs w:val="22"/>
        </w:rPr>
        <w:t xml:space="preserve"> the 20</w:t>
      </w:r>
      <w:r w:rsidR="00E95ACE">
        <w:rPr>
          <w:rFonts w:ascii="Arial" w:hAnsi="Arial" w:cs="Arial"/>
          <w:sz w:val="22"/>
          <w:szCs w:val="22"/>
        </w:rPr>
        <w:t>20</w:t>
      </w:r>
      <w:r w:rsidR="00265F54" w:rsidRPr="00625F0A">
        <w:rPr>
          <w:rFonts w:ascii="Arial" w:hAnsi="Arial" w:cs="Arial"/>
          <w:sz w:val="22"/>
          <w:szCs w:val="22"/>
        </w:rPr>
        <w:t>/2</w:t>
      </w:r>
      <w:r w:rsidR="00E95ACE">
        <w:rPr>
          <w:rFonts w:ascii="Arial" w:hAnsi="Arial" w:cs="Arial"/>
          <w:sz w:val="22"/>
          <w:szCs w:val="22"/>
        </w:rPr>
        <w:t>1</w:t>
      </w:r>
      <w:r w:rsidRPr="00625F0A">
        <w:rPr>
          <w:rFonts w:ascii="Arial" w:hAnsi="Arial" w:cs="Arial"/>
          <w:sz w:val="22"/>
          <w:szCs w:val="22"/>
        </w:rPr>
        <w:t xml:space="preserve"> financial year.</w:t>
      </w:r>
    </w:p>
    <w:p w14:paraId="4FBB41EC" w14:textId="77777777" w:rsidR="00DA69A7" w:rsidRPr="00625F0A" w:rsidRDefault="00DA69A7" w:rsidP="00D15A19">
      <w:pPr>
        <w:autoSpaceDE w:val="0"/>
        <w:autoSpaceDN w:val="0"/>
        <w:adjustRightInd w:val="0"/>
        <w:spacing w:line="276" w:lineRule="auto"/>
        <w:ind w:left="360"/>
        <w:jc w:val="both"/>
        <w:rPr>
          <w:rFonts w:ascii="Arial" w:hAnsi="Arial" w:cs="Arial"/>
          <w:sz w:val="22"/>
          <w:szCs w:val="22"/>
          <w:lang w:val="en-US"/>
        </w:rPr>
      </w:pPr>
    </w:p>
    <w:p w14:paraId="5DDCD878" w14:textId="77777777" w:rsidR="00FA05F6" w:rsidRPr="00625F0A" w:rsidRDefault="00FA05F6" w:rsidP="00D15A19">
      <w:pPr>
        <w:pStyle w:val="Heading1"/>
        <w:numPr>
          <w:ilvl w:val="1"/>
          <w:numId w:val="31"/>
        </w:numPr>
        <w:spacing w:before="0" w:after="0" w:line="276" w:lineRule="auto"/>
        <w:ind w:hanging="654"/>
        <w:jc w:val="both"/>
        <w:rPr>
          <w:sz w:val="22"/>
          <w:szCs w:val="22"/>
          <w:u w:val="single"/>
          <w:lang w:val="en-ZA"/>
        </w:rPr>
      </w:pPr>
      <w:r w:rsidRPr="00625F0A">
        <w:rPr>
          <w:sz w:val="22"/>
          <w:szCs w:val="22"/>
          <w:u w:val="single"/>
          <w:lang w:val="en-ZA"/>
        </w:rPr>
        <w:lastRenderedPageBreak/>
        <w:t>PROCESS FOLLOWED</w:t>
      </w:r>
    </w:p>
    <w:p w14:paraId="7C695659" w14:textId="77777777" w:rsidR="0038343C" w:rsidRPr="00625F0A" w:rsidRDefault="0038343C" w:rsidP="00D15A19">
      <w:pPr>
        <w:pStyle w:val="BodyTextIndent"/>
        <w:spacing w:line="276" w:lineRule="auto"/>
        <w:ind w:left="720"/>
        <w:rPr>
          <w:rFonts w:ascii="Arial" w:hAnsi="Arial" w:cs="Arial"/>
          <w:sz w:val="22"/>
          <w:szCs w:val="22"/>
          <w:u w:val="single"/>
        </w:rPr>
      </w:pPr>
    </w:p>
    <w:p w14:paraId="70227D9B" w14:textId="77777777" w:rsidR="006E7FE4" w:rsidRPr="00625F0A" w:rsidRDefault="006E7FE4" w:rsidP="00D15A19">
      <w:pPr>
        <w:pStyle w:val="BodyTextIndent"/>
        <w:spacing w:line="276" w:lineRule="auto"/>
        <w:rPr>
          <w:rFonts w:ascii="Arial" w:hAnsi="Arial" w:cs="Arial"/>
          <w:sz w:val="22"/>
          <w:szCs w:val="22"/>
        </w:rPr>
      </w:pPr>
      <w:r w:rsidRPr="00625F0A">
        <w:rPr>
          <w:rFonts w:ascii="Arial" w:hAnsi="Arial" w:cs="Arial"/>
          <w:sz w:val="22"/>
          <w:szCs w:val="22"/>
        </w:rPr>
        <w:t>The Speaker of the Gauteng Provincial Legislature formally referred the Bill to the</w:t>
      </w:r>
      <w:r w:rsidR="00A1189F" w:rsidRPr="00625F0A">
        <w:rPr>
          <w:rFonts w:ascii="Arial" w:hAnsi="Arial" w:cs="Arial"/>
          <w:sz w:val="22"/>
          <w:szCs w:val="22"/>
        </w:rPr>
        <w:t xml:space="preserve"> Finance Portfolio Committee (“Portfolio C</w:t>
      </w:r>
      <w:r w:rsidRPr="00625F0A">
        <w:rPr>
          <w:rFonts w:ascii="Arial" w:hAnsi="Arial" w:cs="Arial"/>
          <w:sz w:val="22"/>
          <w:szCs w:val="22"/>
        </w:rPr>
        <w:t>ommittee”) for consideration in terms of Gauteng Provincial Legislature Standing Rule 24</w:t>
      </w:r>
      <w:r w:rsidR="00295C0C" w:rsidRPr="00625F0A">
        <w:rPr>
          <w:rFonts w:ascii="Arial" w:hAnsi="Arial" w:cs="Arial"/>
          <w:sz w:val="22"/>
          <w:szCs w:val="22"/>
        </w:rPr>
        <w:t>5(1) read with 247</w:t>
      </w:r>
      <w:r w:rsidRPr="00625F0A">
        <w:rPr>
          <w:rFonts w:ascii="Arial" w:hAnsi="Arial" w:cs="Arial"/>
          <w:sz w:val="22"/>
          <w:szCs w:val="22"/>
        </w:rPr>
        <w:t xml:space="preserve"> (1) and 2</w:t>
      </w:r>
      <w:r w:rsidR="00295C0C" w:rsidRPr="00625F0A">
        <w:rPr>
          <w:rFonts w:ascii="Arial" w:hAnsi="Arial" w:cs="Arial"/>
          <w:sz w:val="22"/>
          <w:szCs w:val="22"/>
        </w:rPr>
        <w:t>48</w:t>
      </w:r>
      <w:r w:rsidRPr="00625F0A">
        <w:rPr>
          <w:rFonts w:ascii="Arial" w:hAnsi="Arial" w:cs="Arial"/>
          <w:sz w:val="22"/>
          <w:szCs w:val="22"/>
        </w:rPr>
        <w:t>.</w:t>
      </w:r>
    </w:p>
    <w:p w14:paraId="76398516" w14:textId="77777777" w:rsidR="006E7FE4" w:rsidRPr="00625F0A" w:rsidRDefault="006E7FE4" w:rsidP="00D15A19">
      <w:pPr>
        <w:pStyle w:val="BodyTextIndent"/>
        <w:spacing w:line="276" w:lineRule="auto"/>
        <w:ind w:left="0" w:firstLine="360"/>
        <w:rPr>
          <w:rFonts w:ascii="Arial" w:hAnsi="Arial" w:cs="Arial"/>
          <w:sz w:val="22"/>
          <w:szCs w:val="22"/>
        </w:rPr>
      </w:pPr>
    </w:p>
    <w:p w14:paraId="17B39ED9" w14:textId="5F2C0832" w:rsidR="000020DB" w:rsidRPr="00995EA9" w:rsidRDefault="006E7FE4" w:rsidP="00995EA9">
      <w:pPr>
        <w:spacing w:line="276" w:lineRule="auto"/>
        <w:ind w:left="431"/>
        <w:jc w:val="both"/>
        <w:rPr>
          <w:rFonts w:ascii="Arial" w:hAnsi="Arial" w:cs="Arial"/>
          <w:sz w:val="22"/>
          <w:szCs w:val="22"/>
        </w:rPr>
      </w:pPr>
      <w:r w:rsidRPr="00995EA9">
        <w:rPr>
          <w:rFonts w:ascii="Arial" w:hAnsi="Arial" w:cs="Arial"/>
          <w:sz w:val="22"/>
          <w:szCs w:val="22"/>
        </w:rPr>
        <w:t xml:space="preserve">On </w:t>
      </w:r>
      <w:r w:rsidR="00265F54" w:rsidRPr="00995EA9">
        <w:rPr>
          <w:rFonts w:ascii="Arial" w:hAnsi="Arial" w:cs="Arial"/>
          <w:sz w:val="22"/>
          <w:szCs w:val="22"/>
        </w:rPr>
        <w:t>Friday</w:t>
      </w:r>
      <w:r w:rsidRPr="00995EA9">
        <w:rPr>
          <w:rFonts w:ascii="Arial" w:hAnsi="Arial" w:cs="Arial"/>
          <w:sz w:val="22"/>
          <w:szCs w:val="22"/>
        </w:rPr>
        <w:t xml:space="preserve">, </w:t>
      </w:r>
      <w:r w:rsidR="00DC2EEA" w:rsidRPr="00995EA9">
        <w:rPr>
          <w:rFonts w:ascii="Arial" w:hAnsi="Arial" w:cs="Arial"/>
          <w:sz w:val="22"/>
          <w:szCs w:val="22"/>
        </w:rPr>
        <w:t>08</w:t>
      </w:r>
      <w:r w:rsidR="00265F54" w:rsidRPr="00995EA9">
        <w:rPr>
          <w:rFonts w:ascii="Arial" w:hAnsi="Arial" w:cs="Arial"/>
          <w:sz w:val="22"/>
          <w:szCs w:val="22"/>
        </w:rPr>
        <w:t xml:space="preserve"> Ma</w:t>
      </w:r>
      <w:r w:rsidR="00DC2EEA" w:rsidRPr="00995EA9">
        <w:rPr>
          <w:rFonts w:ascii="Arial" w:hAnsi="Arial" w:cs="Arial"/>
          <w:sz w:val="22"/>
          <w:szCs w:val="22"/>
        </w:rPr>
        <w:t>y</w:t>
      </w:r>
      <w:r w:rsidR="00265F54" w:rsidRPr="00995EA9">
        <w:rPr>
          <w:rFonts w:ascii="Arial" w:hAnsi="Arial" w:cs="Arial"/>
          <w:sz w:val="22"/>
          <w:szCs w:val="22"/>
        </w:rPr>
        <w:t xml:space="preserve"> </w:t>
      </w:r>
      <w:r w:rsidRPr="00995EA9">
        <w:rPr>
          <w:rFonts w:ascii="Arial" w:hAnsi="Arial" w:cs="Arial"/>
          <w:sz w:val="22"/>
          <w:szCs w:val="22"/>
        </w:rPr>
        <w:t>20</w:t>
      </w:r>
      <w:r w:rsidR="00DC2EEA" w:rsidRPr="00995EA9">
        <w:rPr>
          <w:rFonts w:ascii="Arial" w:hAnsi="Arial" w:cs="Arial"/>
          <w:sz w:val="22"/>
          <w:szCs w:val="22"/>
        </w:rPr>
        <w:t>20</w:t>
      </w:r>
      <w:r w:rsidRPr="00995EA9">
        <w:rPr>
          <w:rFonts w:ascii="Arial" w:hAnsi="Arial" w:cs="Arial"/>
          <w:sz w:val="22"/>
          <w:szCs w:val="22"/>
        </w:rPr>
        <w:t xml:space="preserve">, the Portfolio Committee received a </w:t>
      </w:r>
      <w:r w:rsidR="00DC2EEA" w:rsidRPr="00995EA9">
        <w:rPr>
          <w:rFonts w:ascii="Arial" w:hAnsi="Arial" w:cs="Arial"/>
          <w:sz w:val="22"/>
          <w:szCs w:val="22"/>
        </w:rPr>
        <w:t xml:space="preserve">briefing on the Bill from the NCOP permanent delegate, Hon. </w:t>
      </w:r>
      <w:r w:rsidR="00167AFB" w:rsidRPr="00995EA9">
        <w:rPr>
          <w:rFonts w:ascii="Arial" w:hAnsi="Arial" w:cs="Arial"/>
          <w:sz w:val="22"/>
          <w:szCs w:val="22"/>
        </w:rPr>
        <w:t xml:space="preserve">Dennis </w:t>
      </w:r>
      <w:r w:rsidR="00DC2EEA" w:rsidRPr="00995EA9">
        <w:rPr>
          <w:rFonts w:ascii="Arial" w:hAnsi="Arial" w:cs="Arial"/>
          <w:sz w:val="22"/>
          <w:szCs w:val="22"/>
        </w:rPr>
        <w:t>Ryder</w:t>
      </w:r>
      <w:r w:rsidR="0086265C" w:rsidRPr="00995EA9">
        <w:rPr>
          <w:rFonts w:ascii="Arial" w:hAnsi="Arial" w:cs="Arial"/>
          <w:sz w:val="22"/>
          <w:szCs w:val="22"/>
        </w:rPr>
        <w:t>,</w:t>
      </w:r>
      <w:r w:rsidR="00DC2EEA" w:rsidRPr="00995EA9">
        <w:rPr>
          <w:rFonts w:ascii="Arial" w:hAnsi="Arial" w:cs="Arial"/>
          <w:sz w:val="22"/>
          <w:szCs w:val="22"/>
        </w:rPr>
        <w:t xml:space="preserve"> supported by </w:t>
      </w:r>
      <w:r w:rsidRPr="00995EA9">
        <w:rPr>
          <w:rFonts w:ascii="Arial" w:hAnsi="Arial" w:cs="Arial"/>
          <w:sz w:val="22"/>
          <w:szCs w:val="22"/>
        </w:rPr>
        <w:t xml:space="preserve">officials from National Treasury. </w:t>
      </w:r>
    </w:p>
    <w:p w14:paraId="60E19610" w14:textId="77777777" w:rsidR="000020DB" w:rsidRPr="00995EA9" w:rsidRDefault="000020DB" w:rsidP="00995EA9">
      <w:pPr>
        <w:spacing w:line="276" w:lineRule="auto"/>
        <w:ind w:left="431"/>
        <w:jc w:val="both"/>
        <w:rPr>
          <w:rFonts w:ascii="Arial" w:hAnsi="Arial" w:cs="Arial"/>
          <w:sz w:val="22"/>
          <w:szCs w:val="22"/>
        </w:rPr>
      </w:pPr>
    </w:p>
    <w:p w14:paraId="4946DC99" w14:textId="5A69F1B4" w:rsidR="00115470" w:rsidRPr="00995EA9" w:rsidRDefault="00295C0C" w:rsidP="00995EA9">
      <w:pPr>
        <w:spacing w:line="276" w:lineRule="auto"/>
        <w:ind w:left="431"/>
        <w:jc w:val="both"/>
        <w:rPr>
          <w:rFonts w:ascii="Arial" w:hAnsi="Arial" w:cs="Arial"/>
          <w:bCs/>
          <w:sz w:val="22"/>
          <w:szCs w:val="22"/>
        </w:rPr>
      </w:pPr>
      <w:r w:rsidRPr="00995EA9">
        <w:rPr>
          <w:rFonts w:ascii="Arial" w:hAnsi="Arial" w:cs="Arial"/>
          <w:bCs/>
          <w:sz w:val="22"/>
          <w:szCs w:val="22"/>
        </w:rPr>
        <w:t>As required by the Standing Rules of the Gauteng Provincial Legislature</w:t>
      </w:r>
      <w:r w:rsidRPr="00995EA9">
        <w:rPr>
          <w:rFonts w:ascii="Arial" w:hAnsi="Arial" w:cs="Arial"/>
          <w:bCs/>
          <w:i/>
          <w:sz w:val="22"/>
          <w:szCs w:val="22"/>
        </w:rPr>
        <w:t xml:space="preserve">, </w:t>
      </w:r>
      <w:r w:rsidRPr="00995EA9">
        <w:rPr>
          <w:rFonts w:ascii="Arial" w:hAnsi="Arial" w:cs="Arial"/>
          <w:bCs/>
          <w:sz w:val="22"/>
          <w:szCs w:val="22"/>
        </w:rPr>
        <w:t xml:space="preserve">the Portfolio Committee invited </w:t>
      </w:r>
      <w:r w:rsidR="00DC2EEA" w:rsidRPr="00995EA9">
        <w:rPr>
          <w:rFonts w:ascii="Arial" w:hAnsi="Arial" w:cs="Arial"/>
          <w:bCs/>
          <w:sz w:val="22"/>
          <w:szCs w:val="22"/>
        </w:rPr>
        <w:t>public submission on the Bill</w:t>
      </w:r>
      <w:r w:rsidRPr="00995EA9">
        <w:rPr>
          <w:rFonts w:ascii="Arial" w:hAnsi="Arial" w:cs="Arial"/>
          <w:bCs/>
          <w:sz w:val="22"/>
          <w:szCs w:val="22"/>
        </w:rPr>
        <w:t xml:space="preserve">. </w:t>
      </w:r>
    </w:p>
    <w:p w14:paraId="3E89ABEE" w14:textId="77777777" w:rsidR="00265F54" w:rsidRPr="00995EA9" w:rsidRDefault="00265F54" w:rsidP="00995EA9">
      <w:pPr>
        <w:spacing w:line="276" w:lineRule="auto"/>
        <w:ind w:left="431"/>
        <w:jc w:val="both"/>
        <w:rPr>
          <w:rFonts w:ascii="Arial" w:hAnsi="Arial" w:cs="Arial"/>
          <w:sz w:val="22"/>
          <w:szCs w:val="22"/>
        </w:rPr>
      </w:pPr>
    </w:p>
    <w:p w14:paraId="429594D7" w14:textId="4DDB7A15" w:rsidR="006E7FE4" w:rsidRPr="00995EA9" w:rsidRDefault="006E7FE4" w:rsidP="00995EA9">
      <w:pPr>
        <w:spacing w:line="276" w:lineRule="auto"/>
        <w:ind w:left="360"/>
        <w:jc w:val="both"/>
        <w:rPr>
          <w:rFonts w:ascii="Arial" w:hAnsi="Arial" w:cs="Arial"/>
          <w:sz w:val="22"/>
          <w:szCs w:val="22"/>
        </w:rPr>
      </w:pPr>
      <w:r w:rsidRPr="00995EA9">
        <w:rPr>
          <w:rFonts w:ascii="Arial" w:hAnsi="Arial" w:cs="Arial"/>
          <w:sz w:val="22"/>
          <w:szCs w:val="22"/>
        </w:rPr>
        <w:t xml:space="preserve">On </w:t>
      </w:r>
      <w:r w:rsidR="00DC2EEA" w:rsidRPr="00995EA9">
        <w:rPr>
          <w:rFonts w:ascii="Arial" w:hAnsi="Arial" w:cs="Arial"/>
          <w:sz w:val="22"/>
          <w:szCs w:val="22"/>
        </w:rPr>
        <w:t>Fri</w:t>
      </w:r>
      <w:r w:rsidR="00265F54" w:rsidRPr="00995EA9">
        <w:rPr>
          <w:rFonts w:ascii="Arial" w:hAnsi="Arial" w:cs="Arial"/>
          <w:sz w:val="22"/>
          <w:szCs w:val="22"/>
        </w:rPr>
        <w:t>d</w:t>
      </w:r>
      <w:r w:rsidR="00115470" w:rsidRPr="00995EA9">
        <w:rPr>
          <w:rFonts w:ascii="Arial" w:hAnsi="Arial" w:cs="Arial"/>
          <w:sz w:val="22"/>
          <w:szCs w:val="22"/>
        </w:rPr>
        <w:t>ay</w:t>
      </w:r>
      <w:r w:rsidRPr="00995EA9">
        <w:rPr>
          <w:rFonts w:ascii="Arial" w:hAnsi="Arial" w:cs="Arial"/>
          <w:sz w:val="22"/>
          <w:szCs w:val="22"/>
        </w:rPr>
        <w:t xml:space="preserve">, </w:t>
      </w:r>
      <w:r w:rsidR="00265F54" w:rsidRPr="00995EA9">
        <w:rPr>
          <w:rFonts w:ascii="Arial" w:hAnsi="Arial" w:cs="Arial"/>
          <w:sz w:val="22"/>
          <w:szCs w:val="22"/>
        </w:rPr>
        <w:t>1</w:t>
      </w:r>
      <w:r w:rsidR="00DC2EEA" w:rsidRPr="00995EA9">
        <w:rPr>
          <w:rFonts w:ascii="Arial" w:hAnsi="Arial" w:cs="Arial"/>
          <w:sz w:val="22"/>
          <w:szCs w:val="22"/>
        </w:rPr>
        <w:t>5</w:t>
      </w:r>
      <w:r w:rsidR="00265F54" w:rsidRPr="00995EA9">
        <w:rPr>
          <w:rFonts w:ascii="Arial" w:hAnsi="Arial" w:cs="Arial"/>
          <w:sz w:val="22"/>
          <w:szCs w:val="22"/>
        </w:rPr>
        <w:t xml:space="preserve"> Ma</w:t>
      </w:r>
      <w:r w:rsidR="00DC2EEA" w:rsidRPr="00995EA9">
        <w:rPr>
          <w:rFonts w:ascii="Arial" w:hAnsi="Arial" w:cs="Arial"/>
          <w:sz w:val="22"/>
          <w:szCs w:val="22"/>
        </w:rPr>
        <w:t>y</w:t>
      </w:r>
      <w:r w:rsidR="00265F54" w:rsidRPr="00995EA9">
        <w:rPr>
          <w:rFonts w:ascii="Arial" w:hAnsi="Arial" w:cs="Arial"/>
          <w:sz w:val="22"/>
          <w:szCs w:val="22"/>
        </w:rPr>
        <w:t xml:space="preserve"> </w:t>
      </w:r>
      <w:r w:rsidRPr="00995EA9">
        <w:rPr>
          <w:rFonts w:ascii="Arial" w:hAnsi="Arial" w:cs="Arial"/>
          <w:sz w:val="22"/>
          <w:szCs w:val="22"/>
        </w:rPr>
        <w:t>20</w:t>
      </w:r>
      <w:r w:rsidR="00DC2EEA" w:rsidRPr="00995EA9">
        <w:rPr>
          <w:rFonts w:ascii="Arial" w:hAnsi="Arial" w:cs="Arial"/>
          <w:sz w:val="22"/>
          <w:szCs w:val="22"/>
        </w:rPr>
        <w:t>20</w:t>
      </w:r>
      <w:r w:rsidRPr="00995EA9">
        <w:rPr>
          <w:rFonts w:ascii="Arial" w:hAnsi="Arial" w:cs="Arial"/>
          <w:sz w:val="22"/>
          <w:szCs w:val="22"/>
        </w:rPr>
        <w:t xml:space="preserve">, the Committee deliberated on the Bill. After deliberations, the Committee adopted its report on the Bill to be tabled at the NCOP plenary. </w:t>
      </w:r>
    </w:p>
    <w:p w14:paraId="77E747CD" w14:textId="7EBA6AF2" w:rsidR="001133D5" w:rsidRPr="00995EA9" w:rsidRDefault="001133D5" w:rsidP="00995EA9">
      <w:pPr>
        <w:spacing w:line="276" w:lineRule="auto"/>
        <w:ind w:left="360"/>
        <w:jc w:val="both"/>
        <w:rPr>
          <w:rFonts w:ascii="Arial" w:hAnsi="Arial" w:cs="Arial"/>
          <w:sz w:val="22"/>
          <w:szCs w:val="22"/>
        </w:rPr>
      </w:pPr>
    </w:p>
    <w:p w14:paraId="01CE08BD" w14:textId="40591209" w:rsidR="001133D5" w:rsidRPr="004F67A3" w:rsidRDefault="001133D5" w:rsidP="00995EA9">
      <w:pPr>
        <w:spacing w:line="276" w:lineRule="auto"/>
        <w:ind w:left="360"/>
        <w:jc w:val="both"/>
        <w:rPr>
          <w:rFonts w:ascii="Arial" w:hAnsi="Arial" w:cs="Arial"/>
          <w:sz w:val="22"/>
          <w:szCs w:val="22"/>
        </w:rPr>
      </w:pPr>
      <w:r w:rsidRPr="004F67A3">
        <w:rPr>
          <w:rFonts w:ascii="Arial" w:hAnsi="Arial" w:cs="Arial"/>
          <w:sz w:val="22"/>
          <w:szCs w:val="22"/>
        </w:rPr>
        <w:t>On Wednesday, 20 May 2020, the Portfolio Committee received minutes from the Select Committee of Appropriations on the Negotiating Mandate, which confirmed that there were no amendments to the Bill and all provinces voted in favour of the Bill except</w:t>
      </w:r>
      <w:r w:rsidR="00995EA9" w:rsidRPr="004F67A3">
        <w:rPr>
          <w:rFonts w:ascii="Arial" w:hAnsi="Arial" w:cs="Arial"/>
          <w:sz w:val="22"/>
          <w:szCs w:val="22"/>
        </w:rPr>
        <w:t xml:space="preserve"> the</w:t>
      </w:r>
      <w:r w:rsidRPr="004F67A3">
        <w:rPr>
          <w:rFonts w:ascii="Arial" w:hAnsi="Arial" w:cs="Arial"/>
          <w:sz w:val="22"/>
          <w:szCs w:val="22"/>
        </w:rPr>
        <w:t xml:space="preserve"> Western Cape</w:t>
      </w:r>
      <w:r w:rsidR="00995EA9" w:rsidRPr="004F67A3">
        <w:rPr>
          <w:rFonts w:ascii="Arial" w:hAnsi="Arial" w:cs="Arial"/>
          <w:sz w:val="22"/>
          <w:szCs w:val="22"/>
        </w:rPr>
        <w:t xml:space="preserve"> province</w:t>
      </w:r>
      <w:r w:rsidRPr="004F67A3">
        <w:rPr>
          <w:rFonts w:ascii="Arial" w:hAnsi="Arial" w:cs="Arial"/>
          <w:sz w:val="22"/>
          <w:szCs w:val="22"/>
        </w:rPr>
        <w:t xml:space="preserve">, which abstained. </w:t>
      </w:r>
      <w:r w:rsidR="00995EA9" w:rsidRPr="004F67A3">
        <w:rPr>
          <w:rFonts w:ascii="Arial" w:hAnsi="Arial" w:cs="Arial"/>
          <w:sz w:val="22"/>
          <w:szCs w:val="22"/>
        </w:rPr>
        <w:t xml:space="preserve">On Friday, 22 May 2020, </w:t>
      </w:r>
      <w:r w:rsidRPr="004F67A3">
        <w:rPr>
          <w:rFonts w:ascii="Arial" w:hAnsi="Arial" w:cs="Arial"/>
          <w:sz w:val="22"/>
          <w:szCs w:val="22"/>
        </w:rPr>
        <w:t>the Portfolio Committee deliberated and adopted a report on the Final Mandate o</w:t>
      </w:r>
      <w:r w:rsidR="00995EA9" w:rsidRPr="004F67A3">
        <w:rPr>
          <w:rFonts w:ascii="Arial" w:hAnsi="Arial" w:cs="Arial"/>
          <w:sz w:val="22"/>
          <w:szCs w:val="22"/>
        </w:rPr>
        <w:t>f</w:t>
      </w:r>
      <w:r w:rsidRPr="004F67A3">
        <w:rPr>
          <w:rFonts w:ascii="Arial" w:hAnsi="Arial" w:cs="Arial"/>
          <w:sz w:val="22"/>
          <w:szCs w:val="22"/>
        </w:rPr>
        <w:t xml:space="preserve"> the Division of Revenue Bill. </w:t>
      </w:r>
    </w:p>
    <w:p w14:paraId="50A5C045" w14:textId="0B5CBF6E" w:rsidR="001133D5" w:rsidRPr="00995EA9" w:rsidRDefault="001133D5" w:rsidP="00995EA9">
      <w:pPr>
        <w:spacing w:line="276" w:lineRule="auto"/>
        <w:ind w:left="360"/>
        <w:jc w:val="both"/>
        <w:rPr>
          <w:rFonts w:ascii="Arial" w:hAnsi="Arial" w:cs="Arial"/>
          <w:sz w:val="22"/>
          <w:szCs w:val="22"/>
        </w:rPr>
      </w:pPr>
    </w:p>
    <w:p w14:paraId="4B3EC86F" w14:textId="489F436D" w:rsidR="00B24538" w:rsidRPr="00625F0A" w:rsidRDefault="00B24538" w:rsidP="00D15A19">
      <w:pPr>
        <w:pStyle w:val="BodyTextIndent2"/>
        <w:numPr>
          <w:ilvl w:val="1"/>
          <w:numId w:val="31"/>
        </w:numPr>
        <w:spacing w:line="276" w:lineRule="auto"/>
        <w:ind w:hanging="796"/>
        <w:rPr>
          <w:b/>
          <w:sz w:val="22"/>
          <w:szCs w:val="22"/>
          <w:u w:val="single"/>
        </w:rPr>
      </w:pPr>
      <w:bookmarkStart w:id="0" w:name="OLE_LINK3"/>
      <w:bookmarkStart w:id="1" w:name="OLE_LINK4"/>
      <w:r w:rsidRPr="00625F0A">
        <w:rPr>
          <w:b/>
          <w:sz w:val="22"/>
          <w:szCs w:val="22"/>
          <w:u w:val="single"/>
        </w:rPr>
        <w:t>PRINCIPLE AND DETAIL OF THE BILL</w:t>
      </w:r>
      <w:r w:rsidR="00CB6008" w:rsidRPr="00625F0A">
        <w:rPr>
          <w:b/>
          <w:sz w:val="22"/>
          <w:szCs w:val="22"/>
          <w:u w:val="single"/>
        </w:rPr>
        <w:t xml:space="preserve"> AND THE GOVERNMENT’S POLICY PRIORITIES FOR THE 20</w:t>
      </w:r>
      <w:r w:rsidR="000E3951">
        <w:rPr>
          <w:b/>
          <w:sz w:val="22"/>
          <w:szCs w:val="22"/>
          <w:u w:val="single"/>
        </w:rPr>
        <w:t>20</w:t>
      </w:r>
      <w:r w:rsidR="00DD6E7E" w:rsidRPr="00625F0A">
        <w:rPr>
          <w:b/>
          <w:sz w:val="22"/>
          <w:szCs w:val="22"/>
          <w:u w:val="single"/>
        </w:rPr>
        <w:t>/2</w:t>
      </w:r>
      <w:r w:rsidR="000E3951">
        <w:rPr>
          <w:b/>
          <w:sz w:val="22"/>
          <w:szCs w:val="22"/>
          <w:u w:val="single"/>
        </w:rPr>
        <w:t>1</w:t>
      </w:r>
      <w:r w:rsidR="00CB6008" w:rsidRPr="00625F0A">
        <w:rPr>
          <w:b/>
          <w:sz w:val="22"/>
          <w:szCs w:val="22"/>
          <w:u w:val="single"/>
        </w:rPr>
        <w:t xml:space="preserve"> MTEF</w:t>
      </w:r>
    </w:p>
    <w:p w14:paraId="429C1CF8" w14:textId="77777777" w:rsidR="00B24538" w:rsidRPr="00625F0A" w:rsidRDefault="00B24538" w:rsidP="00D15A19">
      <w:pPr>
        <w:pStyle w:val="BodyTextIndent2"/>
        <w:spacing w:line="276" w:lineRule="auto"/>
        <w:ind w:left="360" w:firstLine="360"/>
        <w:rPr>
          <w:sz w:val="22"/>
          <w:szCs w:val="22"/>
          <w:u w:val="single"/>
        </w:rPr>
      </w:pPr>
    </w:p>
    <w:p w14:paraId="7A103D57" w14:textId="4AEFB56D" w:rsidR="006725BC" w:rsidRPr="00625F0A" w:rsidRDefault="006725BC" w:rsidP="00D15A19">
      <w:pPr>
        <w:autoSpaceDE w:val="0"/>
        <w:autoSpaceDN w:val="0"/>
        <w:adjustRightInd w:val="0"/>
        <w:spacing w:line="276" w:lineRule="auto"/>
        <w:ind w:left="360"/>
        <w:jc w:val="both"/>
        <w:rPr>
          <w:rFonts w:ascii="Arial" w:hAnsi="Arial" w:cs="Arial"/>
          <w:bCs/>
          <w:sz w:val="22"/>
          <w:szCs w:val="22"/>
          <w:lang w:val="en-US"/>
        </w:rPr>
      </w:pPr>
      <w:r w:rsidRPr="00625F0A">
        <w:rPr>
          <w:rFonts w:ascii="Arial" w:hAnsi="Arial" w:cs="Arial"/>
          <w:bCs/>
          <w:sz w:val="22"/>
          <w:szCs w:val="22"/>
          <w:lang w:val="en-US"/>
        </w:rPr>
        <w:t>To provide for the equitable division of revenue raised nationally among the national, provincial and local spheres of government for the 20</w:t>
      </w:r>
      <w:r w:rsidR="00DB699D" w:rsidRPr="00625F0A">
        <w:rPr>
          <w:rFonts w:ascii="Arial" w:hAnsi="Arial" w:cs="Arial"/>
          <w:bCs/>
          <w:sz w:val="22"/>
          <w:szCs w:val="22"/>
          <w:lang w:val="en-US"/>
        </w:rPr>
        <w:t>20</w:t>
      </w:r>
      <w:r w:rsidRPr="00625F0A">
        <w:rPr>
          <w:rFonts w:ascii="Arial" w:hAnsi="Arial" w:cs="Arial"/>
          <w:bCs/>
          <w:sz w:val="22"/>
          <w:szCs w:val="22"/>
          <w:lang w:val="en-US"/>
        </w:rPr>
        <w:t>/</w:t>
      </w:r>
      <w:r w:rsidR="00265F54" w:rsidRPr="00625F0A">
        <w:rPr>
          <w:rFonts w:ascii="Arial" w:hAnsi="Arial" w:cs="Arial"/>
          <w:bCs/>
          <w:sz w:val="22"/>
          <w:szCs w:val="22"/>
          <w:lang w:val="en-US"/>
        </w:rPr>
        <w:t>2</w:t>
      </w:r>
      <w:r w:rsidR="00DB699D" w:rsidRPr="00625F0A">
        <w:rPr>
          <w:rFonts w:ascii="Arial" w:hAnsi="Arial" w:cs="Arial"/>
          <w:bCs/>
          <w:sz w:val="22"/>
          <w:szCs w:val="22"/>
          <w:lang w:val="en-US"/>
        </w:rPr>
        <w:t>1</w:t>
      </w:r>
      <w:r w:rsidRPr="00625F0A">
        <w:rPr>
          <w:rFonts w:ascii="Arial" w:hAnsi="Arial" w:cs="Arial"/>
          <w:bCs/>
          <w:sz w:val="22"/>
          <w:szCs w:val="22"/>
          <w:lang w:val="en-US"/>
        </w:rPr>
        <w:t xml:space="preserve"> financial year</w:t>
      </w:r>
      <w:r w:rsidR="0063350A" w:rsidRPr="00625F0A">
        <w:rPr>
          <w:rFonts w:ascii="Arial" w:hAnsi="Arial" w:cs="Arial"/>
          <w:bCs/>
          <w:sz w:val="22"/>
          <w:szCs w:val="22"/>
          <w:lang w:val="en-US"/>
        </w:rPr>
        <w:t>;</w:t>
      </w:r>
      <w:r w:rsidRPr="00625F0A">
        <w:rPr>
          <w:rFonts w:ascii="Arial" w:hAnsi="Arial" w:cs="Arial"/>
          <w:bCs/>
          <w:sz w:val="22"/>
          <w:szCs w:val="22"/>
          <w:lang w:val="en-US"/>
        </w:rPr>
        <w:t xml:space="preserve"> the determination of each province’s equitable share</w:t>
      </w:r>
      <w:r w:rsidR="006A3D94" w:rsidRPr="00625F0A">
        <w:rPr>
          <w:rFonts w:ascii="Arial" w:hAnsi="Arial" w:cs="Arial"/>
          <w:bCs/>
          <w:sz w:val="22"/>
          <w:szCs w:val="22"/>
          <w:lang w:val="en-US"/>
        </w:rPr>
        <w:t>;</w:t>
      </w:r>
      <w:r w:rsidRPr="00625F0A">
        <w:rPr>
          <w:rFonts w:ascii="Arial" w:hAnsi="Arial" w:cs="Arial"/>
          <w:bCs/>
          <w:sz w:val="22"/>
          <w:szCs w:val="22"/>
          <w:lang w:val="en-US"/>
        </w:rPr>
        <w:t xml:space="preserve"> allocations to provinces, local government and municipalities from national government’s equitable share</w:t>
      </w:r>
      <w:r w:rsidR="0063350A" w:rsidRPr="00625F0A">
        <w:rPr>
          <w:rFonts w:ascii="Arial" w:hAnsi="Arial" w:cs="Arial"/>
          <w:bCs/>
          <w:sz w:val="22"/>
          <w:szCs w:val="22"/>
          <w:lang w:val="en-US"/>
        </w:rPr>
        <w:t>;</w:t>
      </w:r>
      <w:r w:rsidRPr="00625F0A">
        <w:rPr>
          <w:rFonts w:ascii="Arial" w:hAnsi="Arial" w:cs="Arial"/>
          <w:bCs/>
          <w:sz w:val="22"/>
          <w:szCs w:val="22"/>
          <w:lang w:val="en-US"/>
        </w:rPr>
        <w:t xml:space="preserve"> the responsibilities of all three spheres pursuant to such division and allocations; and to provide for matters connected therewith.</w:t>
      </w:r>
    </w:p>
    <w:p w14:paraId="5C0E3E58" w14:textId="1C8E55C2" w:rsidR="00765C10" w:rsidRPr="00625F0A" w:rsidRDefault="00B66078" w:rsidP="00D15A19">
      <w:pPr>
        <w:pStyle w:val="Heading1"/>
        <w:spacing w:after="0" w:line="276" w:lineRule="auto"/>
        <w:ind w:left="360"/>
        <w:jc w:val="both"/>
        <w:rPr>
          <w:sz w:val="22"/>
          <w:szCs w:val="22"/>
        </w:rPr>
      </w:pPr>
      <w:r w:rsidRPr="00625F0A">
        <w:rPr>
          <w:b w:val="0"/>
          <w:sz w:val="22"/>
          <w:szCs w:val="22"/>
        </w:rPr>
        <w:t>The allocations to the three sp</w:t>
      </w:r>
      <w:r w:rsidR="00295F07" w:rsidRPr="00625F0A">
        <w:rPr>
          <w:b w:val="0"/>
          <w:sz w:val="22"/>
          <w:szCs w:val="22"/>
        </w:rPr>
        <w:t>heres of government for the 20</w:t>
      </w:r>
      <w:r w:rsidR="004D5F33" w:rsidRPr="00625F0A">
        <w:rPr>
          <w:b w:val="0"/>
          <w:sz w:val="22"/>
          <w:szCs w:val="22"/>
        </w:rPr>
        <w:t>20</w:t>
      </w:r>
      <w:r w:rsidRPr="00625F0A">
        <w:rPr>
          <w:b w:val="0"/>
          <w:sz w:val="22"/>
          <w:szCs w:val="22"/>
        </w:rPr>
        <w:t>/</w:t>
      </w:r>
      <w:r w:rsidR="00265F54" w:rsidRPr="00625F0A">
        <w:rPr>
          <w:b w:val="0"/>
          <w:sz w:val="22"/>
          <w:szCs w:val="22"/>
        </w:rPr>
        <w:t>2</w:t>
      </w:r>
      <w:r w:rsidR="004D5F33" w:rsidRPr="00625F0A">
        <w:rPr>
          <w:b w:val="0"/>
          <w:sz w:val="22"/>
          <w:szCs w:val="22"/>
        </w:rPr>
        <w:t>1</w:t>
      </w:r>
      <w:r w:rsidRPr="00625F0A">
        <w:rPr>
          <w:b w:val="0"/>
          <w:sz w:val="22"/>
          <w:szCs w:val="22"/>
        </w:rPr>
        <w:t xml:space="preserve"> financial year and M</w:t>
      </w:r>
      <w:r w:rsidR="00295F07" w:rsidRPr="00625F0A">
        <w:rPr>
          <w:b w:val="0"/>
          <w:sz w:val="22"/>
          <w:szCs w:val="22"/>
        </w:rPr>
        <w:t>TEF</w:t>
      </w:r>
      <w:r w:rsidRPr="00625F0A">
        <w:rPr>
          <w:b w:val="0"/>
          <w:sz w:val="22"/>
          <w:szCs w:val="22"/>
        </w:rPr>
        <w:t xml:space="preserve"> are informed by </w:t>
      </w:r>
      <w:r w:rsidR="00C14DA3" w:rsidRPr="00625F0A">
        <w:rPr>
          <w:b w:val="0"/>
          <w:sz w:val="22"/>
          <w:szCs w:val="22"/>
        </w:rPr>
        <w:t>national interest encapsulated in</w:t>
      </w:r>
      <w:r w:rsidRPr="00625F0A">
        <w:rPr>
          <w:b w:val="0"/>
          <w:sz w:val="22"/>
          <w:szCs w:val="22"/>
        </w:rPr>
        <w:t xml:space="preserve"> </w:t>
      </w:r>
      <w:r w:rsidR="000C5ED2" w:rsidRPr="00625F0A">
        <w:rPr>
          <w:b w:val="0"/>
          <w:sz w:val="22"/>
          <w:szCs w:val="22"/>
        </w:rPr>
        <w:t>government priorities</w:t>
      </w:r>
      <w:r w:rsidR="00C14DA3" w:rsidRPr="00625F0A">
        <w:rPr>
          <w:b w:val="0"/>
          <w:sz w:val="22"/>
          <w:szCs w:val="22"/>
        </w:rPr>
        <w:t xml:space="preserve"> that benefit the </w:t>
      </w:r>
      <w:r w:rsidR="00625F0A" w:rsidRPr="00625F0A">
        <w:rPr>
          <w:b w:val="0"/>
          <w:sz w:val="22"/>
          <w:szCs w:val="22"/>
        </w:rPr>
        <w:t>nation</w:t>
      </w:r>
      <w:r w:rsidR="00C14DA3" w:rsidRPr="00625F0A">
        <w:rPr>
          <w:b w:val="0"/>
          <w:sz w:val="22"/>
          <w:szCs w:val="22"/>
        </w:rPr>
        <w:t>. These priorities are</w:t>
      </w:r>
      <w:r w:rsidR="000C5ED2" w:rsidRPr="00625F0A">
        <w:rPr>
          <w:b w:val="0"/>
          <w:sz w:val="22"/>
          <w:szCs w:val="22"/>
        </w:rPr>
        <w:t xml:space="preserve"> </w:t>
      </w:r>
      <w:r w:rsidR="00295F07" w:rsidRPr="00625F0A">
        <w:rPr>
          <w:b w:val="0"/>
          <w:sz w:val="22"/>
          <w:szCs w:val="22"/>
        </w:rPr>
        <w:t xml:space="preserve">outlined in the </w:t>
      </w:r>
      <w:r w:rsidR="00B029B9" w:rsidRPr="00625F0A">
        <w:rPr>
          <w:b w:val="0"/>
          <w:sz w:val="22"/>
          <w:szCs w:val="22"/>
        </w:rPr>
        <w:t xml:space="preserve">National Development Plan, which sets out the countries long-term development trajectory. Complemented by the strategic integrated projects overseen by the Presidential Infrastructure Coordinating Council and the </w:t>
      </w:r>
      <w:r w:rsidR="004D5F33" w:rsidRPr="00625F0A">
        <w:rPr>
          <w:b w:val="0"/>
          <w:sz w:val="22"/>
          <w:szCs w:val="22"/>
        </w:rPr>
        <w:t>7</w:t>
      </w:r>
      <w:r w:rsidR="00B029B9" w:rsidRPr="00625F0A">
        <w:rPr>
          <w:b w:val="0"/>
          <w:sz w:val="22"/>
          <w:szCs w:val="22"/>
        </w:rPr>
        <w:t xml:space="preserve"> priority outcomes adopted by Cabinet in 201</w:t>
      </w:r>
      <w:r w:rsidR="004D5F33" w:rsidRPr="00625F0A">
        <w:rPr>
          <w:b w:val="0"/>
          <w:sz w:val="22"/>
          <w:szCs w:val="22"/>
        </w:rPr>
        <w:t>9</w:t>
      </w:r>
      <w:r w:rsidR="00B029B9" w:rsidRPr="00625F0A">
        <w:rPr>
          <w:b w:val="0"/>
          <w:sz w:val="22"/>
          <w:szCs w:val="22"/>
        </w:rPr>
        <w:t>-20</w:t>
      </w:r>
      <w:r w:rsidR="004D5F33" w:rsidRPr="00625F0A">
        <w:rPr>
          <w:b w:val="0"/>
          <w:sz w:val="22"/>
          <w:szCs w:val="22"/>
        </w:rPr>
        <w:t>24</w:t>
      </w:r>
      <w:r w:rsidR="00B029B9" w:rsidRPr="00625F0A">
        <w:rPr>
          <w:b w:val="0"/>
          <w:sz w:val="22"/>
          <w:szCs w:val="22"/>
        </w:rPr>
        <w:t xml:space="preserve"> </w:t>
      </w:r>
      <w:r w:rsidR="000C5ED2" w:rsidRPr="00625F0A">
        <w:rPr>
          <w:b w:val="0"/>
          <w:sz w:val="22"/>
          <w:szCs w:val="22"/>
        </w:rPr>
        <w:t>M</w:t>
      </w:r>
      <w:r w:rsidR="00295F07" w:rsidRPr="00625F0A">
        <w:rPr>
          <w:b w:val="0"/>
          <w:sz w:val="22"/>
          <w:szCs w:val="22"/>
        </w:rPr>
        <w:t xml:space="preserve">edium </w:t>
      </w:r>
      <w:r w:rsidR="000C5ED2" w:rsidRPr="00625F0A">
        <w:rPr>
          <w:b w:val="0"/>
          <w:sz w:val="22"/>
          <w:szCs w:val="22"/>
        </w:rPr>
        <w:t>Term Strategic Framework (MTSF)</w:t>
      </w:r>
      <w:r w:rsidR="00B029B9" w:rsidRPr="00625F0A">
        <w:rPr>
          <w:b w:val="0"/>
          <w:sz w:val="22"/>
          <w:szCs w:val="22"/>
        </w:rPr>
        <w:t>.</w:t>
      </w:r>
    </w:p>
    <w:p w14:paraId="297AAD08" w14:textId="77777777" w:rsidR="00765C10" w:rsidRPr="00625F0A" w:rsidRDefault="00765C10" w:rsidP="00D15A19">
      <w:pPr>
        <w:pStyle w:val="ListParagraph"/>
        <w:autoSpaceDE w:val="0"/>
        <w:autoSpaceDN w:val="0"/>
        <w:adjustRightInd w:val="0"/>
        <w:spacing w:line="276" w:lineRule="auto"/>
        <w:ind w:left="1080"/>
        <w:jc w:val="both"/>
        <w:rPr>
          <w:rFonts w:ascii="Arial" w:hAnsi="Arial" w:cs="Arial"/>
          <w:sz w:val="22"/>
          <w:szCs w:val="22"/>
        </w:rPr>
      </w:pPr>
    </w:p>
    <w:p w14:paraId="624CD76F" w14:textId="5B56F8AE" w:rsidR="00B66078" w:rsidRPr="00625F0A" w:rsidRDefault="00B66078" w:rsidP="00D15A19">
      <w:pPr>
        <w:autoSpaceDE w:val="0"/>
        <w:autoSpaceDN w:val="0"/>
        <w:adjustRightInd w:val="0"/>
        <w:spacing w:line="276" w:lineRule="auto"/>
        <w:ind w:left="360"/>
        <w:jc w:val="both"/>
        <w:rPr>
          <w:rFonts w:ascii="Arial" w:hAnsi="Arial" w:cs="Arial"/>
          <w:sz w:val="22"/>
          <w:szCs w:val="22"/>
        </w:rPr>
      </w:pPr>
      <w:r w:rsidRPr="00625F0A">
        <w:rPr>
          <w:rFonts w:ascii="Arial" w:hAnsi="Arial" w:cs="Arial"/>
          <w:sz w:val="22"/>
          <w:szCs w:val="22"/>
          <w:lang w:val="en-US"/>
        </w:rPr>
        <w:t>In addition, the Division of Revenue for the 20</w:t>
      </w:r>
      <w:r w:rsidR="004D5F33" w:rsidRPr="00625F0A">
        <w:rPr>
          <w:rFonts w:ascii="Arial" w:hAnsi="Arial" w:cs="Arial"/>
          <w:sz w:val="22"/>
          <w:szCs w:val="22"/>
          <w:lang w:val="en-US"/>
        </w:rPr>
        <w:t>20</w:t>
      </w:r>
      <w:r w:rsidRPr="00625F0A">
        <w:rPr>
          <w:rFonts w:ascii="Arial" w:hAnsi="Arial" w:cs="Arial"/>
          <w:sz w:val="22"/>
          <w:szCs w:val="22"/>
          <w:lang w:val="en-US"/>
        </w:rPr>
        <w:t>/</w:t>
      </w:r>
      <w:r w:rsidR="00265F54" w:rsidRPr="00625F0A">
        <w:rPr>
          <w:rFonts w:ascii="Arial" w:hAnsi="Arial" w:cs="Arial"/>
          <w:sz w:val="22"/>
          <w:szCs w:val="22"/>
          <w:lang w:val="en-US"/>
        </w:rPr>
        <w:t>2</w:t>
      </w:r>
      <w:r w:rsidR="004D5F33" w:rsidRPr="00625F0A">
        <w:rPr>
          <w:rFonts w:ascii="Arial" w:hAnsi="Arial" w:cs="Arial"/>
          <w:sz w:val="22"/>
          <w:szCs w:val="22"/>
          <w:lang w:val="en-US"/>
        </w:rPr>
        <w:t>1</w:t>
      </w:r>
      <w:r w:rsidRPr="00625F0A">
        <w:rPr>
          <w:rFonts w:ascii="Arial" w:hAnsi="Arial" w:cs="Arial"/>
          <w:sz w:val="22"/>
          <w:szCs w:val="22"/>
          <w:lang w:val="en-US"/>
        </w:rPr>
        <w:t xml:space="preserve"> financial year is mainly in line with the recommendations made by the Financial and Fiscal Commission (“FFC”), which is mandated by Section 220 of the Constitution </w:t>
      </w:r>
      <w:r w:rsidRPr="00625F0A">
        <w:rPr>
          <w:rFonts w:ascii="Arial" w:hAnsi="Arial" w:cs="Arial"/>
          <w:sz w:val="22"/>
          <w:szCs w:val="22"/>
        </w:rPr>
        <w:t>to provide information to all organs of state in order to make informed decisions about complex fiscal matters. The FFC consults on these matters with all the three spheres of government.</w:t>
      </w:r>
    </w:p>
    <w:p w14:paraId="38F19AC3" w14:textId="77777777" w:rsidR="00B66078" w:rsidRPr="00625F0A" w:rsidRDefault="00B66078" w:rsidP="00D15A19">
      <w:pPr>
        <w:autoSpaceDE w:val="0"/>
        <w:autoSpaceDN w:val="0"/>
        <w:adjustRightInd w:val="0"/>
        <w:spacing w:line="276" w:lineRule="auto"/>
        <w:ind w:left="360"/>
        <w:jc w:val="both"/>
        <w:rPr>
          <w:rFonts w:ascii="Arial" w:hAnsi="Arial" w:cs="Arial"/>
          <w:sz w:val="22"/>
          <w:szCs w:val="22"/>
        </w:rPr>
      </w:pPr>
    </w:p>
    <w:p w14:paraId="27CAF1B9" w14:textId="77777777" w:rsidR="00B24538" w:rsidRPr="00625F0A" w:rsidRDefault="003A13D6" w:rsidP="00D15A19">
      <w:pPr>
        <w:pStyle w:val="BodyTextIndent2"/>
        <w:numPr>
          <w:ilvl w:val="1"/>
          <w:numId w:val="31"/>
        </w:numPr>
        <w:spacing w:line="276" w:lineRule="auto"/>
        <w:ind w:hanging="796"/>
        <w:rPr>
          <w:b/>
          <w:sz w:val="22"/>
          <w:szCs w:val="22"/>
          <w:u w:val="single"/>
        </w:rPr>
      </w:pPr>
      <w:r w:rsidRPr="00625F0A">
        <w:rPr>
          <w:b/>
          <w:sz w:val="22"/>
          <w:szCs w:val="22"/>
          <w:u w:val="single"/>
        </w:rPr>
        <w:t>C</w:t>
      </w:r>
      <w:r w:rsidR="00B24538" w:rsidRPr="00625F0A">
        <w:rPr>
          <w:b/>
          <w:sz w:val="22"/>
          <w:szCs w:val="22"/>
          <w:u w:val="single"/>
        </w:rPr>
        <w:t>O</w:t>
      </w:r>
      <w:r w:rsidRPr="00625F0A">
        <w:rPr>
          <w:b/>
          <w:sz w:val="22"/>
          <w:szCs w:val="22"/>
          <w:u w:val="single"/>
        </w:rPr>
        <w:t>NSTITUTIONAL AND STATUTORY FRAMEWORK</w:t>
      </w:r>
    </w:p>
    <w:p w14:paraId="2FA8199B" w14:textId="77777777" w:rsidR="00B24538" w:rsidRPr="00625F0A" w:rsidRDefault="00B24538" w:rsidP="00D15A19">
      <w:pPr>
        <w:pStyle w:val="BodyTextIndent2"/>
        <w:spacing w:line="276" w:lineRule="auto"/>
        <w:ind w:left="720"/>
        <w:rPr>
          <w:b/>
          <w:sz w:val="22"/>
          <w:szCs w:val="22"/>
        </w:rPr>
      </w:pPr>
    </w:p>
    <w:p w14:paraId="5EEB0927" w14:textId="77777777" w:rsidR="00B66078" w:rsidRPr="00625F0A" w:rsidRDefault="00B66078" w:rsidP="00D15A19">
      <w:pPr>
        <w:spacing w:line="276" w:lineRule="auto"/>
        <w:ind w:right="-46" w:firstLine="360"/>
        <w:jc w:val="both"/>
        <w:rPr>
          <w:rFonts w:ascii="Arial" w:hAnsi="Arial" w:cs="Arial"/>
          <w:sz w:val="22"/>
          <w:szCs w:val="22"/>
        </w:rPr>
      </w:pPr>
      <w:r w:rsidRPr="00625F0A">
        <w:rPr>
          <w:rFonts w:ascii="Arial" w:hAnsi="Arial" w:cs="Arial"/>
          <w:sz w:val="22"/>
          <w:szCs w:val="22"/>
        </w:rPr>
        <w:t>Section 214 of the Constitution requires that an Act of Parliament must provide for:</w:t>
      </w:r>
    </w:p>
    <w:p w14:paraId="79CAFFB2" w14:textId="77777777" w:rsidR="00B66078" w:rsidRPr="00625F0A" w:rsidRDefault="00B66078" w:rsidP="00D15A19">
      <w:pPr>
        <w:spacing w:line="276" w:lineRule="auto"/>
        <w:ind w:left="360" w:right="-46"/>
        <w:jc w:val="both"/>
        <w:rPr>
          <w:rFonts w:ascii="Arial" w:hAnsi="Arial" w:cs="Arial"/>
          <w:sz w:val="22"/>
          <w:szCs w:val="22"/>
        </w:rPr>
      </w:pPr>
    </w:p>
    <w:p w14:paraId="7BC04A65" w14:textId="77777777" w:rsidR="00B66078" w:rsidRPr="00625F0A" w:rsidRDefault="00B66078" w:rsidP="00D15A19">
      <w:pPr>
        <w:pStyle w:val="ListParagraph"/>
        <w:numPr>
          <w:ilvl w:val="0"/>
          <w:numId w:val="5"/>
        </w:numPr>
        <w:spacing w:line="276" w:lineRule="auto"/>
        <w:ind w:right="-46"/>
        <w:contextualSpacing/>
        <w:jc w:val="both"/>
        <w:rPr>
          <w:rFonts w:ascii="Arial" w:hAnsi="Arial" w:cs="Arial"/>
          <w:sz w:val="22"/>
          <w:szCs w:val="22"/>
        </w:rPr>
      </w:pPr>
      <w:r w:rsidRPr="00625F0A">
        <w:rPr>
          <w:rFonts w:ascii="Arial" w:hAnsi="Arial" w:cs="Arial"/>
          <w:sz w:val="22"/>
          <w:szCs w:val="22"/>
        </w:rPr>
        <w:t xml:space="preserve">The equitable division of revenue raised nationally among national, </w:t>
      </w:r>
    </w:p>
    <w:p w14:paraId="1AF2F2EA" w14:textId="77777777" w:rsidR="00765C10" w:rsidRPr="00625F0A" w:rsidRDefault="00B66078" w:rsidP="00D15A19">
      <w:pPr>
        <w:spacing w:line="276" w:lineRule="auto"/>
        <w:ind w:left="360" w:right="-46" w:firstLine="720"/>
        <w:contextualSpacing/>
        <w:jc w:val="both"/>
        <w:rPr>
          <w:rFonts w:ascii="Arial" w:hAnsi="Arial" w:cs="Arial"/>
          <w:sz w:val="22"/>
          <w:szCs w:val="22"/>
        </w:rPr>
      </w:pPr>
      <w:r w:rsidRPr="00625F0A">
        <w:rPr>
          <w:rFonts w:ascii="Arial" w:hAnsi="Arial" w:cs="Arial"/>
          <w:sz w:val="22"/>
          <w:szCs w:val="22"/>
        </w:rPr>
        <w:lastRenderedPageBreak/>
        <w:t>Provincial and local spheres of government;</w:t>
      </w:r>
    </w:p>
    <w:p w14:paraId="755DB5F9" w14:textId="77777777" w:rsidR="007E663A" w:rsidRPr="00625F0A" w:rsidRDefault="007E663A" w:rsidP="00D15A19">
      <w:pPr>
        <w:spacing w:line="276" w:lineRule="auto"/>
        <w:ind w:left="360" w:right="-46" w:firstLine="720"/>
        <w:contextualSpacing/>
        <w:jc w:val="both"/>
        <w:rPr>
          <w:rFonts w:ascii="Arial" w:hAnsi="Arial" w:cs="Arial"/>
          <w:sz w:val="22"/>
          <w:szCs w:val="22"/>
        </w:rPr>
      </w:pPr>
    </w:p>
    <w:p w14:paraId="271B0FCA" w14:textId="77777777" w:rsidR="00B66078" w:rsidRPr="00625F0A" w:rsidRDefault="00B66078" w:rsidP="00D15A19">
      <w:pPr>
        <w:pStyle w:val="ListParagraph"/>
        <w:numPr>
          <w:ilvl w:val="0"/>
          <w:numId w:val="5"/>
        </w:numPr>
        <w:spacing w:line="276" w:lineRule="auto"/>
        <w:ind w:right="-46"/>
        <w:contextualSpacing/>
        <w:jc w:val="both"/>
        <w:rPr>
          <w:rFonts w:ascii="Arial" w:hAnsi="Arial" w:cs="Arial"/>
          <w:sz w:val="22"/>
          <w:szCs w:val="22"/>
        </w:rPr>
      </w:pPr>
      <w:r w:rsidRPr="00625F0A">
        <w:rPr>
          <w:rFonts w:ascii="Arial" w:hAnsi="Arial" w:cs="Arial"/>
          <w:sz w:val="22"/>
          <w:szCs w:val="22"/>
        </w:rPr>
        <w:t>The determination of each province’s equitable share of the provincial share of that revenue; and</w:t>
      </w:r>
    </w:p>
    <w:p w14:paraId="54397573" w14:textId="77777777" w:rsidR="007E663A" w:rsidRPr="00625F0A" w:rsidRDefault="007E663A" w:rsidP="00D15A19">
      <w:pPr>
        <w:pStyle w:val="ListParagraph"/>
        <w:spacing w:line="276" w:lineRule="auto"/>
        <w:ind w:left="1080" w:right="-46"/>
        <w:contextualSpacing/>
        <w:jc w:val="both"/>
        <w:rPr>
          <w:rFonts w:ascii="Arial" w:hAnsi="Arial" w:cs="Arial"/>
          <w:sz w:val="22"/>
          <w:szCs w:val="22"/>
        </w:rPr>
      </w:pPr>
    </w:p>
    <w:p w14:paraId="3B5B980A" w14:textId="77777777" w:rsidR="00B66078" w:rsidRPr="00625F0A" w:rsidRDefault="00B66078" w:rsidP="00D15A19">
      <w:pPr>
        <w:pStyle w:val="ListParagraph"/>
        <w:numPr>
          <w:ilvl w:val="0"/>
          <w:numId w:val="5"/>
        </w:numPr>
        <w:tabs>
          <w:tab w:val="left" w:pos="1440"/>
        </w:tabs>
        <w:spacing w:line="276" w:lineRule="auto"/>
        <w:ind w:right="-46"/>
        <w:contextualSpacing/>
        <w:jc w:val="both"/>
        <w:rPr>
          <w:rFonts w:ascii="Arial" w:hAnsi="Arial" w:cs="Arial"/>
          <w:sz w:val="22"/>
          <w:szCs w:val="22"/>
        </w:rPr>
      </w:pPr>
      <w:r w:rsidRPr="00625F0A">
        <w:rPr>
          <w:rFonts w:ascii="Arial" w:hAnsi="Arial" w:cs="Arial"/>
          <w:sz w:val="22"/>
          <w:szCs w:val="22"/>
        </w:rPr>
        <w:t>Any other allocations to provinces, local government or municipalities from the national government’s share of that revenue, and for any conditions on which those allocations may be made.</w:t>
      </w:r>
    </w:p>
    <w:p w14:paraId="43E49A9D" w14:textId="77777777" w:rsidR="001B1E23" w:rsidRPr="00625F0A" w:rsidRDefault="001B1E23" w:rsidP="00D15A19">
      <w:pPr>
        <w:pStyle w:val="ListParagraph"/>
        <w:tabs>
          <w:tab w:val="left" w:pos="1440"/>
        </w:tabs>
        <w:spacing w:line="276" w:lineRule="auto"/>
        <w:ind w:left="1440" w:right="-46"/>
        <w:contextualSpacing/>
        <w:rPr>
          <w:rFonts w:ascii="Arial" w:hAnsi="Arial" w:cs="Arial"/>
          <w:sz w:val="22"/>
          <w:szCs w:val="22"/>
        </w:rPr>
      </w:pPr>
    </w:p>
    <w:p w14:paraId="340C50DA" w14:textId="2D734334" w:rsidR="00B66078" w:rsidRPr="00625F0A" w:rsidRDefault="001B1E23" w:rsidP="00D15A19">
      <w:pPr>
        <w:autoSpaceDE w:val="0"/>
        <w:autoSpaceDN w:val="0"/>
        <w:adjustRightInd w:val="0"/>
        <w:spacing w:line="276" w:lineRule="auto"/>
        <w:ind w:left="360"/>
        <w:jc w:val="both"/>
        <w:rPr>
          <w:rFonts w:ascii="Arial" w:hAnsi="Arial" w:cs="Arial"/>
          <w:sz w:val="22"/>
          <w:szCs w:val="22"/>
          <w:lang w:val="en-US"/>
        </w:rPr>
      </w:pPr>
      <w:r w:rsidRPr="00625F0A">
        <w:rPr>
          <w:rFonts w:ascii="Arial" w:hAnsi="Arial" w:cs="Arial"/>
          <w:sz w:val="22"/>
          <w:szCs w:val="22"/>
          <w:lang w:val="en-US"/>
        </w:rPr>
        <w:t>Further</w:t>
      </w:r>
      <w:r w:rsidR="004D5F33" w:rsidRPr="00625F0A">
        <w:rPr>
          <w:rFonts w:ascii="Arial" w:hAnsi="Arial" w:cs="Arial"/>
          <w:sz w:val="22"/>
          <w:szCs w:val="22"/>
          <w:lang w:val="en-US"/>
        </w:rPr>
        <w:t>more,</w:t>
      </w:r>
      <w:r w:rsidRPr="00625F0A">
        <w:rPr>
          <w:rFonts w:ascii="Arial" w:hAnsi="Arial" w:cs="Arial"/>
          <w:sz w:val="22"/>
          <w:szCs w:val="22"/>
          <w:lang w:val="en-US"/>
        </w:rPr>
        <w:t xml:space="preserve"> section 7(3) of the Money Bi</w:t>
      </w:r>
      <w:r w:rsidR="004C1F1E" w:rsidRPr="00625F0A">
        <w:rPr>
          <w:rFonts w:ascii="Arial" w:hAnsi="Arial" w:cs="Arial"/>
          <w:sz w:val="22"/>
          <w:szCs w:val="22"/>
          <w:lang w:val="en-US"/>
        </w:rPr>
        <w:t>ll</w:t>
      </w:r>
      <w:r w:rsidRPr="00625F0A">
        <w:rPr>
          <w:rFonts w:ascii="Arial" w:hAnsi="Arial" w:cs="Arial"/>
          <w:sz w:val="22"/>
          <w:szCs w:val="22"/>
          <w:lang w:val="en-US"/>
        </w:rPr>
        <w:t xml:space="preserve">s </w:t>
      </w:r>
      <w:r w:rsidR="004C1F1E" w:rsidRPr="00625F0A">
        <w:rPr>
          <w:rFonts w:ascii="Arial" w:hAnsi="Arial" w:cs="Arial"/>
          <w:sz w:val="22"/>
          <w:szCs w:val="22"/>
          <w:lang w:val="en-US"/>
        </w:rPr>
        <w:t>Amendment P</w:t>
      </w:r>
      <w:r w:rsidRPr="00625F0A">
        <w:rPr>
          <w:rFonts w:ascii="Arial" w:hAnsi="Arial" w:cs="Arial"/>
          <w:sz w:val="22"/>
          <w:szCs w:val="22"/>
          <w:lang w:val="en-US"/>
        </w:rPr>
        <w:t xml:space="preserve">rocedure and Related Matters Act, 2009, requires the introduction of the Division of Revenue Bill </w:t>
      </w:r>
      <w:r w:rsidR="004D5F33" w:rsidRPr="00625F0A">
        <w:rPr>
          <w:rFonts w:ascii="Arial" w:hAnsi="Arial" w:cs="Arial"/>
          <w:sz w:val="22"/>
          <w:szCs w:val="22"/>
          <w:lang w:val="en-US"/>
        </w:rPr>
        <w:t xml:space="preserve">be </w:t>
      </w:r>
      <w:r w:rsidRPr="00625F0A">
        <w:rPr>
          <w:rFonts w:ascii="Arial" w:hAnsi="Arial" w:cs="Arial"/>
          <w:sz w:val="22"/>
          <w:szCs w:val="22"/>
          <w:lang w:val="en-US"/>
        </w:rPr>
        <w:t>at the same time as the Appropriation Bill is introduced.</w:t>
      </w:r>
    </w:p>
    <w:p w14:paraId="39E5E39A" w14:textId="43597040" w:rsidR="00B004CF" w:rsidRPr="00625F0A" w:rsidRDefault="00B004CF" w:rsidP="00D15A19">
      <w:pPr>
        <w:autoSpaceDE w:val="0"/>
        <w:autoSpaceDN w:val="0"/>
        <w:adjustRightInd w:val="0"/>
        <w:spacing w:line="276" w:lineRule="auto"/>
        <w:ind w:left="360"/>
        <w:jc w:val="both"/>
        <w:rPr>
          <w:rFonts w:ascii="Arial" w:hAnsi="Arial" w:cs="Arial"/>
          <w:sz w:val="22"/>
          <w:szCs w:val="22"/>
          <w:lang w:val="en-US"/>
        </w:rPr>
      </w:pPr>
    </w:p>
    <w:p w14:paraId="593410E7" w14:textId="4347A6F9" w:rsidR="00B004CF" w:rsidRPr="00625F0A" w:rsidRDefault="00C255CF" w:rsidP="00D15A19">
      <w:pPr>
        <w:autoSpaceDE w:val="0"/>
        <w:autoSpaceDN w:val="0"/>
        <w:adjustRightInd w:val="0"/>
        <w:spacing w:line="276" w:lineRule="auto"/>
        <w:ind w:left="360"/>
        <w:jc w:val="both"/>
        <w:rPr>
          <w:rFonts w:ascii="Arial" w:hAnsi="Arial" w:cs="Arial"/>
          <w:sz w:val="22"/>
          <w:szCs w:val="22"/>
        </w:rPr>
      </w:pPr>
      <w:r w:rsidRPr="00625F0A">
        <w:rPr>
          <w:rFonts w:ascii="Arial" w:hAnsi="Arial" w:cs="Arial"/>
          <w:sz w:val="22"/>
          <w:szCs w:val="22"/>
        </w:rPr>
        <w:t>Th</w:t>
      </w:r>
      <w:r w:rsidR="007E4421" w:rsidRPr="00625F0A">
        <w:rPr>
          <w:rFonts w:ascii="Arial" w:hAnsi="Arial" w:cs="Arial"/>
          <w:sz w:val="22"/>
          <w:szCs w:val="22"/>
        </w:rPr>
        <w:t xml:space="preserve">e </w:t>
      </w:r>
      <w:r w:rsidR="008620F8" w:rsidRPr="00625F0A">
        <w:rPr>
          <w:rFonts w:ascii="Arial" w:hAnsi="Arial" w:cs="Arial"/>
          <w:sz w:val="22"/>
          <w:szCs w:val="22"/>
        </w:rPr>
        <w:t>I</w:t>
      </w:r>
      <w:r w:rsidR="007E4421" w:rsidRPr="00625F0A">
        <w:rPr>
          <w:rFonts w:ascii="Arial" w:hAnsi="Arial" w:cs="Arial"/>
          <w:sz w:val="22"/>
          <w:szCs w:val="22"/>
        </w:rPr>
        <w:t xml:space="preserve">ntergovernmental </w:t>
      </w:r>
      <w:r w:rsidR="008620F8" w:rsidRPr="00625F0A">
        <w:rPr>
          <w:rFonts w:ascii="Arial" w:hAnsi="Arial" w:cs="Arial"/>
          <w:sz w:val="22"/>
          <w:szCs w:val="22"/>
        </w:rPr>
        <w:t>F</w:t>
      </w:r>
      <w:r w:rsidR="007E4421" w:rsidRPr="00625F0A">
        <w:rPr>
          <w:rFonts w:ascii="Arial" w:hAnsi="Arial" w:cs="Arial"/>
          <w:sz w:val="22"/>
          <w:szCs w:val="22"/>
        </w:rPr>
        <w:t xml:space="preserve">iscal </w:t>
      </w:r>
      <w:r w:rsidR="008620F8" w:rsidRPr="00625F0A">
        <w:rPr>
          <w:rFonts w:ascii="Arial" w:hAnsi="Arial" w:cs="Arial"/>
          <w:sz w:val="22"/>
          <w:szCs w:val="22"/>
        </w:rPr>
        <w:t xml:space="preserve">Relations Act 97 0f 1997 </w:t>
      </w:r>
      <w:r w:rsidRPr="00625F0A">
        <w:rPr>
          <w:rFonts w:ascii="Arial" w:hAnsi="Arial" w:cs="Arial"/>
          <w:sz w:val="22"/>
          <w:szCs w:val="22"/>
        </w:rPr>
        <w:t>sets out the process for the division of nationally raised revenues between the three spheres of government. It establishes the Budget Forum, in which local government issues are discussed as part of the national budget process. It also requires that a Division of Revenue Bill is tabled annually, setting out (among other things) the amounts to be transferred to each municipality.</w:t>
      </w:r>
    </w:p>
    <w:p w14:paraId="5786908A" w14:textId="77777777" w:rsidR="00765C10" w:rsidRPr="00625F0A" w:rsidRDefault="00765C10" w:rsidP="00D15A19">
      <w:pPr>
        <w:autoSpaceDE w:val="0"/>
        <w:autoSpaceDN w:val="0"/>
        <w:adjustRightInd w:val="0"/>
        <w:spacing w:line="276" w:lineRule="auto"/>
        <w:jc w:val="both"/>
        <w:rPr>
          <w:rFonts w:ascii="Arial" w:hAnsi="Arial" w:cs="Arial"/>
          <w:sz w:val="22"/>
          <w:szCs w:val="22"/>
        </w:rPr>
      </w:pPr>
    </w:p>
    <w:p w14:paraId="1C6B5AA8" w14:textId="1BDBF425" w:rsidR="00FF53A4" w:rsidRPr="00625F0A" w:rsidRDefault="00B66078" w:rsidP="00D15A19">
      <w:pPr>
        <w:spacing w:line="276" w:lineRule="auto"/>
        <w:ind w:left="284"/>
        <w:jc w:val="both"/>
        <w:rPr>
          <w:rFonts w:ascii="Arial" w:hAnsi="Arial" w:cs="Arial"/>
          <w:b/>
          <w:bCs/>
          <w:sz w:val="22"/>
          <w:szCs w:val="22"/>
        </w:rPr>
      </w:pPr>
      <w:r w:rsidRPr="00625F0A">
        <w:rPr>
          <w:rFonts w:ascii="Arial" w:hAnsi="Arial" w:cs="Arial"/>
          <w:sz w:val="22"/>
          <w:szCs w:val="22"/>
        </w:rPr>
        <w:t xml:space="preserve">The Bill seeks to amongst others, give effect to the provisions of Section 214 of the Constitution. </w:t>
      </w:r>
      <w:r w:rsidR="000C5ED2" w:rsidRPr="00625F0A">
        <w:rPr>
          <w:rFonts w:ascii="Arial" w:hAnsi="Arial" w:cs="Arial"/>
          <w:sz w:val="22"/>
          <w:szCs w:val="22"/>
          <w:lang w:val="en-US"/>
        </w:rPr>
        <w:t>These include national interest</w:t>
      </w:r>
      <w:r w:rsidR="006E5082" w:rsidRPr="00625F0A">
        <w:rPr>
          <w:rFonts w:ascii="Arial" w:hAnsi="Arial" w:cs="Arial"/>
          <w:sz w:val="22"/>
          <w:szCs w:val="22"/>
          <w:lang w:val="en-US"/>
        </w:rPr>
        <w:t xml:space="preserve"> and the division of resources</w:t>
      </w:r>
      <w:r w:rsidR="000C5ED2" w:rsidRPr="00625F0A">
        <w:rPr>
          <w:rFonts w:ascii="Arial" w:hAnsi="Arial" w:cs="Arial"/>
          <w:sz w:val="22"/>
          <w:szCs w:val="22"/>
          <w:lang w:val="en-US"/>
        </w:rPr>
        <w:t xml:space="preserve">, </w:t>
      </w:r>
      <w:r w:rsidR="006E5082" w:rsidRPr="00625F0A">
        <w:rPr>
          <w:rFonts w:ascii="Arial" w:hAnsi="Arial" w:cs="Arial"/>
          <w:sz w:val="22"/>
          <w:szCs w:val="22"/>
          <w:lang w:val="en-US"/>
        </w:rPr>
        <w:t xml:space="preserve">provision for </w:t>
      </w:r>
      <w:r w:rsidR="000C5ED2" w:rsidRPr="00625F0A">
        <w:rPr>
          <w:rFonts w:ascii="Arial" w:hAnsi="Arial" w:cs="Arial"/>
          <w:sz w:val="22"/>
          <w:szCs w:val="22"/>
          <w:lang w:val="en-US"/>
        </w:rPr>
        <w:t xml:space="preserve">debt </w:t>
      </w:r>
      <w:r w:rsidR="00192354" w:rsidRPr="00625F0A">
        <w:rPr>
          <w:rFonts w:ascii="Arial" w:hAnsi="Arial" w:cs="Arial"/>
          <w:sz w:val="22"/>
          <w:szCs w:val="22"/>
          <w:lang w:val="en-US"/>
        </w:rPr>
        <w:t>costs</w:t>
      </w:r>
      <w:r w:rsidR="000C5ED2" w:rsidRPr="00625F0A">
        <w:rPr>
          <w:rFonts w:ascii="Arial" w:hAnsi="Arial" w:cs="Arial"/>
          <w:sz w:val="22"/>
          <w:szCs w:val="22"/>
          <w:lang w:val="en-US"/>
        </w:rPr>
        <w:t xml:space="preserve">, </w:t>
      </w:r>
      <w:r w:rsidR="00192354" w:rsidRPr="00625F0A">
        <w:rPr>
          <w:rFonts w:ascii="Arial" w:hAnsi="Arial" w:cs="Arial"/>
          <w:sz w:val="22"/>
          <w:szCs w:val="22"/>
          <w:lang w:val="en-US"/>
        </w:rPr>
        <w:t xml:space="preserve">national </w:t>
      </w:r>
      <w:r w:rsidR="00C030CB" w:rsidRPr="00625F0A">
        <w:rPr>
          <w:rFonts w:ascii="Arial" w:hAnsi="Arial" w:cs="Arial"/>
          <w:sz w:val="22"/>
          <w:szCs w:val="22"/>
          <w:lang w:val="en-US"/>
        </w:rPr>
        <w:t xml:space="preserve">government’s </w:t>
      </w:r>
      <w:r w:rsidR="000C5ED2" w:rsidRPr="00625F0A">
        <w:rPr>
          <w:rFonts w:ascii="Arial" w:hAnsi="Arial" w:cs="Arial"/>
          <w:sz w:val="22"/>
          <w:szCs w:val="22"/>
          <w:lang w:val="en-US"/>
        </w:rPr>
        <w:t xml:space="preserve">needs </w:t>
      </w:r>
      <w:r w:rsidR="00C030CB" w:rsidRPr="00625F0A">
        <w:rPr>
          <w:rFonts w:ascii="Arial" w:hAnsi="Arial" w:cs="Arial"/>
          <w:sz w:val="22"/>
          <w:szCs w:val="22"/>
          <w:lang w:val="en-US"/>
        </w:rPr>
        <w:t>and interest</w:t>
      </w:r>
      <w:r w:rsidR="0095469E" w:rsidRPr="00625F0A">
        <w:rPr>
          <w:rFonts w:ascii="Arial" w:hAnsi="Arial" w:cs="Arial"/>
          <w:sz w:val="22"/>
          <w:szCs w:val="22"/>
          <w:lang w:val="en-US"/>
        </w:rPr>
        <w:t>s</w:t>
      </w:r>
      <w:r w:rsidR="000C5ED2" w:rsidRPr="00625F0A">
        <w:rPr>
          <w:rFonts w:ascii="Arial" w:hAnsi="Arial" w:cs="Arial"/>
          <w:sz w:val="22"/>
          <w:szCs w:val="22"/>
          <w:lang w:val="en-US"/>
        </w:rPr>
        <w:t>,</w:t>
      </w:r>
      <w:r w:rsidR="005C42BD" w:rsidRPr="00625F0A">
        <w:rPr>
          <w:rFonts w:ascii="Arial" w:hAnsi="Arial" w:cs="Arial"/>
          <w:sz w:val="22"/>
          <w:szCs w:val="22"/>
          <w:lang w:val="en-US"/>
        </w:rPr>
        <w:t xml:space="preserve"> provincial and local government </w:t>
      </w:r>
      <w:r w:rsidR="000F1902" w:rsidRPr="00625F0A">
        <w:rPr>
          <w:rFonts w:ascii="Arial" w:hAnsi="Arial" w:cs="Arial"/>
          <w:sz w:val="22"/>
          <w:szCs w:val="22"/>
          <w:lang w:val="en-US"/>
        </w:rPr>
        <w:t>basic services, fiscal capaci</w:t>
      </w:r>
      <w:r w:rsidR="00F65983" w:rsidRPr="00625F0A">
        <w:rPr>
          <w:rFonts w:ascii="Arial" w:hAnsi="Arial" w:cs="Arial"/>
          <w:sz w:val="22"/>
          <w:szCs w:val="22"/>
          <w:lang w:val="en-US"/>
        </w:rPr>
        <w:t xml:space="preserve">ty and </w:t>
      </w:r>
      <w:r w:rsidR="00CD6576" w:rsidRPr="00625F0A">
        <w:rPr>
          <w:rFonts w:ascii="Arial" w:hAnsi="Arial" w:cs="Arial"/>
          <w:sz w:val="22"/>
          <w:szCs w:val="22"/>
          <w:lang w:val="en-US"/>
        </w:rPr>
        <w:t>efficiency</w:t>
      </w:r>
      <w:r w:rsidR="00CE45A9" w:rsidRPr="00625F0A">
        <w:rPr>
          <w:rFonts w:ascii="Arial" w:hAnsi="Arial" w:cs="Arial"/>
          <w:sz w:val="22"/>
          <w:szCs w:val="22"/>
          <w:lang w:val="en-US"/>
        </w:rPr>
        <w:t xml:space="preserve">, developmental needs, economic disparities, </w:t>
      </w:r>
      <w:r w:rsidR="006D41F2" w:rsidRPr="00625F0A">
        <w:rPr>
          <w:rFonts w:ascii="Arial" w:hAnsi="Arial" w:cs="Arial"/>
          <w:sz w:val="22"/>
          <w:szCs w:val="22"/>
          <w:lang w:val="en-US"/>
        </w:rPr>
        <w:t xml:space="preserve">obligations of terms of </w:t>
      </w:r>
      <w:r w:rsidR="00052D9B" w:rsidRPr="00625F0A">
        <w:rPr>
          <w:rFonts w:ascii="Arial" w:hAnsi="Arial" w:cs="Arial"/>
          <w:sz w:val="22"/>
          <w:szCs w:val="22"/>
          <w:lang w:val="en-US"/>
        </w:rPr>
        <w:t>national legislation, predictability and stability</w:t>
      </w:r>
      <w:r w:rsidR="006A182A" w:rsidRPr="00625F0A">
        <w:rPr>
          <w:rFonts w:ascii="Arial" w:hAnsi="Arial" w:cs="Arial"/>
          <w:sz w:val="22"/>
          <w:szCs w:val="22"/>
          <w:lang w:val="en-US"/>
        </w:rPr>
        <w:t xml:space="preserve">, and of importance, flexibility in responding to disasters. </w:t>
      </w:r>
      <w:r w:rsidR="00FF53A4" w:rsidRPr="00625F0A">
        <w:rPr>
          <w:rFonts w:ascii="Arial" w:hAnsi="Arial" w:cs="Arial"/>
          <w:b/>
          <w:bCs/>
          <w:sz w:val="22"/>
          <w:szCs w:val="22"/>
          <w:lang w:val="en-US"/>
        </w:rPr>
        <w:t xml:space="preserve">The Portfolio Committee </w:t>
      </w:r>
      <w:r w:rsidRPr="00625F0A">
        <w:rPr>
          <w:rFonts w:ascii="Arial" w:hAnsi="Arial" w:cs="Arial"/>
          <w:b/>
          <w:bCs/>
          <w:sz w:val="22"/>
          <w:szCs w:val="22"/>
        </w:rPr>
        <w:t>noted that the bill is in alignment with the Constitution</w:t>
      </w:r>
      <w:r w:rsidR="00D17198" w:rsidRPr="00625F0A">
        <w:rPr>
          <w:rFonts w:ascii="Arial" w:hAnsi="Arial" w:cs="Arial"/>
          <w:b/>
          <w:bCs/>
          <w:sz w:val="22"/>
          <w:szCs w:val="22"/>
        </w:rPr>
        <w:t>,</w:t>
      </w:r>
      <w:r w:rsidRPr="00625F0A">
        <w:rPr>
          <w:rFonts w:ascii="Arial" w:hAnsi="Arial" w:cs="Arial"/>
          <w:b/>
          <w:bCs/>
          <w:sz w:val="22"/>
          <w:szCs w:val="22"/>
        </w:rPr>
        <w:t xml:space="preserve"> </w:t>
      </w:r>
      <w:r w:rsidR="00FF53A4" w:rsidRPr="00625F0A">
        <w:rPr>
          <w:rFonts w:ascii="Arial" w:hAnsi="Arial" w:cs="Arial"/>
          <w:b/>
          <w:bCs/>
          <w:sz w:val="22"/>
          <w:szCs w:val="22"/>
        </w:rPr>
        <w:t xml:space="preserve">Money Bills Amendment Procedure and Related Matters Act, read with Intergovernmental Fiscal Relations Act.  </w:t>
      </w:r>
    </w:p>
    <w:p w14:paraId="57CA3042" w14:textId="02AA2FB1" w:rsidR="006E6315" w:rsidRDefault="006E6315" w:rsidP="00D15A19">
      <w:pPr>
        <w:autoSpaceDE w:val="0"/>
        <w:autoSpaceDN w:val="0"/>
        <w:adjustRightInd w:val="0"/>
        <w:spacing w:line="276" w:lineRule="auto"/>
        <w:ind w:left="360"/>
        <w:jc w:val="both"/>
        <w:rPr>
          <w:rFonts w:ascii="Arial" w:hAnsi="Arial" w:cs="Arial"/>
          <w:sz w:val="22"/>
          <w:szCs w:val="22"/>
        </w:rPr>
      </w:pPr>
    </w:p>
    <w:p w14:paraId="1A152A3E" w14:textId="77777777" w:rsidR="006E6315" w:rsidRPr="00936AB8" w:rsidRDefault="006E6315" w:rsidP="006E6315">
      <w:pPr>
        <w:pStyle w:val="Heading1"/>
        <w:numPr>
          <w:ilvl w:val="1"/>
          <w:numId w:val="31"/>
        </w:numPr>
        <w:spacing w:before="0" w:after="0" w:line="276" w:lineRule="auto"/>
        <w:ind w:hanging="796"/>
        <w:rPr>
          <w:sz w:val="22"/>
          <w:szCs w:val="22"/>
          <w:u w:val="single"/>
          <w:lang w:val="en-ZA"/>
        </w:rPr>
      </w:pPr>
      <w:r w:rsidRPr="00936AB8">
        <w:rPr>
          <w:sz w:val="22"/>
          <w:szCs w:val="22"/>
        </w:rPr>
        <w:t>OUTCOME OF THE NEGOTIATING PROCESS</w:t>
      </w:r>
    </w:p>
    <w:p w14:paraId="390254C1" w14:textId="77777777" w:rsidR="006E6315" w:rsidRPr="00936AB8" w:rsidRDefault="006E6315" w:rsidP="006E6315">
      <w:pPr>
        <w:spacing w:line="276" w:lineRule="auto"/>
        <w:ind w:left="360"/>
        <w:jc w:val="both"/>
        <w:rPr>
          <w:rFonts w:ascii="Arial" w:hAnsi="Arial" w:cs="Arial"/>
          <w:sz w:val="22"/>
          <w:szCs w:val="22"/>
        </w:rPr>
      </w:pPr>
    </w:p>
    <w:p w14:paraId="297A4DDA" w14:textId="72ABCCC0" w:rsidR="006E6315" w:rsidRPr="00936AB8" w:rsidRDefault="006E6315" w:rsidP="006E6315">
      <w:pPr>
        <w:spacing w:after="200" w:line="276" w:lineRule="auto"/>
        <w:ind w:left="360"/>
        <w:jc w:val="both"/>
        <w:rPr>
          <w:rFonts w:ascii="Arial" w:hAnsi="Arial" w:cs="Arial"/>
          <w:sz w:val="22"/>
          <w:szCs w:val="22"/>
        </w:rPr>
      </w:pPr>
      <w:r w:rsidRPr="00936AB8">
        <w:rPr>
          <w:rFonts w:ascii="Arial" w:hAnsi="Arial" w:cs="Arial"/>
          <w:sz w:val="22"/>
          <w:szCs w:val="22"/>
        </w:rPr>
        <w:t xml:space="preserve">The Committee mandated Hon. </w:t>
      </w:r>
      <w:r>
        <w:rPr>
          <w:rFonts w:ascii="Arial" w:hAnsi="Arial" w:cs="Arial"/>
          <w:sz w:val="22"/>
          <w:szCs w:val="22"/>
        </w:rPr>
        <w:t>Ryder</w:t>
      </w:r>
      <w:r w:rsidRPr="00936AB8">
        <w:rPr>
          <w:rFonts w:ascii="Arial" w:hAnsi="Arial" w:cs="Arial"/>
          <w:sz w:val="22"/>
          <w:szCs w:val="22"/>
        </w:rPr>
        <w:t xml:space="preserve"> to table the negotiating in favour of the Bill, with the following recommendations:</w:t>
      </w:r>
    </w:p>
    <w:p w14:paraId="54096096" w14:textId="77777777" w:rsidR="006E6315" w:rsidRPr="00936AB8" w:rsidRDefault="006E6315" w:rsidP="006E6315">
      <w:pPr>
        <w:pStyle w:val="Heading1"/>
        <w:spacing w:before="0" w:after="0" w:line="276" w:lineRule="auto"/>
        <w:ind w:left="1080"/>
        <w:rPr>
          <w:sz w:val="22"/>
          <w:szCs w:val="22"/>
          <w:u w:val="single"/>
          <w:lang w:val="en-ZA"/>
        </w:rPr>
      </w:pPr>
    </w:p>
    <w:p w14:paraId="1D150073" w14:textId="77777777" w:rsidR="006E6315" w:rsidRDefault="006E6315" w:rsidP="006E6315">
      <w:pPr>
        <w:pStyle w:val="ListParagraph"/>
        <w:numPr>
          <w:ilvl w:val="2"/>
          <w:numId w:val="31"/>
        </w:numPr>
        <w:spacing w:line="276" w:lineRule="auto"/>
        <w:ind w:hanging="1014"/>
        <w:jc w:val="both"/>
        <w:rPr>
          <w:rFonts w:ascii="Arial" w:hAnsi="Arial" w:cs="Arial"/>
          <w:bCs/>
          <w:sz w:val="22"/>
          <w:szCs w:val="22"/>
        </w:rPr>
      </w:pPr>
      <w:r w:rsidRPr="00625F0A">
        <w:rPr>
          <w:rFonts w:ascii="Arial" w:hAnsi="Arial" w:cs="Arial"/>
          <w:bCs/>
          <w:sz w:val="22"/>
          <w:szCs w:val="22"/>
        </w:rPr>
        <w:t xml:space="preserve">That National Treasury should maintain a delicate balance between government debt as a percentage of the GDP and fiscal policy targets without compromising service delivery; </w:t>
      </w:r>
    </w:p>
    <w:p w14:paraId="49BF0CC6" w14:textId="77777777" w:rsidR="006E6315" w:rsidRDefault="006E6315" w:rsidP="006E6315">
      <w:pPr>
        <w:pStyle w:val="ListParagraph"/>
        <w:spacing w:line="276" w:lineRule="auto"/>
        <w:ind w:left="1440"/>
        <w:jc w:val="both"/>
        <w:rPr>
          <w:rFonts w:ascii="Arial" w:hAnsi="Arial" w:cs="Arial"/>
          <w:bCs/>
          <w:sz w:val="22"/>
          <w:szCs w:val="22"/>
        </w:rPr>
      </w:pPr>
    </w:p>
    <w:p w14:paraId="4159EF55" w14:textId="77777777" w:rsidR="006E6315" w:rsidRPr="00625F0A" w:rsidRDefault="006E6315" w:rsidP="006E6315">
      <w:pPr>
        <w:pStyle w:val="ListParagraph"/>
        <w:numPr>
          <w:ilvl w:val="2"/>
          <w:numId w:val="31"/>
        </w:numPr>
        <w:spacing w:line="276" w:lineRule="auto"/>
        <w:ind w:hanging="1014"/>
        <w:jc w:val="both"/>
        <w:rPr>
          <w:rFonts w:ascii="Arial" w:hAnsi="Arial" w:cs="Arial"/>
          <w:bCs/>
          <w:sz w:val="22"/>
          <w:szCs w:val="22"/>
        </w:rPr>
      </w:pPr>
      <w:r>
        <w:rPr>
          <w:rFonts w:ascii="Arial" w:hAnsi="Arial" w:cs="Arial"/>
          <w:bCs/>
          <w:sz w:val="22"/>
          <w:szCs w:val="22"/>
        </w:rPr>
        <w:t xml:space="preserve">That National Treasury should ensure that conditional grants keep pace with the population growth if service delivery is not to be compromised; </w:t>
      </w:r>
    </w:p>
    <w:p w14:paraId="323F5CD5" w14:textId="77777777" w:rsidR="006E6315" w:rsidRPr="00625F0A" w:rsidRDefault="006E6315" w:rsidP="006E6315">
      <w:pPr>
        <w:pStyle w:val="ListParagraph"/>
        <w:spacing w:line="276" w:lineRule="auto"/>
        <w:ind w:left="1440"/>
        <w:jc w:val="both"/>
        <w:rPr>
          <w:rFonts w:ascii="Arial" w:hAnsi="Arial" w:cs="Arial"/>
          <w:bCs/>
          <w:sz w:val="22"/>
          <w:szCs w:val="22"/>
        </w:rPr>
      </w:pPr>
    </w:p>
    <w:p w14:paraId="43D91FC2" w14:textId="77777777" w:rsidR="006E6315" w:rsidRPr="007A0FC6" w:rsidRDefault="006E6315" w:rsidP="006E6315">
      <w:pPr>
        <w:pStyle w:val="ListParagraph"/>
        <w:numPr>
          <w:ilvl w:val="2"/>
          <w:numId w:val="31"/>
        </w:numPr>
        <w:spacing w:line="360" w:lineRule="auto"/>
        <w:ind w:hanging="1014"/>
        <w:contextualSpacing/>
        <w:jc w:val="both"/>
        <w:rPr>
          <w:rFonts w:ascii="Arial" w:eastAsia="Calibri" w:hAnsi="Arial" w:cs="Arial"/>
          <w:bCs/>
          <w:i/>
          <w:sz w:val="22"/>
          <w:szCs w:val="22"/>
          <w:lang w:val="en-ZA"/>
        </w:rPr>
      </w:pPr>
      <w:r w:rsidRPr="00625F0A">
        <w:rPr>
          <w:rFonts w:ascii="Arial" w:eastAsia="Calibri" w:hAnsi="Arial" w:cs="Arial"/>
          <w:bCs/>
          <w:sz w:val="22"/>
          <w:szCs w:val="22"/>
          <w:lang w:val="en-ZA"/>
        </w:rPr>
        <w:t>The National Treasury resolves the inaccurate assumptions about the ability of local government to raise own revenue together with a rapidly increasing cost base, where the equitable share is currently much too low to compensate for the funding gap;</w:t>
      </w:r>
      <w:r>
        <w:rPr>
          <w:rFonts w:ascii="Arial" w:eastAsia="Calibri" w:hAnsi="Arial" w:cs="Arial"/>
          <w:bCs/>
          <w:sz w:val="22"/>
          <w:szCs w:val="22"/>
          <w:lang w:val="en-ZA"/>
        </w:rPr>
        <w:t xml:space="preserve"> </w:t>
      </w:r>
      <w:r w:rsidRPr="007A0FC6">
        <w:rPr>
          <w:rFonts w:ascii="Arial" w:eastAsia="Calibri" w:hAnsi="Arial" w:cs="Arial"/>
          <w:bCs/>
          <w:sz w:val="22"/>
          <w:szCs w:val="22"/>
          <w:lang w:val="en-ZA"/>
        </w:rPr>
        <w:t>and</w:t>
      </w:r>
    </w:p>
    <w:p w14:paraId="7BA44125" w14:textId="77777777" w:rsidR="006E6315" w:rsidRPr="00625F0A" w:rsidRDefault="006E6315" w:rsidP="006E6315">
      <w:pPr>
        <w:pStyle w:val="ListParagraph"/>
        <w:rPr>
          <w:rFonts w:ascii="Arial" w:eastAsia="Calibri" w:hAnsi="Arial" w:cs="Arial"/>
          <w:bCs/>
          <w:sz w:val="22"/>
          <w:szCs w:val="22"/>
          <w:lang w:val="en-ZA"/>
        </w:rPr>
      </w:pPr>
    </w:p>
    <w:p w14:paraId="67642951" w14:textId="5FF09AFB" w:rsidR="006E6315" w:rsidRPr="000E3951" w:rsidRDefault="006E6315" w:rsidP="006E6315">
      <w:pPr>
        <w:pStyle w:val="ListParagraph"/>
        <w:numPr>
          <w:ilvl w:val="2"/>
          <w:numId w:val="31"/>
        </w:numPr>
        <w:spacing w:line="276" w:lineRule="auto"/>
        <w:ind w:hanging="1014"/>
        <w:jc w:val="both"/>
        <w:rPr>
          <w:rFonts w:ascii="Arial" w:hAnsi="Arial" w:cs="Arial"/>
          <w:b/>
          <w:sz w:val="22"/>
          <w:szCs w:val="22"/>
          <w:lang w:val="en-US"/>
        </w:rPr>
      </w:pPr>
      <w:r w:rsidRPr="00625F0A">
        <w:rPr>
          <w:rFonts w:ascii="Arial" w:eastAsia="Calibri" w:hAnsi="Arial" w:cs="Arial"/>
          <w:bCs/>
          <w:sz w:val="22"/>
          <w:szCs w:val="22"/>
          <w:lang w:val="en-ZA"/>
        </w:rPr>
        <w:t>That National Treasury should consider review</w:t>
      </w:r>
      <w:r>
        <w:rPr>
          <w:rFonts w:ascii="Arial" w:eastAsia="Calibri" w:hAnsi="Arial" w:cs="Arial"/>
          <w:bCs/>
          <w:sz w:val="22"/>
          <w:szCs w:val="22"/>
          <w:lang w:val="en-ZA"/>
        </w:rPr>
        <w:t>ing</w:t>
      </w:r>
      <w:r w:rsidRPr="00625F0A">
        <w:rPr>
          <w:rFonts w:ascii="Arial" w:eastAsia="Calibri" w:hAnsi="Arial" w:cs="Arial"/>
          <w:bCs/>
          <w:sz w:val="22"/>
          <w:szCs w:val="22"/>
          <w:lang w:val="en-ZA"/>
        </w:rPr>
        <w:t xml:space="preserve"> the current </w:t>
      </w:r>
      <w:r w:rsidRPr="00625F0A">
        <w:rPr>
          <w:rFonts w:ascii="Arial" w:eastAsia="Calibri" w:hAnsi="Arial" w:cs="Arial"/>
          <w:sz w:val="22"/>
          <w:szCs w:val="22"/>
          <w:lang w:val="en-ZA"/>
        </w:rPr>
        <w:t xml:space="preserve">funding model for local government, based on the current fiscal reality of local </w:t>
      </w:r>
      <w:r w:rsidRPr="003B094C">
        <w:rPr>
          <w:rFonts w:ascii="Arial" w:eastAsia="Calibri" w:hAnsi="Arial" w:cs="Arial"/>
          <w:sz w:val="22"/>
          <w:szCs w:val="22"/>
          <w:lang w:val="en-ZA"/>
        </w:rPr>
        <w:t>government</w:t>
      </w:r>
      <w:r w:rsidRPr="003B094C">
        <w:rPr>
          <w:rFonts w:ascii="Arial" w:hAnsi="Arial" w:cs="Arial"/>
          <w:sz w:val="22"/>
          <w:szCs w:val="22"/>
          <w:lang w:val="en-US"/>
        </w:rPr>
        <w:t>.</w:t>
      </w:r>
    </w:p>
    <w:p w14:paraId="2C768798" w14:textId="77777777" w:rsidR="000E3951" w:rsidRPr="000E3951" w:rsidRDefault="000E3951" w:rsidP="000E3951">
      <w:pPr>
        <w:spacing w:line="276" w:lineRule="auto"/>
        <w:jc w:val="both"/>
        <w:rPr>
          <w:rFonts w:ascii="Arial" w:hAnsi="Arial" w:cs="Arial"/>
          <w:b/>
          <w:sz w:val="22"/>
          <w:szCs w:val="22"/>
          <w:lang w:val="en-US"/>
        </w:rPr>
      </w:pPr>
    </w:p>
    <w:p w14:paraId="55F4595D" w14:textId="76A2BC72" w:rsidR="006E6315" w:rsidRDefault="004F67A3" w:rsidP="00D15A19">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National Treasury responded to all Committee’s</w:t>
      </w:r>
      <w:r w:rsidR="000E3951">
        <w:rPr>
          <w:rFonts w:ascii="Arial" w:hAnsi="Arial" w:cs="Arial"/>
          <w:sz w:val="22"/>
          <w:szCs w:val="22"/>
        </w:rPr>
        <w:t xml:space="preserve"> recommendations.</w:t>
      </w:r>
    </w:p>
    <w:p w14:paraId="2B97CFA8" w14:textId="77777777" w:rsidR="000E3951" w:rsidRPr="00625F0A" w:rsidRDefault="000E3951" w:rsidP="00D15A19">
      <w:pPr>
        <w:autoSpaceDE w:val="0"/>
        <w:autoSpaceDN w:val="0"/>
        <w:adjustRightInd w:val="0"/>
        <w:spacing w:line="276" w:lineRule="auto"/>
        <w:ind w:left="360"/>
        <w:jc w:val="both"/>
        <w:rPr>
          <w:rFonts w:ascii="Arial" w:hAnsi="Arial" w:cs="Arial"/>
          <w:sz w:val="22"/>
          <w:szCs w:val="22"/>
        </w:rPr>
      </w:pPr>
    </w:p>
    <w:p w14:paraId="2CC5609D" w14:textId="77777777" w:rsidR="00013231" w:rsidRPr="00625F0A" w:rsidRDefault="00013231" w:rsidP="00D15A19">
      <w:pPr>
        <w:pStyle w:val="Heading1"/>
        <w:numPr>
          <w:ilvl w:val="1"/>
          <w:numId w:val="31"/>
        </w:numPr>
        <w:spacing w:before="0" w:after="0" w:line="276" w:lineRule="auto"/>
        <w:ind w:hanging="796"/>
        <w:rPr>
          <w:sz w:val="22"/>
          <w:szCs w:val="22"/>
          <w:u w:val="single"/>
          <w:lang w:val="en-ZA"/>
        </w:rPr>
      </w:pPr>
      <w:r w:rsidRPr="00625F0A">
        <w:rPr>
          <w:sz w:val="22"/>
          <w:szCs w:val="22"/>
          <w:u w:val="single"/>
          <w:lang w:val="en-ZA"/>
        </w:rPr>
        <w:t>OPINION OF THE PROVINCIAL EXECUTIVE COUNCIL ON THE BILL</w:t>
      </w:r>
    </w:p>
    <w:p w14:paraId="6150FD8E" w14:textId="77777777" w:rsidR="0086265C" w:rsidRPr="00625F0A" w:rsidRDefault="0086265C" w:rsidP="00D15A19">
      <w:pPr>
        <w:pStyle w:val="Heading1"/>
        <w:tabs>
          <w:tab w:val="left" w:pos="360"/>
        </w:tabs>
        <w:spacing w:before="0" w:after="0" w:line="276" w:lineRule="auto"/>
        <w:ind w:left="360"/>
        <w:jc w:val="both"/>
        <w:rPr>
          <w:sz w:val="22"/>
          <w:szCs w:val="22"/>
        </w:rPr>
      </w:pPr>
    </w:p>
    <w:p w14:paraId="2B181FE8" w14:textId="1EC9A54A" w:rsidR="00013231" w:rsidRPr="00625F0A" w:rsidRDefault="00400968" w:rsidP="00D15A19">
      <w:pPr>
        <w:pStyle w:val="Heading1"/>
        <w:tabs>
          <w:tab w:val="left" w:pos="360"/>
        </w:tabs>
        <w:spacing w:before="0" w:after="0" w:line="276" w:lineRule="auto"/>
        <w:ind w:left="360"/>
        <w:jc w:val="both"/>
        <w:rPr>
          <w:b w:val="0"/>
          <w:sz w:val="22"/>
          <w:szCs w:val="22"/>
        </w:rPr>
      </w:pPr>
      <w:r w:rsidRPr="00625F0A">
        <w:rPr>
          <w:sz w:val="22"/>
          <w:szCs w:val="22"/>
        </w:rPr>
        <w:t>The Portfolio Committee note</w:t>
      </w:r>
      <w:r w:rsidR="0018453F" w:rsidRPr="00625F0A">
        <w:rPr>
          <w:sz w:val="22"/>
          <w:szCs w:val="22"/>
        </w:rPr>
        <w:t>d</w:t>
      </w:r>
      <w:r w:rsidRPr="00625F0A">
        <w:rPr>
          <w:sz w:val="22"/>
          <w:szCs w:val="22"/>
        </w:rPr>
        <w:t xml:space="preserve"> that </w:t>
      </w:r>
      <w:r w:rsidR="0018453F" w:rsidRPr="00625F0A">
        <w:rPr>
          <w:sz w:val="22"/>
          <w:szCs w:val="22"/>
        </w:rPr>
        <w:t>National Treasury</w:t>
      </w:r>
      <w:r w:rsidRPr="00625F0A">
        <w:rPr>
          <w:sz w:val="22"/>
          <w:szCs w:val="22"/>
        </w:rPr>
        <w:t xml:space="preserve"> </w:t>
      </w:r>
      <w:r w:rsidR="0018453F" w:rsidRPr="00625F0A">
        <w:rPr>
          <w:sz w:val="22"/>
          <w:szCs w:val="22"/>
        </w:rPr>
        <w:t xml:space="preserve">consulted widely </w:t>
      </w:r>
      <w:r w:rsidRPr="00625F0A">
        <w:rPr>
          <w:sz w:val="22"/>
          <w:szCs w:val="22"/>
        </w:rPr>
        <w:t>o</w:t>
      </w:r>
      <w:r w:rsidR="0018453F" w:rsidRPr="00625F0A">
        <w:rPr>
          <w:sz w:val="22"/>
          <w:szCs w:val="22"/>
        </w:rPr>
        <w:t xml:space="preserve">n the Division </w:t>
      </w:r>
      <w:r w:rsidR="003B094C">
        <w:rPr>
          <w:sz w:val="22"/>
          <w:szCs w:val="22"/>
        </w:rPr>
        <w:t xml:space="preserve">of </w:t>
      </w:r>
      <w:r w:rsidRPr="00625F0A">
        <w:rPr>
          <w:sz w:val="22"/>
          <w:szCs w:val="22"/>
        </w:rPr>
        <w:t xml:space="preserve">Revenue Bill </w:t>
      </w:r>
      <w:r w:rsidR="0018453F" w:rsidRPr="00625F0A">
        <w:rPr>
          <w:sz w:val="22"/>
          <w:szCs w:val="22"/>
        </w:rPr>
        <w:t>by circulating the draft Bill</w:t>
      </w:r>
      <w:r w:rsidRPr="00625F0A">
        <w:rPr>
          <w:sz w:val="22"/>
          <w:szCs w:val="22"/>
        </w:rPr>
        <w:t xml:space="preserve">. </w:t>
      </w:r>
      <w:r w:rsidR="00013231" w:rsidRPr="00625F0A">
        <w:rPr>
          <w:b w:val="0"/>
          <w:sz w:val="22"/>
          <w:szCs w:val="22"/>
        </w:rPr>
        <w:t xml:space="preserve">The Gauteng </w:t>
      </w:r>
      <w:r w:rsidR="00F11FA4" w:rsidRPr="00625F0A">
        <w:rPr>
          <w:b w:val="0"/>
          <w:sz w:val="22"/>
          <w:szCs w:val="22"/>
        </w:rPr>
        <w:t xml:space="preserve">Provincial </w:t>
      </w:r>
      <w:r w:rsidRPr="00625F0A">
        <w:rPr>
          <w:b w:val="0"/>
          <w:sz w:val="22"/>
          <w:szCs w:val="22"/>
        </w:rPr>
        <w:t>Treasury on behalf of the Provincial Executive Council is satisfied that the 20</w:t>
      </w:r>
      <w:r w:rsidR="003F4779" w:rsidRPr="00625F0A">
        <w:rPr>
          <w:b w:val="0"/>
          <w:sz w:val="22"/>
          <w:szCs w:val="22"/>
        </w:rPr>
        <w:t>20</w:t>
      </w:r>
      <w:r w:rsidRPr="00625F0A">
        <w:rPr>
          <w:b w:val="0"/>
          <w:sz w:val="22"/>
          <w:szCs w:val="22"/>
        </w:rPr>
        <w:t xml:space="preserve"> Division of Revenue Bill has adequately </w:t>
      </w:r>
      <w:r w:rsidR="0018453F" w:rsidRPr="00625F0A">
        <w:rPr>
          <w:b w:val="0"/>
          <w:sz w:val="22"/>
          <w:szCs w:val="22"/>
        </w:rPr>
        <w:t>responded to government’s priorities over the 20</w:t>
      </w:r>
      <w:r w:rsidR="003F4779" w:rsidRPr="00625F0A">
        <w:rPr>
          <w:b w:val="0"/>
          <w:sz w:val="22"/>
          <w:szCs w:val="22"/>
        </w:rPr>
        <w:t>20</w:t>
      </w:r>
      <w:r w:rsidR="0018453F" w:rsidRPr="00625F0A">
        <w:rPr>
          <w:b w:val="0"/>
          <w:sz w:val="22"/>
          <w:szCs w:val="22"/>
        </w:rPr>
        <w:t xml:space="preserve"> MTEF period</w:t>
      </w:r>
      <w:r w:rsidR="00405B41">
        <w:rPr>
          <w:b w:val="0"/>
          <w:sz w:val="22"/>
          <w:szCs w:val="22"/>
        </w:rPr>
        <w:t>, despite the reduction in the baselines of the fiscal framework</w:t>
      </w:r>
      <w:r w:rsidR="006B75B8" w:rsidRPr="00625F0A">
        <w:rPr>
          <w:b w:val="0"/>
          <w:sz w:val="22"/>
          <w:szCs w:val="22"/>
        </w:rPr>
        <w:t>.</w:t>
      </w:r>
    </w:p>
    <w:p w14:paraId="578CDBF3" w14:textId="77777777" w:rsidR="00013231" w:rsidRPr="00625F0A" w:rsidRDefault="00013231" w:rsidP="00D15A19">
      <w:pPr>
        <w:pStyle w:val="Heading1"/>
        <w:tabs>
          <w:tab w:val="left" w:pos="360"/>
        </w:tabs>
        <w:spacing w:before="0" w:after="0" w:line="276" w:lineRule="auto"/>
        <w:ind w:left="360"/>
        <w:jc w:val="both"/>
        <w:rPr>
          <w:b w:val="0"/>
          <w:sz w:val="22"/>
          <w:szCs w:val="22"/>
          <w:lang w:val="en-ZA"/>
        </w:rPr>
      </w:pPr>
    </w:p>
    <w:p w14:paraId="51DEDCDB" w14:textId="77777777" w:rsidR="00013231" w:rsidRPr="00625F0A" w:rsidRDefault="00013231" w:rsidP="00D15A19">
      <w:pPr>
        <w:pStyle w:val="ListParagraph"/>
        <w:numPr>
          <w:ilvl w:val="1"/>
          <w:numId w:val="31"/>
        </w:numPr>
        <w:spacing w:line="276" w:lineRule="auto"/>
        <w:ind w:hanging="796"/>
        <w:jc w:val="both"/>
        <w:rPr>
          <w:rFonts w:ascii="Arial" w:hAnsi="Arial" w:cs="Arial"/>
          <w:b/>
          <w:sz w:val="22"/>
          <w:szCs w:val="22"/>
          <w:u w:val="single"/>
        </w:rPr>
      </w:pPr>
      <w:r w:rsidRPr="00625F0A">
        <w:rPr>
          <w:rFonts w:ascii="Arial" w:hAnsi="Arial" w:cs="Arial"/>
          <w:b/>
          <w:sz w:val="22"/>
          <w:szCs w:val="22"/>
          <w:u w:val="single"/>
          <w:lang w:val="en-ZA"/>
        </w:rPr>
        <w:t>SOCIO-ECONOMIC IMPACT</w:t>
      </w:r>
    </w:p>
    <w:p w14:paraId="7DEA20F3" w14:textId="19FF0BFB" w:rsidR="007D553E" w:rsidRPr="00625F0A" w:rsidRDefault="007D553E" w:rsidP="00D15A19">
      <w:pPr>
        <w:autoSpaceDE w:val="0"/>
        <w:autoSpaceDN w:val="0"/>
        <w:adjustRightInd w:val="0"/>
        <w:spacing w:line="276" w:lineRule="auto"/>
        <w:ind w:left="360"/>
        <w:jc w:val="both"/>
        <w:rPr>
          <w:rFonts w:ascii="Arial" w:hAnsi="Arial" w:cs="Arial"/>
          <w:sz w:val="22"/>
          <w:szCs w:val="22"/>
          <w:lang w:val="en-US"/>
        </w:rPr>
      </w:pPr>
    </w:p>
    <w:p w14:paraId="2FF635F3" w14:textId="541B35D2" w:rsidR="007D553E" w:rsidRPr="001D42C1" w:rsidRDefault="004777F7" w:rsidP="00EB6D6A">
      <w:pPr>
        <w:autoSpaceDE w:val="0"/>
        <w:autoSpaceDN w:val="0"/>
        <w:adjustRightInd w:val="0"/>
        <w:spacing w:line="276" w:lineRule="auto"/>
        <w:ind w:left="360"/>
        <w:jc w:val="both"/>
        <w:rPr>
          <w:rFonts w:ascii="Arial" w:hAnsi="Arial" w:cs="Arial"/>
          <w:b/>
          <w:bCs/>
          <w:sz w:val="22"/>
          <w:szCs w:val="22"/>
        </w:rPr>
      </w:pPr>
      <w:r w:rsidRPr="00625F0A">
        <w:rPr>
          <w:rFonts w:ascii="Arial" w:hAnsi="Arial" w:cs="Arial"/>
          <w:sz w:val="22"/>
          <w:szCs w:val="22"/>
        </w:rPr>
        <w:t xml:space="preserve">The Bill would uplift the standard of living across the province in many ways if </w:t>
      </w:r>
      <w:r w:rsidR="00EB6D6A">
        <w:rPr>
          <w:rFonts w:ascii="Arial" w:hAnsi="Arial" w:cs="Arial"/>
          <w:sz w:val="22"/>
          <w:szCs w:val="22"/>
        </w:rPr>
        <w:t>pass</w:t>
      </w:r>
      <w:r w:rsidRPr="00625F0A">
        <w:rPr>
          <w:rFonts w:ascii="Arial" w:hAnsi="Arial" w:cs="Arial"/>
          <w:sz w:val="22"/>
          <w:szCs w:val="22"/>
        </w:rPr>
        <w:t xml:space="preserve">ed and implemented as it is. </w:t>
      </w:r>
      <w:r w:rsidR="007D553E" w:rsidRPr="00625F0A">
        <w:rPr>
          <w:rFonts w:ascii="Arial" w:hAnsi="Arial" w:cs="Arial"/>
          <w:sz w:val="22"/>
          <w:szCs w:val="22"/>
        </w:rPr>
        <w:t>The personal income tax reliefs</w:t>
      </w:r>
      <w:r w:rsidRPr="00625F0A">
        <w:rPr>
          <w:rFonts w:ascii="Arial" w:hAnsi="Arial" w:cs="Arial"/>
          <w:sz w:val="22"/>
          <w:szCs w:val="22"/>
        </w:rPr>
        <w:t xml:space="preserve"> announced in the budget in response to the economic challenges</w:t>
      </w:r>
      <w:r w:rsidR="007D553E" w:rsidRPr="00625F0A">
        <w:rPr>
          <w:rFonts w:ascii="Arial" w:hAnsi="Arial" w:cs="Arial"/>
          <w:sz w:val="22"/>
          <w:szCs w:val="22"/>
        </w:rPr>
        <w:t xml:space="preserve">, will improve household consumption in Gauteng Province. </w:t>
      </w:r>
      <w:r w:rsidR="00EB6D6A">
        <w:rPr>
          <w:rFonts w:ascii="Arial" w:hAnsi="Arial" w:cs="Arial"/>
          <w:sz w:val="22"/>
          <w:szCs w:val="22"/>
        </w:rPr>
        <w:t xml:space="preserve">Despite the </w:t>
      </w:r>
      <w:r w:rsidR="007D553E" w:rsidRPr="00625F0A">
        <w:rPr>
          <w:rFonts w:ascii="Arial" w:hAnsi="Arial" w:cs="Arial"/>
          <w:sz w:val="22"/>
          <w:szCs w:val="22"/>
        </w:rPr>
        <w:t xml:space="preserve">decrease </w:t>
      </w:r>
      <w:r w:rsidR="00EB6D6A">
        <w:rPr>
          <w:rFonts w:ascii="Arial" w:hAnsi="Arial" w:cs="Arial"/>
          <w:sz w:val="22"/>
          <w:szCs w:val="22"/>
        </w:rPr>
        <w:t>in</w:t>
      </w:r>
      <w:r w:rsidR="007D553E" w:rsidRPr="00625F0A">
        <w:rPr>
          <w:rFonts w:ascii="Arial" w:hAnsi="Arial" w:cs="Arial"/>
          <w:sz w:val="22"/>
          <w:szCs w:val="22"/>
        </w:rPr>
        <w:t xml:space="preserve"> equitable share </w:t>
      </w:r>
      <w:r w:rsidR="00EB6D6A">
        <w:rPr>
          <w:rFonts w:ascii="Arial" w:hAnsi="Arial" w:cs="Arial"/>
          <w:sz w:val="22"/>
          <w:szCs w:val="22"/>
        </w:rPr>
        <w:t>and conditional grants</w:t>
      </w:r>
      <w:r w:rsidR="007D553E" w:rsidRPr="00625F0A">
        <w:rPr>
          <w:rFonts w:ascii="Arial" w:hAnsi="Arial" w:cs="Arial"/>
          <w:sz w:val="22"/>
          <w:szCs w:val="22"/>
        </w:rPr>
        <w:t>.</w:t>
      </w:r>
      <w:r w:rsidR="00EB6D6A">
        <w:rPr>
          <w:rFonts w:ascii="Arial" w:hAnsi="Arial" w:cs="Arial"/>
          <w:sz w:val="22"/>
          <w:szCs w:val="22"/>
        </w:rPr>
        <w:t xml:space="preserve"> </w:t>
      </w:r>
      <w:r w:rsidR="00EB6D6A" w:rsidRPr="001D42C1">
        <w:rPr>
          <w:rFonts w:ascii="Arial" w:hAnsi="Arial" w:cs="Arial"/>
          <w:b/>
          <w:bCs/>
          <w:sz w:val="22"/>
          <w:szCs w:val="22"/>
        </w:rPr>
        <w:t xml:space="preserve">It is noteworthy that </w:t>
      </w:r>
      <w:r w:rsidR="00EB6D6A" w:rsidRPr="001D42C1">
        <w:rPr>
          <w:rFonts w:ascii="Arial" w:hAnsi="Arial" w:cs="Arial"/>
          <w:b/>
          <w:bCs/>
          <w:sz w:val="22"/>
          <w:szCs w:val="22"/>
          <w:lang w:val="en-US"/>
        </w:rPr>
        <w:t xml:space="preserve">transfers to fund operational costs of social services in provinces and free basic services in municipalities have been protected in real, per capita terms. </w:t>
      </w:r>
    </w:p>
    <w:p w14:paraId="0F0E2CDD" w14:textId="77777777" w:rsidR="003F4779" w:rsidRPr="00625F0A" w:rsidRDefault="003F4779" w:rsidP="00D15A19">
      <w:pPr>
        <w:spacing w:line="276" w:lineRule="auto"/>
        <w:ind w:left="360"/>
        <w:jc w:val="both"/>
        <w:rPr>
          <w:rFonts w:ascii="Arial" w:hAnsi="Arial" w:cs="Arial"/>
          <w:sz w:val="22"/>
          <w:szCs w:val="22"/>
        </w:rPr>
      </w:pPr>
    </w:p>
    <w:p w14:paraId="5089EA75" w14:textId="32B63299" w:rsidR="00D458BD" w:rsidRDefault="004777F7" w:rsidP="00D15A19">
      <w:pPr>
        <w:autoSpaceDE w:val="0"/>
        <w:autoSpaceDN w:val="0"/>
        <w:adjustRightInd w:val="0"/>
        <w:spacing w:line="276" w:lineRule="auto"/>
        <w:ind w:left="360"/>
        <w:jc w:val="both"/>
        <w:rPr>
          <w:rFonts w:ascii="Arial" w:hAnsi="Arial" w:cs="Arial"/>
          <w:bCs/>
          <w:sz w:val="22"/>
          <w:szCs w:val="22"/>
        </w:rPr>
      </w:pPr>
      <w:r w:rsidRPr="00625F0A">
        <w:rPr>
          <w:rFonts w:ascii="Arial" w:hAnsi="Arial" w:cs="Arial"/>
          <w:bCs/>
          <w:sz w:val="22"/>
          <w:szCs w:val="22"/>
          <w:lang w:val="en-ZA"/>
        </w:rPr>
        <w:t xml:space="preserve">With the division of </w:t>
      </w:r>
      <w:r w:rsidR="0086265C" w:rsidRPr="00625F0A">
        <w:rPr>
          <w:rFonts w:ascii="Arial" w:hAnsi="Arial" w:cs="Arial"/>
          <w:bCs/>
          <w:sz w:val="22"/>
          <w:szCs w:val="22"/>
          <w:lang w:val="en-ZA"/>
        </w:rPr>
        <w:t>revenue,</w:t>
      </w:r>
      <w:r w:rsidRPr="00625F0A">
        <w:rPr>
          <w:rFonts w:ascii="Arial" w:hAnsi="Arial" w:cs="Arial"/>
          <w:bCs/>
          <w:sz w:val="22"/>
          <w:szCs w:val="22"/>
          <w:lang w:val="en-ZA"/>
        </w:rPr>
        <w:t xml:space="preserve"> government continues to invest in economic </w:t>
      </w:r>
      <w:r w:rsidR="0086265C" w:rsidRPr="00625F0A">
        <w:rPr>
          <w:rFonts w:ascii="Arial" w:hAnsi="Arial" w:cs="Arial"/>
          <w:bCs/>
          <w:sz w:val="22"/>
          <w:szCs w:val="22"/>
          <w:lang w:val="en-ZA"/>
        </w:rPr>
        <w:t>infrastructure such</w:t>
      </w:r>
      <w:r w:rsidRPr="00625F0A">
        <w:rPr>
          <w:rFonts w:ascii="Arial" w:hAnsi="Arial" w:cs="Arial"/>
          <w:bCs/>
          <w:sz w:val="22"/>
          <w:szCs w:val="22"/>
          <w:lang w:val="en-ZA"/>
        </w:rPr>
        <w:t xml:space="preserve"> as roads and social infrastructure such as schools, hospitals and clinics to stimulate economic development, create jobs and address economic and social disparities.</w:t>
      </w:r>
      <w:r w:rsidR="00D458BD" w:rsidRPr="00625F0A">
        <w:rPr>
          <w:rFonts w:ascii="Arial" w:hAnsi="Arial" w:cs="Arial"/>
          <w:bCs/>
          <w:sz w:val="22"/>
          <w:szCs w:val="22"/>
        </w:rPr>
        <w:t xml:space="preserve"> </w:t>
      </w:r>
    </w:p>
    <w:p w14:paraId="6FE47BF1" w14:textId="77777777" w:rsidR="00EB6D6A" w:rsidRDefault="00EB6D6A" w:rsidP="00D15A19">
      <w:pPr>
        <w:autoSpaceDE w:val="0"/>
        <w:autoSpaceDN w:val="0"/>
        <w:adjustRightInd w:val="0"/>
        <w:spacing w:line="276" w:lineRule="auto"/>
        <w:ind w:left="360"/>
        <w:jc w:val="both"/>
        <w:rPr>
          <w:rFonts w:ascii="Arial" w:hAnsi="Arial" w:cs="Arial"/>
          <w:bCs/>
          <w:sz w:val="22"/>
          <w:szCs w:val="22"/>
        </w:rPr>
      </w:pPr>
    </w:p>
    <w:p w14:paraId="1C4FCEEB" w14:textId="77777777" w:rsidR="00013231" w:rsidRPr="00625F0A" w:rsidRDefault="00012E20" w:rsidP="00D15A19">
      <w:pPr>
        <w:pStyle w:val="ListParagraph"/>
        <w:numPr>
          <w:ilvl w:val="1"/>
          <w:numId w:val="31"/>
        </w:numPr>
        <w:spacing w:line="276" w:lineRule="auto"/>
        <w:ind w:hanging="796"/>
        <w:jc w:val="both"/>
        <w:rPr>
          <w:rFonts w:ascii="Arial" w:hAnsi="Arial" w:cs="Arial"/>
          <w:b/>
          <w:sz w:val="22"/>
          <w:szCs w:val="22"/>
          <w:u w:val="single"/>
        </w:rPr>
      </w:pPr>
      <w:r w:rsidRPr="00625F0A">
        <w:rPr>
          <w:rFonts w:ascii="Arial" w:hAnsi="Arial" w:cs="Arial"/>
          <w:b/>
          <w:sz w:val="22"/>
          <w:szCs w:val="22"/>
          <w:u w:val="single"/>
        </w:rPr>
        <w:t>FINANCIAL IMPLICATIONS OF THE BILL</w:t>
      </w:r>
    </w:p>
    <w:p w14:paraId="3CC1D048" w14:textId="77777777" w:rsidR="002F0A9A" w:rsidRPr="00625F0A" w:rsidRDefault="002F0A9A" w:rsidP="00D15A19">
      <w:pPr>
        <w:pStyle w:val="ListParagraph"/>
        <w:spacing w:line="276" w:lineRule="auto"/>
        <w:jc w:val="both"/>
        <w:rPr>
          <w:rFonts w:ascii="Arial" w:hAnsi="Arial" w:cs="Arial"/>
          <w:b/>
          <w:sz w:val="22"/>
          <w:szCs w:val="22"/>
          <w:u w:val="single"/>
        </w:rPr>
      </w:pPr>
    </w:p>
    <w:p w14:paraId="1D0D6B72" w14:textId="70E4FBEE" w:rsidR="000025FA" w:rsidRPr="00625F0A" w:rsidRDefault="00B521DE" w:rsidP="00D15A19">
      <w:pPr>
        <w:autoSpaceDE w:val="0"/>
        <w:autoSpaceDN w:val="0"/>
        <w:adjustRightInd w:val="0"/>
        <w:spacing w:line="276" w:lineRule="auto"/>
        <w:ind w:left="360"/>
        <w:jc w:val="both"/>
        <w:rPr>
          <w:rFonts w:ascii="Arial" w:hAnsi="Arial" w:cs="Arial"/>
          <w:sz w:val="22"/>
          <w:szCs w:val="22"/>
          <w:lang w:val="en-US"/>
        </w:rPr>
      </w:pPr>
      <w:r w:rsidRPr="00625F0A">
        <w:rPr>
          <w:rFonts w:ascii="Arial" w:hAnsi="Arial" w:cs="Arial"/>
          <w:sz w:val="22"/>
          <w:szCs w:val="22"/>
          <w:lang w:val="en-US"/>
        </w:rPr>
        <w:t xml:space="preserve">South Africa requires faster economic growth rates, in order to raise the requisite revenue needed to fund the country’s socio-economic development agenda. </w:t>
      </w:r>
      <w:r w:rsidR="000025FA" w:rsidRPr="00625F0A">
        <w:rPr>
          <w:rFonts w:ascii="Arial" w:hAnsi="Arial" w:cs="Arial"/>
          <w:sz w:val="22"/>
          <w:szCs w:val="22"/>
          <w:lang w:val="en-US"/>
        </w:rPr>
        <w:t>Without sustainable public finances, revenue will continue to pay interest on debt, which absorbs 15 cents of every 1 rand collected in taxes. Furthermore, without financially viable state-owned enterprises, taxpayers will continuously bail them out.</w:t>
      </w:r>
    </w:p>
    <w:p w14:paraId="7109FB87" w14:textId="77777777" w:rsidR="000025FA" w:rsidRPr="00625F0A" w:rsidRDefault="000025FA" w:rsidP="00D15A19">
      <w:pPr>
        <w:autoSpaceDE w:val="0"/>
        <w:autoSpaceDN w:val="0"/>
        <w:adjustRightInd w:val="0"/>
        <w:spacing w:line="276" w:lineRule="auto"/>
        <w:ind w:left="360"/>
        <w:jc w:val="both"/>
        <w:rPr>
          <w:rFonts w:ascii="Arial" w:hAnsi="Arial" w:cs="Arial"/>
          <w:sz w:val="22"/>
          <w:szCs w:val="22"/>
          <w:lang w:val="en-US"/>
        </w:rPr>
      </w:pPr>
    </w:p>
    <w:p w14:paraId="11C4AA7C" w14:textId="64F50E8B" w:rsidR="0086265C" w:rsidRPr="00625F0A" w:rsidRDefault="0067492E" w:rsidP="00D15A19">
      <w:pPr>
        <w:autoSpaceDE w:val="0"/>
        <w:autoSpaceDN w:val="0"/>
        <w:adjustRightInd w:val="0"/>
        <w:spacing w:line="276" w:lineRule="auto"/>
        <w:ind w:left="360"/>
        <w:jc w:val="both"/>
        <w:rPr>
          <w:rFonts w:ascii="Arial" w:hAnsi="Arial" w:cs="Arial"/>
          <w:sz w:val="22"/>
          <w:szCs w:val="22"/>
          <w:lang w:val="en-US"/>
        </w:rPr>
      </w:pPr>
      <w:r w:rsidRPr="00625F0A">
        <w:rPr>
          <w:rFonts w:ascii="Arial" w:hAnsi="Arial" w:cs="Arial"/>
          <w:sz w:val="22"/>
          <w:szCs w:val="22"/>
          <w:lang w:val="en-US"/>
        </w:rPr>
        <w:t xml:space="preserve">Over the past year, </w:t>
      </w:r>
      <w:r w:rsidR="0086265C" w:rsidRPr="00625F0A">
        <w:rPr>
          <w:rFonts w:ascii="Arial" w:hAnsi="Arial" w:cs="Arial"/>
          <w:sz w:val="22"/>
          <w:szCs w:val="22"/>
          <w:lang w:val="en-US"/>
        </w:rPr>
        <w:t xml:space="preserve">economic growth has been weaker than predicted and it is only expected to reach 0.9% in 2020. </w:t>
      </w:r>
      <w:r w:rsidR="001D42C1">
        <w:rPr>
          <w:rFonts w:ascii="Arial" w:hAnsi="Arial" w:cs="Arial"/>
          <w:sz w:val="22"/>
          <w:szCs w:val="22"/>
          <w:lang w:val="en-US"/>
        </w:rPr>
        <w:t>Power outages</w:t>
      </w:r>
      <w:r w:rsidR="0086265C" w:rsidRPr="00625F0A">
        <w:rPr>
          <w:rFonts w:ascii="Arial" w:hAnsi="Arial" w:cs="Arial"/>
          <w:sz w:val="22"/>
          <w:szCs w:val="22"/>
          <w:lang w:val="en-US"/>
        </w:rPr>
        <w:t xml:space="preserve"> has put the economy under tremendous pressure  and so are the demands from Eskom and other financially distressed state-owned enterprises draining public resources. </w:t>
      </w:r>
      <w:r w:rsidR="00793DA7" w:rsidRPr="00625F0A">
        <w:rPr>
          <w:rFonts w:ascii="Arial" w:hAnsi="Arial" w:cs="Arial"/>
          <w:sz w:val="22"/>
          <w:szCs w:val="22"/>
          <w:lang w:val="en-US"/>
        </w:rPr>
        <w:t>In 2019/20 FY, revenue collected is expected to be R63.3 billion lower than forecasted. By 2022/23 FY, gross government debt is expected to rise to 71.6% of GDP.</w:t>
      </w:r>
    </w:p>
    <w:p w14:paraId="18F65BDE" w14:textId="77777777" w:rsidR="0086265C" w:rsidRPr="00625F0A" w:rsidRDefault="0086265C" w:rsidP="00D15A19">
      <w:pPr>
        <w:autoSpaceDE w:val="0"/>
        <w:autoSpaceDN w:val="0"/>
        <w:adjustRightInd w:val="0"/>
        <w:spacing w:line="276" w:lineRule="auto"/>
        <w:ind w:left="360"/>
        <w:jc w:val="both"/>
        <w:rPr>
          <w:rFonts w:ascii="Arial" w:hAnsi="Arial" w:cs="Arial"/>
          <w:sz w:val="22"/>
          <w:szCs w:val="22"/>
          <w:lang w:val="en-US"/>
        </w:rPr>
      </w:pPr>
    </w:p>
    <w:p w14:paraId="5461A8D2" w14:textId="278E8D11" w:rsidR="00793DA7" w:rsidRPr="00625F0A" w:rsidRDefault="00793DA7" w:rsidP="00D15A19">
      <w:pPr>
        <w:autoSpaceDE w:val="0"/>
        <w:autoSpaceDN w:val="0"/>
        <w:adjustRightInd w:val="0"/>
        <w:spacing w:line="276" w:lineRule="auto"/>
        <w:ind w:left="360"/>
        <w:jc w:val="both"/>
        <w:rPr>
          <w:rFonts w:ascii="Arial" w:hAnsi="Arial" w:cs="Arial"/>
          <w:sz w:val="22"/>
          <w:szCs w:val="22"/>
          <w:lang w:val="en-US"/>
        </w:rPr>
      </w:pPr>
      <w:r w:rsidRPr="00625F0A">
        <w:rPr>
          <w:rFonts w:ascii="Arial" w:hAnsi="Arial" w:cs="Arial"/>
          <w:sz w:val="22"/>
          <w:szCs w:val="22"/>
          <w:lang w:val="en-US"/>
        </w:rPr>
        <w:t>In addressing this difficult situation, two complementary approaches are required, that is, determining action to reverse the deterioration of the public finances by narrowing the budget deficit and containing debt, and structural reforms to return the economy to faster, sustainable growth</w:t>
      </w:r>
      <w:r w:rsidR="0067492E" w:rsidRPr="00625F0A">
        <w:rPr>
          <w:rFonts w:ascii="Arial" w:hAnsi="Arial" w:cs="Arial"/>
          <w:sz w:val="22"/>
          <w:szCs w:val="22"/>
          <w:lang w:val="en-US"/>
        </w:rPr>
        <w:t>.</w:t>
      </w:r>
      <w:r w:rsidRPr="00625F0A">
        <w:rPr>
          <w:rFonts w:ascii="Arial" w:hAnsi="Arial" w:cs="Arial"/>
          <w:sz w:val="22"/>
          <w:szCs w:val="22"/>
          <w:lang w:val="en-US"/>
        </w:rPr>
        <w:t xml:space="preserve"> It is against this backdrop that the 2020 budget priority is to achieve fiscal consolidation by narrowing the budget deficit to stabilize the national debt-to-GDP ratio; moderating spending as a share of GDP; and reducing the wage bill as a share of overall spending.</w:t>
      </w:r>
    </w:p>
    <w:p w14:paraId="72603BDC" w14:textId="419650D6" w:rsidR="0067492E" w:rsidRPr="00625F0A" w:rsidRDefault="0067492E" w:rsidP="00D15A19">
      <w:pPr>
        <w:autoSpaceDE w:val="0"/>
        <w:autoSpaceDN w:val="0"/>
        <w:adjustRightInd w:val="0"/>
        <w:spacing w:line="276" w:lineRule="auto"/>
        <w:ind w:left="360"/>
        <w:jc w:val="both"/>
        <w:rPr>
          <w:rFonts w:ascii="Arial" w:hAnsi="Arial" w:cs="Arial"/>
          <w:sz w:val="22"/>
          <w:szCs w:val="22"/>
          <w:lang w:val="en-US"/>
        </w:rPr>
      </w:pPr>
    </w:p>
    <w:p w14:paraId="189EBE05" w14:textId="785AA083" w:rsidR="00F623FE" w:rsidRPr="00625F0A" w:rsidRDefault="003B6BA1" w:rsidP="00D15A19">
      <w:pPr>
        <w:autoSpaceDE w:val="0"/>
        <w:autoSpaceDN w:val="0"/>
        <w:adjustRightInd w:val="0"/>
        <w:spacing w:line="276" w:lineRule="auto"/>
        <w:ind w:left="360"/>
        <w:jc w:val="both"/>
        <w:rPr>
          <w:rFonts w:ascii="Arial" w:hAnsi="Arial" w:cs="Arial"/>
          <w:b/>
          <w:bCs/>
          <w:sz w:val="22"/>
          <w:szCs w:val="22"/>
          <w:lang w:val="en-US"/>
        </w:rPr>
      </w:pPr>
      <w:r w:rsidRPr="00625F0A">
        <w:rPr>
          <w:rFonts w:ascii="Arial" w:hAnsi="Arial" w:cs="Arial"/>
          <w:sz w:val="22"/>
          <w:szCs w:val="22"/>
          <w:lang w:val="en-US"/>
        </w:rPr>
        <w:t>T</w:t>
      </w:r>
      <w:r w:rsidR="00F623FE" w:rsidRPr="00625F0A">
        <w:rPr>
          <w:rFonts w:ascii="Arial" w:hAnsi="Arial" w:cs="Arial"/>
          <w:sz w:val="22"/>
          <w:szCs w:val="22"/>
          <w:lang w:val="en-US"/>
        </w:rPr>
        <w:t xml:space="preserve">o this end, reductions to previously announced spending levels were made across all spheres of government to fit within the revised expenditure ceiling. The provincial equitable share has been reduced by R7.3 billion  through a 2% reduction in all non-compensation spending per year and </w:t>
      </w:r>
      <w:r w:rsidR="00F623FE" w:rsidRPr="00625F0A">
        <w:rPr>
          <w:rFonts w:ascii="Arial" w:hAnsi="Arial" w:cs="Arial"/>
          <w:sz w:val="22"/>
          <w:szCs w:val="22"/>
          <w:lang w:val="en-US"/>
        </w:rPr>
        <w:lastRenderedPageBreak/>
        <w:t xml:space="preserve">a R5.2 billion reduction in compensation of employees. The </w:t>
      </w:r>
      <w:r w:rsidR="004401D2" w:rsidRPr="00625F0A">
        <w:rPr>
          <w:rFonts w:ascii="Arial" w:hAnsi="Arial" w:cs="Arial"/>
          <w:sz w:val="22"/>
          <w:szCs w:val="22"/>
          <w:lang w:val="en-US"/>
        </w:rPr>
        <w:t>l</w:t>
      </w:r>
      <w:r w:rsidR="00F623FE" w:rsidRPr="00625F0A">
        <w:rPr>
          <w:rFonts w:ascii="Arial" w:hAnsi="Arial" w:cs="Arial"/>
          <w:sz w:val="22"/>
          <w:szCs w:val="22"/>
          <w:lang w:val="en-US"/>
        </w:rPr>
        <w:t>ocal government equitable share allocation ha</w:t>
      </w:r>
      <w:r w:rsidR="004401D2" w:rsidRPr="00625F0A">
        <w:rPr>
          <w:rFonts w:ascii="Arial" w:hAnsi="Arial" w:cs="Arial"/>
          <w:sz w:val="22"/>
          <w:szCs w:val="22"/>
          <w:lang w:val="en-US"/>
        </w:rPr>
        <w:t xml:space="preserve">s also </w:t>
      </w:r>
      <w:r w:rsidR="00F623FE" w:rsidRPr="00625F0A">
        <w:rPr>
          <w:rFonts w:ascii="Arial" w:hAnsi="Arial" w:cs="Arial"/>
          <w:sz w:val="22"/>
          <w:szCs w:val="22"/>
          <w:lang w:val="en-US"/>
        </w:rPr>
        <w:t xml:space="preserve">been reduced by R3.2 billion in unallocated funds earmarked for higher bulk cost increases. </w:t>
      </w:r>
      <w:r w:rsidR="004401D2" w:rsidRPr="00625F0A">
        <w:rPr>
          <w:rFonts w:ascii="Arial" w:hAnsi="Arial" w:cs="Arial"/>
          <w:sz w:val="22"/>
          <w:szCs w:val="22"/>
          <w:lang w:val="en-US"/>
        </w:rPr>
        <w:t xml:space="preserve">Despite the reductions, considering the impact of inflation and population growth, the equitable share remains stable for the past decade and the changes are inconsequential. </w:t>
      </w:r>
      <w:r w:rsidR="004401D2" w:rsidRPr="00625F0A">
        <w:rPr>
          <w:rFonts w:ascii="Arial" w:hAnsi="Arial" w:cs="Arial"/>
          <w:b/>
          <w:bCs/>
          <w:sz w:val="22"/>
          <w:szCs w:val="22"/>
          <w:lang w:val="en-US"/>
        </w:rPr>
        <w:t>The Portfolio Committee noted with appreciation that transfers to fund operational costs of social services in provinces and free basic services in municipalities have been protected in real, per capita terms.</w:t>
      </w:r>
    </w:p>
    <w:p w14:paraId="1407BDF3" w14:textId="77777777" w:rsidR="004401D2" w:rsidRPr="00625F0A" w:rsidRDefault="004401D2" w:rsidP="00D15A19">
      <w:pPr>
        <w:autoSpaceDE w:val="0"/>
        <w:autoSpaceDN w:val="0"/>
        <w:adjustRightInd w:val="0"/>
        <w:spacing w:line="276" w:lineRule="auto"/>
        <w:ind w:left="360"/>
        <w:jc w:val="both"/>
        <w:rPr>
          <w:rFonts w:ascii="Arial" w:hAnsi="Arial" w:cs="Arial"/>
          <w:sz w:val="22"/>
          <w:szCs w:val="22"/>
          <w:lang w:val="en-US"/>
        </w:rPr>
      </w:pPr>
    </w:p>
    <w:p w14:paraId="79521A0E" w14:textId="5802BBAC" w:rsidR="00881128" w:rsidRPr="00625F0A" w:rsidRDefault="004401D2" w:rsidP="00D15A19">
      <w:pPr>
        <w:spacing w:line="276" w:lineRule="auto"/>
        <w:ind w:left="360"/>
        <w:jc w:val="both"/>
        <w:rPr>
          <w:rFonts w:ascii="Arial" w:hAnsi="Arial" w:cs="Arial"/>
          <w:bCs/>
          <w:sz w:val="22"/>
          <w:szCs w:val="22"/>
        </w:rPr>
      </w:pPr>
      <w:r w:rsidRPr="00625F0A">
        <w:rPr>
          <w:rFonts w:ascii="Arial" w:hAnsi="Arial" w:cs="Arial"/>
          <w:sz w:val="22"/>
          <w:szCs w:val="22"/>
          <w:lang w:val="en-US"/>
        </w:rPr>
        <w:t>Similarly, d</w:t>
      </w:r>
      <w:r w:rsidR="00F623FE" w:rsidRPr="00625F0A">
        <w:rPr>
          <w:rFonts w:ascii="Arial" w:hAnsi="Arial" w:cs="Arial"/>
          <w:sz w:val="22"/>
          <w:szCs w:val="22"/>
          <w:lang w:val="en-US"/>
        </w:rPr>
        <w:t>irect conditional grants ha</w:t>
      </w:r>
      <w:r w:rsidRPr="00625F0A">
        <w:rPr>
          <w:rFonts w:ascii="Arial" w:hAnsi="Arial" w:cs="Arial"/>
          <w:sz w:val="22"/>
          <w:szCs w:val="22"/>
          <w:lang w:val="en-US"/>
        </w:rPr>
        <w:t>ve</w:t>
      </w:r>
      <w:r w:rsidR="00F623FE" w:rsidRPr="00625F0A">
        <w:rPr>
          <w:rFonts w:ascii="Arial" w:hAnsi="Arial" w:cs="Arial"/>
          <w:sz w:val="22"/>
          <w:szCs w:val="22"/>
          <w:lang w:val="en-US"/>
        </w:rPr>
        <w:t xml:space="preserve"> been reduced by R13.3 billion</w:t>
      </w:r>
      <w:r w:rsidRPr="00625F0A">
        <w:rPr>
          <w:rFonts w:ascii="Arial" w:hAnsi="Arial" w:cs="Arial"/>
          <w:sz w:val="22"/>
          <w:szCs w:val="22"/>
          <w:lang w:val="en-US"/>
        </w:rPr>
        <w:t xml:space="preserve">, as a reduction of R16.2 billion partly offset by the </w:t>
      </w:r>
      <w:r w:rsidR="00881128" w:rsidRPr="00625F0A">
        <w:rPr>
          <w:rFonts w:ascii="Arial" w:hAnsi="Arial" w:cs="Arial"/>
          <w:sz w:val="22"/>
          <w:szCs w:val="22"/>
          <w:lang w:val="en-US"/>
        </w:rPr>
        <w:t>reprioritizations</w:t>
      </w:r>
      <w:r w:rsidRPr="00625F0A">
        <w:rPr>
          <w:rFonts w:ascii="Arial" w:hAnsi="Arial" w:cs="Arial"/>
          <w:sz w:val="22"/>
          <w:szCs w:val="22"/>
          <w:lang w:val="en-US"/>
        </w:rPr>
        <w:t xml:space="preserve"> of R2.9 billion</w:t>
      </w:r>
      <w:r w:rsidR="00881128" w:rsidRPr="00625F0A">
        <w:rPr>
          <w:rFonts w:ascii="Arial" w:hAnsi="Arial" w:cs="Arial"/>
          <w:sz w:val="22"/>
          <w:szCs w:val="22"/>
          <w:lang w:val="en-US"/>
        </w:rPr>
        <w:t xml:space="preserve">. Like the provincial equitable share, the conditional grants funds are still in line with allocations over the last decade after taking into consideration inflation. </w:t>
      </w:r>
      <w:r w:rsidR="00881128" w:rsidRPr="00625F0A">
        <w:rPr>
          <w:rFonts w:ascii="Arial" w:hAnsi="Arial" w:cs="Arial"/>
          <w:b/>
          <w:bCs/>
          <w:sz w:val="22"/>
          <w:szCs w:val="22"/>
          <w:lang w:val="en-US"/>
        </w:rPr>
        <w:t>However</w:t>
      </w:r>
      <w:r w:rsidR="00881128" w:rsidRPr="00625F0A">
        <w:rPr>
          <w:rFonts w:ascii="Arial" w:hAnsi="Arial" w:cs="Arial"/>
          <w:sz w:val="22"/>
          <w:szCs w:val="22"/>
          <w:lang w:val="en-US"/>
        </w:rPr>
        <w:t xml:space="preserve">, </w:t>
      </w:r>
      <w:r w:rsidR="00881128" w:rsidRPr="00625F0A">
        <w:rPr>
          <w:rFonts w:ascii="Arial" w:hAnsi="Arial" w:cs="Arial"/>
          <w:b/>
          <w:sz w:val="22"/>
          <w:szCs w:val="22"/>
        </w:rPr>
        <w:t>the Portfolio Committee noted that contrary to the equitable share, the growth of conditional grants is not keeping pace with the population growth</w:t>
      </w:r>
      <w:r w:rsidR="00881128" w:rsidRPr="00625F0A">
        <w:rPr>
          <w:rFonts w:ascii="Arial" w:hAnsi="Arial" w:cs="Arial"/>
          <w:bCs/>
          <w:sz w:val="22"/>
          <w:szCs w:val="22"/>
        </w:rPr>
        <w:t>. To manage the impact of reductions, the reductions considered past spending and performance, whether it funds salaries, medicines and food, and whether there has been any significant real growth in allocations in the recent years. Larger reductions were also effected to grants to urban municipalities, which could be offse</w:t>
      </w:r>
      <w:r w:rsidR="00D15A19" w:rsidRPr="00625F0A">
        <w:rPr>
          <w:rFonts w:ascii="Arial" w:hAnsi="Arial" w:cs="Arial"/>
          <w:bCs/>
          <w:sz w:val="22"/>
          <w:szCs w:val="22"/>
        </w:rPr>
        <w:t>t by their revenue investments.</w:t>
      </w:r>
    </w:p>
    <w:p w14:paraId="562F3F2B" w14:textId="77777777" w:rsidR="00D15A19" w:rsidRPr="00625F0A" w:rsidRDefault="00D15A19" w:rsidP="00D15A19">
      <w:pPr>
        <w:spacing w:line="276" w:lineRule="auto"/>
        <w:ind w:left="284"/>
        <w:jc w:val="both"/>
        <w:rPr>
          <w:rFonts w:ascii="Arial" w:hAnsi="Arial" w:cs="Arial"/>
          <w:sz w:val="22"/>
          <w:szCs w:val="22"/>
          <w:lang w:val="en-US"/>
        </w:rPr>
      </w:pPr>
    </w:p>
    <w:p w14:paraId="21D6619E" w14:textId="7BE68953" w:rsidR="003D338A" w:rsidRPr="00625F0A" w:rsidRDefault="003D338A" w:rsidP="00202D55">
      <w:pPr>
        <w:spacing w:line="276" w:lineRule="auto"/>
        <w:ind w:left="360"/>
        <w:jc w:val="both"/>
        <w:rPr>
          <w:rFonts w:ascii="Arial" w:hAnsi="Arial" w:cs="Arial"/>
          <w:sz w:val="22"/>
          <w:szCs w:val="22"/>
        </w:rPr>
      </w:pPr>
      <w:r w:rsidRPr="00625F0A">
        <w:rPr>
          <w:rFonts w:ascii="Arial" w:hAnsi="Arial" w:cs="Arial"/>
          <w:sz w:val="22"/>
          <w:szCs w:val="22"/>
          <w:lang w:val="en-US"/>
        </w:rPr>
        <w:t xml:space="preserve">Excluding the debt-service costs and the contingency reserves, the </w:t>
      </w:r>
      <w:r w:rsidRPr="00625F0A">
        <w:rPr>
          <w:rFonts w:ascii="Arial" w:hAnsi="Arial" w:cs="Arial"/>
          <w:sz w:val="22"/>
          <w:szCs w:val="22"/>
        </w:rPr>
        <w:t>total revenue raised and to be allocated between the three spheres of government, amounts to R1</w:t>
      </w:r>
      <w:r w:rsidR="00AF2656" w:rsidRPr="00625F0A">
        <w:rPr>
          <w:rFonts w:ascii="Arial" w:hAnsi="Arial" w:cs="Arial"/>
          <w:sz w:val="22"/>
          <w:szCs w:val="22"/>
        </w:rPr>
        <w:t> </w:t>
      </w:r>
      <w:r w:rsidR="00D238EB" w:rsidRPr="00625F0A">
        <w:rPr>
          <w:rFonts w:ascii="Arial" w:hAnsi="Arial" w:cs="Arial"/>
          <w:sz w:val="22"/>
          <w:szCs w:val="22"/>
        </w:rPr>
        <w:t>531</w:t>
      </w:r>
      <w:r w:rsidR="00AF2656" w:rsidRPr="00625F0A">
        <w:rPr>
          <w:rFonts w:ascii="Arial" w:hAnsi="Arial" w:cs="Arial"/>
          <w:sz w:val="22"/>
          <w:szCs w:val="22"/>
        </w:rPr>
        <w:t> 724 000</w:t>
      </w:r>
      <w:r w:rsidRPr="00625F0A">
        <w:rPr>
          <w:rFonts w:ascii="Arial" w:hAnsi="Arial" w:cs="Arial"/>
          <w:sz w:val="22"/>
          <w:szCs w:val="22"/>
        </w:rPr>
        <w:t xml:space="preserve"> in </w:t>
      </w:r>
      <w:r w:rsidR="00D95AC8" w:rsidRPr="00625F0A">
        <w:rPr>
          <w:rFonts w:ascii="Arial" w:hAnsi="Arial" w:cs="Arial"/>
          <w:sz w:val="22"/>
          <w:szCs w:val="22"/>
        </w:rPr>
        <w:t xml:space="preserve">the </w:t>
      </w:r>
      <w:r w:rsidRPr="00625F0A">
        <w:rPr>
          <w:rFonts w:ascii="Arial" w:hAnsi="Arial" w:cs="Arial"/>
          <w:sz w:val="22"/>
          <w:szCs w:val="22"/>
        </w:rPr>
        <w:t>20</w:t>
      </w:r>
      <w:r w:rsidR="00AF2656" w:rsidRPr="00625F0A">
        <w:rPr>
          <w:rFonts w:ascii="Arial" w:hAnsi="Arial" w:cs="Arial"/>
          <w:sz w:val="22"/>
          <w:szCs w:val="22"/>
        </w:rPr>
        <w:t>20</w:t>
      </w:r>
      <w:r w:rsidR="00D95AC8" w:rsidRPr="00625F0A">
        <w:rPr>
          <w:rFonts w:ascii="Arial" w:hAnsi="Arial" w:cs="Arial"/>
          <w:sz w:val="22"/>
          <w:szCs w:val="22"/>
        </w:rPr>
        <w:t>/2</w:t>
      </w:r>
      <w:r w:rsidR="00AF2656" w:rsidRPr="00625F0A">
        <w:rPr>
          <w:rFonts w:ascii="Arial" w:hAnsi="Arial" w:cs="Arial"/>
          <w:sz w:val="22"/>
          <w:szCs w:val="22"/>
        </w:rPr>
        <w:t>1</w:t>
      </w:r>
      <w:r w:rsidR="00D95AC8" w:rsidRPr="00625F0A">
        <w:rPr>
          <w:rFonts w:ascii="Arial" w:hAnsi="Arial" w:cs="Arial"/>
          <w:sz w:val="22"/>
          <w:szCs w:val="22"/>
        </w:rPr>
        <w:t xml:space="preserve"> FY</w:t>
      </w:r>
      <w:r w:rsidRPr="00625F0A">
        <w:rPr>
          <w:rFonts w:ascii="Arial" w:hAnsi="Arial" w:cs="Arial"/>
          <w:sz w:val="22"/>
          <w:szCs w:val="22"/>
        </w:rPr>
        <w:t>, increasing to R</w:t>
      </w:r>
      <w:r w:rsidRPr="00625F0A">
        <w:rPr>
          <w:rFonts w:ascii="Arial" w:hAnsi="Arial" w:cs="Arial"/>
          <w:sz w:val="22"/>
          <w:szCs w:val="22"/>
          <w:lang w:val="en-ZA"/>
        </w:rPr>
        <w:t>1</w:t>
      </w:r>
      <w:r w:rsidR="00E86ABD" w:rsidRPr="00625F0A">
        <w:rPr>
          <w:rFonts w:ascii="Arial" w:hAnsi="Arial" w:cs="Arial"/>
          <w:sz w:val="22"/>
          <w:szCs w:val="22"/>
          <w:lang w:val="en-ZA"/>
        </w:rPr>
        <w:t> 587 186</w:t>
      </w:r>
      <w:r w:rsidRPr="00625F0A">
        <w:rPr>
          <w:rFonts w:ascii="Arial" w:hAnsi="Arial" w:cs="Arial"/>
          <w:sz w:val="22"/>
          <w:szCs w:val="22"/>
        </w:rPr>
        <w:t xml:space="preserve"> 000 in </w:t>
      </w:r>
      <w:r w:rsidR="00D95AC8" w:rsidRPr="00625F0A">
        <w:rPr>
          <w:rFonts w:ascii="Arial" w:hAnsi="Arial" w:cs="Arial"/>
          <w:sz w:val="22"/>
          <w:szCs w:val="22"/>
        </w:rPr>
        <w:t>the 202</w:t>
      </w:r>
      <w:r w:rsidR="00E86ABD" w:rsidRPr="00625F0A">
        <w:rPr>
          <w:rFonts w:ascii="Arial" w:hAnsi="Arial" w:cs="Arial"/>
          <w:sz w:val="22"/>
          <w:szCs w:val="22"/>
        </w:rPr>
        <w:t>1</w:t>
      </w:r>
      <w:r w:rsidR="00D95AC8" w:rsidRPr="00625F0A">
        <w:rPr>
          <w:rFonts w:ascii="Arial" w:hAnsi="Arial" w:cs="Arial"/>
          <w:sz w:val="22"/>
          <w:szCs w:val="22"/>
        </w:rPr>
        <w:t>/2</w:t>
      </w:r>
      <w:r w:rsidR="00E86ABD" w:rsidRPr="00625F0A">
        <w:rPr>
          <w:rFonts w:ascii="Arial" w:hAnsi="Arial" w:cs="Arial"/>
          <w:sz w:val="22"/>
          <w:szCs w:val="22"/>
        </w:rPr>
        <w:t>2</w:t>
      </w:r>
      <w:r w:rsidR="00D95AC8" w:rsidRPr="00625F0A">
        <w:rPr>
          <w:rFonts w:ascii="Arial" w:hAnsi="Arial" w:cs="Arial"/>
          <w:sz w:val="22"/>
          <w:szCs w:val="22"/>
        </w:rPr>
        <w:t xml:space="preserve"> FY </w:t>
      </w:r>
      <w:r w:rsidRPr="00625F0A">
        <w:rPr>
          <w:rFonts w:ascii="Arial" w:hAnsi="Arial" w:cs="Arial"/>
          <w:sz w:val="22"/>
          <w:szCs w:val="22"/>
        </w:rPr>
        <w:t>and R</w:t>
      </w:r>
      <w:r w:rsidRPr="00625F0A">
        <w:rPr>
          <w:rFonts w:ascii="Arial" w:hAnsi="Arial" w:cs="Arial"/>
          <w:sz w:val="22"/>
          <w:szCs w:val="22"/>
          <w:lang w:val="en-ZA"/>
        </w:rPr>
        <w:t>1</w:t>
      </w:r>
      <w:r w:rsidR="004E5A8C" w:rsidRPr="00625F0A">
        <w:rPr>
          <w:rFonts w:ascii="Arial" w:hAnsi="Arial" w:cs="Arial"/>
          <w:sz w:val="22"/>
          <w:szCs w:val="22"/>
          <w:lang w:val="en-ZA"/>
        </w:rPr>
        <w:t> </w:t>
      </w:r>
      <w:r w:rsidR="00E86ABD" w:rsidRPr="00625F0A">
        <w:rPr>
          <w:rFonts w:ascii="Arial" w:hAnsi="Arial" w:cs="Arial"/>
          <w:sz w:val="22"/>
          <w:szCs w:val="22"/>
          <w:lang w:val="en-ZA"/>
        </w:rPr>
        <w:t>645</w:t>
      </w:r>
      <w:r w:rsidR="004E5A8C" w:rsidRPr="00625F0A">
        <w:rPr>
          <w:rFonts w:ascii="Arial" w:hAnsi="Arial" w:cs="Arial"/>
          <w:sz w:val="22"/>
          <w:szCs w:val="22"/>
          <w:lang w:val="en-ZA"/>
        </w:rPr>
        <w:t xml:space="preserve"> 080</w:t>
      </w:r>
      <w:r w:rsidRPr="00625F0A">
        <w:rPr>
          <w:rFonts w:ascii="Arial" w:hAnsi="Arial" w:cs="Arial"/>
          <w:sz w:val="22"/>
          <w:szCs w:val="22"/>
          <w:lang w:val="en-ZA"/>
        </w:rPr>
        <w:t xml:space="preserve"> 000</w:t>
      </w:r>
      <w:r w:rsidRPr="00625F0A">
        <w:rPr>
          <w:rFonts w:ascii="Arial" w:hAnsi="Arial" w:cs="Arial"/>
          <w:sz w:val="22"/>
          <w:szCs w:val="22"/>
        </w:rPr>
        <w:t xml:space="preserve"> in </w:t>
      </w:r>
      <w:r w:rsidR="00D95AC8" w:rsidRPr="00625F0A">
        <w:rPr>
          <w:rFonts w:ascii="Arial" w:hAnsi="Arial" w:cs="Arial"/>
          <w:sz w:val="22"/>
          <w:szCs w:val="22"/>
        </w:rPr>
        <w:t xml:space="preserve">the </w:t>
      </w:r>
      <w:r w:rsidRPr="00625F0A">
        <w:rPr>
          <w:rFonts w:ascii="Arial" w:hAnsi="Arial" w:cs="Arial"/>
          <w:sz w:val="22"/>
          <w:szCs w:val="22"/>
        </w:rPr>
        <w:t>202</w:t>
      </w:r>
      <w:r w:rsidR="004E5A8C" w:rsidRPr="00625F0A">
        <w:rPr>
          <w:rFonts w:ascii="Arial" w:hAnsi="Arial" w:cs="Arial"/>
          <w:sz w:val="22"/>
          <w:szCs w:val="22"/>
        </w:rPr>
        <w:t>2</w:t>
      </w:r>
      <w:r w:rsidRPr="00625F0A">
        <w:rPr>
          <w:rFonts w:ascii="Arial" w:hAnsi="Arial" w:cs="Arial"/>
          <w:sz w:val="22"/>
          <w:szCs w:val="22"/>
        </w:rPr>
        <w:t>/2</w:t>
      </w:r>
      <w:r w:rsidR="004E5A8C" w:rsidRPr="00625F0A">
        <w:rPr>
          <w:rFonts w:ascii="Arial" w:hAnsi="Arial" w:cs="Arial"/>
          <w:sz w:val="22"/>
          <w:szCs w:val="22"/>
        </w:rPr>
        <w:t>3</w:t>
      </w:r>
      <w:r w:rsidRPr="00625F0A">
        <w:rPr>
          <w:rFonts w:ascii="Arial" w:hAnsi="Arial" w:cs="Arial"/>
          <w:sz w:val="22"/>
          <w:szCs w:val="22"/>
        </w:rPr>
        <w:t xml:space="preserve"> </w:t>
      </w:r>
      <w:r w:rsidR="00D95AC8" w:rsidRPr="00625F0A">
        <w:rPr>
          <w:rFonts w:ascii="Arial" w:hAnsi="Arial" w:cs="Arial"/>
          <w:sz w:val="22"/>
          <w:szCs w:val="22"/>
        </w:rPr>
        <w:t>FY</w:t>
      </w:r>
      <w:r w:rsidRPr="00625F0A">
        <w:rPr>
          <w:rFonts w:ascii="Arial" w:hAnsi="Arial" w:cs="Arial"/>
          <w:sz w:val="22"/>
          <w:szCs w:val="22"/>
        </w:rPr>
        <w:t>.</w:t>
      </w:r>
      <w:r w:rsidR="0011691F" w:rsidRPr="00625F0A">
        <w:rPr>
          <w:rFonts w:ascii="Arial" w:hAnsi="Arial" w:cs="Arial"/>
          <w:sz w:val="22"/>
          <w:szCs w:val="22"/>
        </w:rPr>
        <w:t xml:space="preserve"> </w:t>
      </w:r>
      <w:r w:rsidR="00C51465" w:rsidRPr="00625F0A">
        <w:rPr>
          <w:rFonts w:ascii="Arial" w:hAnsi="Arial" w:cs="Arial"/>
          <w:sz w:val="22"/>
          <w:szCs w:val="22"/>
        </w:rPr>
        <w:t xml:space="preserve">Of these </w:t>
      </w:r>
      <w:r w:rsidR="00D72891" w:rsidRPr="00625F0A">
        <w:rPr>
          <w:rFonts w:ascii="Arial" w:hAnsi="Arial" w:cs="Arial"/>
          <w:sz w:val="22"/>
          <w:szCs w:val="22"/>
        </w:rPr>
        <w:t xml:space="preserve">amounts </w:t>
      </w:r>
      <w:r w:rsidR="005E6F7B" w:rsidRPr="00625F0A">
        <w:rPr>
          <w:rFonts w:ascii="Arial" w:hAnsi="Arial" w:cs="Arial"/>
          <w:sz w:val="22"/>
          <w:szCs w:val="22"/>
        </w:rPr>
        <w:t xml:space="preserve">48.2% </w:t>
      </w:r>
      <w:r w:rsidR="006A3775" w:rsidRPr="00625F0A">
        <w:rPr>
          <w:rFonts w:ascii="Arial" w:hAnsi="Arial" w:cs="Arial"/>
          <w:sz w:val="22"/>
          <w:szCs w:val="22"/>
        </w:rPr>
        <w:t xml:space="preserve">of nationally raised funds are allocated to </w:t>
      </w:r>
      <w:r w:rsidR="000C1833" w:rsidRPr="00625F0A">
        <w:rPr>
          <w:rFonts w:ascii="Arial" w:hAnsi="Arial" w:cs="Arial"/>
          <w:sz w:val="22"/>
          <w:szCs w:val="22"/>
        </w:rPr>
        <w:t xml:space="preserve">national government, </w:t>
      </w:r>
      <w:r w:rsidR="00257B60" w:rsidRPr="00625F0A">
        <w:rPr>
          <w:rFonts w:ascii="Arial" w:hAnsi="Arial" w:cs="Arial"/>
          <w:sz w:val="22"/>
          <w:szCs w:val="22"/>
        </w:rPr>
        <w:t xml:space="preserve">43% </w:t>
      </w:r>
      <w:r w:rsidR="00680427" w:rsidRPr="00625F0A">
        <w:rPr>
          <w:rFonts w:ascii="Arial" w:hAnsi="Arial" w:cs="Arial"/>
          <w:sz w:val="22"/>
          <w:szCs w:val="22"/>
        </w:rPr>
        <w:t xml:space="preserve">to provinces and </w:t>
      </w:r>
      <w:r w:rsidR="00A50BB4" w:rsidRPr="00625F0A">
        <w:rPr>
          <w:rFonts w:ascii="Arial" w:hAnsi="Arial" w:cs="Arial"/>
          <w:sz w:val="22"/>
          <w:szCs w:val="22"/>
        </w:rPr>
        <w:t>8</w:t>
      </w:r>
      <w:r w:rsidR="001A7737" w:rsidRPr="00625F0A">
        <w:rPr>
          <w:rFonts w:ascii="Arial" w:hAnsi="Arial" w:cs="Arial"/>
          <w:sz w:val="22"/>
          <w:szCs w:val="22"/>
        </w:rPr>
        <w:t>.8% to local government</w:t>
      </w:r>
      <w:r w:rsidR="003E0A73" w:rsidRPr="00625F0A">
        <w:rPr>
          <w:rFonts w:ascii="Arial" w:hAnsi="Arial" w:cs="Arial"/>
          <w:sz w:val="22"/>
          <w:szCs w:val="22"/>
        </w:rPr>
        <w:t xml:space="preserve">. </w:t>
      </w:r>
      <w:r w:rsidRPr="00625F0A">
        <w:rPr>
          <w:rFonts w:ascii="Arial" w:hAnsi="Arial" w:cs="Arial"/>
          <w:b/>
          <w:sz w:val="22"/>
          <w:szCs w:val="22"/>
        </w:rPr>
        <w:t>Of importance, the Portfolio Committee note</w:t>
      </w:r>
      <w:r w:rsidR="004949D2" w:rsidRPr="00625F0A">
        <w:rPr>
          <w:rFonts w:ascii="Arial" w:hAnsi="Arial" w:cs="Arial"/>
          <w:b/>
          <w:sz w:val="22"/>
          <w:szCs w:val="22"/>
        </w:rPr>
        <w:t>d</w:t>
      </w:r>
      <w:r w:rsidRPr="00625F0A">
        <w:rPr>
          <w:rFonts w:ascii="Arial" w:hAnsi="Arial" w:cs="Arial"/>
          <w:b/>
          <w:sz w:val="22"/>
          <w:szCs w:val="22"/>
        </w:rPr>
        <w:t xml:space="preserve"> that these allocations take into consideration government’s spending priorities, each sphere’s revenue raising capacity and responsibilities, and input from various intergovernmental forums and the recommendations of the FFC.</w:t>
      </w:r>
      <w:r w:rsidRPr="00625F0A">
        <w:rPr>
          <w:rFonts w:ascii="Arial" w:hAnsi="Arial" w:cs="Arial"/>
          <w:sz w:val="22"/>
          <w:szCs w:val="22"/>
        </w:rPr>
        <w:t xml:space="preserve"> </w:t>
      </w:r>
    </w:p>
    <w:p w14:paraId="26E288C3" w14:textId="77777777" w:rsidR="00D15A19" w:rsidRPr="00625F0A" w:rsidRDefault="00D15A19" w:rsidP="00D15A19">
      <w:pPr>
        <w:pStyle w:val="ListParagraph"/>
        <w:spacing w:line="276" w:lineRule="auto"/>
        <w:ind w:left="360"/>
        <w:jc w:val="both"/>
        <w:rPr>
          <w:rFonts w:ascii="Arial" w:hAnsi="Arial" w:cs="Arial"/>
          <w:sz w:val="22"/>
          <w:szCs w:val="22"/>
          <w:lang w:val="en-ZA"/>
        </w:rPr>
      </w:pPr>
    </w:p>
    <w:p w14:paraId="14802172" w14:textId="222A4438" w:rsidR="001065F3" w:rsidRPr="00625F0A" w:rsidRDefault="001065F3" w:rsidP="00D15A19">
      <w:pPr>
        <w:autoSpaceDE w:val="0"/>
        <w:autoSpaceDN w:val="0"/>
        <w:adjustRightInd w:val="0"/>
        <w:spacing w:line="276" w:lineRule="auto"/>
        <w:ind w:left="360" w:hanging="76"/>
        <w:jc w:val="both"/>
        <w:rPr>
          <w:rFonts w:ascii="Arial" w:hAnsi="Arial" w:cs="Arial"/>
          <w:b/>
          <w:sz w:val="20"/>
          <w:szCs w:val="20"/>
          <w:lang w:val="en-ZA"/>
        </w:rPr>
      </w:pPr>
      <w:r w:rsidRPr="00625F0A">
        <w:rPr>
          <w:rFonts w:ascii="Arial" w:hAnsi="Arial" w:cs="Arial"/>
          <w:b/>
          <w:sz w:val="20"/>
          <w:szCs w:val="20"/>
          <w:lang w:val="en-ZA"/>
        </w:rPr>
        <w:t>Table 1: To</w:t>
      </w:r>
      <w:r w:rsidR="00007066" w:rsidRPr="00625F0A">
        <w:rPr>
          <w:rFonts w:ascii="Arial" w:hAnsi="Arial" w:cs="Arial"/>
          <w:b/>
          <w:sz w:val="20"/>
          <w:szCs w:val="20"/>
          <w:lang w:val="en-ZA"/>
        </w:rPr>
        <w:t>tal Transfers to provinces, 20</w:t>
      </w:r>
      <w:r w:rsidR="006243F5" w:rsidRPr="00625F0A">
        <w:rPr>
          <w:rFonts w:ascii="Arial" w:hAnsi="Arial" w:cs="Arial"/>
          <w:b/>
          <w:sz w:val="20"/>
          <w:szCs w:val="20"/>
          <w:lang w:val="en-ZA"/>
        </w:rPr>
        <w:t>20</w:t>
      </w:r>
      <w:r w:rsidR="00DF78F4" w:rsidRPr="00625F0A">
        <w:rPr>
          <w:rFonts w:ascii="Arial" w:hAnsi="Arial" w:cs="Arial"/>
          <w:b/>
          <w:sz w:val="20"/>
          <w:szCs w:val="20"/>
          <w:lang w:val="en-ZA"/>
        </w:rPr>
        <w:t>/2</w:t>
      </w:r>
      <w:r w:rsidR="006243F5" w:rsidRPr="00625F0A">
        <w:rPr>
          <w:rFonts w:ascii="Arial" w:hAnsi="Arial" w:cs="Arial"/>
          <w:b/>
          <w:sz w:val="20"/>
          <w:szCs w:val="20"/>
          <w:lang w:val="en-ZA"/>
        </w:rPr>
        <w:t>1</w:t>
      </w:r>
    </w:p>
    <w:tbl>
      <w:tblPr>
        <w:tblStyle w:val="TableGrid"/>
        <w:tblW w:w="9450" w:type="dxa"/>
        <w:tblInd w:w="355" w:type="dxa"/>
        <w:tblLook w:val="04A0" w:firstRow="1" w:lastRow="0" w:firstColumn="1" w:lastColumn="0" w:noHBand="0" w:noVBand="1"/>
      </w:tblPr>
      <w:tblGrid>
        <w:gridCol w:w="2700"/>
        <w:gridCol w:w="2070"/>
        <w:gridCol w:w="2610"/>
        <w:gridCol w:w="2070"/>
      </w:tblGrid>
      <w:tr w:rsidR="00625F0A" w:rsidRPr="00625F0A" w14:paraId="10A0FFCA" w14:textId="77777777" w:rsidTr="00CB36B5">
        <w:tc>
          <w:tcPr>
            <w:tcW w:w="2700" w:type="dxa"/>
          </w:tcPr>
          <w:p w14:paraId="128FCCC9" w14:textId="77777777" w:rsidR="00DD03B6" w:rsidRPr="00625F0A" w:rsidRDefault="00DD03B6" w:rsidP="00D15A19">
            <w:pPr>
              <w:pStyle w:val="ListParagraph"/>
              <w:tabs>
                <w:tab w:val="left" w:pos="360"/>
              </w:tabs>
              <w:spacing w:line="276" w:lineRule="auto"/>
              <w:ind w:left="0"/>
              <w:jc w:val="both"/>
              <w:rPr>
                <w:rFonts w:ascii="Arial" w:hAnsi="Arial" w:cs="Arial"/>
                <w:b/>
                <w:sz w:val="20"/>
                <w:szCs w:val="20"/>
                <w:lang w:val="en-ZA"/>
              </w:rPr>
            </w:pPr>
            <w:r w:rsidRPr="00625F0A">
              <w:rPr>
                <w:rFonts w:ascii="Arial" w:hAnsi="Arial" w:cs="Arial"/>
                <w:b/>
                <w:sz w:val="20"/>
                <w:szCs w:val="20"/>
                <w:lang w:val="en-ZA"/>
              </w:rPr>
              <w:t>R million</w:t>
            </w:r>
          </w:p>
        </w:tc>
        <w:tc>
          <w:tcPr>
            <w:tcW w:w="2070" w:type="dxa"/>
          </w:tcPr>
          <w:p w14:paraId="31B0019A" w14:textId="77777777" w:rsidR="00DD03B6" w:rsidRPr="00625F0A" w:rsidRDefault="00DD03B6" w:rsidP="00D15A19">
            <w:pPr>
              <w:pStyle w:val="ListParagraph"/>
              <w:tabs>
                <w:tab w:val="left" w:pos="360"/>
              </w:tabs>
              <w:spacing w:line="276" w:lineRule="auto"/>
              <w:ind w:left="0"/>
              <w:jc w:val="both"/>
              <w:rPr>
                <w:rFonts w:ascii="Arial" w:hAnsi="Arial" w:cs="Arial"/>
                <w:b/>
                <w:sz w:val="20"/>
                <w:szCs w:val="20"/>
                <w:lang w:val="en-ZA"/>
              </w:rPr>
            </w:pPr>
            <w:r w:rsidRPr="00625F0A">
              <w:rPr>
                <w:rFonts w:ascii="Arial" w:hAnsi="Arial" w:cs="Arial"/>
                <w:b/>
                <w:sz w:val="20"/>
                <w:szCs w:val="20"/>
                <w:lang w:val="en-ZA"/>
              </w:rPr>
              <w:t>Equitable Share</w:t>
            </w:r>
          </w:p>
        </w:tc>
        <w:tc>
          <w:tcPr>
            <w:tcW w:w="2610" w:type="dxa"/>
          </w:tcPr>
          <w:p w14:paraId="483A4ED5" w14:textId="77777777" w:rsidR="00DD03B6" w:rsidRPr="00625F0A" w:rsidRDefault="00DD03B6" w:rsidP="00D15A19">
            <w:pPr>
              <w:pStyle w:val="ListParagraph"/>
              <w:tabs>
                <w:tab w:val="left" w:pos="360"/>
              </w:tabs>
              <w:spacing w:line="276" w:lineRule="auto"/>
              <w:ind w:left="0"/>
              <w:jc w:val="both"/>
              <w:rPr>
                <w:rFonts w:ascii="Arial" w:hAnsi="Arial" w:cs="Arial"/>
                <w:b/>
                <w:sz w:val="20"/>
                <w:szCs w:val="20"/>
                <w:lang w:val="en-ZA"/>
              </w:rPr>
            </w:pPr>
            <w:r w:rsidRPr="00625F0A">
              <w:rPr>
                <w:rFonts w:ascii="Arial" w:hAnsi="Arial" w:cs="Arial"/>
                <w:b/>
                <w:sz w:val="20"/>
                <w:szCs w:val="20"/>
                <w:lang w:val="en-ZA"/>
              </w:rPr>
              <w:t>Conditional Grants</w:t>
            </w:r>
          </w:p>
        </w:tc>
        <w:tc>
          <w:tcPr>
            <w:tcW w:w="2070" w:type="dxa"/>
          </w:tcPr>
          <w:p w14:paraId="7FEF0BB4" w14:textId="77777777" w:rsidR="00DD03B6" w:rsidRPr="00625F0A" w:rsidRDefault="00DD03B6" w:rsidP="00D15A19">
            <w:pPr>
              <w:pStyle w:val="ListParagraph"/>
              <w:tabs>
                <w:tab w:val="left" w:pos="360"/>
              </w:tabs>
              <w:spacing w:line="276" w:lineRule="auto"/>
              <w:ind w:left="0"/>
              <w:jc w:val="both"/>
              <w:rPr>
                <w:rFonts w:ascii="Arial" w:hAnsi="Arial" w:cs="Arial"/>
                <w:b/>
                <w:sz w:val="20"/>
                <w:szCs w:val="20"/>
                <w:lang w:val="en-ZA"/>
              </w:rPr>
            </w:pPr>
            <w:r w:rsidRPr="00625F0A">
              <w:rPr>
                <w:rFonts w:ascii="Arial" w:hAnsi="Arial" w:cs="Arial"/>
                <w:b/>
                <w:sz w:val="20"/>
                <w:szCs w:val="20"/>
                <w:lang w:val="en-ZA"/>
              </w:rPr>
              <w:t>Total Transfers</w:t>
            </w:r>
          </w:p>
        </w:tc>
      </w:tr>
      <w:tr w:rsidR="00625F0A" w:rsidRPr="00625F0A" w14:paraId="353BA81D" w14:textId="77777777" w:rsidTr="00CB36B5">
        <w:tc>
          <w:tcPr>
            <w:tcW w:w="2700" w:type="dxa"/>
          </w:tcPr>
          <w:p w14:paraId="0B81A48E" w14:textId="77777777" w:rsidR="00DD03B6" w:rsidRPr="00625F0A" w:rsidRDefault="001065F3" w:rsidP="00D15A19">
            <w:pPr>
              <w:pStyle w:val="ListParagraph"/>
              <w:tabs>
                <w:tab w:val="left" w:pos="360"/>
              </w:tabs>
              <w:spacing w:line="276" w:lineRule="auto"/>
              <w:ind w:left="0"/>
              <w:jc w:val="both"/>
              <w:rPr>
                <w:rFonts w:ascii="Arial" w:hAnsi="Arial" w:cs="Arial"/>
                <w:sz w:val="20"/>
                <w:szCs w:val="20"/>
                <w:lang w:val="en-ZA"/>
              </w:rPr>
            </w:pPr>
            <w:r w:rsidRPr="00625F0A">
              <w:rPr>
                <w:rFonts w:ascii="Arial" w:hAnsi="Arial" w:cs="Arial"/>
                <w:sz w:val="20"/>
                <w:szCs w:val="20"/>
                <w:lang w:val="en-ZA"/>
              </w:rPr>
              <w:t>Eastern Cape</w:t>
            </w:r>
          </w:p>
        </w:tc>
        <w:tc>
          <w:tcPr>
            <w:tcW w:w="2070" w:type="dxa"/>
          </w:tcPr>
          <w:p w14:paraId="07928998" w14:textId="683EB4D2" w:rsidR="00DD03B6" w:rsidRPr="00625F0A" w:rsidRDefault="006243F5" w:rsidP="00D15A19">
            <w:pPr>
              <w:pStyle w:val="ListParagraph"/>
              <w:tabs>
                <w:tab w:val="left" w:pos="360"/>
              </w:tabs>
              <w:spacing w:line="276" w:lineRule="auto"/>
              <w:ind w:left="0"/>
              <w:jc w:val="right"/>
              <w:rPr>
                <w:rFonts w:ascii="Arial" w:hAnsi="Arial" w:cs="Arial"/>
                <w:sz w:val="20"/>
                <w:szCs w:val="20"/>
                <w:lang w:val="en-ZA"/>
              </w:rPr>
            </w:pPr>
            <w:r w:rsidRPr="00625F0A">
              <w:rPr>
                <w:rFonts w:ascii="Arial" w:hAnsi="Arial" w:cs="Arial"/>
                <w:sz w:val="20"/>
                <w:szCs w:val="20"/>
                <w:lang w:val="en-ZA"/>
              </w:rPr>
              <w:t>71 415</w:t>
            </w:r>
          </w:p>
        </w:tc>
        <w:tc>
          <w:tcPr>
            <w:tcW w:w="2610" w:type="dxa"/>
          </w:tcPr>
          <w:p w14:paraId="1BB553ED" w14:textId="37A1AB72" w:rsidR="00DD03B6" w:rsidRPr="00625F0A" w:rsidRDefault="00115470" w:rsidP="00D15A19">
            <w:pPr>
              <w:pStyle w:val="ListParagraph"/>
              <w:tabs>
                <w:tab w:val="left" w:pos="360"/>
              </w:tabs>
              <w:spacing w:line="276" w:lineRule="auto"/>
              <w:ind w:left="0"/>
              <w:jc w:val="right"/>
              <w:rPr>
                <w:rFonts w:ascii="Arial" w:hAnsi="Arial" w:cs="Arial"/>
                <w:sz w:val="20"/>
                <w:szCs w:val="20"/>
                <w:lang w:val="en-ZA"/>
              </w:rPr>
            </w:pPr>
            <w:r w:rsidRPr="00625F0A">
              <w:rPr>
                <w:rFonts w:ascii="Arial" w:hAnsi="Arial" w:cs="Arial"/>
                <w:sz w:val="20"/>
                <w:szCs w:val="20"/>
                <w:lang w:val="en-ZA"/>
              </w:rPr>
              <w:t>1</w:t>
            </w:r>
            <w:r w:rsidR="00D458BD" w:rsidRPr="00625F0A">
              <w:rPr>
                <w:rFonts w:ascii="Arial" w:hAnsi="Arial" w:cs="Arial"/>
                <w:sz w:val="20"/>
                <w:szCs w:val="20"/>
                <w:lang w:val="en-ZA"/>
              </w:rPr>
              <w:t xml:space="preserve">2 </w:t>
            </w:r>
            <w:r w:rsidR="006243F5" w:rsidRPr="00625F0A">
              <w:rPr>
                <w:rFonts w:ascii="Arial" w:hAnsi="Arial" w:cs="Arial"/>
                <w:sz w:val="20"/>
                <w:szCs w:val="20"/>
                <w:lang w:val="en-ZA"/>
              </w:rPr>
              <w:t>488</w:t>
            </w:r>
          </w:p>
        </w:tc>
        <w:tc>
          <w:tcPr>
            <w:tcW w:w="2070" w:type="dxa"/>
          </w:tcPr>
          <w:p w14:paraId="16617E6C" w14:textId="05289F15" w:rsidR="00DD03B6" w:rsidRPr="00625F0A" w:rsidRDefault="00D458BD" w:rsidP="00D15A19">
            <w:pPr>
              <w:pStyle w:val="ListParagraph"/>
              <w:tabs>
                <w:tab w:val="left" w:pos="360"/>
              </w:tabs>
              <w:spacing w:line="276" w:lineRule="auto"/>
              <w:ind w:left="0"/>
              <w:jc w:val="right"/>
              <w:rPr>
                <w:rFonts w:ascii="Arial" w:hAnsi="Arial" w:cs="Arial"/>
                <w:b/>
                <w:sz w:val="20"/>
                <w:szCs w:val="20"/>
                <w:lang w:val="en-ZA"/>
              </w:rPr>
            </w:pPr>
            <w:r w:rsidRPr="00625F0A">
              <w:rPr>
                <w:rFonts w:ascii="Arial" w:hAnsi="Arial" w:cs="Arial"/>
                <w:b/>
                <w:sz w:val="20"/>
                <w:szCs w:val="20"/>
                <w:lang w:val="en-ZA"/>
              </w:rPr>
              <w:t>8</w:t>
            </w:r>
            <w:r w:rsidR="006243F5" w:rsidRPr="00625F0A">
              <w:rPr>
                <w:rFonts w:ascii="Arial" w:hAnsi="Arial" w:cs="Arial"/>
                <w:b/>
                <w:sz w:val="20"/>
                <w:szCs w:val="20"/>
                <w:lang w:val="en-ZA"/>
              </w:rPr>
              <w:t>3</w:t>
            </w:r>
            <w:r w:rsidRPr="00625F0A">
              <w:rPr>
                <w:rFonts w:ascii="Arial" w:hAnsi="Arial" w:cs="Arial"/>
                <w:b/>
                <w:sz w:val="20"/>
                <w:szCs w:val="20"/>
                <w:lang w:val="en-ZA"/>
              </w:rPr>
              <w:t xml:space="preserve"> 903</w:t>
            </w:r>
          </w:p>
        </w:tc>
      </w:tr>
      <w:tr w:rsidR="00625F0A" w:rsidRPr="00625F0A" w14:paraId="13FEB653" w14:textId="77777777" w:rsidTr="00CB36B5">
        <w:tc>
          <w:tcPr>
            <w:tcW w:w="2700" w:type="dxa"/>
          </w:tcPr>
          <w:p w14:paraId="4CAD20D3" w14:textId="77777777" w:rsidR="00DD03B6" w:rsidRPr="00625F0A" w:rsidRDefault="00DD03B6" w:rsidP="00D15A19">
            <w:pPr>
              <w:pStyle w:val="ListParagraph"/>
              <w:tabs>
                <w:tab w:val="left" w:pos="360"/>
              </w:tabs>
              <w:spacing w:line="276" w:lineRule="auto"/>
              <w:ind w:left="0"/>
              <w:jc w:val="both"/>
              <w:rPr>
                <w:rFonts w:ascii="Arial" w:hAnsi="Arial" w:cs="Arial"/>
                <w:sz w:val="20"/>
                <w:szCs w:val="20"/>
                <w:lang w:val="en-ZA"/>
              </w:rPr>
            </w:pPr>
            <w:r w:rsidRPr="00625F0A">
              <w:rPr>
                <w:rFonts w:ascii="Arial" w:hAnsi="Arial" w:cs="Arial"/>
                <w:sz w:val="20"/>
                <w:szCs w:val="20"/>
                <w:lang w:val="en-ZA"/>
              </w:rPr>
              <w:t>Free State</w:t>
            </w:r>
          </w:p>
        </w:tc>
        <w:tc>
          <w:tcPr>
            <w:tcW w:w="2070" w:type="dxa"/>
          </w:tcPr>
          <w:p w14:paraId="28D112A6" w14:textId="4AF5B1FA" w:rsidR="00DD03B6" w:rsidRPr="00625F0A" w:rsidRDefault="00017096" w:rsidP="00D15A19">
            <w:pPr>
              <w:pStyle w:val="ListParagraph"/>
              <w:tabs>
                <w:tab w:val="left" w:pos="360"/>
              </w:tabs>
              <w:spacing w:line="276" w:lineRule="auto"/>
              <w:ind w:left="0"/>
              <w:jc w:val="right"/>
              <w:rPr>
                <w:rFonts w:ascii="Arial" w:hAnsi="Arial" w:cs="Arial"/>
                <w:sz w:val="20"/>
                <w:szCs w:val="20"/>
                <w:lang w:val="en-ZA"/>
              </w:rPr>
            </w:pPr>
            <w:r w:rsidRPr="00625F0A">
              <w:rPr>
                <w:rFonts w:ascii="Arial" w:hAnsi="Arial" w:cs="Arial"/>
                <w:sz w:val="20"/>
                <w:szCs w:val="20"/>
                <w:lang w:val="en-ZA"/>
              </w:rPr>
              <w:t>30 107</w:t>
            </w:r>
          </w:p>
        </w:tc>
        <w:tc>
          <w:tcPr>
            <w:tcW w:w="2610" w:type="dxa"/>
          </w:tcPr>
          <w:p w14:paraId="77C53588" w14:textId="4F3A6F18" w:rsidR="00DD03B6" w:rsidRPr="00625F0A" w:rsidRDefault="00017096" w:rsidP="00D15A19">
            <w:pPr>
              <w:pStyle w:val="ListParagraph"/>
              <w:tabs>
                <w:tab w:val="left" w:pos="360"/>
              </w:tabs>
              <w:spacing w:line="276" w:lineRule="auto"/>
              <w:ind w:left="0"/>
              <w:jc w:val="right"/>
              <w:rPr>
                <w:rFonts w:ascii="Arial" w:hAnsi="Arial" w:cs="Arial"/>
                <w:sz w:val="20"/>
                <w:szCs w:val="20"/>
                <w:lang w:val="en-ZA"/>
              </w:rPr>
            </w:pPr>
            <w:r w:rsidRPr="00625F0A">
              <w:rPr>
                <w:rFonts w:ascii="Arial" w:hAnsi="Arial" w:cs="Arial"/>
                <w:sz w:val="20"/>
                <w:szCs w:val="20"/>
                <w:lang w:val="en-ZA"/>
              </w:rPr>
              <w:t>8 239</w:t>
            </w:r>
          </w:p>
        </w:tc>
        <w:tc>
          <w:tcPr>
            <w:tcW w:w="2070" w:type="dxa"/>
          </w:tcPr>
          <w:p w14:paraId="63A38A54" w14:textId="416AFE94" w:rsidR="00DD03B6" w:rsidRPr="00625F0A" w:rsidRDefault="00017096" w:rsidP="00D15A19">
            <w:pPr>
              <w:pStyle w:val="ListParagraph"/>
              <w:tabs>
                <w:tab w:val="left" w:pos="360"/>
              </w:tabs>
              <w:spacing w:line="276" w:lineRule="auto"/>
              <w:ind w:left="0"/>
              <w:jc w:val="right"/>
              <w:rPr>
                <w:rFonts w:ascii="Arial" w:hAnsi="Arial" w:cs="Arial"/>
                <w:b/>
                <w:sz w:val="20"/>
                <w:szCs w:val="20"/>
                <w:lang w:val="en-ZA"/>
              </w:rPr>
            </w:pPr>
            <w:r w:rsidRPr="00625F0A">
              <w:rPr>
                <w:rFonts w:ascii="Arial" w:hAnsi="Arial" w:cs="Arial"/>
                <w:b/>
                <w:sz w:val="20"/>
                <w:szCs w:val="20"/>
                <w:lang w:val="en-ZA"/>
              </w:rPr>
              <w:t>38 256</w:t>
            </w:r>
          </w:p>
        </w:tc>
      </w:tr>
      <w:tr w:rsidR="00625F0A" w:rsidRPr="00625F0A" w14:paraId="281BBA58" w14:textId="77777777" w:rsidTr="003E6D49">
        <w:tc>
          <w:tcPr>
            <w:tcW w:w="2700" w:type="dxa"/>
            <w:shd w:val="clear" w:color="auto" w:fill="FFFF00"/>
          </w:tcPr>
          <w:p w14:paraId="2DA540A8" w14:textId="77777777" w:rsidR="00DD03B6" w:rsidRPr="00625F0A" w:rsidRDefault="00DD03B6" w:rsidP="00D15A19">
            <w:pPr>
              <w:pStyle w:val="ListParagraph"/>
              <w:tabs>
                <w:tab w:val="left" w:pos="360"/>
              </w:tabs>
              <w:spacing w:line="276" w:lineRule="auto"/>
              <w:ind w:left="0"/>
              <w:jc w:val="both"/>
              <w:rPr>
                <w:rFonts w:ascii="Arial" w:hAnsi="Arial" w:cs="Arial"/>
                <w:sz w:val="20"/>
                <w:szCs w:val="20"/>
                <w:lang w:val="en-ZA"/>
              </w:rPr>
            </w:pPr>
            <w:r w:rsidRPr="00625F0A">
              <w:rPr>
                <w:rFonts w:ascii="Arial" w:hAnsi="Arial" w:cs="Arial"/>
                <w:sz w:val="20"/>
                <w:szCs w:val="20"/>
                <w:lang w:val="en-ZA"/>
              </w:rPr>
              <w:t>Gauteng</w:t>
            </w:r>
          </w:p>
        </w:tc>
        <w:tc>
          <w:tcPr>
            <w:tcW w:w="2070" w:type="dxa"/>
            <w:shd w:val="clear" w:color="auto" w:fill="FFFF00"/>
          </w:tcPr>
          <w:p w14:paraId="37AE30D8" w14:textId="78EE62D5" w:rsidR="00DD03B6" w:rsidRPr="00625F0A" w:rsidRDefault="00017096" w:rsidP="00D15A19">
            <w:pPr>
              <w:pStyle w:val="ListParagraph"/>
              <w:tabs>
                <w:tab w:val="left" w:pos="360"/>
              </w:tabs>
              <w:spacing w:line="276" w:lineRule="auto"/>
              <w:ind w:left="0"/>
              <w:jc w:val="right"/>
              <w:rPr>
                <w:rFonts w:ascii="Arial" w:hAnsi="Arial" w:cs="Arial"/>
                <w:sz w:val="20"/>
                <w:szCs w:val="20"/>
                <w:lang w:val="en-ZA"/>
              </w:rPr>
            </w:pPr>
            <w:r w:rsidRPr="00625F0A">
              <w:rPr>
                <w:rFonts w:ascii="Arial" w:hAnsi="Arial" w:cs="Arial"/>
                <w:sz w:val="20"/>
                <w:szCs w:val="20"/>
                <w:lang w:val="en-ZA"/>
              </w:rPr>
              <w:t>112 118</w:t>
            </w:r>
          </w:p>
        </w:tc>
        <w:tc>
          <w:tcPr>
            <w:tcW w:w="2610" w:type="dxa"/>
            <w:shd w:val="clear" w:color="auto" w:fill="FFFF00"/>
          </w:tcPr>
          <w:p w14:paraId="309490B5" w14:textId="508FC3E6" w:rsidR="00DD03B6" w:rsidRPr="00625F0A" w:rsidRDefault="00D458BD" w:rsidP="00D15A19">
            <w:pPr>
              <w:pStyle w:val="ListParagraph"/>
              <w:tabs>
                <w:tab w:val="left" w:pos="360"/>
              </w:tabs>
              <w:spacing w:line="276" w:lineRule="auto"/>
              <w:ind w:left="0"/>
              <w:jc w:val="right"/>
              <w:rPr>
                <w:rFonts w:ascii="Arial" w:hAnsi="Arial" w:cs="Arial"/>
                <w:sz w:val="20"/>
                <w:szCs w:val="20"/>
                <w:lang w:val="en-ZA"/>
              </w:rPr>
            </w:pPr>
            <w:r w:rsidRPr="00625F0A">
              <w:rPr>
                <w:rFonts w:ascii="Arial" w:hAnsi="Arial" w:cs="Arial"/>
                <w:sz w:val="20"/>
                <w:szCs w:val="20"/>
                <w:lang w:val="en-ZA"/>
              </w:rPr>
              <w:t xml:space="preserve">23 </w:t>
            </w:r>
            <w:r w:rsidR="00017096" w:rsidRPr="00625F0A">
              <w:rPr>
                <w:rFonts w:ascii="Arial" w:hAnsi="Arial" w:cs="Arial"/>
                <w:sz w:val="20"/>
                <w:szCs w:val="20"/>
                <w:lang w:val="en-ZA"/>
              </w:rPr>
              <w:t>935</w:t>
            </w:r>
          </w:p>
        </w:tc>
        <w:tc>
          <w:tcPr>
            <w:tcW w:w="2070" w:type="dxa"/>
            <w:shd w:val="clear" w:color="auto" w:fill="FFFF00"/>
          </w:tcPr>
          <w:p w14:paraId="4E80391C" w14:textId="0257E4DD" w:rsidR="00DD03B6" w:rsidRPr="00625F0A" w:rsidRDefault="00017096" w:rsidP="00D15A19">
            <w:pPr>
              <w:pStyle w:val="ListParagraph"/>
              <w:tabs>
                <w:tab w:val="left" w:pos="360"/>
              </w:tabs>
              <w:spacing w:line="276" w:lineRule="auto"/>
              <w:ind w:left="0"/>
              <w:jc w:val="right"/>
              <w:rPr>
                <w:rFonts w:ascii="Arial" w:hAnsi="Arial" w:cs="Arial"/>
                <w:b/>
                <w:sz w:val="20"/>
                <w:szCs w:val="20"/>
                <w:lang w:val="en-ZA"/>
              </w:rPr>
            </w:pPr>
            <w:r w:rsidRPr="00625F0A">
              <w:rPr>
                <w:rFonts w:ascii="Arial" w:hAnsi="Arial" w:cs="Arial"/>
                <w:b/>
                <w:sz w:val="20"/>
                <w:szCs w:val="20"/>
                <w:lang w:val="en-ZA"/>
              </w:rPr>
              <w:t>136 058</w:t>
            </w:r>
          </w:p>
        </w:tc>
      </w:tr>
      <w:tr w:rsidR="00625F0A" w:rsidRPr="00625F0A" w14:paraId="2848961C" w14:textId="77777777" w:rsidTr="00CB36B5">
        <w:tc>
          <w:tcPr>
            <w:tcW w:w="2700" w:type="dxa"/>
          </w:tcPr>
          <w:p w14:paraId="4AC88D45" w14:textId="77777777" w:rsidR="00DD03B6" w:rsidRPr="00625F0A" w:rsidRDefault="00DD03B6" w:rsidP="00D15A19">
            <w:pPr>
              <w:pStyle w:val="ListParagraph"/>
              <w:tabs>
                <w:tab w:val="left" w:pos="360"/>
              </w:tabs>
              <w:spacing w:line="276" w:lineRule="auto"/>
              <w:ind w:left="0"/>
              <w:jc w:val="both"/>
              <w:rPr>
                <w:rFonts w:ascii="Arial" w:hAnsi="Arial" w:cs="Arial"/>
                <w:sz w:val="20"/>
                <w:szCs w:val="20"/>
                <w:lang w:val="en-ZA"/>
              </w:rPr>
            </w:pPr>
            <w:r w:rsidRPr="00625F0A">
              <w:rPr>
                <w:rFonts w:ascii="Arial" w:hAnsi="Arial" w:cs="Arial"/>
                <w:sz w:val="20"/>
                <w:szCs w:val="20"/>
                <w:lang w:val="en-ZA"/>
              </w:rPr>
              <w:t>Kwa</w:t>
            </w:r>
            <w:r w:rsidR="009D4E92" w:rsidRPr="00625F0A">
              <w:rPr>
                <w:rFonts w:ascii="Arial" w:hAnsi="Arial" w:cs="Arial"/>
                <w:sz w:val="20"/>
                <w:szCs w:val="20"/>
                <w:lang w:val="en-ZA"/>
              </w:rPr>
              <w:t>-</w:t>
            </w:r>
            <w:r w:rsidRPr="00625F0A">
              <w:rPr>
                <w:rFonts w:ascii="Arial" w:hAnsi="Arial" w:cs="Arial"/>
                <w:sz w:val="20"/>
                <w:szCs w:val="20"/>
                <w:lang w:val="en-ZA"/>
              </w:rPr>
              <w:t>Zulu Natal</w:t>
            </w:r>
          </w:p>
        </w:tc>
        <w:tc>
          <w:tcPr>
            <w:tcW w:w="2070" w:type="dxa"/>
          </w:tcPr>
          <w:p w14:paraId="0AE07EF7" w14:textId="7B22162D" w:rsidR="00DD03B6" w:rsidRPr="00625F0A" w:rsidRDefault="00770031" w:rsidP="00D15A19">
            <w:pPr>
              <w:pStyle w:val="ListParagraph"/>
              <w:tabs>
                <w:tab w:val="left" w:pos="360"/>
              </w:tabs>
              <w:spacing w:line="276" w:lineRule="auto"/>
              <w:ind w:left="0"/>
              <w:jc w:val="right"/>
              <w:rPr>
                <w:rFonts w:ascii="Arial" w:hAnsi="Arial" w:cs="Arial"/>
                <w:sz w:val="20"/>
                <w:szCs w:val="20"/>
                <w:lang w:val="en-ZA"/>
              </w:rPr>
            </w:pPr>
            <w:r w:rsidRPr="00625F0A">
              <w:rPr>
                <w:rFonts w:ascii="Arial" w:hAnsi="Arial" w:cs="Arial"/>
                <w:sz w:val="20"/>
                <w:szCs w:val="20"/>
                <w:lang w:val="en-ZA"/>
              </w:rPr>
              <w:t>111 442</w:t>
            </w:r>
          </w:p>
        </w:tc>
        <w:tc>
          <w:tcPr>
            <w:tcW w:w="2610" w:type="dxa"/>
          </w:tcPr>
          <w:p w14:paraId="6173769C" w14:textId="13A73930" w:rsidR="00DD03B6" w:rsidRPr="00625F0A" w:rsidRDefault="00770031" w:rsidP="00D15A19">
            <w:pPr>
              <w:pStyle w:val="ListParagraph"/>
              <w:tabs>
                <w:tab w:val="left" w:pos="360"/>
              </w:tabs>
              <w:spacing w:line="276" w:lineRule="auto"/>
              <w:ind w:left="0"/>
              <w:jc w:val="right"/>
              <w:rPr>
                <w:rFonts w:ascii="Arial" w:hAnsi="Arial" w:cs="Arial"/>
                <w:sz w:val="20"/>
                <w:szCs w:val="20"/>
                <w:lang w:val="en-ZA"/>
              </w:rPr>
            </w:pPr>
            <w:r w:rsidRPr="00625F0A">
              <w:rPr>
                <w:rFonts w:ascii="Arial" w:hAnsi="Arial" w:cs="Arial"/>
                <w:sz w:val="20"/>
                <w:szCs w:val="20"/>
                <w:lang w:val="en-ZA"/>
              </w:rPr>
              <w:t>22 011</w:t>
            </w:r>
          </w:p>
        </w:tc>
        <w:tc>
          <w:tcPr>
            <w:tcW w:w="2070" w:type="dxa"/>
          </w:tcPr>
          <w:p w14:paraId="259A374F" w14:textId="6C1AC399" w:rsidR="00DD03B6" w:rsidRPr="00625F0A" w:rsidRDefault="00770031" w:rsidP="00D15A19">
            <w:pPr>
              <w:pStyle w:val="ListParagraph"/>
              <w:tabs>
                <w:tab w:val="left" w:pos="360"/>
              </w:tabs>
              <w:spacing w:line="276" w:lineRule="auto"/>
              <w:ind w:left="0"/>
              <w:jc w:val="right"/>
              <w:rPr>
                <w:rFonts w:ascii="Arial" w:hAnsi="Arial" w:cs="Arial"/>
                <w:b/>
                <w:sz w:val="20"/>
                <w:szCs w:val="20"/>
                <w:lang w:val="en-ZA"/>
              </w:rPr>
            </w:pPr>
            <w:r w:rsidRPr="00625F0A">
              <w:rPr>
                <w:rFonts w:ascii="Arial" w:hAnsi="Arial" w:cs="Arial"/>
                <w:b/>
                <w:sz w:val="20"/>
                <w:szCs w:val="20"/>
                <w:lang w:val="en-ZA"/>
              </w:rPr>
              <w:t>133 453</w:t>
            </w:r>
          </w:p>
        </w:tc>
      </w:tr>
      <w:tr w:rsidR="00625F0A" w:rsidRPr="00625F0A" w14:paraId="46295C85" w14:textId="77777777" w:rsidTr="00CB36B5">
        <w:tc>
          <w:tcPr>
            <w:tcW w:w="2700" w:type="dxa"/>
          </w:tcPr>
          <w:p w14:paraId="03B383CC" w14:textId="77777777" w:rsidR="00DD03B6" w:rsidRPr="00625F0A" w:rsidRDefault="00DD03B6" w:rsidP="00D15A19">
            <w:pPr>
              <w:pStyle w:val="ListParagraph"/>
              <w:tabs>
                <w:tab w:val="left" w:pos="360"/>
              </w:tabs>
              <w:spacing w:line="276" w:lineRule="auto"/>
              <w:ind w:left="0"/>
              <w:jc w:val="both"/>
              <w:rPr>
                <w:rFonts w:ascii="Arial" w:hAnsi="Arial" w:cs="Arial"/>
                <w:sz w:val="20"/>
                <w:szCs w:val="20"/>
                <w:lang w:val="en-ZA"/>
              </w:rPr>
            </w:pPr>
            <w:r w:rsidRPr="00625F0A">
              <w:rPr>
                <w:rFonts w:ascii="Arial" w:hAnsi="Arial" w:cs="Arial"/>
                <w:sz w:val="20"/>
                <w:szCs w:val="20"/>
                <w:lang w:val="en-ZA"/>
              </w:rPr>
              <w:t>Limpopo</w:t>
            </w:r>
          </w:p>
        </w:tc>
        <w:tc>
          <w:tcPr>
            <w:tcW w:w="2070" w:type="dxa"/>
          </w:tcPr>
          <w:p w14:paraId="18D3D180" w14:textId="49C34B62" w:rsidR="00DD03B6" w:rsidRPr="00625F0A" w:rsidRDefault="00EF10FE" w:rsidP="00D15A19">
            <w:pPr>
              <w:pStyle w:val="ListParagraph"/>
              <w:tabs>
                <w:tab w:val="left" w:pos="360"/>
              </w:tabs>
              <w:spacing w:line="276" w:lineRule="auto"/>
              <w:ind w:left="0"/>
              <w:jc w:val="right"/>
              <w:rPr>
                <w:rFonts w:ascii="Arial" w:hAnsi="Arial" w:cs="Arial"/>
                <w:sz w:val="20"/>
                <w:szCs w:val="20"/>
                <w:lang w:val="en-ZA"/>
              </w:rPr>
            </w:pPr>
            <w:r w:rsidRPr="00625F0A">
              <w:rPr>
                <w:rFonts w:ascii="Arial" w:hAnsi="Arial" w:cs="Arial"/>
                <w:sz w:val="20"/>
                <w:szCs w:val="20"/>
                <w:lang w:val="en-ZA"/>
              </w:rPr>
              <w:t>62 329</w:t>
            </w:r>
          </w:p>
        </w:tc>
        <w:tc>
          <w:tcPr>
            <w:tcW w:w="2610" w:type="dxa"/>
          </w:tcPr>
          <w:p w14:paraId="1118CB4F" w14:textId="623B9053" w:rsidR="00DD03B6" w:rsidRPr="00625F0A" w:rsidRDefault="00EF10FE" w:rsidP="00D15A19">
            <w:pPr>
              <w:pStyle w:val="ListParagraph"/>
              <w:tabs>
                <w:tab w:val="left" w:pos="360"/>
              </w:tabs>
              <w:spacing w:line="276" w:lineRule="auto"/>
              <w:ind w:left="0"/>
              <w:jc w:val="right"/>
              <w:rPr>
                <w:rFonts w:ascii="Arial" w:hAnsi="Arial" w:cs="Arial"/>
                <w:sz w:val="20"/>
                <w:szCs w:val="20"/>
                <w:lang w:val="en-ZA"/>
              </w:rPr>
            </w:pPr>
            <w:r w:rsidRPr="00625F0A">
              <w:rPr>
                <w:rFonts w:ascii="Arial" w:hAnsi="Arial" w:cs="Arial"/>
                <w:sz w:val="20"/>
                <w:szCs w:val="20"/>
                <w:lang w:val="en-ZA"/>
              </w:rPr>
              <w:t>9 890</w:t>
            </w:r>
          </w:p>
        </w:tc>
        <w:tc>
          <w:tcPr>
            <w:tcW w:w="2070" w:type="dxa"/>
          </w:tcPr>
          <w:p w14:paraId="7F3C44D3" w14:textId="1D4A026D" w:rsidR="00DD03B6" w:rsidRPr="00625F0A" w:rsidRDefault="00EF10FE" w:rsidP="00D15A19">
            <w:pPr>
              <w:pStyle w:val="ListParagraph"/>
              <w:tabs>
                <w:tab w:val="left" w:pos="360"/>
              </w:tabs>
              <w:spacing w:line="276" w:lineRule="auto"/>
              <w:ind w:left="0"/>
              <w:jc w:val="right"/>
              <w:rPr>
                <w:rFonts w:ascii="Arial" w:hAnsi="Arial" w:cs="Arial"/>
                <w:b/>
                <w:sz w:val="20"/>
                <w:szCs w:val="20"/>
                <w:lang w:val="en-ZA"/>
              </w:rPr>
            </w:pPr>
            <w:r w:rsidRPr="00625F0A">
              <w:rPr>
                <w:rFonts w:ascii="Arial" w:hAnsi="Arial" w:cs="Arial"/>
                <w:b/>
                <w:sz w:val="20"/>
                <w:szCs w:val="20"/>
                <w:lang w:val="en-ZA"/>
              </w:rPr>
              <w:t>72 219</w:t>
            </w:r>
          </w:p>
        </w:tc>
      </w:tr>
      <w:tr w:rsidR="00625F0A" w:rsidRPr="00625F0A" w14:paraId="11D834AF" w14:textId="77777777" w:rsidTr="00CB36B5">
        <w:tc>
          <w:tcPr>
            <w:tcW w:w="2700" w:type="dxa"/>
          </w:tcPr>
          <w:p w14:paraId="3BCF3C8C" w14:textId="77777777" w:rsidR="00DD03B6" w:rsidRPr="00625F0A" w:rsidRDefault="00DD03B6" w:rsidP="00D15A19">
            <w:pPr>
              <w:pStyle w:val="ListParagraph"/>
              <w:tabs>
                <w:tab w:val="left" w:pos="360"/>
              </w:tabs>
              <w:spacing w:line="276" w:lineRule="auto"/>
              <w:ind w:left="0"/>
              <w:jc w:val="both"/>
              <w:rPr>
                <w:rFonts w:ascii="Arial" w:hAnsi="Arial" w:cs="Arial"/>
                <w:sz w:val="20"/>
                <w:szCs w:val="20"/>
                <w:lang w:val="en-ZA"/>
              </w:rPr>
            </w:pPr>
            <w:r w:rsidRPr="00625F0A">
              <w:rPr>
                <w:rFonts w:ascii="Arial" w:hAnsi="Arial" w:cs="Arial"/>
                <w:sz w:val="20"/>
                <w:szCs w:val="20"/>
                <w:lang w:val="en-ZA"/>
              </w:rPr>
              <w:t>Mpumalanga</w:t>
            </w:r>
          </w:p>
        </w:tc>
        <w:tc>
          <w:tcPr>
            <w:tcW w:w="2070" w:type="dxa"/>
          </w:tcPr>
          <w:p w14:paraId="1852A5B9" w14:textId="645CB3B9" w:rsidR="00DD03B6" w:rsidRPr="00625F0A" w:rsidRDefault="001F51BC" w:rsidP="00D15A19">
            <w:pPr>
              <w:pStyle w:val="ListParagraph"/>
              <w:tabs>
                <w:tab w:val="left" w:pos="360"/>
              </w:tabs>
              <w:spacing w:line="276" w:lineRule="auto"/>
              <w:ind w:left="0"/>
              <w:jc w:val="right"/>
              <w:rPr>
                <w:rFonts w:ascii="Arial" w:hAnsi="Arial" w:cs="Arial"/>
                <w:sz w:val="20"/>
                <w:szCs w:val="20"/>
                <w:lang w:val="en-ZA"/>
              </w:rPr>
            </w:pPr>
            <w:r w:rsidRPr="00625F0A">
              <w:rPr>
                <w:rFonts w:ascii="Arial" w:hAnsi="Arial" w:cs="Arial"/>
                <w:sz w:val="20"/>
                <w:szCs w:val="20"/>
                <w:lang w:val="en-ZA"/>
              </w:rPr>
              <w:t>44 105</w:t>
            </w:r>
          </w:p>
        </w:tc>
        <w:tc>
          <w:tcPr>
            <w:tcW w:w="2610" w:type="dxa"/>
          </w:tcPr>
          <w:p w14:paraId="35AC5C09" w14:textId="1A4FD085" w:rsidR="00DD03B6" w:rsidRPr="00625F0A" w:rsidRDefault="00DF78F4" w:rsidP="00D15A19">
            <w:pPr>
              <w:pStyle w:val="ListParagraph"/>
              <w:tabs>
                <w:tab w:val="left" w:pos="360"/>
              </w:tabs>
              <w:spacing w:line="276" w:lineRule="auto"/>
              <w:ind w:left="0"/>
              <w:jc w:val="right"/>
              <w:rPr>
                <w:rFonts w:ascii="Arial" w:hAnsi="Arial" w:cs="Arial"/>
                <w:sz w:val="20"/>
                <w:szCs w:val="20"/>
                <w:lang w:val="en-ZA"/>
              </w:rPr>
            </w:pPr>
            <w:r w:rsidRPr="00625F0A">
              <w:rPr>
                <w:rFonts w:ascii="Arial" w:hAnsi="Arial" w:cs="Arial"/>
                <w:sz w:val="20"/>
                <w:szCs w:val="20"/>
                <w:lang w:val="en-ZA"/>
              </w:rPr>
              <w:t xml:space="preserve">8 </w:t>
            </w:r>
            <w:r w:rsidR="001F51BC" w:rsidRPr="00625F0A">
              <w:rPr>
                <w:rFonts w:ascii="Arial" w:hAnsi="Arial" w:cs="Arial"/>
                <w:sz w:val="20"/>
                <w:szCs w:val="20"/>
                <w:lang w:val="en-ZA"/>
              </w:rPr>
              <w:t>312</w:t>
            </w:r>
          </w:p>
        </w:tc>
        <w:tc>
          <w:tcPr>
            <w:tcW w:w="2070" w:type="dxa"/>
          </w:tcPr>
          <w:p w14:paraId="30539718" w14:textId="3F95A0AB" w:rsidR="00DD03B6" w:rsidRPr="00625F0A" w:rsidRDefault="001F51BC" w:rsidP="00D15A19">
            <w:pPr>
              <w:pStyle w:val="ListParagraph"/>
              <w:tabs>
                <w:tab w:val="left" w:pos="360"/>
              </w:tabs>
              <w:spacing w:line="276" w:lineRule="auto"/>
              <w:ind w:left="0"/>
              <w:jc w:val="right"/>
              <w:rPr>
                <w:rFonts w:ascii="Arial" w:hAnsi="Arial" w:cs="Arial"/>
                <w:b/>
                <w:sz w:val="20"/>
                <w:szCs w:val="20"/>
                <w:lang w:val="en-ZA"/>
              </w:rPr>
            </w:pPr>
            <w:r w:rsidRPr="00625F0A">
              <w:rPr>
                <w:rFonts w:ascii="Arial" w:hAnsi="Arial" w:cs="Arial"/>
                <w:b/>
                <w:sz w:val="20"/>
                <w:szCs w:val="20"/>
                <w:lang w:val="en-ZA"/>
              </w:rPr>
              <w:t>52 417</w:t>
            </w:r>
          </w:p>
        </w:tc>
      </w:tr>
      <w:tr w:rsidR="00625F0A" w:rsidRPr="00625F0A" w14:paraId="5D240174" w14:textId="77777777" w:rsidTr="00CB36B5">
        <w:tc>
          <w:tcPr>
            <w:tcW w:w="2700" w:type="dxa"/>
          </w:tcPr>
          <w:p w14:paraId="2E69E38F" w14:textId="77777777" w:rsidR="00DD03B6" w:rsidRPr="00625F0A" w:rsidRDefault="00DD03B6" w:rsidP="00D15A19">
            <w:pPr>
              <w:pStyle w:val="ListParagraph"/>
              <w:tabs>
                <w:tab w:val="left" w:pos="360"/>
              </w:tabs>
              <w:spacing w:line="276" w:lineRule="auto"/>
              <w:ind w:left="0"/>
              <w:jc w:val="both"/>
              <w:rPr>
                <w:rFonts w:ascii="Arial" w:hAnsi="Arial" w:cs="Arial"/>
                <w:sz w:val="20"/>
                <w:szCs w:val="20"/>
                <w:lang w:val="en-ZA"/>
              </w:rPr>
            </w:pPr>
            <w:r w:rsidRPr="00625F0A">
              <w:rPr>
                <w:rFonts w:ascii="Arial" w:hAnsi="Arial" w:cs="Arial"/>
                <w:sz w:val="20"/>
                <w:szCs w:val="20"/>
                <w:lang w:val="en-ZA"/>
              </w:rPr>
              <w:t>Northern Cape</w:t>
            </w:r>
          </w:p>
        </w:tc>
        <w:tc>
          <w:tcPr>
            <w:tcW w:w="2070" w:type="dxa"/>
          </w:tcPr>
          <w:p w14:paraId="2F4BB174" w14:textId="0670BA8B" w:rsidR="00DD03B6" w:rsidRPr="00625F0A" w:rsidRDefault="002345A7" w:rsidP="00D15A19">
            <w:pPr>
              <w:pStyle w:val="ListParagraph"/>
              <w:tabs>
                <w:tab w:val="left" w:pos="360"/>
              </w:tabs>
              <w:spacing w:line="276" w:lineRule="auto"/>
              <w:ind w:left="0"/>
              <w:jc w:val="right"/>
              <w:rPr>
                <w:rFonts w:ascii="Arial" w:hAnsi="Arial" w:cs="Arial"/>
                <w:sz w:val="20"/>
                <w:szCs w:val="20"/>
                <w:lang w:val="en-ZA"/>
              </w:rPr>
            </w:pPr>
            <w:r w:rsidRPr="00625F0A">
              <w:rPr>
                <w:rFonts w:ascii="Arial" w:hAnsi="Arial" w:cs="Arial"/>
                <w:sz w:val="20"/>
                <w:szCs w:val="20"/>
                <w:lang w:val="en-ZA"/>
              </w:rPr>
              <w:t>14 290</w:t>
            </w:r>
          </w:p>
        </w:tc>
        <w:tc>
          <w:tcPr>
            <w:tcW w:w="2610" w:type="dxa"/>
          </w:tcPr>
          <w:p w14:paraId="05E37414" w14:textId="774D0EC3" w:rsidR="00DD03B6" w:rsidRPr="00625F0A" w:rsidRDefault="002F4CDE" w:rsidP="00D15A19">
            <w:pPr>
              <w:pStyle w:val="ListParagraph"/>
              <w:tabs>
                <w:tab w:val="left" w:pos="360"/>
              </w:tabs>
              <w:spacing w:line="276" w:lineRule="auto"/>
              <w:ind w:left="0"/>
              <w:jc w:val="right"/>
              <w:rPr>
                <w:rFonts w:ascii="Arial" w:hAnsi="Arial" w:cs="Arial"/>
                <w:sz w:val="20"/>
                <w:szCs w:val="20"/>
                <w:lang w:val="en-ZA"/>
              </w:rPr>
            </w:pPr>
            <w:r w:rsidRPr="00625F0A">
              <w:rPr>
                <w:rFonts w:ascii="Arial" w:hAnsi="Arial" w:cs="Arial"/>
                <w:sz w:val="20"/>
                <w:szCs w:val="20"/>
                <w:lang w:val="en-ZA"/>
              </w:rPr>
              <w:t>4 542</w:t>
            </w:r>
          </w:p>
        </w:tc>
        <w:tc>
          <w:tcPr>
            <w:tcW w:w="2070" w:type="dxa"/>
          </w:tcPr>
          <w:p w14:paraId="01E8DAF1" w14:textId="50C03A55" w:rsidR="00DD03B6" w:rsidRPr="00625F0A" w:rsidRDefault="002B6D79" w:rsidP="00D15A19">
            <w:pPr>
              <w:pStyle w:val="ListParagraph"/>
              <w:tabs>
                <w:tab w:val="left" w:pos="360"/>
              </w:tabs>
              <w:spacing w:line="276" w:lineRule="auto"/>
              <w:ind w:left="0"/>
              <w:jc w:val="right"/>
              <w:rPr>
                <w:rFonts w:ascii="Arial" w:hAnsi="Arial" w:cs="Arial"/>
                <w:b/>
                <w:sz w:val="20"/>
                <w:szCs w:val="20"/>
                <w:lang w:val="en-ZA"/>
              </w:rPr>
            </w:pPr>
            <w:r w:rsidRPr="00625F0A">
              <w:rPr>
                <w:rFonts w:ascii="Arial" w:hAnsi="Arial" w:cs="Arial"/>
                <w:b/>
                <w:sz w:val="20"/>
                <w:szCs w:val="20"/>
                <w:lang w:val="en-ZA"/>
              </w:rPr>
              <w:t>18 832</w:t>
            </w:r>
          </w:p>
        </w:tc>
      </w:tr>
      <w:tr w:rsidR="00625F0A" w:rsidRPr="00625F0A" w14:paraId="63CE97B3" w14:textId="77777777" w:rsidTr="00CB36B5">
        <w:tc>
          <w:tcPr>
            <w:tcW w:w="2700" w:type="dxa"/>
          </w:tcPr>
          <w:p w14:paraId="495897EF" w14:textId="77777777" w:rsidR="00DD03B6" w:rsidRPr="00625F0A" w:rsidRDefault="00DD03B6" w:rsidP="00D15A19">
            <w:pPr>
              <w:pStyle w:val="ListParagraph"/>
              <w:tabs>
                <w:tab w:val="left" w:pos="360"/>
              </w:tabs>
              <w:spacing w:line="276" w:lineRule="auto"/>
              <w:ind w:left="0"/>
              <w:jc w:val="both"/>
              <w:rPr>
                <w:rFonts w:ascii="Arial" w:hAnsi="Arial" w:cs="Arial"/>
                <w:sz w:val="20"/>
                <w:szCs w:val="20"/>
                <w:lang w:val="en-ZA"/>
              </w:rPr>
            </w:pPr>
            <w:r w:rsidRPr="00625F0A">
              <w:rPr>
                <w:rFonts w:ascii="Arial" w:hAnsi="Arial" w:cs="Arial"/>
                <w:sz w:val="20"/>
                <w:szCs w:val="20"/>
                <w:lang w:val="en-ZA"/>
              </w:rPr>
              <w:t>North West</w:t>
            </w:r>
          </w:p>
        </w:tc>
        <w:tc>
          <w:tcPr>
            <w:tcW w:w="2070" w:type="dxa"/>
          </w:tcPr>
          <w:p w14:paraId="66C97FAB" w14:textId="629D1A11" w:rsidR="00DD03B6" w:rsidRPr="00625F0A" w:rsidRDefault="002345A7" w:rsidP="00D15A19">
            <w:pPr>
              <w:pStyle w:val="ListParagraph"/>
              <w:tabs>
                <w:tab w:val="left" w:pos="360"/>
              </w:tabs>
              <w:spacing w:line="276" w:lineRule="auto"/>
              <w:ind w:left="0"/>
              <w:jc w:val="right"/>
              <w:rPr>
                <w:rFonts w:ascii="Arial" w:hAnsi="Arial" w:cs="Arial"/>
                <w:sz w:val="20"/>
                <w:szCs w:val="20"/>
                <w:lang w:val="en-ZA"/>
              </w:rPr>
            </w:pPr>
            <w:r w:rsidRPr="00625F0A">
              <w:rPr>
                <w:rFonts w:ascii="Arial" w:hAnsi="Arial" w:cs="Arial"/>
                <w:sz w:val="20"/>
                <w:szCs w:val="20"/>
                <w:lang w:val="en-ZA"/>
              </w:rPr>
              <w:t>37 548</w:t>
            </w:r>
          </w:p>
        </w:tc>
        <w:tc>
          <w:tcPr>
            <w:tcW w:w="2610" w:type="dxa"/>
          </w:tcPr>
          <w:p w14:paraId="5B33A6C6" w14:textId="39F03EC8" w:rsidR="00DD03B6" w:rsidRPr="00625F0A" w:rsidRDefault="002F4CDE" w:rsidP="00D15A19">
            <w:pPr>
              <w:pStyle w:val="ListParagraph"/>
              <w:tabs>
                <w:tab w:val="left" w:pos="360"/>
              </w:tabs>
              <w:spacing w:line="276" w:lineRule="auto"/>
              <w:ind w:left="0"/>
              <w:jc w:val="right"/>
              <w:rPr>
                <w:rFonts w:ascii="Arial" w:hAnsi="Arial" w:cs="Arial"/>
                <w:sz w:val="20"/>
                <w:szCs w:val="20"/>
                <w:lang w:val="en-ZA"/>
              </w:rPr>
            </w:pPr>
            <w:r w:rsidRPr="00625F0A">
              <w:rPr>
                <w:rFonts w:ascii="Arial" w:hAnsi="Arial" w:cs="Arial"/>
                <w:sz w:val="20"/>
                <w:szCs w:val="20"/>
                <w:lang w:val="en-ZA"/>
              </w:rPr>
              <w:t>7 743</w:t>
            </w:r>
          </w:p>
        </w:tc>
        <w:tc>
          <w:tcPr>
            <w:tcW w:w="2070" w:type="dxa"/>
          </w:tcPr>
          <w:p w14:paraId="6791EA18" w14:textId="6A452666" w:rsidR="00DD03B6" w:rsidRPr="00625F0A" w:rsidRDefault="002B6D79" w:rsidP="00D15A19">
            <w:pPr>
              <w:pStyle w:val="ListParagraph"/>
              <w:tabs>
                <w:tab w:val="left" w:pos="360"/>
              </w:tabs>
              <w:spacing w:line="276" w:lineRule="auto"/>
              <w:ind w:left="0"/>
              <w:jc w:val="right"/>
              <w:rPr>
                <w:rFonts w:ascii="Arial" w:hAnsi="Arial" w:cs="Arial"/>
                <w:b/>
                <w:sz w:val="20"/>
                <w:szCs w:val="20"/>
                <w:lang w:val="en-ZA"/>
              </w:rPr>
            </w:pPr>
            <w:r w:rsidRPr="00625F0A">
              <w:rPr>
                <w:rFonts w:ascii="Arial" w:hAnsi="Arial" w:cs="Arial"/>
                <w:b/>
                <w:sz w:val="20"/>
                <w:szCs w:val="20"/>
                <w:lang w:val="en-ZA"/>
              </w:rPr>
              <w:t>45 291</w:t>
            </w:r>
          </w:p>
        </w:tc>
      </w:tr>
      <w:tr w:rsidR="00625F0A" w:rsidRPr="00625F0A" w14:paraId="0CA17484" w14:textId="77777777" w:rsidTr="00CB36B5">
        <w:tc>
          <w:tcPr>
            <w:tcW w:w="2700" w:type="dxa"/>
          </w:tcPr>
          <w:p w14:paraId="079E86F9" w14:textId="77777777" w:rsidR="00DD03B6" w:rsidRPr="00625F0A" w:rsidRDefault="00DD03B6" w:rsidP="00D15A19">
            <w:pPr>
              <w:pStyle w:val="ListParagraph"/>
              <w:tabs>
                <w:tab w:val="left" w:pos="360"/>
              </w:tabs>
              <w:spacing w:line="276" w:lineRule="auto"/>
              <w:ind w:left="0"/>
              <w:jc w:val="both"/>
              <w:rPr>
                <w:rFonts w:ascii="Arial" w:hAnsi="Arial" w:cs="Arial"/>
                <w:sz w:val="20"/>
                <w:szCs w:val="20"/>
                <w:lang w:val="en-ZA"/>
              </w:rPr>
            </w:pPr>
            <w:r w:rsidRPr="00625F0A">
              <w:rPr>
                <w:rFonts w:ascii="Arial" w:hAnsi="Arial" w:cs="Arial"/>
                <w:sz w:val="20"/>
                <w:szCs w:val="20"/>
                <w:lang w:val="en-ZA"/>
              </w:rPr>
              <w:t>Western Cape</w:t>
            </w:r>
          </w:p>
        </w:tc>
        <w:tc>
          <w:tcPr>
            <w:tcW w:w="2070" w:type="dxa"/>
          </w:tcPr>
          <w:p w14:paraId="67ACA2DF" w14:textId="56554AE0" w:rsidR="00DD03B6" w:rsidRPr="00625F0A" w:rsidRDefault="002345A7" w:rsidP="00D15A19">
            <w:pPr>
              <w:pStyle w:val="ListParagraph"/>
              <w:tabs>
                <w:tab w:val="left" w:pos="360"/>
              </w:tabs>
              <w:spacing w:line="276" w:lineRule="auto"/>
              <w:ind w:left="0"/>
              <w:jc w:val="right"/>
              <w:rPr>
                <w:rFonts w:ascii="Arial" w:hAnsi="Arial" w:cs="Arial"/>
                <w:sz w:val="20"/>
                <w:szCs w:val="20"/>
                <w:lang w:val="en-ZA"/>
              </w:rPr>
            </w:pPr>
            <w:r w:rsidRPr="00625F0A">
              <w:rPr>
                <w:rFonts w:ascii="Arial" w:hAnsi="Arial" w:cs="Arial"/>
                <w:sz w:val="20"/>
                <w:szCs w:val="20"/>
                <w:lang w:val="en-ZA"/>
              </w:rPr>
              <w:t>55 208</w:t>
            </w:r>
          </w:p>
        </w:tc>
        <w:tc>
          <w:tcPr>
            <w:tcW w:w="2610" w:type="dxa"/>
          </w:tcPr>
          <w:p w14:paraId="64F1297D" w14:textId="34E97CC5" w:rsidR="00DD03B6" w:rsidRPr="00625F0A" w:rsidRDefault="002F4CDE" w:rsidP="00D15A19">
            <w:pPr>
              <w:pStyle w:val="ListParagraph"/>
              <w:tabs>
                <w:tab w:val="left" w:pos="360"/>
              </w:tabs>
              <w:spacing w:line="276" w:lineRule="auto"/>
              <w:ind w:left="0"/>
              <w:jc w:val="right"/>
              <w:rPr>
                <w:rFonts w:ascii="Arial" w:hAnsi="Arial" w:cs="Arial"/>
                <w:sz w:val="20"/>
                <w:szCs w:val="20"/>
                <w:lang w:val="en-ZA"/>
              </w:rPr>
            </w:pPr>
            <w:r w:rsidRPr="00625F0A">
              <w:rPr>
                <w:rFonts w:ascii="Arial" w:hAnsi="Arial" w:cs="Arial"/>
                <w:sz w:val="20"/>
                <w:szCs w:val="20"/>
                <w:lang w:val="en-ZA"/>
              </w:rPr>
              <w:t>13 161</w:t>
            </w:r>
          </w:p>
        </w:tc>
        <w:tc>
          <w:tcPr>
            <w:tcW w:w="2070" w:type="dxa"/>
          </w:tcPr>
          <w:p w14:paraId="12D19082" w14:textId="1E22B5A1" w:rsidR="00DD03B6" w:rsidRPr="00625F0A" w:rsidRDefault="00572843" w:rsidP="00D15A19">
            <w:pPr>
              <w:pStyle w:val="ListParagraph"/>
              <w:tabs>
                <w:tab w:val="left" w:pos="360"/>
              </w:tabs>
              <w:spacing w:line="276" w:lineRule="auto"/>
              <w:ind w:left="0"/>
              <w:jc w:val="right"/>
              <w:rPr>
                <w:rFonts w:ascii="Arial" w:hAnsi="Arial" w:cs="Arial"/>
                <w:b/>
                <w:sz w:val="20"/>
                <w:szCs w:val="20"/>
                <w:lang w:val="en-ZA"/>
              </w:rPr>
            </w:pPr>
            <w:r w:rsidRPr="00625F0A">
              <w:rPr>
                <w:rFonts w:ascii="Arial" w:hAnsi="Arial" w:cs="Arial"/>
                <w:b/>
                <w:sz w:val="20"/>
                <w:szCs w:val="20"/>
                <w:lang w:val="en-ZA"/>
              </w:rPr>
              <w:t>68 398</w:t>
            </w:r>
          </w:p>
        </w:tc>
      </w:tr>
      <w:tr w:rsidR="00625F0A" w:rsidRPr="00625F0A" w14:paraId="03EEE660" w14:textId="77777777" w:rsidTr="00CB36B5">
        <w:tc>
          <w:tcPr>
            <w:tcW w:w="2700" w:type="dxa"/>
          </w:tcPr>
          <w:p w14:paraId="28FFA2A7" w14:textId="77777777" w:rsidR="00DD03B6" w:rsidRPr="00625F0A" w:rsidRDefault="00DD03B6" w:rsidP="00D15A19">
            <w:pPr>
              <w:pStyle w:val="ListParagraph"/>
              <w:tabs>
                <w:tab w:val="left" w:pos="360"/>
              </w:tabs>
              <w:spacing w:line="276" w:lineRule="auto"/>
              <w:ind w:left="0"/>
              <w:jc w:val="both"/>
              <w:rPr>
                <w:rFonts w:ascii="Arial" w:hAnsi="Arial" w:cs="Arial"/>
                <w:sz w:val="20"/>
                <w:szCs w:val="20"/>
                <w:lang w:val="en-ZA"/>
              </w:rPr>
            </w:pPr>
            <w:r w:rsidRPr="00625F0A">
              <w:rPr>
                <w:rFonts w:ascii="Arial" w:hAnsi="Arial" w:cs="Arial"/>
                <w:sz w:val="20"/>
                <w:szCs w:val="20"/>
                <w:lang w:val="en-ZA"/>
              </w:rPr>
              <w:t>Unallocated</w:t>
            </w:r>
          </w:p>
        </w:tc>
        <w:tc>
          <w:tcPr>
            <w:tcW w:w="2070" w:type="dxa"/>
          </w:tcPr>
          <w:p w14:paraId="720FAB12" w14:textId="77777777" w:rsidR="00DD03B6" w:rsidRPr="00625F0A" w:rsidRDefault="00DD03B6" w:rsidP="00D15A19">
            <w:pPr>
              <w:pStyle w:val="ListParagraph"/>
              <w:tabs>
                <w:tab w:val="left" w:pos="360"/>
              </w:tabs>
              <w:spacing w:line="276" w:lineRule="auto"/>
              <w:ind w:left="0"/>
              <w:jc w:val="right"/>
              <w:rPr>
                <w:rFonts w:ascii="Arial" w:hAnsi="Arial" w:cs="Arial"/>
                <w:sz w:val="20"/>
                <w:szCs w:val="20"/>
                <w:lang w:val="en-ZA"/>
              </w:rPr>
            </w:pPr>
            <w:r w:rsidRPr="00625F0A">
              <w:rPr>
                <w:rFonts w:ascii="Arial" w:hAnsi="Arial" w:cs="Arial"/>
                <w:sz w:val="20"/>
                <w:szCs w:val="20"/>
                <w:lang w:val="en-ZA"/>
              </w:rPr>
              <w:t>-</w:t>
            </w:r>
          </w:p>
        </w:tc>
        <w:tc>
          <w:tcPr>
            <w:tcW w:w="2610" w:type="dxa"/>
          </w:tcPr>
          <w:p w14:paraId="5E22B98A" w14:textId="63997703" w:rsidR="00DD03B6" w:rsidRPr="00625F0A" w:rsidRDefault="00DF78F4" w:rsidP="00D15A19">
            <w:pPr>
              <w:pStyle w:val="ListParagraph"/>
              <w:tabs>
                <w:tab w:val="left" w:pos="360"/>
              </w:tabs>
              <w:spacing w:line="276" w:lineRule="auto"/>
              <w:ind w:left="0"/>
              <w:jc w:val="right"/>
              <w:rPr>
                <w:rFonts w:ascii="Arial" w:hAnsi="Arial" w:cs="Arial"/>
                <w:sz w:val="20"/>
                <w:szCs w:val="20"/>
                <w:lang w:val="en-ZA"/>
              </w:rPr>
            </w:pPr>
            <w:r w:rsidRPr="00625F0A">
              <w:rPr>
                <w:rFonts w:ascii="Arial" w:hAnsi="Arial" w:cs="Arial"/>
                <w:sz w:val="20"/>
                <w:szCs w:val="20"/>
                <w:lang w:val="en-ZA"/>
              </w:rPr>
              <w:t>4</w:t>
            </w:r>
            <w:r w:rsidR="00572843" w:rsidRPr="00625F0A">
              <w:rPr>
                <w:rFonts w:ascii="Arial" w:hAnsi="Arial" w:cs="Arial"/>
                <w:sz w:val="20"/>
                <w:szCs w:val="20"/>
                <w:lang w:val="en-ZA"/>
              </w:rPr>
              <w:t>33</w:t>
            </w:r>
          </w:p>
        </w:tc>
        <w:tc>
          <w:tcPr>
            <w:tcW w:w="2070" w:type="dxa"/>
          </w:tcPr>
          <w:p w14:paraId="7534C177" w14:textId="100ADB9E" w:rsidR="00DD03B6" w:rsidRPr="00625F0A" w:rsidRDefault="00572843" w:rsidP="00D15A19">
            <w:pPr>
              <w:pStyle w:val="ListParagraph"/>
              <w:tabs>
                <w:tab w:val="left" w:pos="360"/>
              </w:tabs>
              <w:spacing w:line="276" w:lineRule="auto"/>
              <w:ind w:left="0"/>
              <w:jc w:val="right"/>
              <w:rPr>
                <w:rFonts w:ascii="Arial" w:hAnsi="Arial" w:cs="Arial"/>
                <w:b/>
                <w:sz w:val="20"/>
                <w:szCs w:val="20"/>
                <w:lang w:val="en-ZA"/>
              </w:rPr>
            </w:pPr>
            <w:r w:rsidRPr="00625F0A">
              <w:rPr>
                <w:rFonts w:ascii="Arial" w:hAnsi="Arial" w:cs="Arial"/>
                <w:b/>
                <w:sz w:val="20"/>
                <w:szCs w:val="20"/>
                <w:lang w:val="en-ZA"/>
              </w:rPr>
              <w:t>433</w:t>
            </w:r>
          </w:p>
        </w:tc>
      </w:tr>
      <w:tr w:rsidR="00625F0A" w:rsidRPr="00625F0A" w14:paraId="538C5859" w14:textId="77777777" w:rsidTr="00CB36B5">
        <w:tc>
          <w:tcPr>
            <w:tcW w:w="2700" w:type="dxa"/>
          </w:tcPr>
          <w:p w14:paraId="7F0892F7" w14:textId="77777777" w:rsidR="00DD03B6" w:rsidRPr="00625F0A" w:rsidRDefault="000B63DA" w:rsidP="00D15A19">
            <w:pPr>
              <w:pStyle w:val="ListParagraph"/>
              <w:tabs>
                <w:tab w:val="left" w:pos="360"/>
              </w:tabs>
              <w:spacing w:line="276" w:lineRule="auto"/>
              <w:ind w:left="0"/>
              <w:jc w:val="both"/>
              <w:rPr>
                <w:rFonts w:ascii="Arial" w:hAnsi="Arial" w:cs="Arial"/>
                <w:b/>
                <w:sz w:val="20"/>
                <w:szCs w:val="20"/>
                <w:lang w:val="en-ZA"/>
              </w:rPr>
            </w:pPr>
            <w:r w:rsidRPr="00625F0A">
              <w:rPr>
                <w:rFonts w:ascii="Arial" w:hAnsi="Arial" w:cs="Arial"/>
                <w:b/>
                <w:sz w:val="20"/>
                <w:szCs w:val="20"/>
                <w:lang w:val="en-ZA"/>
              </w:rPr>
              <w:t>Total</w:t>
            </w:r>
          </w:p>
        </w:tc>
        <w:tc>
          <w:tcPr>
            <w:tcW w:w="2070" w:type="dxa"/>
          </w:tcPr>
          <w:p w14:paraId="06FB0060" w14:textId="751AE511" w:rsidR="00DD03B6" w:rsidRPr="00625F0A" w:rsidRDefault="00DF78F4" w:rsidP="00D15A19">
            <w:pPr>
              <w:pStyle w:val="ListParagraph"/>
              <w:tabs>
                <w:tab w:val="left" w:pos="360"/>
              </w:tabs>
              <w:spacing w:line="276" w:lineRule="auto"/>
              <w:ind w:left="0"/>
              <w:jc w:val="right"/>
              <w:rPr>
                <w:rFonts w:ascii="Arial" w:hAnsi="Arial" w:cs="Arial"/>
                <w:b/>
                <w:sz w:val="20"/>
                <w:szCs w:val="20"/>
                <w:lang w:val="en-ZA"/>
              </w:rPr>
            </w:pPr>
            <w:r w:rsidRPr="00625F0A">
              <w:rPr>
                <w:rFonts w:ascii="Arial" w:hAnsi="Arial" w:cs="Arial"/>
                <w:b/>
                <w:sz w:val="20"/>
                <w:szCs w:val="20"/>
                <w:lang w:val="en-ZA"/>
              </w:rPr>
              <w:t>5</w:t>
            </w:r>
            <w:r w:rsidR="0038496B" w:rsidRPr="00625F0A">
              <w:rPr>
                <w:rFonts w:ascii="Arial" w:hAnsi="Arial" w:cs="Arial"/>
                <w:b/>
                <w:sz w:val="20"/>
                <w:szCs w:val="20"/>
                <w:lang w:val="en-ZA"/>
              </w:rPr>
              <w:t>38 472</w:t>
            </w:r>
          </w:p>
        </w:tc>
        <w:tc>
          <w:tcPr>
            <w:tcW w:w="2610" w:type="dxa"/>
          </w:tcPr>
          <w:p w14:paraId="664A130D" w14:textId="75D40EEE" w:rsidR="00DD03B6" w:rsidRPr="00625F0A" w:rsidRDefault="00572843" w:rsidP="00D15A19">
            <w:pPr>
              <w:pStyle w:val="ListParagraph"/>
              <w:tabs>
                <w:tab w:val="left" w:pos="360"/>
              </w:tabs>
              <w:spacing w:line="276" w:lineRule="auto"/>
              <w:ind w:left="0"/>
              <w:jc w:val="right"/>
              <w:rPr>
                <w:rFonts w:ascii="Arial" w:hAnsi="Arial" w:cs="Arial"/>
                <w:b/>
                <w:sz w:val="20"/>
                <w:szCs w:val="20"/>
                <w:lang w:val="en-ZA"/>
              </w:rPr>
            </w:pPr>
            <w:r w:rsidRPr="00625F0A">
              <w:rPr>
                <w:rFonts w:ascii="Arial" w:hAnsi="Arial" w:cs="Arial"/>
                <w:b/>
                <w:sz w:val="20"/>
                <w:szCs w:val="20"/>
                <w:lang w:val="en-ZA"/>
              </w:rPr>
              <w:t>110 785</w:t>
            </w:r>
          </w:p>
        </w:tc>
        <w:tc>
          <w:tcPr>
            <w:tcW w:w="2070" w:type="dxa"/>
          </w:tcPr>
          <w:p w14:paraId="42C9D20F" w14:textId="6EB364AB" w:rsidR="00DD03B6" w:rsidRPr="00625F0A" w:rsidRDefault="00572843" w:rsidP="00D15A19">
            <w:pPr>
              <w:pStyle w:val="ListParagraph"/>
              <w:tabs>
                <w:tab w:val="left" w:pos="360"/>
              </w:tabs>
              <w:spacing w:line="276" w:lineRule="auto"/>
              <w:ind w:left="0"/>
              <w:jc w:val="right"/>
              <w:rPr>
                <w:rFonts w:ascii="Arial" w:hAnsi="Arial" w:cs="Arial"/>
                <w:b/>
                <w:sz w:val="20"/>
                <w:szCs w:val="20"/>
                <w:lang w:val="en-ZA"/>
              </w:rPr>
            </w:pPr>
            <w:r w:rsidRPr="00625F0A">
              <w:rPr>
                <w:rFonts w:ascii="Arial" w:hAnsi="Arial" w:cs="Arial"/>
                <w:b/>
                <w:sz w:val="20"/>
                <w:szCs w:val="20"/>
                <w:lang w:val="en-ZA"/>
              </w:rPr>
              <w:t>649 256</w:t>
            </w:r>
          </w:p>
        </w:tc>
      </w:tr>
    </w:tbl>
    <w:p w14:paraId="4A263270" w14:textId="77777777" w:rsidR="00012E20" w:rsidRPr="00625F0A" w:rsidRDefault="00012E20" w:rsidP="00D15A19">
      <w:pPr>
        <w:spacing w:line="276" w:lineRule="auto"/>
        <w:ind w:firstLine="360"/>
        <w:rPr>
          <w:rFonts w:ascii="Arial" w:hAnsi="Arial" w:cs="Arial"/>
          <w:i/>
          <w:sz w:val="20"/>
          <w:szCs w:val="20"/>
          <w:lang w:val="en-ZA"/>
        </w:rPr>
      </w:pPr>
      <w:r w:rsidRPr="00625F0A">
        <w:rPr>
          <w:rFonts w:ascii="Arial" w:hAnsi="Arial" w:cs="Arial"/>
          <w:i/>
          <w:sz w:val="20"/>
          <w:szCs w:val="20"/>
          <w:lang w:val="en-ZA"/>
        </w:rPr>
        <w:t xml:space="preserve">Source: </w:t>
      </w:r>
      <w:r w:rsidR="001065F3" w:rsidRPr="00625F0A">
        <w:rPr>
          <w:rFonts w:ascii="Arial" w:hAnsi="Arial" w:cs="Arial"/>
          <w:i/>
          <w:sz w:val="20"/>
          <w:szCs w:val="20"/>
          <w:lang w:val="en-ZA"/>
        </w:rPr>
        <w:t>National Treasury</w:t>
      </w:r>
    </w:p>
    <w:p w14:paraId="0869503E" w14:textId="77777777" w:rsidR="000B3FDB" w:rsidRPr="00625F0A" w:rsidRDefault="000B3FDB" w:rsidP="00D15A19">
      <w:pPr>
        <w:pStyle w:val="ListParagraph"/>
        <w:spacing w:line="276" w:lineRule="auto"/>
        <w:rPr>
          <w:rFonts w:ascii="Arial" w:hAnsi="Arial" w:cs="Arial"/>
          <w:i/>
          <w:sz w:val="22"/>
          <w:szCs w:val="22"/>
          <w:lang w:val="en-ZA"/>
        </w:rPr>
      </w:pPr>
    </w:p>
    <w:p w14:paraId="4B38102C" w14:textId="2DDBE165" w:rsidR="0012084D" w:rsidRPr="00625F0A" w:rsidRDefault="003E6D49" w:rsidP="00D15A19">
      <w:pPr>
        <w:pStyle w:val="Default"/>
        <w:spacing w:line="276" w:lineRule="auto"/>
        <w:ind w:left="360"/>
        <w:jc w:val="both"/>
        <w:rPr>
          <w:rFonts w:ascii="Arial" w:hAnsi="Arial" w:cs="Arial"/>
          <w:color w:val="auto"/>
          <w:sz w:val="22"/>
          <w:szCs w:val="22"/>
        </w:rPr>
      </w:pPr>
      <w:r w:rsidRPr="00625F0A">
        <w:rPr>
          <w:rFonts w:ascii="Arial" w:hAnsi="Arial" w:cs="Arial"/>
          <w:color w:val="auto"/>
          <w:sz w:val="22"/>
          <w:szCs w:val="22"/>
          <w:lang w:val="en-ZA"/>
        </w:rPr>
        <w:t xml:space="preserve">Table </w:t>
      </w:r>
      <w:r w:rsidR="00E33166" w:rsidRPr="00625F0A">
        <w:rPr>
          <w:rFonts w:ascii="Arial" w:hAnsi="Arial" w:cs="Arial"/>
          <w:color w:val="auto"/>
          <w:sz w:val="22"/>
          <w:szCs w:val="22"/>
          <w:lang w:val="en-ZA"/>
        </w:rPr>
        <w:t>1 above</w:t>
      </w:r>
      <w:r w:rsidRPr="00625F0A">
        <w:rPr>
          <w:rFonts w:ascii="Arial" w:hAnsi="Arial" w:cs="Arial"/>
          <w:color w:val="auto"/>
          <w:sz w:val="22"/>
          <w:szCs w:val="22"/>
          <w:lang w:val="en-ZA"/>
        </w:rPr>
        <w:t xml:space="preserve"> is a graphical representation of total transfers to provinces for the 20</w:t>
      </w:r>
      <w:r w:rsidR="0040376D" w:rsidRPr="00625F0A">
        <w:rPr>
          <w:rFonts w:ascii="Arial" w:hAnsi="Arial" w:cs="Arial"/>
          <w:color w:val="auto"/>
          <w:sz w:val="22"/>
          <w:szCs w:val="22"/>
          <w:lang w:val="en-ZA"/>
        </w:rPr>
        <w:t>20</w:t>
      </w:r>
      <w:r w:rsidR="00DF78F4" w:rsidRPr="00625F0A">
        <w:rPr>
          <w:rFonts w:ascii="Arial" w:hAnsi="Arial" w:cs="Arial"/>
          <w:color w:val="auto"/>
          <w:sz w:val="22"/>
          <w:szCs w:val="22"/>
          <w:lang w:val="en-ZA"/>
        </w:rPr>
        <w:t>/20</w:t>
      </w:r>
      <w:r w:rsidRPr="00625F0A">
        <w:rPr>
          <w:rFonts w:ascii="Arial" w:hAnsi="Arial" w:cs="Arial"/>
          <w:color w:val="auto"/>
          <w:sz w:val="22"/>
          <w:szCs w:val="22"/>
          <w:lang w:val="en-ZA"/>
        </w:rPr>
        <w:t xml:space="preserve"> financial year. G</w:t>
      </w:r>
      <w:r w:rsidR="000B63DA" w:rsidRPr="00625F0A">
        <w:rPr>
          <w:rFonts w:ascii="Arial" w:hAnsi="Arial" w:cs="Arial"/>
          <w:color w:val="auto"/>
          <w:sz w:val="22"/>
          <w:szCs w:val="22"/>
          <w:lang w:val="en-ZA"/>
        </w:rPr>
        <w:t>auteng Province receives R</w:t>
      </w:r>
      <w:r w:rsidR="00DF78F4" w:rsidRPr="00625F0A">
        <w:rPr>
          <w:rFonts w:ascii="Arial" w:hAnsi="Arial" w:cs="Arial"/>
          <w:color w:val="auto"/>
          <w:sz w:val="22"/>
          <w:szCs w:val="22"/>
          <w:lang w:val="en-ZA"/>
        </w:rPr>
        <w:t>1</w:t>
      </w:r>
      <w:r w:rsidR="0040376D" w:rsidRPr="00625F0A">
        <w:rPr>
          <w:rFonts w:ascii="Arial" w:hAnsi="Arial" w:cs="Arial"/>
          <w:color w:val="auto"/>
          <w:sz w:val="22"/>
          <w:szCs w:val="22"/>
          <w:lang w:val="en-ZA"/>
        </w:rPr>
        <w:t>12 118 000</w:t>
      </w:r>
      <w:r w:rsidRPr="00625F0A">
        <w:rPr>
          <w:rFonts w:ascii="Arial" w:hAnsi="Arial" w:cs="Arial"/>
          <w:color w:val="auto"/>
          <w:sz w:val="22"/>
          <w:szCs w:val="22"/>
          <w:lang w:val="en-ZA"/>
        </w:rPr>
        <w:t xml:space="preserve"> 000</w:t>
      </w:r>
      <w:r w:rsidR="000B63DA" w:rsidRPr="00625F0A">
        <w:rPr>
          <w:rFonts w:ascii="Arial" w:hAnsi="Arial" w:cs="Arial"/>
          <w:color w:val="auto"/>
          <w:sz w:val="22"/>
          <w:szCs w:val="22"/>
          <w:lang w:val="en-ZA"/>
        </w:rPr>
        <w:t> from the equitable share allocation and R</w:t>
      </w:r>
      <w:r w:rsidRPr="00625F0A">
        <w:rPr>
          <w:rFonts w:ascii="Arial" w:hAnsi="Arial" w:cs="Arial"/>
          <w:color w:val="auto"/>
          <w:sz w:val="22"/>
          <w:szCs w:val="22"/>
          <w:lang w:val="en-ZA"/>
        </w:rPr>
        <w:t>2</w:t>
      </w:r>
      <w:r w:rsidR="00DF78F4" w:rsidRPr="00625F0A">
        <w:rPr>
          <w:rFonts w:ascii="Arial" w:hAnsi="Arial" w:cs="Arial"/>
          <w:color w:val="auto"/>
          <w:sz w:val="22"/>
          <w:szCs w:val="22"/>
          <w:lang w:val="en-ZA"/>
        </w:rPr>
        <w:t xml:space="preserve">3 </w:t>
      </w:r>
      <w:r w:rsidR="0040376D" w:rsidRPr="00625F0A">
        <w:rPr>
          <w:rFonts w:ascii="Arial" w:hAnsi="Arial" w:cs="Arial"/>
          <w:color w:val="auto"/>
          <w:sz w:val="22"/>
          <w:szCs w:val="22"/>
          <w:lang w:val="en-ZA"/>
        </w:rPr>
        <w:t>935</w:t>
      </w:r>
      <w:r w:rsidR="00DF78F4" w:rsidRPr="00625F0A">
        <w:rPr>
          <w:rFonts w:ascii="Arial" w:hAnsi="Arial" w:cs="Arial"/>
          <w:color w:val="auto"/>
          <w:sz w:val="22"/>
          <w:szCs w:val="22"/>
          <w:lang w:val="en-ZA"/>
        </w:rPr>
        <w:t xml:space="preserve"> </w:t>
      </w:r>
      <w:r w:rsidRPr="00625F0A">
        <w:rPr>
          <w:rFonts w:ascii="Arial" w:hAnsi="Arial" w:cs="Arial"/>
          <w:color w:val="auto"/>
          <w:sz w:val="22"/>
          <w:szCs w:val="22"/>
          <w:lang w:val="en-ZA"/>
        </w:rPr>
        <w:t>000</w:t>
      </w:r>
      <w:r w:rsidR="00425D8F" w:rsidRPr="00625F0A">
        <w:rPr>
          <w:rFonts w:ascii="Arial" w:hAnsi="Arial" w:cs="Arial"/>
          <w:color w:val="auto"/>
          <w:sz w:val="22"/>
          <w:szCs w:val="22"/>
          <w:lang w:val="en-ZA"/>
        </w:rPr>
        <w:t xml:space="preserve"> 000</w:t>
      </w:r>
      <w:r w:rsidR="000B63DA" w:rsidRPr="00625F0A">
        <w:rPr>
          <w:rFonts w:ascii="Arial" w:hAnsi="Arial" w:cs="Arial"/>
          <w:color w:val="auto"/>
          <w:sz w:val="22"/>
          <w:szCs w:val="22"/>
          <w:lang w:val="en-ZA"/>
        </w:rPr>
        <w:t xml:space="preserve"> for conditional grants in </w:t>
      </w:r>
      <w:r w:rsidR="00DF78F4" w:rsidRPr="00625F0A">
        <w:rPr>
          <w:rFonts w:ascii="Arial" w:hAnsi="Arial" w:cs="Arial"/>
          <w:color w:val="auto"/>
          <w:sz w:val="22"/>
          <w:szCs w:val="22"/>
          <w:lang w:val="en-ZA"/>
        </w:rPr>
        <w:t>20</w:t>
      </w:r>
      <w:r w:rsidR="0040376D" w:rsidRPr="00625F0A">
        <w:rPr>
          <w:rFonts w:ascii="Arial" w:hAnsi="Arial" w:cs="Arial"/>
          <w:color w:val="auto"/>
          <w:sz w:val="22"/>
          <w:szCs w:val="22"/>
          <w:lang w:val="en-ZA"/>
        </w:rPr>
        <w:t>20</w:t>
      </w:r>
      <w:r w:rsidR="00DF78F4" w:rsidRPr="00625F0A">
        <w:rPr>
          <w:rFonts w:ascii="Arial" w:hAnsi="Arial" w:cs="Arial"/>
          <w:color w:val="auto"/>
          <w:sz w:val="22"/>
          <w:szCs w:val="22"/>
          <w:lang w:val="en-ZA"/>
        </w:rPr>
        <w:t>/2</w:t>
      </w:r>
      <w:r w:rsidR="0040376D" w:rsidRPr="00625F0A">
        <w:rPr>
          <w:rFonts w:ascii="Arial" w:hAnsi="Arial" w:cs="Arial"/>
          <w:color w:val="auto"/>
          <w:sz w:val="22"/>
          <w:szCs w:val="22"/>
          <w:lang w:val="en-ZA"/>
        </w:rPr>
        <w:t>1</w:t>
      </w:r>
      <w:r w:rsidR="00DF78F4" w:rsidRPr="00625F0A">
        <w:rPr>
          <w:rFonts w:ascii="Arial" w:hAnsi="Arial" w:cs="Arial"/>
          <w:color w:val="auto"/>
          <w:sz w:val="22"/>
          <w:szCs w:val="22"/>
          <w:lang w:val="en-ZA"/>
        </w:rPr>
        <w:t xml:space="preserve"> </w:t>
      </w:r>
      <w:r w:rsidR="000B63DA" w:rsidRPr="00625F0A">
        <w:rPr>
          <w:rFonts w:ascii="Arial" w:hAnsi="Arial" w:cs="Arial"/>
          <w:color w:val="auto"/>
          <w:sz w:val="22"/>
          <w:szCs w:val="22"/>
          <w:lang w:val="en-ZA"/>
        </w:rPr>
        <w:t>financial year which amounts to R</w:t>
      </w:r>
      <w:r w:rsidRPr="00625F0A">
        <w:rPr>
          <w:rFonts w:ascii="Arial" w:hAnsi="Arial" w:cs="Arial"/>
          <w:color w:val="auto"/>
          <w:sz w:val="22"/>
          <w:szCs w:val="22"/>
          <w:lang w:val="en-ZA"/>
        </w:rPr>
        <w:t>1</w:t>
      </w:r>
      <w:r w:rsidR="0040376D" w:rsidRPr="00625F0A">
        <w:rPr>
          <w:rFonts w:ascii="Arial" w:hAnsi="Arial" w:cs="Arial"/>
          <w:color w:val="auto"/>
          <w:sz w:val="22"/>
          <w:szCs w:val="22"/>
          <w:lang w:val="en-ZA"/>
        </w:rPr>
        <w:t>36 058</w:t>
      </w:r>
      <w:r w:rsidR="00425D8F" w:rsidRPr="00625F0A">
        <w:rPr>
          <w:rFonts w:ascii="Arial" w:hAnsi="Arial" w:cs="Arial"/>
          <w:color w:val="auto"/>
          <w:sz w:val="22"/>
          <w:szCs w:val="22"/>
          <w:lang w:val="en-ZA"/>
        </w:rPr>
        <w:t xml:space="preserve"> 000 000</w:t>
      </w:r>
      <w:r w:rsidR="000B63DA" w:rsidRPr="00625F0A">
        <w:rPr>
          <w:rFonts w:ascii="Arial" w:hAnsi="Arial" w:cs="Arial"/>
          <w:color w:val="auto"/>
          <w:sz w:val="22"/>
          <w:szCs w:val="22"/>
          <w:lang w:val="en-ZA"/>
        </w:rPr>
        <w:t>.</w:t>
      </w:r>
      <w:r w:rsidR="0012084D" w:rsidRPr="00625F0A">
        <w:rPr>
          <w:rFonts w:ascii="Arial" w:hAnsi="Arial" w:cs="Arial"/>
          <w:color w:val="auto"/>
          <w:sz w:val="22"/>
          <w:szCs w:val="22"/>
          <w:lang w:val="en-ZA"/>
        </w:rPr>
        <w:t xml:space="preserve"> </w:t>
      </w:r>
      <w:r w:rsidR="0012084D" w:rsidRPr="00625F0A">
        <w:rPr>
          <w:rFonts w:ascii="Arial" w:hAnsi="Arial" w:cs="Arial"/>
          <w:b/>
          <w:color w:val="auto"/>
          <w:sz w:val="22"/>
          <w:szCs w:val="22"/>
          <w:lang w:val="en-ZA"/>
        </w:rPr>
        <w:t xml:space="preserve">The Portfolio Committee noted with appreciation that </w:t>
      </w:r>
      <w:r w:rsidR="0012084D" w:rsidRPr="00625F0A">
        <w:rPr>
          <w:rFonts w:ascii="Arial" w:hAnsi="Arial" w:cs="Arial"/>
          <w:b/>
          <w:color w:val="auto"/>
          <w:sz w:val="22"/>
          <w:szCs w:val="22"/>
        </w:rPr>
        <w:t>provincial equitable share grows faster than conditional grants over the MTEF, thereby giving provinces greater flexibility in budgeting for their priorities.</w:t>
      </w:r>
      <w:r w:rsidR="0012084D" w:rsidRPr="00625F0A">
        <w:rPr>
          <w:rFonts w:ascii="Arial" w:hAnsi="Arial" w:cs="Arial"/>
          <w:color w:val="auto"/>
          <w:sz w:val="22"/>
          <w:szCs w:val="22"/>
        </w:rPr>
        <w:t xml:space="preserve"> The equitable share grows at </w:t>
      </w:r>
      <w:r w:rsidR="004E388D" w:rsidRPr="00625F0A">
        <w:rPr>
          <w:rFonts w:ascii="Arial" w:hAnsi="Arial" w:cs="Arial"/>
          <w:color w:val="auto"/>
          <w:sz w:val="22"/>
          <w:szCs w:val="22"/>
        </w:rPr>
        <w:t>6.3</w:t>
      </w:r>
      <w:r w:rsidR="0012084D" w:rsidRPr="00625F0A">
        <w:rPr>
          <w:rFonts w:ascii="Arial" w:hAnsi="Arial" w:cs="Arial"/>
          <w:color w:val="auto"/>
          <w:sz w:val="22"/>
          <w:szCs w:val="22"/>
        </w:rPr>
        <w:t xml:space="preserve">%, while conditional grants grow </w:t>
      </w:r>
      <w:r w:rsidR="0012084D" w:rsidRPr="00625F0A">
        <w:rPr>
          <w:rFonts w:ascii="Arial" w:hAnsi="Arial" w:cs="Arial"/>
          <w:color w:val="auto"/>
          <w:sz w:val="22"/>
          <w:szCs w:val="22"/>
        </w:rPr>
        <w:lastRenderedPageBreak/>
        <w:t xml:space="preserve">at </w:t>
      </w:r>
      <w:r w:rsidR="004E388D" w:rsidRPr="00625F0A">
        <w:rPr>
          <w:rFonts w:ascii="Arial" w:hAnsi="Arial" w:cs="Arial"/>
          <w:color w:val="auto"/>
          <w:sz w:val="22"/>
          <w:szCs w:val="22"/>
        </w:rPr>
        <w:t>4.7</w:t>
      </w:r>
      <w:r w:rsidR="0012084D" w:rsidRPr="00625F0A">
        <w:rPr>
          <w:rFonts w:ascii="Arial" w:hAnsi="Arial" w:cs="Arial"/>
          <w:color w:val="auto"/>
          <w:sz w:val="22"/>
          <w:szCs w:val="22"/>
        </w:rPr>
        <w:t xml:space="preserve">% </w:t>
      </w:r>
      <w:r w:rsidR="009A7F2F" w:rsidRPr="00625F0A">
        <w:rPr>
          <w:rFonts w:ascii="Arial" w:hAnsi="Arial" w:cs="Arial"/>
          <w:color w:val="auto"/>
          <w:sz w:val="22"/>
          <w:szCs w:val="22"/>
        </w:rPr>
        <w:t>over the MTEF period</w:t>
      </w:r>
      <w:r w:rsidR="0012084D" w:rsidRPr="00625F0A">
        <w:rPr>
          <w:rFonts w:ascii="Arial" w:hAnsi="Arial" w:cs="Arial"/>
          <w:color w:val="auto"/>
          <w:sz w:val="22"/>
          <w:szCs w:val="22"/>
        </w:rPr>
        <w:t>.</w:t>
      </w:r>
      <w:r w:rsidR="003F4779" w:rsidRPr="00625F0A">
        <w:rPr>
          <w:rFonts w:ascii="Arial" w:hAnsi="Arial" w:cs="Arial"/>
          <w:color w:val="auto"/>
          <w:sz w:val="22"/>
          <w:szCs w:val="22"/>
        </w:rPr>
        <w:t xml:space="preserve"> </w:t>
      </w:r>
    </w:p>
    <w:p w14:paraId="40D143EC" w14:textId="77777777" w:rsidR="00377D04" w:rsidRPr="00625F0A" w:rsidRDefault="00377D04" w:rsidP="00D15A19">
      <w:pPr>
        <w:pStyle w:val="Default"/>
        <w:spacing w:line="276" w:lineRule="auto"/>
        <w:ind w:left="360"/>
        <w:jc w:val="both"/>
        <w:rPr>
          <w:rFonts w:ascii="Arial" w:hAnsi="Arial" w:cs="Arial"/>
          <w:color w:val="auto"/>
          <w:sz w:val="22"/>
          <w:szCs w:val="22"/>
        </w:rPr>
      </w:pPr>
    </w:p>
    <w:p w14:paraId="02DA977C" w14:textId="25A4E48D" w:rsidR="00945EF0" w:rsidRPr="00625F0A" w:rsidRDefault="006251FD" w:rsidP="00D15A19">
      <w:pPr>
        <w:autoSpaceDE w:val="0"/>
        <w:autoSpaceDN w:val="0"/>
        <w:adjustRightInd w:val="0"/>
        <w:spacing w:line="276" w:lineRule="auto"/>
        <w:ind w:left="360"/>
        <w:jc w:val="both"/>
        <w:rPr>
          <w:rFonts w:ascii="Arial" w:hAnsi="Arial" w:cs="Arial"/>
          <w:b/>
          <w:sz w:val="22"/>
          <w:szCs w:val="22"/>
          <w:lang w:val="en-ZA"/>
        </w:rPr>
      </w:pPr>
      <w:r w:rsidRPr="00625F0A">
        <w:rPr>
          <w:rFonts w:ascii="Arial" w:hAnsi="Arial" w:cs="Arial"/>
          <w:sz w:val="22"/>
          <w:szCs w:val="22"/>
          <w:lang w:val="en-US"/>
        </w:rPr>
        <w:t xml:space="preserve">These allocations take into consideration </w:t>
      </w:r>
      <w:r w:rsidR="002350F1" w:rsidRPr="00625F0A">
        <w:rPr>
          <w:rFonts w:ascii="Arial" w:hAnsi="Arial" w:cs="Arial"/>
          <w:sz w:val="22"/>
          <w:szCs w:val="22"/>
          <w:lang w:val="en-US"/>
        </w:rPr>
        <w:t xml:space="preserve">key trends in equitable share data updates like, education component, health component, basic </w:t>
      </w:r>
      <w:r w:rsidR="00377D04" w:rsidRPr="00625F0A">
        <w:rPr>
          <w:rFonts w:ascii="Arial" w:hAnsi="Arial" w:cs="Arial"/>
          <w:sz w:val="22"/>
          <w:szCs w:val="22"/>
          <w:lang w:val="en-US"/>
        </w:rPr>
        <w:t xml:space="preserve">share </w:t>
      </w:r>
      <w:r w:rsidR="002350F1" w:rsidRPr="00625F0A">
        <w:rPr>
          <w:rFonts w:ascii="Arial" w:hAnsi="Arial" w:cs="Arial"/>
          <w:sz w:val="22"/>
          <w:szCs w:val="22"/>
          <w:lang w:val="en-US"/>
        </w:rPr>
        <w:t>component, poverty component, economic activity component and institutional component</w:t>
      </w:r>
      <w:r w:rsidR="00BE1125" w:rsidRPr="00625F0A">
        <w:rPr>
          <w:rFonts w:ascii="Arial" w:hAnsi="Arial" w:cs="Arial"/>
          <w:sz w:val="22"/>
          <w:szCs w:val="22"/>
          <w:lang w:val="en-US"/>
        </w:rPr>
        <w:t xml:space="preserve">. For the education </w:t>
      </w:r>
      <w:r w:rsidR="000C2497" w:rsidRPr="00625F0A">
        <w:rPr>
          <w:rFonts w:ascii="Arial" w:hAnsi="Arial" w:cs="Arial"/>
          <w:sz w:val="22"/>
          <w:szCs w:val="22"/>
          <w:lang w:val="en-US"/>
        </w:rPr>
        <w:t xml:space="preserve">and poverty </w:t>
      </w:r>
      <w:r w:rsidR="00BE1125" w:rsidRPr="00625F0A">
        <w:rPr>
          <w:rFonts w:ascii="Arial" w:hAnsi="Arial" w:cs="Arial"/>
          <w:sz w:val="22"/>
          <w:szCs w:val="22"/>
          <w:lang w:val="en-US"/>
        </w:rPr>
        <w:t>component</w:t>
      </w:r>
      <w:r w:rsidR="000C2497" w:rsidRPr="00625F0A">
        <w:rPr>
          <w:rFonts w:ascii="Arial" w:hAnsi="Arial" w:cs="Arial"/>
          <w:sz w:val="22"/>
          <w:szCs w:val="22"/>
          <w:lang w:val="en-US"/>
        </w:rPr>
        <w:t>s</w:t>
      </w:r>
      <w:r w:rsidR="00BE1125" w:rsidRPr="00625F0A">
        <w:rPr>
          <w:rFonts w:ascii="Arial" w:hAnsi="Arial" w:cs="Arial"/>
          <w:sz w:val="22"/>
          <w:szCs w:val="22"/>
          <w:lang w:val="en-US"/>
        </w:rPr>
        <w:t>, Kwazulu-Natal receives the highest allocation of 2</w:t>
      </w:r>
      <w:r w:rsidR="000C2497" w:rsidRPr="00625F0A">
        <w:rPr>
          <w:rFonts w:ascii="Arial" w:hAnsi="Arial" w:cs="Arial"/>
          <w:sz w:val="22"/>
          <w:szCs w:val="22"/>
          <w:lang w:val="en-US"/>
        </w:rPr>
        <w:t>1.6</w:t>
      </w:r>
      <w:r w:rsidR="00BE1125" w:rsidRPr="00625F0A">
        <w:rPr>
          <w:rFonts w:ascii="Arial" w:hAnsi="Arial" w:cs="Arial"/>
          <w:sz w:val="22"/>
          <w:szCs w:val="22"/>
          <w:lang w:val="en-US"/>
        </w:rPr>
        <w:t>%</w:t>
      </w:r>
      <w:r w:rsidR="000C2497" w:rsidRPr="00625F0A">
        <w:rPr>
          <w:rFonts w:ascii="Arial" w:hAnsi="Arial" w:cs="Arial"/>
          <w:sz w:val="22"/>
          <w:szCs w:val="22"/>
          <w:lang w:val="en-US"/>
        </w:rPr>
        <w:t xml:space="preserve"> and 21.8% </w:t>
      </w:r>
      <w:r w:rsidR="00BE1125" w:rsidRPr="00625F0A">
        <w:rPr>
          <w:rFonts w:ascii="Arial" w:hAnsi="Arial" w:cs="Arial"/>
          <w:sz w:val="22"/>
          <w:szCs w:val="22"/>
          <w:lang w:val="en-US"/>
        </w:rPr>
        <w:t>followed by Gauteng at 1</w:t>
      </w:r>
      <w:r w:rsidR="000C2497" w:rsidRPr="00625F0A">
        <w:rPr>
          <w:rFonts w:ascii="Arial" w:hAnsi="Arial" w:cs="Arial"/>
          <w:sz w:val="22"/>
          <w:szCs w:val="22"/>
          <w:lang w:val="en-US"/>
        </w:rPr>
        <w:t>9.4</w:t>
      </w:r>
      <w:r w:rsidR="00BE1125" w:rsidRPr="00625F0A">
        <w:rPr>
          <w:rFonts w:ascii="Arial" w:hAnsi="Arial" w:cs="Arial"/>
          <w:sz w:val="22"/>
          <w:szCs w:val="22"/>
          <w:lang w:val="en-US"/>
        </w:rPr>
        <w:t>%</w:t>
      </w:r>
      <w:r w:rsidR="000C2497" w:rsidRPr="00625F0A">
        <w:rPr>
          <w:rFonts w:ascii="Arial" w:hAnsi="Arial" w:cs="Arial"/>
          <w:sz w:val="22"/>
          <w:szCs w:val="22"/>
          <w:lang w:val="en-US"/>
        </w:rPr>
        <w:t xml:space="preserve"> and 18.7% respectively</w:t>
      </w:r>
      <w:r w:rsidR="00BE1125" w:rsidRPr="00625F0A">
        <w:rPr>
          <w:rFonts w:ascii="Arial" w:hAnsi="Arial" w:cs="Arial"/>
          <w:sz w:val="22"/>
          <w:szCs w:val="22"/>
          <w:lang w:val="en-US"/>
        </w:rPr>
        <w:t xml:space="preserve">. </w:t>
      </w:r>
      <w:r w:rsidR="00A97081" w:rsidRPr="00625F0A">
        <w:rPr>
          <w:rFonts w:ascii="Arial" w:hAnsi="Arial" w:cs="Arial"/>
          <w:sz w:val="22"/>
          <w:szCs w:val="22"/>
          <w:lang w:val="en-US"/>
        </w:rPr>
        <w:t>Gauteng</w:t>
      </w:r>
      <w:r w:rsidR="00BE1125" w:rsidRPr="00625F0A">
        <w:rPr>
          <w:rFonts w:ascii="Arial" w:hAnsi="Arial" w:cs="Arial"/>
          <w:sz w:val="22"/>
          <w:szCs w:val="22"/>
          <w:lang w:val="en-US"/>
        </w:rPr>
        <w:t xml:space="preserve"> ranks highest on the </w:t>
      </w:r>
      <w:r w:rsidR="00A97081" w:rsidRPr="00625F0A">
        <w:rPr>
          <w:rFonts w:ascii="Arial" w:hAnsi="Arial" w:cs="Arial"/>
          <w:sz w:val="22"/>
          <w:szCs w:val="22"/>
          <w:lang w:val="en-US"/>
        </w:rPr>
        <w:t xml:space="preserve">health component share, </w:t>
      </w:r>
      <w:r w:rsidR="00BE1125" w:rsidRPr="00625F0A">
        <w:rPr>
          <w:rFonts w:ascii="Arial" w:hAnsi="Arial" w:cs="Arial"/>
          <w:sz w:val="22"/>
          <w:szCs w:val="22"/>
          <w:lang w:val="en-US"/>
        </w:rPr>
        <w:t>basic share component</w:t>
      </w:r>
      <w:r w:rsidR="00A97081" w:rsidRPr="00625F0A">
        <w:rPr>
          <w:rFonts w:ascii="Arial" w:hAnsi="Arial" w:cs="Arial"/>
          <w:sz w:val="22"/>
          <w:szCs w:val="22"/>
          <w:lang w:val="en-US"/>
        </w:rPr>
        <w:t xml:space="preserve">, </w:t>
      </w:r>
      <w:r w:rsidR="00BE1125" w:rsidRPr="00625F0A">
        <w:rPr>
          <w:rFonts w:ascii="Arial" w:hAnsi="Arial" w:cs="Arial"/>
          <w:sz w:val="22"/>
          <w:szCs w:val="22"/>
          <w:lang w:val="en-US"/>
        </w:rPr>
        <w:t xml:space="preserve">and the economic </w:t>
      </w:r>
      <w:r w:rsidR="00A97081" w:rsidRPr="00625F0A">
        <w:rPr>
          <w:rFonts w:ascii="Arial" w:hAnsi="Arial" w:cs="Arial"/>
          <w:sz w:val="22"/>
          <w:szCs w:val="22"/>
          <w:lang w:val="en-US"/>
        </w:rPr>
        <w:t xml:space="preserve">activity share at </w:t>
      </w:r>
      <w:r w:rsidR="000C2497" w:rsidRPr="00625F0A">
        <w:rPr>
          <w:rFonts w:ascii="Arial" w:hAnsi="Arial" w:cs="Arial"/>
          <w:sz w:val="22"/>
          <w:szCs w:val="22"/>
          <w:lang w:val="en-US"/>
        </w:rPr>
        <w:t>24</w:t>
      </w:r>
      <w:r w:rsidR="00A97081" w:rsidRPr="00625F0A">
        <w:rPr>
          <w:rFonts w:ascii="Arial" w:hAnsi="Arial" w:cs="Arial"/>
          <w:sz w:val="22"/>
          <w:szCs w:val="22"/>
          <w:lang w:val="en-US"/>
        </w:rPr>
        <w:t>%,  2</w:t>
      </w:r>
      <w:r w:rsidR="00377D04" w:rsidRPr="00625F0A">
        <w:rPr>
          <w:rFonts w:ascii="Arial" w:hAnsi="Arial" w:cs="Arial"/>
          <w:sz w:val="22"/>
          <w:szCs w:val="22"/>
          <w:lang w:val="en-US"/>
        </w:rPr>
        <w:t>5.</w:t>
      </w:r>
      <w:r w:rsidR="000C2497" w:rsidRPr="00625F0A">
        <w:rPr>
          <w:rFonts w:ascii="Arial" w:hAnsi="Arial" w:cs="Arial"/>
          <w:sz w:val="22"/>
          <w:szCs w:val="22"/>
          <w:lang w:val="en-US"/>
        </w:rPr>
        <w:t>8</w:t>
      </w:r>
      <w:r w:rsidR="00A97081" w:rsidRPr="00625F0A">
        <w:rPr>
          <w:rFonts w:ascii="Arial" w:hAnsi="Arial" w:cs="Arial"/>
          <w:sz w:val="22"/>
          <w:szCs w:val="22"/>
          <w:lang w:val="en-US"/>
        </w:rPr>
        <w:t>% and 34.</w:t>
      </w:r>
      <w:r w:rsidR="000C2497" w:rsidRPr="00625F0A">
        <w:rPr>
          <w:rFonts w:ascii="Arial" w:hAnsi="Arial" w:cs="Arial"/>
          <w:sz w:val="22"/>
          <w:szCs w:val="22"/>
          <w:lang w:val="en-US"/>
        </w:rPr>
        <w:t>3</w:t>
      </w:r>
      <w:r w:rsidR="00A97081" w:rsidRPr="00625F0A">
        <w:rPr>
          <w:rFonts w:ascii="Arial" w:hAnsi="Arial" w:cs="Arial"/>
          <w:sz w:val="22"/>
          <w:szCs w:val="22"/>
          <w:lang w:val="en-US"/>
        </w:rPr>
        <w:t xml:space="preserve">% respectively. </w:t>
      </w:r>
      <w:r w:rsidR="003F4779" w:rsidRPr="00625F0A">
        <w:rPr>
          <w:rFonts w:ascii="Arial" w:hAnsi="Arial" w:cs="Arial"/>
          <w:b/>
          <w:sz w:val="22"/>
          <w:szCs w:val="22"/>
          <w:lang w:val="en-ZA"/>
        </w:rPr>
        <w:t>Of importance, the provincial equitable share for the Gauteng province is the fastest growing at 8.2% above the national average annual growth and the inflation</w:t>
      </w:r>
      <w:r w:rsidR="00A97081" w:rsidRPr="00625F0A">
        <w:rPr>
          <w:rFonts w:ascii="Arial" w:hAnsi="Arial" w:cs="Arial"/>
          <w:b/>
          <w:sz w:val="22"/>
          <w:szCs w:val="22"/>
          <w:lang w:val="en-ZA"/>
        </w:rPr>
        <w:t>.</w:t>
      </w:r>
      <w:r w:rsidR="00E33166" w:rsidRPr="00625F0A">
        <w:rPr>
          <w:rFonts w:ascii="Arial" w:hAnsi="Arial" w:cs="Arial"/>
          <w:b/>
          <w:sz w:val="22"/>
          <w:szCs w:val="22"/>
          <w:lang w:val="en-ZA"/>
        </w:rPr>
        <w:t xml:space="preserve"> </w:t>
      </w:r>
      <w:r w:rsidR="003F4779" w:rsidRPr="00625F0A">
        <w:rPr>
          <w:rFonts w:ascii="Arial" w:hAnsi="Arial" w:cs="Arial"/>
          <w:b/>
          <w:sz w:val="22"/>
          <w:szCs w:val="22"/>
          <w:lang w:val="en-ZA"/>
        </w:rPr>
        <w:t>The Portfolio Committee welcomes the development as it signifies that Gauteng province is compensated for in-migration.</w:t>
      </w:r>
    </w:p>
    <w:p w14:paraId="7E5F0DBA" w14:textId="77777777" w:rsidR="00182111" w:rsidRPr="00625F0A" w:rsidRDefault="00182111" w:rsidP="00D15A19">
      <w:pPr>
        <w:autoSpaceDE w:val="0"/>
        <w:autoSpaceDN w:val="0"/>
        <w:adjustRightInd w:val="0"/>
        <w:spacing w:line="276" w:lineRule="auto"/>
        <w:ind w:left="360"/>
        <w:jc w:val="both"/>
        <w:rPr>
          <w:rFonts w:ascii="Arial" w:hAnsi="Arial" w:cs="Arial"/>
          <w:sz w:val="22"/>
          <w:szCs w:val="22"/>
          <w:lang w:val="en-US"/>
        </w:rPr>
      </w:pPr>
    </w:p>
    <w:p w14:paraId="351F7DCB" w14:textId="77777777" w:rsidR="00D51AD4" w:rsidRPr="00625F0A" w:rsidRDefault="00EB001F" w:rsidP="00D15A19">
      <w:pPr>
        <w:autoSpaceDE w:val="0"/>
        <w:autoSpaceDN w:val="0"/>
        <w:adjustRightInd w:val="0"/>
        <w:spacing w:line="276" w:lineRule="auto"/>
        <w:ind w:left="360"/>
        <w:jc w:val="both"/>
        <w:rPr>
          <w:rFonts w:ascii="Arial" w:hAnsi="Arial" w:cs="Arial"/>
          <w:b/>
          <w:sz w:val="22"/>
          <w:szCs w:val="22"/>
          <w:lang w:val="en-ZA"/>
        </w:rPr>
      </w:pPr>
      <w:r w:rsidRPr="00625F0A">
        <w:rPr>
          <w:rFonts w:ascii="Arial" w:hAnsi="Arial" w:cs="Arial"/>
          <w:b/>
          <w:sz w:val="22"/>
          <w:szCs w:val="22"/>
          <w:lang w:val="en-ZA"/>
        </w:rPr>
        <w:t xml:space="preserve">The </w:t>
      </w:r>
      <w:r w:rsidR="00377D04" w:rsidRPr="00625F0A">
        <w:rPr>
          <w:rFonts w:ascii="Arial" w:hAnsi="Arial" w:cs="Arial"/>
          <w:b/>
          <w:sz w:val="22"/>
          <w:szCs w:val="22"/>
          <w:lang w:val="en-ZA"/>
        </w:rPr>
        <w:t xml:space="preserve">Portfolio Committee noted with appreciation that the provincial equitable share </w:t>
      </w:r>
      <w:r w:rsidRPr="00625F0A">
        <w:rPr>
          <w:rFonts w:ascii="Arial" w:hAnsi="Arial" w:cs="Arial"/>
          <w:b/>
          <w:sz w:val="22"/>
          <w:szCs w:val="22"/>
          <w:lang w:val="en-ZA"/>
        </w:rPr>
        <w:t>formula continues to be reviewed in collaboration with provincial treasuries and the FFC (and taking account of recommendations from parliament and provincial legislatures and inputs from stakeholders, including NGOs)</w:t>
      </w:r>
      <w:r w:rsidR="00D65668" w:rsidRPr="00625F0A">
        <w:rPr>
          <w:rFonts w:ascii="Arial" w:hAnsi="Arial" w:cs="Arial"/>
          <w:b/>
          <w:sz w:val="22"/>
          <w:szCs w:val="22"/>
          <w:lang w:val="en-ZA"/>
        </w:rPr>
        <w:t xml:space="preserve"> </w:t>
      </w:r>
      <w:r w:rsidR="00D65668" w:rsidRPr="00625F0A">
        <w:rPr>
          <w:rFonts w:ascii="Arial" w:hAnsi="Arial" w:cs="Arial"/>
          <w:b/>
          <w:bCs/>
          <w:sz w:val="22"/>
          <w:szCs w:val="22"/>
          <w:lang w:val="en-ZA"/>
        </w:rPr>
        <w:t>to reflect changes in demand for services</w:t>
      </w:r>
      <w:r w:rsidR="00377D04" w:rsidRPr="00625F0A">
        <w:rPr>
          <w:rFonts w:ascii="Arial" w:hAnsi="Arial" w:cs="Arial"/>
          <w:b/>
          <w:sz w:val="22"/>
          <w:szCs w:val="22"/>
          <w:lang w:val="en-ZA"/>
        </w:rPr>
        <w:t xml:space="preserve">. </w:t>
      </w:r>
      <w:r w:rsidR="00377D04" w:rsidRPr="00625F0A">
        <w:rPr>
          <w:rFonts w:ascii="Arial" w:hAnsi="Arial" w:cs="Arial"/>
          <w:sz w:val="22"/>
          <w:szCs w:val="22"/>
          <w:lang w:val="en-ZA"/>
        </w:rPr>
        <w:t xml:space="preserve">To this effect, </w:t>
      </w:r>
      <w:r w:rsidR="002F4655" w:rsidRPr="00625F0A">
        <w:rPr>
          <w:rFonts w:ascii="Arial" w:hAnsi="Arial" w:cs="Arial"/>
          <w:sz w:val="22"/>
          <w:szCs w:val="22"/>
          <w:lang w:val="en-ZA"/>
        </w:rPr>
        <w:t xml:space="preserve">the </w:t>
      </w:r>
      <w:r w:rsidR="00E20CFA" w:rsidRPr="00625F0A">
        <w:rPr>
          <w:rFonts w:ascii="Arial" w:hAnsi="Arial" w:cs="Arial"/>
          <w:sz w:val="22"/>
          <w:szCs w:val="22"/>
          <w:lang w:val="en-ZA"/>
        </w:rPr>
        <w:t xml:space="preserve">review </w:t>
      </w:r>
      <w:r w:rsidR="00F47F4A" w:rsidRPr="00625F0A">
        <w:rPr>
          <w:rFonts w:ascii="Arial" w:hAnsi="Arial" w:cs="Arial"/>
          <w:sz w:val="22"/>
          <w:szCs w:val="22"/>
          <w:lang w:val="en-ZA"/>
        </w:rPr>
        <w:t xml:space="preserve">of the </w:t>
      </w:r>
      <w:r w:rsidR="002F4655" w:rsidRPr="00625F0A">
        <w:rPr>
          <w:rFonts w:ascii="Arial" w:hAnsi="Arial" w:cs="Arial"/>
          <w:sz w:val="22"/>
          <w:szCs w:val="22"/>
          <w:lang w:val="en-ZA"/>
        </w:rPr>
        <w:t xml:space="preserve">formula </w:t>
      </w:r>
      <w:r w:rsidR="000E687F" w:rsidRPr="00625F0A">
        <w:rPr>
          <w:rFonts w:ascii="Arial" w:hAnsi="Arial" w:cs="Arial"/>
          <w:sz w:val="22"/>
          <w:szCs w:val="22"/>
          <w:lang w:val="en-ZA"/>
        </w:rPr>
        <w:t xml:space="preserve">for the 2020 </w:t>
      </w:r>
      <w:r w:rsidR="007E2FAF" w:rsidRPr="00625F0A">
        <w:rPr>
          <w:rFonts w:ascii="Arial" w:hAnsi="Arial" w:cs="Arial"/>
          <w:sz w:val="22"/>
          <w:szCs w:val="22"/>
          <w:lang w:val="en-ZA"/>
        </w:rPr>
        <w:t>MTEF</w:t>
      </w:r>
      <w:r w:rsidR="00CE65E9" w:rsidRPr="00625F0A">
        <w:rPr>
          <w:rFonts w:ascii="Arial" w:hAnsi="Arial" w:cs="Arial"/>
          <w:sz w:val="22"/>
          <w:szCs w:val="22"/>
          <w:lang w:val="en-ZA"/>
        </w:rPr>
        <w:t xml:space="preserve"> </w:t>
      </w:r>
      <w:r w:rsidR="002F4655" w:rsidRPr="00625F0A">
        <w:rPr>
          <w:rFonts w:ascii="Arial" w:hAnsi="Arial" w:cs="Arial"/>
          <w:sz w:val="22"/>
          <w:szCs w:val="22"/>
          <w:lang w:val="en-ZA"/>
        </w:rPr>
        <w:t xml:space="preserve">has </w:t>
      </w:r>
      <w:r w:rsidR="007A32FE" w:rsidRPr="00625F0A">
        <w:rPr>
          <w:rFonts w:ascii="Arial" w:hAnsi="Arial" w:cs="Arial"/>
          <w:sz w:val="22"/>
          <w:szCs w:val="22"/>
          <w:lang w:val="en-ZA"/>
        </w:rPr>
        <w:t>involved the u</w:t>
      </w:r>
      <w:r w:rsidR="002F4655" w:rsidRPr="00625F0A">
        <w:rPr>
          <w:rFonts w:ascii="Arial" w:hAnsi="Arial" w:cs="Arial"/>
          <w:sz w:val="22"/>
          <w:szCs w:val="22"/>
          <w:lang w:val="en-ZA"/>
        </w:rPr>
        <w:t>pdat</w:t>
      </w:r>
      <w:r w:rsidR="007A32FE" w:rsidRPr="00625F0A">
        <w:rPr>
          <w:rFonts w:ascii="Arial" w:hAnsi="Arial" w:cs="Arial"/>
          <w:sz w:val="22"/>
          <w:szCs w:val="22"/>
          <w:lang w:val="en-ZA"/>
        </w:rPr>
        <w:t xml:space="preserve">ing of </w:t>
      </w:r>
      <w:r w:rsidR="006726A5" w:rsidRPr="00625F0A">
        <w:rPr>
          <w:rFonts w:ascii="Arial" w:hAnsi="Arial" w:cs="Arial"/>
          <w:sz w:val="22"/>
          <w:szCs w:val="22"/>
          <w:lang w:val="en-ZA"/>
        </w:rPr>
        <w:t xml:space="preserve">information on the </w:t>
      </w:r>
      <w:r w:rsidR="007A32FE" w:rsidRPr="00625F0A">
        <w:rPr>
          <w:rFonts w:ascii="Arial" w:hAnsi="Arial" w:cs="Arial"/>
          <w:sz w:val="22"/>
          <w:szCs w:val="22"/>
          <w:lang w:val="en-ZA"/>
        </w:rPr>
        <w:t xml:space="preserve">education, </w:t>
      </w:r>
      <w:r w:rsidR="004D61FE" w:rsidRPr="00625F0A">
        <w:rPr>
          <w:rFonts w:ascii="Arial" w:hAnsi="Arial" w:cs="Arial"/>
          <w:sz w:val="22"/>
          <w:szCs w:val="22"/>
          <w:lang w:val="en-ZA"/>
        </w:rPr>
        <w:t>health, basic</w:t>
      </w:r>
      <w:r w:rsidR="009B2AD4" w:rsidRPr="00625F0A">
        <w:rPr>
          <w:rFonts w:ascii="Arial" w:hAnsi="Arial" w:cs="Arial"/>
          <w:sz w:val="22"/>
          <w:szCs w:val="22"/>
          <w:lang w:val="en-ZA"/>
        </w:rPr>
        <w:t xml:space="preserve"> share,</w:t>
      </w:r>
      <w:r w:rsidR="004D61FE" w:rsidRPr="00625F0A">
        <w:rPr>
          <w:rFonts w:ascii="Arial" w:hAnsi="Arial" w:cs="Arial"/>
          <w:sz w:val="22"/>
          <w:szCs w:val="22"/>
          <w:lang w:val="en-ZA"/>
        </w:rPr>
        <w:t xml:space="preserve"> poverty</w:t>
      </w:r>
      <w:r w:rsidR="00FA1968" w:rsidRPr="00625F0A">
        <w:rPr>
          <w:rFonts w:ascii="Arial" w:hAnsi="Arial" w:cs="Arial"/>
          <w:sz w:val="22"/>
          <w:szCs w:val="22"/>
          <w:lang w:val="en-ZA"/>
        </w:rPr>
        <w:t xml:space="preserve">, </w:t>
      </w:r>
      <w:r w:rsidR="009B2AD4" w:rsidRPr="00625F0A">
        <w:rPr>
          <w:rFonts w:ascii="Arial" w:hAnsi="Arial" w:cs="Arial"/>
          <w:sz w:val="22"/>
          <w:szCs w:val="22"/>
          <w:lang w:val="en-ZA"/>
        </w:rPr>
        <w:t xml:space="preserve">economic components </w:t>
      </w:r>
      <w:r w:rsidR="00FA1968" w:rsidRPr="00625F0A">
        <w:rPr>
          <w:rFonts w:ascii="Arial" w:hAnsi="Arial" w:cs="Arial"/>
          <w:sz w:val="22"/>
          <w:szCs w:val="22"/>
          <w:lang w:val="en-ZA"/>
        </w:rPr>
        <w:t xml:space="preserve">and </w:t>
      </w:r>
      <w:r w:rsidR="00B05DFF" w:rsidRPr="00625F0A">
        <w:rPr>
          <w:rFonts w:ascii="Arial" w:hAnsi="Arial" w:cs="Arial"/>
          <w:sz w:val="22"/>
          <w:szCs w:val="22"/>
          <w:lang w:val="en-ZA"/>
        </w:rPr>
        <w:t>the cost of rural services</w:t>
      </w:r>
      <w:r w:rsidR="00C90469" w:rsidRPr="00625F0A">
        <w:rPr>
          <w:rFonts w:ascii="Arial" w:hAnsi="Arial" w:cs="Arial"/>
          <w:sz w:val="22"/>
          <w:szCs w:val="22"/>
          <w:lang w:val="en-ZA"/>
        </w:rPr>
        <w:t xml:space="preserve"> with the new data</w:t>
      </w:r>
      <w:r w:rsidR="00B05DFF" w:rsidRPr="00625F0A">
        <w:rPr>
          <w:rFonts w:ascii="Arial" w:hAnsi="Arial" w:cs="Arial"/>
          <w:sz w:val="22"/>
          <w:szCs w:val="22"/>
          <w:lang w:val="en-ZA"/>
        </w:rPr>
        <w:t xml:space="preserve">. </w:t>
      </w:r>
      <w:r w:rsidR="00C90469" w:rsidRPr="00625F0A">
        <w:rPr>
          <w:rFonts w:ascii="Arial" w:hAnsi="Arial" w:cs="Arial"/>
          <w:b/>
          <w:sz w:val="22"/>
          <w:szCs w:val="22"/>
          <w:lang w:val="en-ZA"/>
        </w:rPr>
        <w:t>The Portfolio Committee welcome</w:t>
      </w:r>
      <w:r w:rsidR="001930CE" w:rsidRPr="00625F0A">
        <w:rPr>
          <w:rFonts w:ascii="Arial" w:hAnsi="Arial" w:cs="Arial"/>
          <w:b/>
          <w:sz w:val="22"/>
          <w:szCs w:val="22"/>
          <w:lang w:val="en-ZA"/>
        </w:rPr>
        <w:t>s</w:t>
      </w:r>
      <w:r w:rsidR="00C90469" w:rsidRPr="00625F0A">
        <w:rPr>
          <w:rFonts w:ascii="Arial" w:hAnsi="Arial" w:cs="Arial"/>
          <w:b/>
          <w:sz w:val="22"/>
          <w:szCs w:val="22"/>
          <w:lang w:val="en-ZA"/>
        </w:rPr>
        <w:t xml:space="preserve"> the utilization </w:t>
      </w:r>
      <w:r w:rsidR="00A00ACF" w:rsidRPr="00625F0A">
        <w:rPr>
          <w:rFonts w:ascii="Arial" w:hAnsi="Arial" w:cs="Arial"/>
          <w:b/>
          <w:sz w:val="22"/>
          <w:szCs w:val="22"/>
          <w:lang w:val="en-ZA"/>
        </w:rPr>
        <w:t>of new data</w:t>
      </w:r>
      <w:r w:rsidR="006726A5" w:rsidRPr="00625F0A">
        <w:rPr>
          <w:rFonts w:ascii="Arial" w:hAnsi="Arial" w:cs="Arial"/>
          <w:b/>
          <w:sz w:val="22"/>
          <w:szCs w:val="22"/>
          <w:lang w:val="en-ZA"/>
        </w:rPr>
        <w:t>,</w:t>
      </w:r>
      <w:r w:rsidR="00A00ACF" w:rsidRPr="00625F0A">
        <w:rPr>
          <w:rFonts w:ascii="Arial" w:hAnsi="Arial" w:cs="Arial"/>
          <w:b/>
          <w:sz w:val="22"/>
          <w:szCs w:val="22"/>
          <w:lang w:val="en-ZA"/>
        </w:rPr>
        <w:t xml:space="preserve"> </w:t>
      </w:r>
      <w:r w:rsidR="00D3693F" w:rsidRPr="00625F0A">
        <w:rPr>
          <w:rFonts w:ascii="Arial" w:hAnsi="Arial" w:cs="Arial"/>
          <w:b/>
          <w:sz w:val="22"/>
          <w:szCs w:val="22"/>
          <w:lang w:val="en-ZA"/>
        </w:rPr>
        <w:t>contrary</w:t>
      </w:r>
      <w:r w:rsidR="006726A5" w:rsidRPr="00625F0A">
        <w:rPr>
          <w:rFonts w:ascii="Arial" w:hAnsi="Arial" w:cs="Arial"/>
          <w:sz w:val="22"/>
          <w:szCs w:val="22"/>
          <w:lang w:val="en-ZA"/>
        </w:rPr>
        <w:t xml:space="preserve"> </w:t>
      </w:r>
      <w:r w:rsidR="006726A5" w:rsidRPr="00625F0A">
        <w:rPr>
          <w:rFonts w:ascii="Arial" w:hAnsi="Arial" w:cs="Arial"/>
          <w:b/>
          <w:bCs/>
          <w:sz w:val="22"/>
          <w:szCs w:val="22"/>
          <w:lang w:val="en-ZA"/>
        </w:rPr>
        <w:t>to the outdated 2011 Census data,</w:t>
      </w:r>
      <w:r w:rsidR="006726A5" w:rsidRPr="00625F0A">
        <w:rPr>
          <w:rFonts w:ascii="Arial" w:hAnsi="Arial" w:cs="Arial"/>
          <w:b/>
          <w:sz w:val="22"/>
          <w:szCs w:val="22"/>
          <w:lang w:val="en-ZA"/>
        </w:rPr>
        <w:t xml:space="preserve"> </w:t>
      </w:r>
      <w:r w:rsidR="00D3693F" w:rsidRPr="00625F0A">
        <w:rPr>
          <w:rFonts w:ascii="Arial" w:hAnsi="Arial" w:cs="Arial"/>
          <w:b/>
          <w:sz w:val="22"/>
          <w:szCs w:val="22"/>
          <w:lang w:val="en-ZA"/>
        </w:rPr>
        <w:t xml:space="preserve">as </w:t>
      </w:r>
      <w:r w:rsidR="00A00ACF" w:rsidRPr="00625F0A">
        <w:rPr>
          <w:rFonts w:ascii="Arial" w:hAnsi="Arial" w:cs="Arial"/>
          <w:b/>
          <w:sz w:val="22"/>
          <w:szCs w:val="22"/>
          <w:lang w:val="en-ZA"/>
        </w:rPr>
        <w:t>that will help limit the shoc</w:t>
      </w:r>
      <w:r w:rsidR="001B47E1" w:rsidRPr="00625F0A">
        <w:rPr>
          <w:rFonts w:ascii="Arial" w:hAnsi="Arial" w:cs="Arial"/>
          <w:b/>
          <w:sz w:val="22"/>
          <w:szCs w:val="22"/>
          <w:lang w:val="en-ZA"/>
        </w:rPr>
        <w:t xml:space="preserve">ks of updating the sub-component </w:t>
      </w:r>
      <w:r w:rsidR="0026665D" w:rsidRPr="00625F0A">
        <w:rPr>
          <w:rFonts w:ascii="Arial" w:hAnsi="Arial" w:cs="Arial"/>
          <w:b/>
          <w:sz w:val="22"/>
          <w:szCs w:val="22"/>
          <w:lang w:val="en-ZA"/>
        </w:rPr>
        <w:t>after the lag between</w:t>
      </w:r>
      <w:r w:rsidR="00334D2C" w:rsidRPr="00625F0A">
        <w:rPr>
          <w:rFonts w:ascii="Arial" w:hAnsi="Arial" w:cs="Arial"/>
          <w:b/>
          <w:sz w:val="22"/>
          <w:szCs w:val="22"/>
          <w:lang w:val="en-ZA"/>
        </w:rPr>
        <w:t xml:space="preserve"> Census updates</w:t>
      </w:r>
      <w:r w:rsidR="001D23E2" w:rsidRPr="00625F0A">
        <w:rPr>
          <w:rFonts w:ascii="Arial" w:hAnsi="Arial" w:cs="Arial"/>
          <w:b/>
          <w:sz w:val="22"/>
          <w:szCs w:val="22"/>
          <w:lang w:val="en-ZA"/>
        </w:rPr>
        <w:t xml:space="preserve"> and will ensure the optimal resourcing of provinces</w:t>
      </w:r>
      <w:r w:rsidR="00334D2C" w:rsidRPr="00625F0A">
        <w:rPr>
          <w:rFonts w:ascii="Arial" w:hAnsi="Arial" w:cs="Arial"/>
          <w:b/>
          <w:sz w:val="22"/>
          <w:szCs w:val="22"/>
          <w:lang w:val="en-ZA"/>
        </w:rPr>
        <w:t xml:space="preserve">. </w:t>
      </w:r>
      <w:r w:rsidR="0026665D" w:rsidRPr="00625F0A">
        <w:rPr>
          <w:rFonts w:ascii="Arial" w:hAnsi="Arial" w:cs="Arial"/>
          <w:b/>
          <w:sz w:val="22"/>
          <w:szCs w:val="22"/>
          <w:lang w:val="en-ZA"/>
        </w:rPr>
        <w:t xml:space="preserve">  </w:t>
      </w:r>
    </w:p>
    <w:p w14:paraId="1C863467" w14:textId="77777777" w:rsidR="00D51AD4" w:rsidRPr="00625F0A" w:rsidRDefault="00D51AD4" w:rsidP="00D15A19">
      <w:pPr>
        <w:autoSpaceDE w:val="0"/>
        <w:autoSpaceDN w:val="0"/>
        <w:adjustRightInd w:val="0"/>
        <w:spacing w:line="276" w:lineRule="auto"/>
        <w:ind w:left="360"/>
        <w:jc w:val="both"/>
        <w:rPr>
          <w:rFonts w:ascii="Arial" w:hAnsi="Arial" w:cs="Arial"/>
          <w:b/>
          <w:sz w:val="22"/>
          <w:szCs w:val="22"/>
          <w:lang w:val="en-ZA"/>
        </w:rPr>
      </w:pPr>
    </w:p>
    <w:p w14:paraId="7CD507DD" w14:textId="53D21BF8" w:rsidR="00FA1968" w:rsidRPr="00625F0A" w:rsidRDefault="00D51AD4" w:rsidP="00D15A19">
      <w:pPr>
        <w:autoSpaceDE w:val="0"/>
        <w:autoSpaceDN w:val="0"/>
        <w:adjustRightInd w:val="0"/>
        <w:spacing w:line="276" w:lineRule="auto"/>
        <w:ind w:left="360"/>
        <w:jc w:val="both"/>
        <w:rPr>
          <w:rFonts w:ascii="Arial" w:hAnsi="Arial" w:cs="Arial"/>
          <w:sz w:val="22"/>
          <w:szCs w:val="22"/>
          <w:lang w:val="en-ZA"/>
        </w:rPr>
      </w:pPr>
      <w:r w:rsidRPr="00625F0A">
        <w:rPr>
          <w:rFonts w:ascii="Arial" w:hAnsi="Arial" w:cs="Arial"/>
          <w:bCs/>
          <w:sz w:val="22"/>
          <w:szCs w:val="22"/>
          <w:lang w:val="en-ZA"/>
        </w:rPr>
        <w:t>Of note, the equitable share and infrastructure grant</w:t>
      </w:r>
      <w:r w:rsidR="0026665D" w:rsidRPr="00625F0A">
        <w:rPr>
          <w:rFonts w:ascii="Arial" w:hAnsi="Arial" w:cs="Arial"/>
          <w:bCs/>
          <w:sz w:val="22"/>
          <w:szCs w:val="22"/>
          <w:lang w:val="en-ZA"/>
        </w:rPr>
        <w:t xml:space="preserve"> </w:t>
      </w:r>
      <w:r w:rsidRPr="00625F0A">
        <w:rPr>
          <w:rFonts w:ascii="Arial" w:hAnsi="Arial" w:cs="Arial"/>
          <w:bCs/>
          <w:sz w:val="22"/>
          <w:szCs w:val="22"/>
          <w:lang w:val="en-ZA"/>
        </w:rPr>
        <w:t xml:space="preserve">formulas redistribute funds towards poorer provinces and municipalities. </w:t>
      </w:r>
      <w:r w:rsidRPr="00625F0A">
        <w:rPr>
          <w:rFonts w:ascii="Arial" w:hAnsi="Arial" w:cs="Arial"/>
          <w:b/>
          <w:sz w:val="22"/>
          <w:szCs w:val="22"/>
          <w:lang w:val="en-ZA"/>
        </w:rPr>
        <w:t>The Portfolio Committee noted with appreciation that through the division of revenue , government continues to invest in economic infrastructure  such as roads and social infrastructure such as schools, hospitals and clinics to stimulate economic development, create jobs an</w:t>
      </w:r>
      <w:r w:rsidR="009C6A0D" w:rsidRPr="00625F0A">
        <w:rPr>
          <w:rFonts w:ascii="Arial" w:hAnsi="Arial" w:cs="Arial"/>
          <w:b/>
          <w:sz w:val="22"/>
          <w:szCs w:val="22"/>
          <w:lang w:val="en-ZA"/>
        </w:rPr>
        <w:t>d address economic and social disparities.</w:t>
      </w:r>
      <w:r w:rsidR="0026665D" w:rsidRPr="00625F0A">
        <w:rPr>
          <w:rFonts w:ascii="Arial" w:hAnsi="Arial" w:cs="Arial"/>
          <w:b/>
          <w:sz w:val="22"/>
          <w:szCs w:val="22"/>
          <w:lang w:val="en-ZA"/>
        </w:rPr>
        <w:t xml:space="preserve"> </w:t>
      </w:r>
      <w:r w:rsidR="009C6A0D" w:rsidRPr="007318BF">
        <w:rPr>
          <w:rFonts w:ascii="Arial" w:hAnsi="Arial" w:cs="Arial"/>
          <w:bCs/>
          <w:sz w:val="22"/>
          <w:szCs w:val="22"/>
          <w:lang w:val="en-ZA"/>
        </w:rPr>
        <w:t>To illustrate this point, per capita revenues from personal income tax are three times higher in Gauteng than in the Eastern Cape. However, transfers per capita to the Eastern Cape are about</w:t>
      </w:r>
      <w:r w:rsidR="009C6A0D" w:rsidRPr="00625F0A">
        <w:rPr>
          <w:rFonts w:ascii="Arial" w:hAnsi="Arial" w:cs="Arial"/>
          <w:sz w:val="22"/>
          <w:szCs w:val="22"/>
          <w:lang w:val="en-ZA"/>
        </w:rPr>
        <w:t xml:space="preserve"> 40% higher than to Gauteng.</w:t>
      </w:r>
    </w:p>
    <w:p w14:paraId="04A2D3C0" w14:textId="77777777" w:rsidR="00FA1968" w:rsidRPr="00625F0A" w:rsidRDefault="00FA1968" w:rsidP="00D15A19">
      <w:pPr>
        <w:autoSpaceDE w:val="0"/>
        <w:autoSpaceDN w:val="0"/>
        <w:adjustRightInd w:val="0"/>
        <w:spacing w:line="276" w:lineRule="auto"/>
        <w:jc w:val="both"/>
        <w:rPr>
          <w:rFonts w:ascii="Arial" w:hAnsi="Arial" w:cs="Arial"/>
          <w:sz w:val="22"/>
          <w:szCs w:val="22"/>
          <w:lang w:val="en-ZA"/>
        </w:rPr>
      </w:pPr>
    </w:p>
    <w:p w14:paraId="3431BECA" w14:textId="3C5DFB0A" w:rsidR="006E5340" w:rsidRPr="00625F0A" w:rsidRDefault="00A14C92" w:rsidP="00D15A19">
      <w:pPr>
        <w:autoSpaceDE w:val="0"/>
        <w:autoSpaceDN w:val="0"/>
        <w:adjustRightInd w:val="0"/>
        <w:spacing w:line="276" w:lineRule="auto"/>
        <w:ind w:left="360"/>
        <w:jc w:val="both"/>
        <w:rPr>
          <w:rFonts w:ascii="Arial" w:hAnsi="Arial" w:cs="Arial"/>
          <w:sz w:val="22"/>
          <w:szCs w:val="22"/>
          <w:lang w:val="en-ZA"/>
        </w:rPr>
      </w:pPr>
      <w:r w:rsidRPr="00625F0A">
        <w:rPr>
          <w:rFonts w:ascii="Arial" w:hAnsi="Arial" w:cs="Arial"/>
          <w:sz w:val="22"/>
          <w:szCs w:val="22"/>
          <w:lang w:val="en-ZA"/>
        </w:rPr>
        <w:t>For the 2020 MTEF, i</w:t>
      </w:r>
      <w:r w:rsidR="004F158F" w:rsidRPr="00625F0A">
        <w:rPr>
          <w:rFonts w:ascii="Arial" w:hAnsi="Arial" w:cs="Arial"/>
          <w:sz w:val="22"/>
          <w:szCs w:val="22"/>
          <w:lang w:val="en-ZA"/>
        </w:rPr>
        <w:t xml:space="preserve">n addition to the </w:t>
      </w:r>
      <w:r w:rsidR="00D02D3D" w:rsidRPr="00625F0A">
        <w:rPr>
          <w:rFonts w:ascii="Arial" w:hAnsi="Arial" w:cs="Arial"/>
          <w:sz w:val="22"/>
          <w:szCs w:val="22"/>
          <w:lang w:val="en-ZA"/>
        </w:rPr>
        <w:t xml:space="preserve">revised </w:t>
      </w:r>
      <w:r w:rsidR="00DC1CB7" w:rsidRPr="00625F0A">
        <w:rPr>
          <w:rFonts w:ascii="Arial" w:hAnsi="Arial" w:cs="Arial"/>
          <w:sz w:val="22"/>
          <w:szCs w:val="22"/>
          <w:lang w:val="en-ZA"/>
        </w:rPr>
        <w:t xml:space="preserve">provincial </w:t>
      </w:r>
      <w:r w:rsidR="00D02D3D" w:rsidRPr="00625F0A">
        <w:rPr>
          <w:rFonts w:ascii="Arial" w:hAnsi="Arial" w:cs="Arial"/>
          <w:sz w:val="22"/>
          <w:szCs w:val="22"/>
          <w:lang w:val="en-ZA"/>
        </w:rPr>
        <w:t>equitable share formula,</w:t>
      </w:r>
      <w:r w:rsidR="001930CE" w:rsidRPr="00625F0A">
        <w:rPr>
          <w:rFonts w:ascii="Arial" w:hAnsi="Arial" w:cs="Arial"/>
          <w:sz w:val="22"/>
          <w:szCs w:val="22"/>
          <w:lang w:val="en-ZA"/>
        </w:rPr>
        <w:t xml:space="preserve"> </w:t>
      </w:r>
      <w:r w:rsidR="00D22C2C" w:rsidRPr="00625F0A">
        <w:rPr>
          <w:rFonts w:ascii="Arial" w:hAnsi="Arial" w:cs="Arial"/>
          <w:sz w:val="22"/>
          <w:szCs w:val="22"/>
          <w:lang w:val="en-ZA"/>
        </w:rPr>
        <w:t xml:space="preserve">three new adjustments </w:t>
      </w:r>
      <w:r w:rsidR="00DC1CB7" w:rsidRPr="00625F0A">
        <w:rPr>
          <w:rFonts w:ascii="Arial" w:hAnsi="Arial" w:cs="Arial"/>
          <w:sz w:val="22"/>
          <w:szCs w:val="22"/>
          <w:lang w:val="en-ZA"/>
        </w:rPr>
        <w:t>are allocated.</w:t>
      </w:r>
      <w:r w:rsidR="00DD3193" w:rsidRPr="00625F0A">
        <w:rPr>
          <w:rFonts w:ascii="Arial" w:hAnsi="Arial" w:cs="Arial"/>
          <w:sz w:val="22"/>
          <w:szCs w:val="22"/>
          <w:lang w:val="en-ZA"/>
        </w:rPr>
        <w:t xml:space="preserve"> I</w:t>
      </w:r>
      <w:r w:rsidR="002B22D8" w:rsidRPr="00625F0A">
        <w:rPr>
          <w:rFonts w:ascii="Arial" w:hAnsi="Arial" w:cs="Arial"/>
          <w:sz w:val="22"/>
          <w:szCs w:val="22"/>
          <w:lang w:val="en-ZA"/>
        </w:rPr>
        <w:t xml:space="preserve">n the social development sector, R398 million </w:t>
      </w:r>
      <w:r w:rsidR="0004535B" w:rsidRPr="00625F0A">
        <w:rPr>
          <w:rFonts w:ascii="Arial" w:hAnsi="Arial" w:cs="Arial"/>
          <w:sz w:val="22"/>
          <w:szCs w:val="22"/>
          <w:lang w:val="en-ZA"/>
        </w:rPr>
        <w:t>has been reprioritised f</w:t>
      </w:r>
      <w:bookmarkStart w:id="2" w:name="_GoBack"/>
      <w:bookmarkEnd w:id="2"/>
      <w:r w:rsidR="0004535B" w:rsidRPr="00625F0A">
        <w:rPr>
          <w:rFonts w:ascii="Arial" w:hAnsi="Arial" w:cs="Arial"/>
          <w:sz w:val="22"/>
          <w:szCs w:val="22"/>
          <w:lang w:val="en-ZA"/>
        </w:rPr>
        <w:t xml:space="preserve">rom </w:t>
      </w:r>
      <w:r w:rsidR="006A1894" w:rsidRPr="00625F0A">
        <w:rPr>
          <w:rFonts w:ascii="Arial" w:hAnsi="Arial" w:cs="Arial"/>
          <w:sz w:val="22"/>
          <w:szCs w:val="22"/>
          <w:lang w:val="en-ZA"/>
        </w:rPr>
        <w:t xml:space="preserve">national government </w:t>
      </w:r>
      <w:r w:rsidR="00DA7CFF" w:rsidRPr="00625F0A">
        <w:rPr>
          <w:rFonts w:ascii="Arial" w:hAnsi="Arial" w:cs="Arial"/>
          <w:sz w:val="22"/>
          <w:szCs w:val="22"/>
          <w:lang w:val="en-ZA"/>
        </w:rPr>
        <w:t xml:space="preserve">to </w:t>
      </w:r>
      <w:r w:rsidR="008B1115" w:rsidRPr="00625F0A">
        <w:rPr>
          <w:rFonts w:ascii="Arial" w:hAnsi="Arial" w:cs="Arial"/>
          <w:sz w:val="22"/>
          <w:szCs w:val="22"/>
          <w:lang w:val="en-ZA"/>
        </w:rPr>
        <w:t xml:space="preserve">provinces </w:t>
      </w:r>
      <w:r w:rsidR="00F74088" w:rsidRPr="00625F0A">
        <w:rPr>
          <w:rFonts w:ascii="Arial" w:hAnsi="Arial" w:cs="Arial"/>
          <w:sz w:val="22"/>
          <w:szCs w:val="22"/>
          <w:lang w:val="en-ZA"/>
        </w:rPr>
        <w:t xml:space="preserve">for the </w:t>
      </w:r>
      <w:r w:rsidR="00DA7CFF" w:rsidRPr="00625F0A">
        <w:rPr>
          <w:rFonts w:ascii="Arial" w:hAnsi="Arial" w:cs="Arial"/>
          <w:sz w:val="22"/>
          <w:szCs w:val="22"/>
          <w:lang w:val="en-ZA"/>
        </w:rPr>
        <w:t>employ</w:t>
      </w:r>
      <w:r w:rsidR="003F4779" w:rsidRPr="00625F0A">
        <w:rPr>
          <w:rFonts w:ascii="Arial" w:hAnsi="Arial" w:cs="Arial"/>
          <w:sz w:val="22"/>
          <w:szCs w:val="22"/>
          <w:lang w:val="en-ZA"/>
        </w:rPr>
        <w:t>ment of</w:t>
      </w:r>
      <w:r w:rsidR="00DA7CFF" w:rsidRPr="00625F0A">
        <w:rPr>
          <w:rFonts w:ascii="Arial" w:hAnsi="Arial" w:cs="Arial"/>
          <w:sz w:val="22"/>
          <w:szCs w:val="22"/>
          <w:lang w:val="en-ZA"/>
        </w:rPr>
        <w:t xml:space="preserve"> social workers </w:t>
      </w:r>
      <w:r w:rsidR="00FF7BCF" w:rsidRPr="00625F0A">
        <w:rPr>
          <w:rFonts w:ascii="Arial" w:hAnsi="Arial" w:cs="Arial"/>
          <w:sz w:val="22"/>
          <w:szCs w:val="22"/>
          <w:lang w:val="en-ZA"/>
        </w:rPr>
        <w:t>in areas with high prevalence of gender-based violence</w:t>
      </w:r>
      <w:r w:rsidR="008B1115" w:rsidRPr="00625F0A">
        <w:rPr>
          <w:rFonts w:ascii="Arial" w:hAnsi="Arial" w:cs="Arial"/>
          <w:sz w:val="22"/>
          <w:szCs w:val="22"/>
          <w:lang w:val="en-ZA"/>
        </w:rPr>
        <w:t>, substance abuse and issues affecting children</w:t>
      </w:r>
      <w:r w:rsidR="00B521DE" w:rsidRPr="00625F0A">
        <w:rPr>
          <w:rFonts w:ascii="Arial" w:hAnsi="Arial" w:cs="Arial"/>
          <w:sz w:val="22"/>
          <w:szCs w:val="22"/>
          <w:lang w:val="en-ZA"/>
        </w:rPr>
        <w:t>(of this amount Gauteng receives R59.7 million)</w:t>
      </w:r>
      <w:r w:rsidR="008B1115" w:rsidRPr="00625F0A">
        <w:rPr>
          <w:rFonts w:ascii="Arial" w:hAnsi="Arial" w:cs="Arial"/>
          <w:sz w:val="22"/>
          <w:szCs w:val="22"/>
          <w:lang w:val="en-ZA"/>
        </w:rPr>
        <w:t xml:space="preserve">.  </w:t>
      </w:r>
      <w:r w:rsidR="00D02D3D" w:rsidRPr="00625F0A">
        <w:rPr>
          <w:rFonts w:ascii="Arial" w:hAnsi="Arial" w:cs="Arial"/>
          <w:sz w:val="22"/>
          <w:szCs w:val="22"/>
          <w:lang w:val="en-ZA"/>
        </w:rPr>
        <w:t xml:space="preserve"> </w:t>
      </w:r>
      <w:r w:rsidR="00B35C5D" w:rsidRPr="00625F0A">
        <w:rPr>
          <w:rFonts w:ascii="Arial" w:hAnsi="Arial" w:cs="Arial"/>
          <w:sz w:val="22"/>
          <w:szCs w:val="22"/>
          <w:lang w:val="en-ZA"/>
        </w:rPr>
        <w:t>Moreover, R31</w:t>
      </w:r>
      <w:r w:rsidR="003F352C" w:rsidRPr="00625F0A">
        <w:rPr>
          <w:rFonts w:ascii="Arial" w:hAnsi="Arial" w:cs="Arial"/>
          <w:sz w:val="22"/>
          <w:szCs w:val="22"/>
          <w:lang w:val="en-ZA"/>
        </w:rPr>
        <w:t xml:space="preserve">5 million has been reprioritised </w:t>
      </w:r>
      <w:r w:rsidR="006E5340" w:rsidRPr="00625F0A">
        <w:rPr>
          <w:rFonts w:ascii="Arial" w:hAnsi="Arial" w:cs="Arial"/>
          <w:sz w:val="22"/>
          <w:szCs w:val="22"/>
          <w:lang w:val="en-ZA"/>
        </w:rPr>
        <w:t xml:space="preserve">from the Department of Social Development to provinces </w:t>
      </w:r>
      <w:r w:rsidR="005E37C7" w:rsidRPr="00625F0A">
        <w:rPr>
          <w:rFonts w:ascii="Arial" w:hAnsi="Arial" w:cs="Arial"/>
          <w:sz w:val="22"/>
          <w:szCs w:val="22"/>
          <w:lang w:val="en-ZA"/>
        </w:rPr>
        <w:t xml:space="preserve">to help non-profit organizations </w:t>
      </w:r>
      <w:r w:rsidR="00874F0B" w:rsidRPr="00625F0A">
        <w:rPr>
          <w:rFonts w:ascii="Arial" w:hAnsi="Arial" w:cs="Arial"/>
          <w:sz w:val="22"/>
          <w:szCs w:val="22"/>
          <w:lang w:val="en-ZA"/>
        </w:rPr>
        <w:t>in implementing social behaviour change programmes</w:t>
      </w:r>
      <w:r w:rsidR="00B521DE" w:rsidRPr="00625F0A">
        <w:rPr>
          <w:rFonts w:ascii="Arial" w:hAnsi="Arial" w:cs="Arial"/>
          <w:sz w:val="22"/>
          <w:szCs w:val="22"/>
          <w:lang w:val="en-ZA"/>
        </w:rPr>
        <w:t xml:space="preserve"> (of this amount Gauteng receives R22.7 million)</w:t>
      </w:r>
      <w:r w:rsidR="00874F0B" w:rsidRPr="00625F0A">
        <w:rPr>
          <w:rFonts w:ascii="Arial" w:hAnsi="Arial" w:cs="Arial"/>
          <w:sz w:val="22"/>
          <w:szCs w:val="22"/>
          <w:lang w:val="en-ZA"/>
        </w:rPr>
        <w:t xml:space="preserve">. </w:t>
      </w:r>
      <w:r w:rsidR="006D628C" w:rsidRPr="00625F0A">
        <w:rPr>
          <w:rFonts w:ascii="Arial" w:hAnsi="Arial" w:cs="Arial"/>
          <w:sz w:val="22"/>
          <w:szCs w:val="22"/>
          <w:lang w:val="en-ZA"/>
        </w:rPr>
        <w:t xml:space="preserve">To scale up the Sanitary </w:t>
      </w:r>
      <w:r w:rsidR="008B6C5D" w:rsidRPr="00625F0A">
        <w:rPr>
          <w:rFonts w:ascii="Arial" w:hAnsi="Arial" w:cs="Arial"/>
          <w:sz w:val="22"/>
          <w:szCs w:val="22"/>
          <w:lang w:val="en-ZA"/>
        </w:rPr>
        <w:t xml:space="preserve">Dignity Programme, R652 million has been added to the </w:t>
      </w:r>
      <w:r w:rsidR="008E4EF4" w:rsidRPr="00625F0A">
        <w:rPr>
          <w:rFonts w:ascii="Arial" w:hAnsi="Arial" w:cs="Arial"/>
          <w:sz w:val="22"/>
          <w:szCs w:val="22"/>
          <w:lang w:val="en-ZA"/>
        </w:rPr>
        <w:t xml:space="preserve">provincial equitable share over the MTEF </w:t>
      </w:r>
      <w:r w:rsidR="00B901D9" w:rsidRPr="00625F0A">
        <w:rPr>
          <w:rFonts w:ascii="Arial" w:hAnsi="Arial" w:cs="Arial"/>
          <w:sz w:val="22"/>
          <w:szCs w:val="22"/>
          <w:lang w:val="en-ZA"/>
        </w:rPr>
        <w:t xml:space="preserve">to provide sanitary products </w:t>
      </w:r>
      <w:r w:rsidR="00182111" w:rsidRPr="00625F0A">
        <w:rPr>
          <w:rFonts w:ascii="Arial" w:hAnsi="Arial" w:cs="Arial"/>
          <w:sz w:val="22"/>
          <w:szCs w:val="22"/>
          <w:lang w:val="en-ZA"/>
        </w:rPr>
        <w:t>to indigent girl learners</w:t>
      </w:r>
      <w:r w:rsidR="00B521DE" w:rsidRPr="00625F0A">
        <w:rPr>
          <w:rFonts w:ascii="Arial" w:hAnsi="Arial" w:cs="Arial"/>
          <w:sz w:val="22"/>
          <w:szCs w:val="22"/>
          <w:lang w:val="en-ZA"/>
        </w:rPr>
        <w:t xml:space="preserve"> (of this amount Gauteng receives R79.9 million)</w:t>
      </w:r>
      <w:r w:rsidR="00182111" w:rsidRPr="00625F0A">
        <w:rPr>
          <w:rFonts w:ascii="Arial" w:hAnsi="Arial" w:cs="Arial"/>
          <w:sz w:val="22"/>
          <w:szCs w:val="22"/>
          <w:lang w:val="en-ZA"/>
        </w:rPr>
        <w:t>.</w:t>
      </w:r>
    </w:p>
    <w:bookmarkEnd w:id="0"/>
    <w:bookmarkEnd w:id="1"/>
    <w:p w14:paraId="450A67DA" w14:textId="384783F4" w:rsidR="00BD63EE" w:rsidRDefault="00BD63EE" w:rsidP="00BD63EE">
      <w:pPr>
        <w:pStyle w:val="BodyTextIndent2"/>
        <w:spacing w:line="276" w:lineRule="auto"/>
        <w:ind w:left="0"/>
        <w:rPr>
          <w:b/>
          <w:sz w:val="22"/>
          <w:szCs w:val="22"/>
          <w:u w:val="single"/>
        </w:rPr>
      </w:pPr>
    </w:p>
    <w:p w14:paraId="2A9DE875" w14:textId="77777777" w:rsidR="004F67A3" w:rsidRDefault="004F67A3" w:rsidP="00BD63EE">
      <w:pPr>
        <w:pStyle w:val="BodyTextIndent2"/>
        <w:spacing w:line="276" w:lineRule="auto"/>
        <w:ind w:left="0"/>
        <w:rPr>
          <w:b/>
          <w:sz w:val="22"/>
          <w:szCs w:val="22"/>
          <w:u w:val="single"/>
        </w:rPr>
      </w:pPr>
    </w:p>
    <w:p w14:paraId="4272FD34" w14:textId="0488F52B" w:rsidR="006E6315" w:rsidRPr="00CE4652" w:rsidRDefault="006E6315" w:rsidP="00BD63EE">
      <w:pPr>
        <w:pStyle w:val="BodyTextIndent2"/>
        <w:numPr>
          <w:ilvl w:val="1"/>
          <w:numId w:val="31"/>
        </w:numPr>
        <w:spacing w:line="276" w:lineRule="auto"/>
        <w:ind w:left="993" w:hanging="567"/>
        <w:rPr>
          <w:b/>
          <w:sz w:val="22"/>
          <w:szCs w:val="22"/>
        </w:rPr>
      </w:pPr>
      <w:r w:rsidRPr="00CE4652">
        <w:rPr>
          <w:b/>
          <w:sz w:val="22"/>
          <w:szCs w:val="22"/>
          <w:u w:val="single"/>
        </w:rPr>
        <w:t>FINAL POSITION ADOPTED BY COMMITTEE</w:t>
      </w:r>
    </w:p>
    <w:p w14:paraId="506883C3" w14:textId="77777777" w:rsidR="006E6315" w:rsidRPr="00CE4652" w:rsidRDefault="006E6315" w:rsidP="006E6315">
      <w:pPr>
        <w:pStyle w:val="BodyTextIndent2"/>
        <w:spacing w:line="276" w:lineRule="auto"/>
        <w:rPr>
          <w:b/>
          <w:sz w:val="22"/>
          <w:szCs w:val="22"/>
        </w:rPr>
      </w:pPr>
    </w:p>
    <w:p w14:paraId="5493C1CE" w14:textId="388E22BB" w:rsidR="006E6315" w:rsidRDefault="006E6315" w:rsidP="006E6315">
      <w:pPr>
        <w:spacing w:line="276" w:lineRule="auto"/>
        <w:ind w:left="360"/>
        <w:jc w:val="both"/>
        <w:rPr>
          <w:rFonts w:ascii="Arial" w:hAnsi="Arial" w:cs="Arial"/>
          <w:sz w:val="22"/>
          <w:szCs w:val="22"/>
        </w:rPr>
      </w:pPr>
      <w:r w:rsidRPr="00DC049F">
        <w:rPr>
          <w:rFonts w:ascii="Arial" w:hAnsi="Arial" w:cs="Arial"/>
          <w:sz w:val="22"/>
          <w:szCs w:val="22"/>
        </w:rPr>
        <w:lastRenderedPageBreak/>
        <w:t>After due consideration, the Finance Portfolio Committee in accordance with Rule 16</w:t>
      </w:r>
      <w:r>
        <w:rPr>
          <w:rFonts w:ascii="Arial" w:hAnsi="Arial" w:cs="Arial"/>
          <w:sz w:val="22"/>
          <w:szCs w:val="22"/>
        </w:rPr>
        <w:t>3 read with Rule 164</w:t>
      </w:r>
      <w:r w:rsidRPr="00DC049F">
        <w:rPr>
          <w:rFonts w:ascii="Arial" w:hAnsi="Arial" w:cs="Arial"/>
          <w:sz w:val="22"/>
          <w:szCs w:val="22"/>
        </w:rPr>
        <w:t>, adopted the report in support of the Division of Revenue Bill [B</w:t>
      </w:r>
      <w:r w:rsidR="00BD63EE">
        <w:rPr>
          <w:rFonts w:ascii="Arial" w:hAnsi="Arial" w:cs="Arial"/>
          <w:sz w:val="22"/>
          <w:szCs w:val="22"/>
        </w:rPr>
        <w:t>3</w:t>
      </w:r>
      <w:r w:rsidRPr="00DC049F">
        <w:rPr>
          <w:rFonts w:ascii="Arial" w:hAnsi="Arial" w:cs="Arial"/>
          <w:sz w:val="22"/>
          <w:szCs w:val="22"/>
        </w:rPr>
        <w:t>-20</w:t>
      </w:r>
      <w:r w:rsidR="00BD63EE">
        <w:rPr>
          <w:rFonts w:ascii="Arial" w:hAnsi="Arial" w:cs="Arial"/>
          <w:sz w:val="22"/>
          <w:szCs w:val="22"/>
        </w:rPr>
        <w:t>20</w:t>
      </w:r>
      <w:r w:rsidRPr="00DC049F">
        <w:rPr>
          <w:rFonts w:ascii="Arial" w:hAnsi="Arial" w:cs="Arial"/>
          <w:sz w:val="22"/>
          <w:szCs w:val="22"/>
        </w:rPr>
        <w:t>] Section 76, as referred and recommends its adoption by the House.</w:t>
      </w:r>
    </w:p>
    <w:p w14:paraId="437EE03D" w14:textId="77777777" w:rsidR="006E6315" w:rsidRDefault="006E6315" w:rsidP="006E6315">
      <w:pPr>
        <w:pStyle w:val="BodyTextIndent2"/>
        <w:spacing w:line="276" w:lineRule="auto"/>
        <w:rPr>
          <w:sz w:val="22"/>
          <w:szCs w:val="22"/>
        </w:rPr>
      </w:pPr>
    </w:p>
    <w:sectPr w:rsidR="006E6315" w:rsidSect="00765C10">
      <w:headerReference w:type="default" r:id="rId12"/>
      <w:footerReference w:type="even" r:id="rId13"/>
      <w:footerReference w:type="default" r:id="rId14"/>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67C6D" w14:textId="77777777" w:rsidR="00760EFD" w:rsidRDefault="00760EFD">
      <w:r>
        <w:separator/>
      </w:r>
    </w:p>
  </w:endnote>
  <w:endnote w:type="continuationSeparator" w:id="0">
    <w:p w14:paraId="3E8C531E" w14:textId="77777777" w:rsidR="00760EFD" w:rsidRDefault="00760EFD">
      <w:r>
        <w:continuationSeparator/>
      </w:r>
    </w:p>
  </w:endnote>
  <w:endnote w:type="continuationNotice" w:id="1">
    <w:p w14:paraId="2647E3D8" w14:textId="77777777" w:rsidR="00760EFD" w:rsidRDefault="00760E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26468" w14:textId="77777777" w:rsidR="00642477" w:rsidRDefault="006424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752ACD8" w14:textId="77777777" w:rsidR="00642477" w:rsidRDefault="0064247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54044"/>
      <w:docPartObj>
        <w:docPartGallery w:val="Page Numbers (Bottom of Page)"/>
        <w:docPartUnique/>
      </w:docPartObj>
    </w:sdtPr>
    <w:sdtEndPr>
      <w:rPr>
        <w:noProof/>
      </w:rPr>
    </w:sdtEndPr>
    <w:sdtContent>
      <w:p w14:paraId="7B3FC8F3" w14:textId="0D77F270" w:rsidR="00642477" w:rsidRDefault="00642477">
        <w:pPr>
          <w:pStyle w:val="Footer"/>
          <w:jc w:val="center"/>
        </w:pPr>
        <w:r>
          <w:fldChar w:fldCharType="begin"/>
        </w:r>
        <w:r>
          <w:instrText xml:space="preserve"> PAGE   \* MERGEFORMAT </w:instrText>
        </w:r>
        <w:r>
          <w:fldChar w:fldCharType="separate"/>
        </w:r>
        <w:r w:rsidR="00DC0D8F">
          <w:rPr>
            <w:noProof/>
          </w:rPr>
          <w:t>7</w:t>
        </w:r>
        <w:r>
          <w:rPr>
            <w:noProof/>
          </w:rPr>
          <w:fldChar w:fldCharType="end"/>
        </w:r>
      </w:p>
    </w:sdtContent>
  </w:sdt>
  <w:p w14:paraId="590D0823" w14:textId="77777777" w:rsidR="00642477" w:rsidRDefault="00642477" w:rsidP="005C750E">
    <w:pPr>
      <w:pStyle w:val="Footer"/>
      <w:ind w:right="360"/>
      <w:jc w:val="both"/>
      <w:rPr>
        <w:rFonts w:ascii="Arial" w:hAnsi="Arial" w:cs="Arial"/>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9AFC8" w14:textId="77777777" w:rsidR="00760EFD" w:rsidRDefault="00760EFD">
      <w:r>
        <w:separator/>
      </w:r>
    </w:p>
  </w:footnote>
  <w:footnote w:type="continuationSeparator" w:id="0">
    <w:p w14:paraId="19F3060B" w14:textId="77777777" w:rsidR="00760EFD" w:rsidRDefault="00760EFD">
      <w:r>
        <w:continuationSeparator/>
      </w:r>
    </w:p>
  </w:footnote>
  <w:footnote w:type="continuationNotice" w:id="1">
    <w:p w14:paraId="56DCF236" w14:textId="77777777" w:rsidR="00760EFD" w:rsidRDefault="00760EF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75C01" w14:textId="77777777" w:rsidR="00642477" w:rsidRDefault="00642477">
    <w:pPr>
      <w:pStyle w:val="Header"/>
      <w:jc w:val="center"/>
      <w:rPr>
        <w:b/>
        <w:bCs/>
        <w:color w:val="808080"/>
        <w:sz w:val="18"/>
        <w:lang w:val="en-Z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CB3"/>
    <w:multiLevelType w:val="hybridMultilevel"/>
    <w:tmpl w:val="794259AA"/>
    <w:lvl w:ilvl="0" w:tplc="C6CAE652">
      <w:start w:val="1"/>
      <w:numFmt w:val="decimal"/>
      <w:lvlText w:val="%1."/>
      <w:lvlJc w:val="righ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 w15:restartNumberingAfterBreak="0">
    <w:nsid w:val="056C3160"/>
    <w:multiLevelType w:val="multilevel"/>
    <w:tmpl w:val="66D8C580"/>
    <w:lvl w:ilvl="0">
      <w:start w:val="1"/>
      <w:numFmt w:val="decimal"/>
      <w:lvlText w:val="%1."/>
      <w:lvlJc w:val="left"/>
      <w:pPr>
        <w:ind w:left="108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b w:val="0"/>
        <w:bCs w:val="0"/>
        <w:i w:val="0"/>
        <w:iCs/>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ECE1EAA"/>
    <w:multiLevelType w:val="hybridMultilevel"/>
    <w:tmpl w:val="4C6C2560"/>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11180937"/>
    <w:multiLevelType w:val="hybridMultilevel"/>
    <w:tmpl w:val="513E4BD4"/>
    <w:lvl w:ilvl="0" w:tplc="1C09000B">
      <w:start w:val="1"/>
      <w:numFmt w:val="bullet"/>
      <w:lvlText w:val=""/>
      <w:lvlJc w:val="left"/>
      <w:pPr>
        <w:ind w:left="1473" w:hanging="360"/>
      </w:pPr>
      <w:rPr>
        <w:rFonts w:ascii="Wingdings" w:hAnsi="Wingdings" w:hint="default"/>
      </w:rPr>
    </w:lvl>
    <w:lvl w:ilvl="1" w:tplc="1C090003" w:tentative="1">
      <w:start w:val="1"/>
      <w:numFmt w:val="bullet"/>
      <w:lvlText w:val="o"/>
      <w:lvlJc w:val="left"/>
      <w:pPr>
        <w:ind w:left="2193" w:hanging="360"/>
      </w:pPr>
      <w:rPr>
        <w:rFonts w:ascii="Courier New" w:hAnsi="Courier New" w:cs="Courier New" w:hint="default"/>
      </w:rPr>
    </w:lvl>
    <w:lvl w:ilvl="2" w:tplc="1C090005" w:tentative="1">
      <w:start w:val="1"/>
      <w:numFmt w:val="bullet"/>
      <w:lvlText w:val=""/>
      <w:lvlJc w:val="left"/>
      <w:pPr>
        <w:ind w:left="2913" w:hanging="360"/>
      </w:pPr>
      <w:rPr>
        <w:rFonts w:ascii="Wingdings" w:hAnsi="Wingdings" w:hint="default"/>
      </w:rPr>
    </w:lvl>
    <w:lvl w:ilvl="3" w:tplc="1C090001" w:tentative="1">
      <w:start w:val="1"/>
      <w:numFmt w:val="bullet"/>
      <w:lvlText w:val=""/>
      <w:lvlJc w:val="left"/>
      <w:pPr>
        <w:ind w:left="3633" w:hanging="360"/>
      </w:pPr>
      <w:rPr>
        <w:rFonts w:ascii="Symbol" w:hAnsi="Symbol" w:hint="default"/>
      </w:rPr>
    </w:lvl>
    <w:lvl w:ilvl="4" w:tplc="1C090003" w:tentative="1">
      <w:start w:val="1"/>
      <w:numFmt w:val="bullet"/>
      <w:lvlText w:val="o"/>
      <w:lvlJc w:val="left"/>
      <w:pPr>
        <w:ind w:left="4353" w:hanging="360"/>
      </w:pPr>
      <w:rPr>
        <w:rFonts w:ascii="Courier New" w:hAnsi="Courier New" w:cs="Courier New" w:hint="default"/>
      </w:rPr>
    </w:lvl>
    <w:lvl w:ilvl="5" w:tplc="1C090005" w:tentative="1">
      <w:start w:val="1"/>
      <w:numFmt w:val="bullet"/>
      <w:lvlText w:val=""/>
      <w:lvlJc w:val="left"/>
      <w:pPr>
        <w:ind w:left="5073" w:hanging="360"/>
      </w:pPr>
      <w:rPr>
        <w:rFonts w:ascii="Wingdings" w:hAnsi="Wingdings" w:hint="default"/>
      </w:rPr>
    </w:lvl>
    <w:lvl w:ilvl="6" w:tplc="1C090001" w:tentative="1">
      <w:start w:val="1"/>
      <w:numFmt w:val="bullet"/>
      <w:lvlText w:val=""/>
      <w:lvlJc w:val="left"/>
      <w:pPr>
        <w:ind w:left="5793" w:hanging="360"/>
      </w:pPr>
      <w:rPr>
        <w:rFonts w:ascii="Symbol" w:hAnsi="Symbol" w:hint="default"/>
      </w:rPr>
    </w:lvl>
    <w:lvl w:ilvl="7" w:tplc="1C090003" w:tentative="1">
      <w:start w:val="1"/>
      <w:numFmt w:val="bullet"/>
      <w:lvlText w:val="o"/>
      <w:lvlJc w:val="left"/>
      <w:pPr>
        <w:ind w:left="6513" w:hanging="360"/>
      </w:pPr>
      <w:rPr>
        <w:rFonts w:ascii="Courier New" w:hAnsi="Courier New" w:cs="Courier New" w:hint="default"/>
      </w:rPr>
    </w:lvl>
    <w:lvl w:ilvl="8" w:tplc="1C090005" w:tentative="1">
      <w:start w:val="1"/>
      <w:numFmt w:val="bullet"/>
      <w:lvlText w:val=""/>
      <w:lvlJc w:val="left"/>
      <w:pPr>
        <w:ind w:left="7233" w:hanging="360"/>
      </w:pPr>
      <w:rPr>
        <w:rFonts w:ascii="Wingdings" w:hAnsi="Wingdings" w:hint="default"/>
      </w:rPr>
    </w:lvl>
  </w:abstractNum>
  <w:abstractNum w:abstractNumId="4" w15:restartNumberingAfterBreak="0">
    <w:nsid w:val="128A7B37"/>
    <w:multiLevelType w:val="hybridMultilevel"/>
    <w:tmpl w:val="A7FCFBDE"/>
    <w:lvl w:ilvl="0" w:tplc="14901DA0">
      <w:start w:val="1"/>
      <w:numFmt w:val="bullet"/>
      <w:lvlText w:val=""/>
      <w:lvlJc w:val="left"/>
      <w:pPr>
        <w:ind w:left="720" w:hanging="360"/>
      </w:pPr>
      <w:rPr>
        <w:rFonts w:ascii="Wingdings" w:hAnsi="Wingdings" w:hint="default"/>
        <w:color w:val="auto"/>
        <w:sz w:val="22"/>
        <w:szCs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2A43EF1"/>
    <w:multiLevelType w:val="hybridMultilevel"/>
    <w:tmpl w:val="A830CAA0"/>
    <w:lvl w:ilvl="0" w:tplc="06449E3E">
      <w:start w:val="1"/>
      <w:numFmt w:val="bullet"/>
      <w:lvlText w:val="•"/>
      <w:lvlJc w:val="left"/>
      <w:pPr>
        <w:tabs>
          <w:tab w:val="num" w:pos="720"/>
        </w:tabs>
        <w:ind w:left="720" w:hanging="360"/>
      </w:pPr>
      <w:rPr>
        <w:rFonts w:ascii="Times New Roman" w:hAnsi="Times New Roman" w:hint="default"/>
      </w:rPr>
    </w:lvl>
    <w:lvl w:ilvl="1" w:tplc="4BAA1BF0">
      <w:start w:val="117"/>
      <w:numFmt w:val="bullet"/>
      <w:lvlText w:val="–"/>
      <w:lvlJc w:val="left"/>
      <w:pPr>
        <w:tabs>
          <w:tab w:val="num" w:pos="1440"/>
        </w:tabs>
        <w:ind w:left="1440" w:hanging="360"/>
      </w:pPr>
      <w:rPr>
        <w:rFonts w:ascii="Times New Roman" w:hAnsi="Times New Roman" w:hint="default"/>
      </w:rPr>
    </w:lvl>
    <w:lvl w:ilvl="2" w:tplc="10B68878" w:tentative="1">
      <w:start w:val="1"/>
      <w:numFmt w:val="bullet"/>
      <w:lvlText w:val="•"/>
      <w:lvlJc w:val="left"/>
      <w:pPr>
        <w:tabs>
          <w:tab w:val="num" w:pos="2160"/>
        </w:tabs>
        <w:ind w:left="2160" w:hanging="360"/>
      </w:pPr>
      <w:rPr>
        <w:rFonts w:ascii="Times New Roman" w:hAnsi="Times New Roman" w:hint="default"/>
      </w:rPr>
    </w:lvl>
    <w:lvl w:ilvl="3" w:tplc="FA0436C6" w:tentative="1">
      <w:start w:val="1"/>
      <w:numFmt w:val="bullet"/>
      <w:lvlText w:val="•"/>
      <w:lvlJc w:val="left"/>
      <w:pPr>
        <w:tabs>
          <w:tab w:val="num" w:pos="2880"/>
        </w:tabs>
        <w:ind w:left="2880" w:hanging="360"/>
      </w:pPr>
      <w:rPr>
        <w:rFonts w:ascii="Times New Roman" w:hAnsi="Times New Roman" w:hint="default"/>
      </w:rPr>
    </w:lvl>
    <w:lvl w:ilvl="4" w:tplc="C9A8E0B2" w:tentative="1">
      <w:start w:val="1"/>
      <w:numFmt w:val="bullet"/>
      <w:lvlText w:val="•"/>
      <w:lvlJc w:val="left"/>
      <w:pPr>
        <w:tabs>
          <w:tab w:val="num" w:pos="3600"/>
        </w:tabs>
        <w:ind w:left="3600" w:hanging="360"/>
      </w:pPr>
      <w:rPr>
        <w:rFonts w:ascii="Times New Roman" w:hAnsi="Times New Roman" w:hint="default"/>
      </w:rPr>
    </w:lvl>
    <w:lvl w:ilvl="5" w:tplc="98C06CEA" w:tentative="1">
      <w:start w:val="1"/>
      <w:numFmt w:val="bullet"/>
      <w:lvlText w:val="•"/>
      <w:lvlJc w:val="left"/>
      <w:pPr>
        <w:tabs>
          <w:tab w:val="num" w:pos="4320"/>
        </w:tabs>
        <w:ind w:left="4320" w:hanging="360"/>
      </w:pPr>
      <w:rPr>
        <w:rFonts w:ascii="Times New Roman" w:hAnsi="Times New Roman" w:hint="default"/>
      </w:rPr>
    </w:lvl>
    <w:lvl w:ilvl="6" w:tplc="BE90120E" w:tentative="1">
      <w:start w:val="1"/>
      <w:numFmt w:val="bullet"/>
      <w:lvlText w:val="•"/>
      <w:lvlJc w:val="left"/>
      <w:pPr>
        <w:tabs>
          <w:tab w:val="num" w:pos="5040"/>
        </w:tabs>
        <w:ind w:left="5040" w:hanging="360"/>
      </w:pPr>
      <w:rPr>
        <w:rFonts w:ascii="Times New Roman" w:hAnsi="Times New Roman" w:hint="default"/>
      </w:rPr>
    </w:lvl>
    <w:lvl w:ilvl="7" w:tplc="E7845A6C" w:tentative="1">
      <w:start w:val="1"/>
      <w:numFmt w:val="bullet"/>
      <w:lvlText w:val="•"/>
      <w:lvlJc w:val="left"/>
      <w:pPr>
        <w:tabs>
          <w:tab w:val="num" w:pos="5760"/>
        </w:tabs>
        <w:ind w:left="5760" w:hanging="360"/>
      </w:pPr>
      <w:rPr>
        <w:rFonts w:ascii="Times New Roman" w:hAnsi="Times New Roman" w:hint="default"/>
      </w:rPr>
    </w:lvl>
    <w:lvl w:ilvl="8" w:tplc="74520BB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83C6FCC"/>
    <w:multiLevelType w:val="multilevel"/>
    <w:tmpl w:val="775C872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F64CC5"/>
    <w:multiLevelType w:val="hybridMultilevel"/>
    <w:tmpl w:val="BF0EED1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D1E475E"/>
    <w:multiLevelType w:val="hybridMultilevel"/>
    <w:tmpl w:val="4DE6F23A"/>
    <w:lvl w:ilvl="0" w:tplc="64BCED10">
      <w:start w:val="1"/>
      <w:numFmt w:val="decimal"/>
      <w:lvlText w:val="%1.1"/>
      <w:lvlJc w:val="right"/>
      <w:pPr>
        <w:ind w:left="1200" w:hanging="360"/>
      </w:pPr>
      <w:rPr>
        <w:rFonts w:hint="default"/>
      </w:rPr>
    </w:lvl>
    <w:lvl w:ilvl="1" w:tplc="1C090019" w:tentative="1">
      <w:start w:val="1"/>
      <w:numFmt w:val="lowerLetter"/>
      <w:lvlText w:val="%2."/>
      <w:lvlJc w:val="left"/>
      <w:pPr>
        <w:ind w:left="1920" w:hanging="360"/>
      </w:pPr>
    </w:lvl>
    <w:lvl w:ilvl="2" w:tplc="1C09001B" w:tentative="1">
      <w:start w:val="1"/>
      <w:numFmt w:val="lowerRoman"/>
      <w:lvlText w:val="%3."/>
      <w:lvlJc w:val="right"/>
      <w:pPr>
        <w:ind w:left="2640" w:hanging="180"/>
      </w:pPr>
    </w:lvl>
    <w:lvl w:ilvl="3" w:tplc="1C09000F" w:tentative="1">
      <w:start w:val="1"/>
      <w:numFmt w:val="decimal"/>
      <w:lvlText w:val="%4."/>
      <w:lvlJc w:val="left"/>
      <w:pPr>
        <w:ind w:left="3360" w:hanging="360"/>
      </w:pPr>
    </w:lvl>
    <w:lvl w:ilvl="4" w:tplc="1C090019" w:tentative="1">
      <w:start w:val="1"/>
      <w:numFmt w:val="lowerLetter"/>
      <w:lvlText w:val="%5."/>
      <w:lvlJc w:val="left"/>
      <w:pPr>
        <w:ind w:left="4080" w:hanging="360"/>
      </w:pPr>
    </w:lvl>
    <w:lvl w:ilvl="5" w:tplc="1C09001B" w:tentative="1">
      <w:start w:val="1"/>
      <w:numFmt w:val="lowerRoman"/>
      <w:lvlText w:val="%6."/>
      <w:lvlJc w:val="right"/>
      <w:pPr>
        <w:ind w:left="4800" w:hanging="180"/>
      </w:pPr>
    </w:lvl>
    <w:lvl w:ilvl="6" w:tplc="1C09000F" w:tentative="1">
      <w:start w:val="1"/>
      <w:numFmt w:val="decimal"/>
      <w:lvlText w:val="%7."/>
      <w:lvlJc w:val="left"/>
      <w:pPr>
        <w:ind w:left="5520" w:hanging="360"/>
      </w:pPr>
    </w:lvl>
    <w:lvl w:ilvl="7" w:tplc="1C090019" w:tentative="1">
      <w:start w:val="1"/>
      <w:numFmt w:val="lowerLetter"/>
      <w:lvlText w:val="%8."/>
      <w:lvlJc w:val="left"/>
      <w:pPr>
        <w:ind w:left="6240" w:hanging="360"/>
      </w:pPr>
    </w:lvl>
    <w:lvl w:ilvl="8" w:tplc="1C09001B" w:tentative="1">
      <w:start w:val="1"/>
      <w:numFmt w:val="lowerRoman"/>
      <w:lvlText w:val="%9."/>
      <w:lvlJc w:val="right"/>
      <w:pPr>
        <w:ind w:left="6960" w:hanging="180"/>
      </w:pPr>
    </w:lvl>
  </w:abstractNum>
  <w:abstractNum w:abstractNumId="9" w15:restartNumberingAfterBreak="0">
    <w:nsid w:val="1D573E9B"/>
    <w:multiLevelType w:val="hybridMultilevel"/>
    <w:tmpl w:val="2F68031E"/>
    <w:lvl w:ilvl="0" w:tplc="EE6C3EDA">
      <w:start w:val="12"/>
      <w:numFmt w:val="decimal"/>
      <w:lvlText w:val="%1."/>
      <w:lvlJc w:val="left"/>
      <w:pPr>
        <w:ind w:left="1080" w:hanging="360"/>
      </w:pPr>
      <w:rPr>
        <w:rFonts w:hint="default"/>
        <w:u w:val="none"/>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DF6189C"/>
    <w:multiLevelType w:val="hybridMultilevel"/>
    <w:tmpl w:val="89BC797E"/>
    <w:lvl w:ilvl="0" w:tplc="04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15:restartNumberingAfterBreak="0">
    <w:nsid w:val="210F673F"/>
    <w:multiLevelType w:val="hybridMultilevel"/>
    <w:tmpl w:val="41FCD882"/>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15:restartNumberingAfterBreak="0">
    <w:nsid w:val="275400DC"/>
    <w:multiLevelType w:val="hybridMultilevel"/>
    <w:tmpl w:val="3BBE4FFE"/>
    <w:lvl w:ilvl="0" w:tplc="1C09000B">
      <w:start w:val="1"/>
      <w:numFmt w:val="bullet"/>
      <w:lvlText w:val=""/>
      <w:lvlJc w:val="left"/>
      <w:pPr>
        <w:ind w:left="1473" w:hanging="360"/>
      </w:pPr>
      <w:rPr>
        <w:rFonts w:ascii="Wingdings" w:hAnsi="Wingdings" w:hint="default"/>
      </w:rPr>
    </w:lvl>
    <w:lvl w:ilvl="1" w:tplc="1C090003">
      <w:start w:val="1"/>
      <w:numFmt w:val="bullet"/>
      <w:lvlText w:val="o"/>
      <w:lvlJc w:val="left"/>
      <w:pPr>
        <w:ind w:left="2193" w:hanging="360"/>
      </w:pPr>
      <w:rPr>
        <w:rFonts w:ascii="Courier New" w:hAnsi="Courier New" w:cs="Courier New" w:hint="default"/>
      </w:rPr>
    </w:lvl>
    <w:lvl w:ilvl="2" w:tplc="1C090005" w:tentative="1">
      <w:start w:val="1"/>
      <w:numFmt w:val="bullet"/>
      <w:lvlText w:val=""/>
      <w:lvlJc w:val="left"/>
      <w:pPr>
        <w:ind w:left="2913" w:hanging="360"/>
      </w:pPr>
      <w:rPr>
        <w:rFonts w:ascii="Wingdings" w:hAnsi="Wingdings" w:hint="default"/>
      </w:rPr>
    </w:lvl>
    <w:lvl w:ilvl="3" w:tplc="1C090001" w:tentative="1">
      <w:start w:val="1"/>
      <w:numFmt w:val="bullet"/>
      <w:lvlText w:val=""/>
      <w:lvlJc w:val="left"/>
      <w:pPr>
        <w:ind w:left="3633" w:hanging="360"/>
      </w:pPr>
      <w:rPr>
        <w:rFonts w:ascii="Symbol" w:hAnsi="Symbol" w:hint="default"/>
      </w:rPr>
    </w:lvl>
    <w:lvl w:ilvl="4" w:tplc="1C090003" w:tentative="1">
      <w:start w:val="1"/>
      <w:numFmt w:val="bullet"/>
      <w:lvlText w:val="o"/>
      <w:lvlJc w:val="left"/>
      <w:pPr>
        <w:ind w:left="4353" w:hanging="360"/>
      </w:pPr>
      <w:rPr>
        <w:rFonts w:ascii="Courier New" w:hAnsi="Courier New" w:cs="Courier New" w:hint="default"/>
      </w:rPr>
    </w:lvl>
    <w:lvl w:ilvl="5" w:tplc="1C090005" w:tentative="1">
      <w:start w:val="1"/>
      <w:numFmt w:val="bullet"/>
      <w:lvlText w:val=""/>
      <w:lvlJc w:val="left"/>
      <w:pPr>
        <w:ind w:left="5073" w:hanging="360"/>
      </w:pPr>
      <w:rPr>
        <w:rFonts w:ascii="Wingdings" w:hAnsi="Wingdings" w:hint="default"/>
      </w:rPr>
    </w:lvl>
    <w:lvl w:ilvl="6" w:tplc="1C090001" w:tentative="1">
      <w:start w:val="1"/>
      <w:numFmt w:val="bullet"/>
      <w:lvlText w:val=""/>
      <w:lvlJc w:val="left"/>
      <w:pPr>
        <w:ind w:left="5793" w:hanging="360"/>
      </w:pPr>
      <w:rPr>
        <w:rFonts w:ascii="Symbol" w:hAnsi="Symbol" w:hint="default"/>
      </w:rPr>
    </w:lvl>
    <w:lvl w:ilvl="7" w:tplc="1C090003" w:tentative="1">
      <w:start w:val="1"/>
      <w:numFmt w:val="bullet"/>
      <w:lvlText w:val="o"/>
      <w:lvlJc w:val="left"/>
      <w:pPr>
        <w:ind w:left="6513" w:hanging="360"/>
      </w:pPr>
      <w:rPr>
        <w:rFonts w:ascii="Courier New" w:hAnsi="Courier New" w:cs="Courier New" w:hint="default"/>
      </w:rPr>
    </w:lvl>
    <w:lvl w:ilvl="8" w:tplc="1C090005" w:tentative="1">
      <w:start w:val="1"/>
      <w:numFmt w:val="bullet"/>
      <w:lvlText w:val=""/>
      <w:lvlJc w:val="left"/>
      <w:pPr>
        <w:ind w:left="7233" w:hanging="360"/>
      </w:pPr>
      <w:rPr>
        <w:rFonts w:ascii="Wingdings" w:hAnsi="Wingdings" w:hint="default"/>
      </w:rPr>
    </w:lvl>
  </w:abstractNum>
  <w:abstractNum w:abstractNumId="13" w15:restartNumberingAfterBreak="0">
    <w:nsid w:val="288405F7"/>
    <w:multiLevelType w:val="hybridMultilevel"/>
    <w:tmpl w:val="3DB4804C"/>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93E66E1"/>
    <w:multiLevelType w:val="hybridMultilevel"/>
    <w:tmpl w:val="080E6E10"/>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15:restartNumberingAfterBreak="0">
    <w:nsid w:val="2FAF7CE9"/>
    <w:multiLevelType w:val="hybridMultilevel"/>
    <w:tmpl w:val="79BCC850"/>
    <w:lvl w:ilvl="0" w:tplc="61383A2A">
      <w:start w:val="1"/>
      <w:numFmt w:val="bullet"/>
      <w:lvlText w:val="•"/>
      <w:lvlJc w:val="left"/>
      <w:pPr>
        <w:tabs>
          <w:tab w:val="num" w:pos="720"/>
        </w:tabs>
        <w:ind w:left="720" w:hanging="360"/>
      </w:pPr>
      <w:rPr>
        <w:rFonts w:ascii="Times New Roman" w:hAnsi="Times New Roman" w:hint="default"/>
      </w:rPr>
    </w:lvl>
    <w:lvl w:ilvl="1" w:tplc="EC9CAD2A" w:tentative="1">
      <w:start w:val="1"/>
      <w:numFmt w:val="bullet"/>
      <w:lvlText w:val="•"/>
      <w:lvlJc w:val="left"/>
      <w:pPr>
        <w:tabs>
          <w:tab w:val="num" w:pos="1440"/>
        </w:tabs>
        <w:ind w:left="1440" w:hanging="360"/>
      </w:pPr>
      <w:rPr>
        <w:rFonts w:ascii="Times New Roman" w:hAnsi="Times New Roman" w:hint="default"/>
      </w:rPr>
    </w:lvl>
    <w:lvl w:ilvl="2" w:tplc="8ED4C448" w:tentative="1">
      <w:start w:val="1"/>
      <w:numFmt w:val="bullet"/>
      <w:lvlText w:val="•"/>
      <w:lvlJc w:val="left"/>
      <w:pPr>
        <w:tabs>
          <w:tab w:val="num" w:pos="2160"/>
        </w:tabs>
        <w:ind w:left="2160" w:hanging="360"/>
      </w:pPr>
      <w:rPr>
        <w:rFonts w:ascii="Times New Roman" w:hAnsi="Times New Roman" w:hint="default"/>
      </w:rPr>
    </w:lvl>
    <w:lvl w:ilvl="3" w:tplc="8E92065A" w:tentative="1">
      <w:start w:val="1"/>
      <w:numFmt w:val="bullet"/>
      <w:lvlText w:val="•"/>
      <w:lvlJc w:val="left"/>
      <w:pPr>
        <w:tabs>
          <w:tab w:val="num" w:pos="2880"/>
        </w:tabs>
        <w:ind w:left="2880" w:hanging="360"/>
      </w:pPr>
      <w:rPr>
        <w:rFonts w:ascii="Times New Roman" w:hAnsi="Times New Roman" w:hint="default"/>
      </w:rPr>
    </w:lvl>
    <w:lvl w:ilvl="4" w:tplc="FBA6CB22" w:tentative="1">
      <w:start w:val="1"/>
      <w:numFmt w:val="bullet"/>
      <w:lvlText w:val="•"/>
      <w:lvlJc w:val="left"/>
      <w:pPr>
        <w:tabs>
          <w:tab w:val="num" w:pos="3600"/>
        </w:tabs>
        <w:ind w:left="3600" w:hanging="360"/>
      </w:pPr>
      <w:rPr>
        <w:rFonts w:ascii="Times New Roman" w:hAnsi="Times New Roman" w:hint="default"/>
      </w:rPr>
    </w:lvl>
    <w:lvl w:ilvl="5" w:tplc="75AE205A" w:tentative="1">
      <w:start w:val="1"/>
      <w:numFmt w:val="bullet"/>
      <w:lvlText w:val="•"/>
      <w:lvlJc w:val="left"/>
      <w:pPr>
        <w:tabs>
          <w:tab w:val="num" w:pos="4320"/>
        </w:tabs>
        <w:ind w:left="4320" w:hanging="360"/>
      </w:pPr>
      <w:rPr>
        <w:rFonts w:ascii="Times New Roman" w:hAnsi="Times New Roman" w:hint="default"/>
      </w:rPr>
    </w:lvl>
    <w:lvl w:ilvl="6" w:tplc="734E168C" w:tentative="1">
      <w:start w:val="1"/>
      <w:numFmt w:val="bullet"/>
      <w:lvlText w:val="•"/>
      <w:lvlJc w:val="left"/>
      <w:pPr>
        <w:tabs>
          <w:tab w:val="num" w:pos="5040"/>
        </w:tabs>
        <w:ind w:left="5040" w:hanging="360"/>
      </w:pPr>
      <w:rPr>
        <w:rFonts w:ascii="Times New Roman" w:hAnsi="Times New Roman" w:hint="default"/>
      </w:rPr>
    </w:lvl>
    <w:lvl w:ilvl="7" w:tplc="4C40B8FA" w:tentative="1">
      <w:start w:val="1"/>
      <w:numFmt w:val="bullet"/>
      <w:lvlText w:val="•"/>
      <w:lvlJc w:val="left"/>
      <w:pPr>
        <w:tabs>
          <w:tab w:val="num" w:pos="5760"/>
        </w:tabs>
        <w:ind w:left="5760" w:hanging="360"/>
      </w:pPr>
      <w:rPr>
        <w:rFonts w:ascii="Times New Roman" w:hAnsi="Times New Roman" w:hint="default"/>
      </w:rPr>
    </w:lvl>
    <w:lvl w:ilvl="8" w:tplc="C374CE2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2D554C2"/>
    <w:multiLevelType w:val="hybridMultilevel"/>
    <w:tmpl w:val="FEF0CE3C"/>
    <w:lvl w:ilvl="0" w:tplc="839C93F0">
      <w:start w:val="1"/>
      <w:numFmt w:val="decimal"/>
      <w:lvlText w:val="%11.1"/>
      <w:lvlJc w:val="right"/>
      <w:pPr>
        <w:ind w:left="1560" w:hanging="360"/>
      </w:pPr>
      <w:rPr>
        <w:rFonts w:hint="default"/>
      </w:rPr>
    </w:lvl>
    <w:lvl w:ilvl="1" w:tplc="1C090019" w:tentative="1">
      <w:start w:val="1"/>
      <w:numFmt w:val="lowerLetter"/>
      <w:lvlText w:val="%2."/>
      <w:lvlJc w:val="left"/>
      <w:pPr>
        <w:ind w:left="2280" w:hanging="360"/>
      </w:pPr>
    </w:lvl>
    <w:lvl w:ilvl="2" w:tplc="1C09001B" w:tentative="1">
      <w:start w:val="1"/>
      <w:numFmt w:val="lowerRoman"/>
      <w:lvlText w:val="%3."/>
      <w:lvlJc w:val="right"/>
      <w:pPr>
        <w:ind w:left="3000" w:hanging="180"/>
      </w:pPr>
    </w:lvl>
    <w:lvl w:ilvl="3" w:tplc="1C09000F" w:tentative="1">
      <w:start w:val="1"/>
      <w:numFmt w:val="decimal"/>
      <w:lvlText w:val="%4."/>
      <w:lvlJc w:val="left"/>
      <w:pPr>
        <w:ind w:left="3720" w:hanging="360"/>
      </w:pPr>
    </w:lvl>
    <w:lvl w:ilvl="4" w:tplc="1C090019" w:tentative="1">
      <w:start w:val="1"/>
      <w:numFmt w:val="lowerLetter"/>
      <w:lvlText w:val="%5."/>
      <w:lvlJc w:val="left"/>
      <w:pPr>
        <w:ind w:left="4440" w:hanging="360"/>
      </w:pPr>
    </w:lvl>
    <w:lvl w:ilvl="5" w:tplc="1C09001B" w:tentative="1">
      <w:start w:val="1"/>
      <w:numFmt w:val="lowerRoman"/>
      <w:lvlText w:val="%6."/>
      <w:lvlJc w:val="right"/>
      <w:pPr>
        <w:ind w:left="5160" w:hanging="180"/>
      </w:pPr>
    </w:lvl>
    <w:lvl w:ilvl="6" w:tplc="1C09000F" w:tentative="1">
      <w:start w:val="1"/>
      <w:numFmt w:val="decimal"/>
      <w:lvlText w:val="%7."/>
      <w:lvlJc w:val="left"/>
      <w:pPr>
        <w:ind w:left="5880" w:hanging="360"/>
      </w:pPr>
    </w:lvl>
    <w:lvl w:ilvl="7" w:tplc="1C090019" w:tentative="1">
      <w:start w:val="1"/>
      <w:numFmt w:val="lowerLetter"/>
      <w:lvlText w:val="%8."/>
      <w:lvlJc w:val="left"/>
      <w:pPr>
        <w:ind w:left="6600" w:hanging="360"/>
      </w:pPr>
    </w:lvl>
    <w:lvl w:ilvl="8" w:tplc="1C09001B" w:tentative="1">
      <w:start w:val="1"/>
      <w:numFmt w:val="lowerRoman"/>
      <w:lvlText w:val="%9."/>
      <w:lvlJc w:val="right"/>
      <w:pPr>
        <w:ind w:left="7320" w:hanging="180"/>
      </w:pPr>
    </w:lvl>
  </w:abstractNum>
  <w:abstractNum w:abstractNumId="17" w15:restartNumberingAfterBreak="0">
    <w:nsid w:val="33946A59"/>
    <w:multiLevelType w:val="hybridMultilevel"/>
    <w:tmpl w:val="4850AE44"/>
    <w:lvl w:ilvl="0" w:tplc="D3B8D6C2">
      <w:start w:val="1"/>
      <w:numFmt w:val="bullet"/>
      <w:lvlText w:val="–"/>
      <w:lvlJc w:val="left"/>
      <w:pPr>
        <w:tabs>
          <w:tab w:val="num" w:pos="720"/>
        </w:tabs>
        <w:ind w:left="720" w:hanging="360"/>
      </w:pPr>
      <w:rPr>
        <w:rFonts w:ascii="Times New Roman" w:hAnsi="Times New Roman" w:hint="default"/>
      </w:rPr>
    </w:lvl>
    <w:lvl w:ilvl="1" w:tplc="8F0C2128">
      <w:start w:val="1"/>
      <w:numFmt w:val="bullet"/>
      <w:lvlText w:val="–"/>
      <w:lvlJc w:val="left"/>
      <w:pPr>
        <w:tabs>
          <w:tab w:val="num" w:pos="1440"/>
        </w:tabs>
        <w:ind w:left="1440" w:hanging="360"/>
      </w:pPr>
      <w:rPr>
        <w:rFonts w:ascii="Times New Roman" w:hAnsi="Times New Roman" w:hint="default"/>
      </w:rPr>
    </w:lvl>
    <w:lvl w:ilvl="2" w:tplc="40846730" w:tentative="1">
      <w:start w:val="1"/>
      <w:numFmt w:val="bullet"/>
      <w:lvlText w:val="–"/>
      <w:lvlJc w:val="left"/>
      <w:pPr>
        <w:tabs>
          <w:tab w:val="num" w:pos="2160"/>
        </w:tabs>
        <w:ind w:left="2160" w:hanging="360"/>
      </w:pPr>
      <w:rPr>
        <w:rFonts w:ascii="Times New Roman" w:hAnsi="Times New Roman" w:hint="default"/>
      </w:rPr>
    </w:lvl>
    <w:lvl w:ilvl="3" w:tplc="226E54F6" w:tentative="1">
      <w:start w:val="1"/>
      <w:numFmt w:val="bullet"/>
      <w:lvlText w:val="–"/>
      <w:lvlJc w:val="left"/>
      <w:pPr>
        <w:tabs>
          <w:tab w:val="num" w:pos="2880"/>
        </w:tabs>
        <w:ind w:left="2880" w:hanging="360"/>
      </w:pPr>
      <w:rPr>
        <w:rFonts w:ascii="Times New Roman" w:hAnsi="Times New Roman" w:hint="default"/>
      </w:rPr>
    </w:lvl>
    <w:lvl w:ilvl="4" w:tplc="E988C318" w:tentative="1">
      <w:start w:val="1"/>
      <w:numFmt w:val="bullet"/>
      <w:lvlText w:val="–"/>
      <w:lvlJc w:val="left"/>
      <w:pPr>
        <w:tabs>
          <w:tab w:val="num" w:pos="3600"/>
        </w:tabs>
        <w:ind w:left="3600" w:hanging="360"/>
      </w:pPr>
      <w:rPr>
        <w:rFonts w:ascii="Times New Roman" w:hAnsi="Times New Roman" w:hint="default"/>
      </w:rPr>
    </w:lvl>
    <w:lvl w:ilvl="5" w:tplc="20FAA2F0" w:tentative="1">
      <w:start w:val="1"/>
      <w:numFmt w:val="bullet"/>
      <w:lvlText w:val="–"/>
      <w:lvlJc w:val="left"/>
      <w:pPr>
        <w:tabs>
          <w:tab w:val="num" w:pos="4320"/>
        </w:tabs>
        <w:ind w:left="4320" w:hanging="360"/>
      </w:pPr>
      <w:rPr>
        <w:rFonts w:ascii="Times New Roman" w:hAnsi="Times New Roman" w:hint="default"/>
      </w:rPr>
    </w:lvl>
    <w:lvl w:ilvl="6" w:tplc="81169BA8" w:tentative="1">
      <w:start w:val="1"/>
      <w:numFmt w:val="bullet"/>
      <w:lvlText w:val="–"/>
      <w:lvlJc w:val="left"/>
      <w:pPr>
        <w:tabs>
          <w:tab w:val="num" w:pos="5040"/>
        </w:tabs>
        <w:ind w:left="5040" w:hanging="360"/>
      </w:pPr>
      <w:rPr>
        <w:rFonts w:ascii="Times New Roman" w:hAnsi="Times New Roman" w:hint="default"/>
      </w:rPr>
    </w:lvl>
    <w:lvl w:ilvl="7" w:tplc="10C23A9A" w:tentative="1">
      <w:start w:val="1"/>
      <w:numFmt w:val="bullet"/>
      <w:lvlText w:val="–"/>
      <w:lvlJc w:val="left"/>
      <w:pPr>
        <w:tabs>
          <w:tab w:val="num" w:pos="5760"/>
        </w:tabs>
        <w:ind w:left="5760" w:hanging="360"/>
      </w:pPr>
      <w:rPr>
        <w:rFonts w:ascii="Times New Roman" w:hAnsi="Times New Roman" w:hint="default"/>
      </w:rPr>
    </w:lvl>
    <w:lvl w:ilvl="8" w:tplc="89786A4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B556A37"/>
    <w:multiLevelType w:val="hybridMultilevel"/>
    <w:tmpl w:val="7CE27C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7B7D96"/>
    <w:multiLevelType w:val="hybridMultilevel"/>
    <w:tmpl w:val="3600178E"/>
    <w:lvl w:ilvl="0" w:tplc="7876CBD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416DCE"/>
    <w:multiLevelType w:val="multilevel"/>
    <w:tmpl w:val="66D8C580"/>
    <w:lvl w:ilvl="0">
      <w:start w:val="1"/>
      <w:numFmt w:val="decimal"/>
      <w:lvlText w:val="%1."/>
      <w:lvlJc w:val="left"/>
      <w:pPr>
        <w:ind w:left="108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b w:val="0"/>
        <w:bCs w:val="0"/>
        <w:i w:val="0"/>
        <w:iCs/>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40640BF4"/>
    <w:multiLevelType w:val="multilevel"/>
    <w:tmpl w:val="A04E53A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5E36DD"/>
    <w:multiLevelType w:val="hybridMultilevel"/>
    <w:tmpl w:val="E20A49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3DC7E69"/>
    <w:multiLevelType w:val="hybridMultilevel"/>
    <w:tmpl w:val="C8643B2A"/>
    <w:lvl w:ilvl="0" w:tplc="1FFE9DE0">
      <w:start w:val="1"/>
      <w:numFmt w:val="bullet"/>
      <w:lvlText w:val="•"/>
      <w:lvlJc w:val="left"/>
      <w:pPr>
        <w:tabs>
          <w:tab w:val="num" w:pos="720"/>
        </w:tabs>
        <w:ind w:left="720" w:hanging="360"/>
      </w:pPr>
      <w:rPr>
        <w:rFonts w:ascii="Times New Roman" w:hAnsi="Times New Roman" w:hint="default"/>
      </w:rPr>
    </w:lvl>
    <w:lvl w:ilvl="1" w:tplc="3A960C8E" w:tentative="1">
      <w:start w:val="1"/>
      <w:numFmt w:val="bullet"/>
      <w:lvlText w:val="•"/>
      <w:lvlJc w:val="left"/>
      <w:pPr>
        <w:tabs>
          <w:tab w:val="num" w:pos="1440"/>
        </w:tabs>
        <w:ind w:left="1440" w:hanging="360"/>
      </w:pPr>
      <w:rPr>
        <w:rFonts w:ascii="Times New Roman" w:hAnsi="Times New Roman" w:hint="default"/>
      </w:rPr>
    </w:lvl>
    <w:lvl w:ilvl="2" w:tplc="1B54CC9A">
      <w:start w:val="1"/>
      <w:numFmt w:val="bullet"/>
      <w:lvlText w:val="•"/>
      <w:lvlJc w:val="left"/>
      <w:pPr>
        <w:tabs>
          <w:tab w:val="num" w:pos="2160"/>
        </w:tabs>
        <w:ind w:left="2160" w:hanging="360"/>
      </w:pPr>
      <w:rPr>
        <w:rFonts w:ascii="Times New Roman" w:hAnsi="Times New Roman" w:hint="default"/>
      </w:rPr>
    </w:lvl>
    <w:lvl w:ilvl="3" w:tplc="A53214A0" w:tentative="1">
      <w:start w:val="1"/>
      <w:numFmt w:val="bullet"/>
      <w:lvlText w:val="•"/>
      <w:lvlJc w:val="left"/>
      <w:pPr>
        <w:tabs>
          <w:tab w:val="num" w:pos="2880"/>
        </w:tabs>
        <w:ind w:left="2880" w:hanging="360"/>
      </w:pPr>
      <w:rPr>
        <w:rFonts w:ascii="Times New Roman" w:hAnsi="Times New Roman" w:hint="default"/>
      </w:rPr>
    </w:lvl>
    <w:lvl w:ilvl="4" w:tplc="AEBA9548" w:tentative="1">
      <w:start w:val="1"/>
      <w:numFmt w:val="bullet"/>
      <w:lvlText w:val="•"/>
      <w:lvlJc w:val="left"/>
      <w:pPr>
        <w:tabs>
          <w:tab w:val="num" w:pos="3600"/>
        </w:tabs>
        <w:ind w:left="3600" w:hanging="360"/>
      </w:pPr>
      <w:rPr>
        <w:rFonts w:ascii="Times New Roman" w:hAnsi="Times New Roman" w:hint="default"/>
      </w:rPr>
    </w:lvl>
    <w:lvl w:ilvl="5" w:tplc="87369198" w:tentative="1">
      <w:start w:val="1"/>
      <w:numFmt w:val="bullet"/>
      <w:lvlText w:val="•"/>
      <w:lvlJc w:val="left"/>
      <w:pPr>
        <w:tabs>
          <w:tab w:val="num" w:pos="4320"/>
        </w:tabs>
        <w:ind w:left="4320" w:hanging="360"/>
      </w:pPr>
      <w:rPr>
        <w:rFonts w:ascii="Times New Roman" w:hAnsi="Times New Roman" w:hint="default"/>
      </w:rPr>
    </w:lvl>
    <w:lvl w:ilvl="6" w:tplc="1B0E3792" w:tentative="1">
      <w:start w:val="1"/>
      <w:numFmt w:val="bullet"/>
      <w:lvlText w:val="•"/>
      <w:lvlJc w:val="left"/>
      <w:pPr>
        <w:tabs>
          <w:tab w:val="num" w:pos="5040"/>
        </w:tabs>
        <w:ind w:left="5040" w:hanging="360"/>
      </w:pPr>
      <w:rPr>
        <w:rFonts w:ascii="Times New Roman" w:hAnsi="Times New Roman" w:hint="default"/>
      </w:rPr>
    </w:lvl>
    <w:lvl w:ilvl="7" w:tplc="630675D2" w:tentative="1">
      <w:start w:val="1"/>
      <w:numFmt w:val="bullet"/>
      <w:lvlText w:val="•"/>
      <w:lvlJc w:val="left"/>
      <w:pPr>
        <w:tabs>
          <w:tab w:val="num" w:pos="5760"/>
        </w:tabs>
        <w:ind w:left="5760" w:hanging="360"/>
      </w:pPr>
      <w:rPr>
        <w:rFonts w:ascii="Times New Roman" w:hAnsi="Times New Roman" w:hint="default"/>
      </w:rPr>
    </w:lvl>
    <w:lvl w:ilvl="8" w:tplc="7F4CFCD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495508B"/>
    <w:multiLevelType w:val="multilevel"/>
    <w:tmpl w:val="050273F0"/>
    <w:lvl w:ilvl="0">
      <w:start w:val="11"/>
      <w:numFmt w:val="decimal"/>
      <w:lvlText w:val="%1"/>
      <w:lvlJc w:val="left"/>
      <w:pPr>
        <w:ind w:left="420" w:hanging="420"/>
      </w:pPr>
      <w:rPr>
        <w:rFonts w:hint="default"/>
      </w:rPr>
    </w:lvl>
    <w:lvl w:ilvl="1">
      <w:start w:val="2"/>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5" w15:restartNumberingAfterBreak="0">
    <w:nsid w:val="44BC1467"/>
    <w:multiLevelType w:val="hybridMultilevel"/>
    <w:tmpl w:val="045CA8E6"/>
    <w:lvl w:ilvl="0" w:tplc="04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6725387"/>
    <w:multiLevelType w:val="multilevel"/>
    <w:tmpl w:val="10E0C3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7" w15:restartNumberingAfterBreak="0">
    <w:nsid w:val="47A13DDE"/>
    <w:multiLevelType w:val="hybridMultilevel"/>
    <w:tmpl w:val="46A6A46A"/>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4AD92BF5"/>
    <w:multiLevelType w:val="hybridMultilevel"/>
    <w:tmpl w:val="BE24F8FE"/>
    <w:lvl w:ilvl="0" w:tplc="DD0EFFCA">
      <w:start w:val="1"/>
      <w:numFmt w:val="bullet"/>
      <w:lvlText w:val="•"/>
      <w:lvlJc w:val="left"/>
      <w:pPr>
        <w:tabs>
          <w:tab w:val="num" w:pos="720"/>
        </w:tabs>
        <w:ind w:left="720" w:hanging="360"/>
      </w:pPr>
      <w:rPr>
        <w:rFonts w:ascii="Times New Roman" w:hAnsi="Times New Roman" w:hint="default"/>
      </w:rPr>
    </w:lvl>
    <w:lvl w:ilvl="1" w:tplc="B05E8B7A" w:tentative="1">
      <w:start w:val="1"/>
      <w:numFmt w:val="bullet"/>
      <w:lvlText w:val="•"/>
      <w:lvlJc w:val="left"/>
      <w:pPr>
        <w:tabs>
          <w:tab w:val="num" w:pos="1440"/>
        </w:tabs>
        <w:ind w:left="1440" w:hanging="360"/>
      </w:pPr>
      <w:rPr>
        <w:rFonts w:ascii="Times New Roman" w:hAnsi="Times New Roman" w:hint="default"/>
      </w:rPr>
    </w:lvl>
    <w:lvl w:ilvl="2" w:tplc="62B63DCA" w:tentative="1">
      <w:start w:val="1"/>
      <w:numFmt w:val="bullet"/>
      <w:lvlText w:val="•"/>
      <w:lvlJc w:val="left"/>
      <w:pPr>
        <w:tabs>
          <w:tab w:val="num" w:pos="2160"/>
        </w:tabs>
        <w:ind w:left="2160" w:hanging="360"/>
      </w:pPr>
      <w:rPr>
        <w:rFonts w:ascii="Times New Roman" w:hAnsi="Times New Roman" w:hint="default"/>
      </w:rPr>
    </w:lvl>
    <w:lvl w:ilvl="3" w:tplc="BCE89E62" w:tentative="1">
      <w:start w:val="1"/>
      <w:numFmt w:val="bullet"/>
      <w:lvlText w:val="•"/>
      <w:lvlJc w:val="left"/>
      <w:pPr>
        <w:tabs>
          <w:tab w:val="num" w:pos="2880"/>
        </w:tabs>
        <w:ind w:left="2880" w:hanging="360"/>
      </w:pPr>
      <w:rPr>
        <w:rFonts w:ascii="Times New Roman" w:hAnsi="Times New Roman" w:hint="default"/>
      </w:rPr>
    </w:lvl>
    <w:lvl w:ilvl="4" w:tplc="9C028A82" w:tentative="1">
      <w:start w:val="1"/>
      <w:numFmt w:val="bullet"/>
      <w:lvlText w:val="•"/>
      <w:lvlJc w:val="left"/>
      <w:pPr>
        <w:tabs>
          <w:tab w:val="num" w:pos="3600"/>
        </w:tabs>
        <w:ind w:left="3600" w:hanging="360"/>
      </w:pPr>
      <w:rPr>
        <w:rFonts w:ascii="Times New Roman" w:hAnsi="Times New Roman" w:hint="default"/>
      </w:rPr>
    </w:lvl>
    <w:lvl w:ilvl="5" w:tplc="06B242CE" w:tentative="1">
      <w:start w:val="1"/>
      <w:numFmt w:val="bullet"/>
      <w:lvlText w:val="•"/>
      <w:lvlJc w:val="left"/>
      <w:pPr>
        <w:tabs>
          <w:tab w:val="num" w:pos="4320"/>
        </w:tabs>
        <w:ind w:left="4320" w:hanging="360"/>
      </w:pPr>
      <w:rPr>
        <w:rFonts w:ascii="Times New Roman" w:hAnsi="Times New Roman" w:hint="default"/>
      </w:rPr>
    </w:lvl>
    <w:lvl w:ilvl="6" w:tplc="30EC1E8E" w:tentative="1">
      <w:start w:val="1"/>
      <w:numFmt w:val="bullet"/>
      <w:lvlText w:val="•"/>
      <w:lvlJc w:val="left"/>
      <w:pPr>
        <w:tabs>
          <w:tab w:val="num" w:pos="5040"/>
        </w:tabs>
        <w:ind w:left="5040" w:hanging="360"/>
      </w:pPr>
      <w:rPr>
        <w:rFonts w:ascii="Times New Roman" w:hAnsi="Times New Roman" w:hint="default"/>
      </w:rPr>
    </w:lvl>
    <w:lvl w:ilvl="7" w:tplc="B4C8E9CA" w:tentative="1">
      <w:start w:val="1"/>
      <w:numFmt w:val="bullet"/>
      <w:lvlText w:val="•"/>
      <w:lvlJc w:val="left"/>
      <w:pPr>
        <w:tabs>
          <w:tab w:val="num" w:pos="5760"/>
        </w:tabs>
        <w:ind w:left="5760" w:hanging="360"/>
      </w:pPr>
      <w:rPr>
        <w:rFonts w:ascii="Times New Roman" w:hAnsi="Times New Roman" w:hint="default"/>
      </w:rPr>
    </w:lvl>
    <w:lvl w:ilvl="8" w:tplc="A2CAA96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E531755"/>
    <w:multiLevelType w:val="multilevel"/>
    <w:tmpl w:val="382A072C"/>
    <w:lvl w:ilvl="0">
      <w:start w:val="1"/>
      <w:numFmt w:val="decimal"/>
      <w:lvlText w:val="%1."/>
      <w:lvlJc w:val="left"/>
      <w:pPr>
        <w:ind w:left="108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58DB0409"/>
    <w:multiLevelType w:val="hybridMultilevel"/>
    <w:tmpl w:val="1B9CAFB2"/>
    <w:lvl w:ilvl="0" w:tplc="1C09000B">
      <w:start w:val="1"/>
      <w:numFmt w:val="bullet"/>
      <w:lvlText w:val=""/>
      <w:lvlJc w:val="left"/>
      <w:pPr>
        <w:ind w:left="1473" w:hanging="360"/>
      </w:pPr>
      <w:rPr>
        <w:rFonts w:ascii="Wingdings" w:hAnsi="Wingdings" w:hint="default"/>
      </w:rPr>
    </w:lvl>
    <w:lvl w:ilvl="1" w:tplc="1C09000B">
      <w:start w:val="1"/>
      <w:numFmt w:val="bullet"/>
      <w:lvlText w:val=""/>
      <w:lvlJc w:val="left"/>
      <w:pPr>
        <w:ind w:left="2193" w:hanging="360"/>
      </w:pPr>
      <w:rPr>
        <w:rFonts w:ascii="Wingdings" w:hAnsi="Wingdings" w:hint="default"/>
      </w:rPr>
    </w:lvl>
    <w:lvl w:ilvl="2" w:tplc="1C090005">
      <w:start w:val="1"/>
      <w:numFmt w:val="bullet"/>
      <w:lvlText w:val=""/>
      <w:lvlJc w:val="left"/>
      <w:pPr>
        <w:ind w:left="2913" w:hanging="360"/>
      </w:pPr>
      <w:rPr>
        <w:rFonts w:ascii="Wingdings" w:hAnsi="Wingdings" w:hint="default"/>
      </w:rPr>
    </w:lvl>
    <w:lvl w:ilvl="3" w:tplc="1C090001" w:tentative="1">
      <w:start w:val="1"/>
      <w:numFmt w:val="bullet"/>
      <w:lvlText w:val=""/>
      <w:lvlJc w:val="left"/>
      <w:pPr>
        <w:ind w:left="3633" w:hanging="360"/>
      </w:pPr>
      <w:rPr>
        <w:rFonts w:ascii="Symbol" w:hAnsi="Symbol" w:hint="default"/>
      </w:rPr>
    </w:lvl>
    <w:lvl w:ilvl="4" w:tplc="1C090003" w:tentative="1">
      <w:start w:val="1"/>
      <w:numFmt w:val="bullet"/>
      <w:lvlText w:val="o"/>
      <w:lvlJc w:val="left"/>
      <w:pPr>
        <w:ind w:left="4353" w:hanging="360"/>
      </w:pPr>
      <w:rPr>
        <w:rFonts w:ascii="Courier New" w:hAnsi="Courier New" w:cs="Courier New" w:hint="default"/>
      </w:rPr>
    </w:lvl>
    <w:lvl w:ilvl="5" w:tplc="1C090005" w:tentative="1">
      <w:start w:val="1"/>
      <w:numFmt w:val="bullet"/>
      <w:lvlText w:val=""/>
      <w:lvlJc w:val="left"/>
      <w:pPr>
        <w:ind w:left="5073" w:hanging="360"/>
      </w:pPr>
      <w:rPr>
        <w:rFonts w:ascii="Wingdings" w:hAnsi="Wingdings" w:hint="default"/>
      </w:rPr>
    </w:lvl>
    <w:lvl w:ilvl="6" w:tplc="1C090001" w:tentative="1">
      <w:start w:val="1"/>
      <w:numFmt w:val="bullet"/>
      <w:lvlText w:val=""/>
      <w:lvlJc w:val="left"/>
      <w:pPr>
        <w:ind w:left="5793" w:hanging="360"/>
      </w:pPr>
      <w:rPr>
        <w:rFonts w:ascii="Symbol" w:hAnsi="Symbol" w:hint="default"/>
      </w:rPr>
    </w:lvl>
    <w:lvl w:ilvl="7" w:tplc="1C090003" w:tentative="1">
      <w:start w:val="1"/>
      <w:numFmt w:val="bullet"/>
      <w:lvlText w:val="o"/>
      <w:lvlJc w:val="left"/>
      <w:pPr>
        <w:ind w:left="6513" w:hanging="360"/>
      </w:pPr>
      <w:rPr>
        <w:rFonts w:ascii="Courier New" w:hAnsi="Courier New" w:cs="Courier New" w:hint="default"/>
      </w:rPr>
    </w:lvl>
    <w:lvl w:ilvl="8" w:tplc="1C090005" w:tentative="1">
      <w:start w:val="1"/>
      <w:numFmt w:val="bullet"/>
      <w:lvlText w:val=""/>
      <w:lvlJc w:val="left"/>
      <w:pPr>
        <w:ind w:left="7233" w:hanging="360"/>
      </w:pPr>
      <w:rPr>
        <w:rFonts w:ascii="Wingdings" w:hAnsi="Wingdings" w:hint="default"/>
      </w:rPr>
    </w:lvl>
  </w:abstractNum>
  <w:abstractNum w:abstractNumId="31" w15:restartNumberingAfterBreak="0">
    <w:nsid w:val="5B46663D"/>
    <w:multiLevelType w:val="hybridMultilevel"/>
    <w:tmpl w:val="07F46960"/>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2" w15:restartNumberingAfterBreak="0">
    <w:nsid w:val="60090F1C"/>
    <w:multiLevelType w:val="hybridMultilevel"/>
    <w:tmpl w:val="8B2241E6"/>
    <w:lvl w:ilvl="0" w:tplc="641ACC00">
      <w:start w:val="1"/>
      <w:numFmt w:val="bullet"/>
      <w:lvlText w:val="–"/>
      <w:lvlJc w:val="left"/>
      <w:pPr>
        <w:tabs>
          <w:tab w:val="num" w:pos="720"/>
        </w:tabs>
        <w:ind w:left="720" w:hanging="360"/>
      </w:pPr>
      <w:rPr>
        <w:rFonts w:ascii="Times New Roman" w:hAnsi="Times New Roman" w:hint="default"/>
      </w:rPr>
    </w:lvl>
    <w:lvl w:ilvl="1" w:tplc="AF68A88C">
      <w:start w:val="1"/>
      <w:numFmt w:val="bullet"/>
      <w:lvlText w:val="–"/>
      <w:lvlJc w:val="left"/>
      <w:pPr>
        <w:tabs>
          <w:tab w:val="num" w:pos="1440"/>
        </w:tabs>
        <w:ind w:left="1440" w:hanging="360"/>
      </w:pPr>
      <w:rPr>
        <w:rFonts w:ascii="Times New Roman" w:hAnsi="Times New Roman" w:hint="default"/>
      </w:rPr>
    </w:lvl>
    <w:lvl w:ilvl="2" w:tplc="A3DE1EEC" w:tentative="1">
      <w:start w:val="1"/>
      <w:numFmt w:val="bullet"/>
      <w:lvlText w:val="–"/>
      <w:lvlJc w:val="left"/>
      <w:pPr>
        <w:tabs>
          <w:tab w:val="num" w:pos="2160"/>
        </w:tabs>
        <w:ind w:left="2160" w:hanging="360"/>
      </w:pPr>
      <w:rPr>
        <w:rFonts w:ascii="Times New Roman" w:hAnsi="Times New Roman" w:hint="default"/>
      </w:rPr>
    </w:lvl>
    <w:lvl w:ilvl="3" w:tplc="9786868C" w:tentative="1">
      <w:start w:val="1"/>
      <w:numFmt w:val="bullet"/>
      <w:lvlText w:val="–"/>
      <w:lvlJc w:val="left"/>
      <w:pPr>
        <w:tabs>
          <w:tab w:val="num" w:pos="2880"/>
        </w:tabs>
        <w:ind w:left="2880" w:hanging="360"/>
      </w:pPr>
      <w:rPr>
        <w:rFonts w:ascii="Times New Roman" w:hAnsi="Times New Roman" w:hint="default"/>
      </w:rPr>
    </w:lvl>
    <w:lvl w:ilvl="4" w:tplc="377AA50A" w:tentative="1">
      <w:start w:val="1"/>
      <w:numFmt w:val="bullet"/>
      <w:lvlText w:val="–"/>
      <w:lvlJc w:val="left"/>
      <w:pPr>
        <w:tabs>
          <w:tab w:val="num" w:pos="3600"/>
        </w:tabs>
        <w:ind w:left="3600" w:hanging="360"/>
      </w:pPr>
      <w:rPr>
        <w:rFonts w:ascii="Times New Roman" w:hAnsi="Times New Roman" w:hint="default"/>
      </w:rPr>
    </w:lvl>
    <w:lvl w:ilvl="5" w:tplc="0EA8BF92" w:tentative="1">
      <w:start w:val="1"/>
      <w:numFmt w:val="bullet"/>
      <w:lvlText w:val="–"/>
      <w:lvlJc w:val="left"/>
      <w:pPr>
        <w:tabs>
          <w:tab w:val="num" w:pos="4320"/>
        </w:tabs>
        <w:ind w:left="4320" w:hanging="360"/>
      </w:pPr>
      <w:rPr>
        <w:rFonts w:ascii="Times New Roman" w:hAnsi="Times New Roman" w:hint="default"/>
      </w:rPr>
    </w:lvl>
    <w:lvl w:ilvl="6" w:tplc="BA78210E" w:tentative="1">
      <w:start w:val="1"/>
      <w:numFmt w:val="bullet"/>
      <w:lvlText w:val="–"/>
      <w:lvlJc w:val="left"/>
      <w:pPr>
        <w:tabs>
          <w:tab w:val="num" w:pos="5040"/>
        </w:tabs>
        <w:ind w:left="5040" w:hanging="360"/>
      </w:pPr>
      <w:rPr>
        <w:rFonts w:ascii="Times New Roman" w:hAnsi="Times New Roman" w:hint="default"/>
      </w:rPr>
    </w:lvl>
    <w:lvl w:ilvl="7" w:tplc="6C32201E" w:tentative="1">
      <w:start w:val="1"/>
      <w:numFmt w:val="bullet"/>
      <w:lvlText w:val="–"/>
      <w:lvlJc w:val="left"/>
      <w:pPr>
        <w:tabs>
          <w:tab w:val="num" w:pos="5760"/>
        </w:tabs>
        <w:ind w:left="5760" w:hanging="360"/>
      </w:pPr>
      <w:rPr>
        <w:rFonts w:ascii="Times New Roman" w:hAnsi="Times New Roman" w:hint="default"/>
      </w:rPr>
    </w:lvl>
    <w:lvl w:ilvl="8" w:tplc="859AE1D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059043B"/>
    <w:multiLevelType w:val="hybridMultilevel"/>
    <w:tmpl w:val="FA3467C2"/>
    <w:lvl w:ilvl="0" w:tplc="DA301D38">
      <w:start w:val="1"/>
      <w:numFmt w:val="bullet"/>
      <w:lvlText w:val="–"/>
      <w:lvlJc w:val="left"/>
      <w:pPr>
        <w:tabs>
          <w:tab w:val="num" w:pos="720"/>
        </w:tabs>
        <w:ind w:left="720" w:hanging="360"/>
      </w:pPr>
      <w:rPr>
        <w:rFonts w:ascii="Arial" w:hAnsi="Arial" w:hint="default"/>
      </w:rPr>
    </w:lvl>
    <w:lvl w:ilvl="1" w:tplc="39107F06">
      <w:start w:val="1"/>
      <w:numFmt w:val="bullet"/>
      <w:lvlText w:val="–"/>
      <w:lvlJc w:val="left"/>
      <w:pPr>
        <w:tabs>
          <w:tab w:val="num" w:pos="1440"/>
        </w:tabs>
        <w:ind w:left="1440" w:hanging="360"/>
      </w:pPr>
      <w:rPr>
        <w:rFonts w:ascii="Arial" w:hAnsi="Arial" w:hint="default"/>
      </w:rPr>
    </w:lvl>
    <w:lvl w:ilvl="2" w:tplc="788C1F48" w:tentative="1">
      <w:start w:val="1"/>
      <w:numFmt w:val="bullet"/>
      <w:lvlText w:val="–"/>
      <w:lvlJc w:val="left"/>
      <w:pPr>
        <w:tabs>
          <w:tab w:val="num" w:pos="2160"/>
        </w:tabs>
        <w:ind w:left="2160" w:hanging="360"/>
      </w:pPr>
      <w:rPr>
        <w:rFonts w:ascii="Arial" w:hAnsi="Arial" w:hint="default"/>
      </w:rPr>
    </w:lvl>
    <w:lvl w:ilvl="3" w:tplc="8668C324" w:tentative="1">
      <w:start w:val="1"/>
      <w:numFmt w:val="bullet"/>
      <w:lvlText w:val="–"/>
      <w:lvlJc w:val="left"/>
      <w:pPr>
        <w:tabs>
          <w:tab w:val="num" w:pos="2880"/>
        </w:tabs>
        <w:ind w:left="2880" w:hanging="360"/>
      </w:pPr>
      <w:rPr>
        <w:rFonts w:ascii="Arial" w:hAnsi="Arial" w:hint="default"/>
      </w:rPr>
    </w:lvl>
    <w:lvl w:ilvl="4" w:tplc="E7F0860A" w:tentative="1">
      <w:start w:val="1"/>
      <w:numFmt w:val="bullet"/>
      <w:lvlText w:val="–"/>
      <w:lvlJc w:val="left"/>
      <w:pPr>
        <w:tabs>
          <w:tab w:val="num" w:pos="3600"/>
        </w:tabs>
        <w:ind w:left="3600" w:hanging="360"/>
      </w:pPr>
      <w:rPr>
        <w:rFonts w:ascii="Arial" w:hAnsi="Arial" w:hint="default"/>
      </w:rPr>
    </w:lvl>
    <w:lvl w:ilvl="5" w:tplc="D43C9206" w:tentative="1">
      <w:start w:val="1"/>
      <w:numFmt w:val="bullet"/>
      <w:lvlText w:val="–"/>
      <w:lvlJc w:val="left"/>
      <w:pPr>
        <w:tabs>
          <w:tab w:val="num" w:pos="4320"/>
        </w:tabs>
        <w:ind w:left="4320" w:hanging="360"/>
      </w:pPr>
      <w:rPr>
        <w:rFonts w:ascii="Arial" w:hAnsi="Arial" w:hint="default"/>
      </w:rPr>
    </w:lvl>
    <w:lvl w:ilvl="6" w:tplc="86642CAC" w:tentative="1">
      <w:start w:val="1"/>
      <w:numFmt w:val="bullet"/>
      <w:lvlText w:val="–"/>
      <w:lvlJc w:val="left"/>
      <w:pPr>
        <w:tabs>
          <w:tab w:val="num" w:pos="5040"/>
        </w:tabs>
        <w:ind w:left="5040" w:hanging="360"/>
      </w:pPr>
      <w:rPr>
        <w:rFonts w:ascii="Arial" w:hAnsi="Arial" w:hint="default"/>
      </w:rPr>
    </w:lvl>
    <w:lvl w:ilvl="7" w:tplc="1B5E2BE8" w:tentative="1">
      <w:start w:val="1"/>
      <w:numFmt w:val="bullet"/>
      <w:lvlText w:val="–"/>
      <w:lvlJc w:val="left"/>
      <w:pPr>
        <w:tabs>
          <w:tab w:val="num" w:pos="5760"/>
        </w:tabs>
        <w:ind w:left="5760" w:hanging="360"/>
      </w:pPr>
      <w:rPr>
        <w:rFonts w:ascii="Arial" w:hAnsi="Arial" w:hint="default"/>
      </w:rPr>
    </w:lvl>
    <w:lvl w:ilvl="8" w:tplc="C7F207A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07108E4"/>
    <w:multiLevelType w:val="hybridMultilevel"/>
    <w:tmpl w:val="6276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744568"/>
    <w:multiLevelType w:val="hybridMultilevel"/>
    <w:tmpl w:val="0CB60F9A"/>
    <w:lvl w:ilvl="0" w:tplc="E3DC111C">
      <w:start w:val="1"/>
      <w:numFmt w:val="bullet"/>
      <w:lvlText w:val=""/>
      <w:lvlJc w:val="left"/>
      <w:pPr>
        <w:ind w:left="1080" w:hanging="360"/>
      </w:pPr>
      <w:rPr>
        <w:rFonts w:ascii="Wingdings" w:hAnsi="Wingdings" w:hint="default"/>
        <w:color w:val="auto"/>
        <w:sz w:val="22"/>
        <w:szCs w:val="22"/>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6" w15:restartNumberingAfterBreak="0">
    <w:nsid w:val="647E05C2"/>
    <w:multiLevelType w:val="hybridMultilevel"/>
    <w:tmpl w:val="24A0882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7" w15:restartNumberingAfterBreak="0">
    <w:nsid w:val="694A1786"/>
    <w:multiLevelType w:val="hybridMultilevel"/>
    <w:tmpl w:val="D100863A"/>
    <w:lvl w:ilvl="0" w:tplc="0409000B">
      <w:start w:val="1"/>
      <w:numFmt w:val="bullet"/>
      <w:lvlText w:val=""/>
      <w:lvlJc w:val="left"/>
      <w:pPr>
        <w:ind w:left="1080" w:hanging="360"/>
      </w:pPr>
      <w:rPr>
        <w:rFonts w:ascii="Wingdings" w:hAnsi="Wingdings" w:hint="default"/>
      </w:rPr>
    </w:lvl>
    <w:lvl w:ilvl="1" w:tplc="1C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D466BDE"/>
    <w:multiLevelType w:val="multilevel"/>
    <w:tmpl w:val="60E6E8B0"/>
    <w:lvl w:ilvl="0">
      <w:start w:val="1"/>
      <w:numFmt w:val="bullet"/>
      <w:lvlText w:val=""/>
      <w:lvlJc w:val="left"/>
      <w:pPr>
        <w:tabs>
          <w:tab w:val="num" w:pos="431"/>
        </w:tabs>
        <w:ind w:left="431" w:hanging="431"/>
      </w:pPr>
      <w:rPr>
        <w:rFonts w:ascii="Symbol" w:hAnsi="Symbol" w:hint="default"/>
        <w:sz w:val="22"/>
        <w:szCs w:val="22"/>
      </w:rPr>
    </w:lvl>
    <w:lvl w:ilvl="1">
      <w:start w:val="1"/>
      <w:numFmt w:val="decimal"/>
      <w:pStyle w:val="Heading2"/>
      <w:lvlText w:val="%1.%2"/>
      <w:lvlJc w:val="left"/>
      <w:pPr>
        <w:tabs>
          <w:tab w:val="num" w:pos="431"/>
        </w:tabs>
        <w:ind w:left="431" w:hanging="431"/>
      </w:pPr>
      <w:rPr>
        <w:rFonts w:hint="default"/>
      </w:rPr>
    </w:lvl>
    <w:lvl w:ilvl="2">
      <w:start w:val="1"/>
      <w:numFmt w:val="decimal"/>
      <w:pStyle w:val="Heading3"/>
      <w:lvlText w:val="%1.%2.%3"/>
      <w:lvlJc w:val="left"/>
      <w:pPr>
        <w:tabs>
          <w:tab w:val="num" w:pos="1582"/>
        </w:tabs>
        <w:ind w:left="1032" w:hanging="170"/>
      </w:pPr>
      <w:rPr>
        <w:rFonts w:hint="default"/>
      </w:rPr>
    </w:lvl>
    <w:lvl w:ilvl="3">
      <w:start w:val="1"/>
      <w:numFmt w:val="decimal"/>
      <w:pStyle w:val="Heading4"/>
      <w:lvlText w:val="%1.%2.%3.%4"/>
      <w:lvlJc w:val="left"/>
      <w:pPr>
        <w:tabs>
          <w:tab w:val="num" w:pos="1726"/>
        </w:tabs>
        <w:ind w:left="1726" w:hanging="864"/>
      </w:pPr>
      <w:rPr>
        <w:rFonts w:hint="default"/>
      </w:rPr>
    </w:lvl>
    <w:lvl w:ilvl="4">
      <w:start w:val="1"/>
      <w:numFmt w:val="decimal"/>
      <w:pStyle w:val="Heading5"/>
      <w:lvlText w:val="%1.%2.%3.%4.%5"/>
      <w:lvlJc w:val="left"/>
      <w:pPr>
        <w:tabs>
          <w:tab w:val="num" w:pos="1870"/>
        </w:tabs>
        <w:ind w:left="1870" w:hanging="1008"/>
      </w:pPr>
      <w:rPr>
        <w:rFonts w:hint="default"/>
      </w:rPr>
    </w:lvl>
    <w:lvl w:ilvl="5">
      <w:start w:val="1"/>
      <w:numFmt w:val="decimal"/>
      <w:pStyle w:val="Heading6"/>
      <w:lvlText w:val="%1.%2.%3.%4.%5.%6"/>
      <w:lvlJc w:val="left"/>
      <w:pPr>
        <w:tabs>
          <w:tab w:val="num" w:pos="2014"/>
        </w:tabs>
        <w:ind w:left="2014" w:hanging="1152"/>
      </w:pPr>
      <w:rPr>
        <w:rFonts w:hint="default"/>
      </w:rPr>
    </w:lvl>
    <w:lvl w:ilvl="6">
      <w:start w:val="1"/>
      <w:numFmt w:val="decimal"/>
      <w:pStyle w:val="Heading7"/>
      <w:lvlText w:val="%1.%2.%3.%4.%5.%6.%7"/>
      <w:lvlJc w:val="left"/>
      <w:pPr>
        <w:tabs>
          <w:tab w:val="num" w:pos="2158"/>
        </w:tabs>
        <w:ind w:left="2158" w:hanging="1296"/>
      </w:pPr>
      <w:rPr>
        <w:rFonts w:hint="default"/>
      </w:rPr>
    </w:lvl>
    <w:lvl w:ilvl="7">
      <w:start w:val="1"/>
      <w:numFmt w:val="decimal"/>
      <w:pStyle w:val="Heading8"/>
      <w:lvlText w:val="%1.%2.%3.%4.%5.%6.%7.%8"/>
      <w:lvlJc w:val="left"/>
      <w:pPr>
        <w:tabs>
          <w:tab w:val="num" w:pos="2302"/>
        </w:tabs>
        <w:ind w:left="2302" w:hanging="1440"/>
      </w:pPr>
      <w:rPr>
        <w:rFonts w:hint="default"/>
      </w:rPr>
    </w:lvl>
    <w:lvl w:ilvl="8">
      <w:start w:val="1"/>
      <w:numFmt w:val="decimal"/>
      <w:pStyle w:val="Heading9"/>
      <w:lvlText w:val="%1.%2.%3.%4.%5.%6.%7.%8.%9"/>
      <w:lvlJc w:val="left"/>
      <w:pPr>
        <w:tabs>
          <w:tab w:val="num" w:pos="2446"/>
        </w:tabs>
        <w:ind w:left="2446" w:hanging="1584"/>
      </w:pPr>
      <w:rPr>
        <w:rFonts w:hint="default"/>
      </w:rPr>
    </w:lvl>
  </w:abstractNum>
  <w:abstractNum w:abstractNumId="39" w15:restartNumberingAfterBreak="0">
    <w:nsid w:val="6E9A5C1F"/>
    <w:multiLevelType w:val="multilevel"/>
    <w:tmpl w:val="22EC210C"/>
    <w:lvl w:ilvl="0">
      <w:start w:val="1"/>
      <w:numFmt w:val="decimal"/>
      <w:lvlText w:val="%1"/>
      <w:lvlJc w:val="left"/>
      <w:pPr>
        <w:ind w:left="780" w:hanging="360"/>
      </w:pPr>
      <w:rPr>
        <w:rFonts w:hint="default"/>
      </w:rPr>
    </w:lvl>
    <w:lvl w:ilvl="1">
      <w:start w:val="1"/>
      <w:numFmt w:val="decimal"/>
      <w:isLgl/>
      <w:lvlText w:val="%1.%2"/>
      <w:lvlJc w:val="left"/>
      <w:pPr>
        <w:ind w:left="1260" w:hanging="4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580" w:hanging="1800"/>
      </w:pPr>
      <w:rPr>
        <w:rFonts w:hint="default"/>
      </w:rPr>
    </w:lvl>
  </w:abstractNum>
  <w:abstractNum w:abstractNumId="40" w15:restartNumberingAfterBreak="0">
    <w:nsid w:val="6EED485A"/>
    <w:multiLevelType w:val="multilevel"/>
    <w:tmpl w:val="A04E53A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1D41AAF"/>
    <w:multiLevelType w:val="hybridMultilevel"/>
    <w:tmpl w:val="44A00404"/>
    <w:lvl w:ilvl="0" w:tplc="1C09000B">
      <w:start w:val="1"/>
      <w:numFmt w:val="bullet"/>
      <w:lvlText w:val=""/>
      <w:lvlJc w:val="left"/>
      <w:pPr>
        <w:ind w:left="720" w:hanging="360"/>
      </w:pPr>
      <w:rPr>
        <w:rFonts w:ascii="Wingdings" w:hAnsi="Wingdings" w:hint="default"/>
      </w:rPr>
    </w:lvl>
    <w:lvl w:ilvl="1" w:tplc="1C09000B">
      <w:start w:val="1"/>
      <w:numFmt w:val="bullet"/>
      <w:lvlText w:val=""/>
      <w:lvlJc w:val="left"/>
      <w:pPr>
        <w:ind w:left="1440" w:hanging="360"/>
      </w:pPr>
      <w:rPr>
        <w:rFonts w:ascii="Wingdings" w:hAnsi="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C44083D"/>
    <w:multiLevelType w:val="multilevel"/>
    <w:tmpl w:val="7E4CA174"/>
    <w:lvl w:ilvl="0">
      <w:start w:val="1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3" w15:restartNumberingAfterBreak="0">
    <w:nsid w:val="7D364DA3"/>
    <w:multiLevelType w:val="hybridMultilevel"/>
    <w:tmpl w:val="C50E52E0"/>
    <w:lvl w:ilvl="0" w:tplc="743825E4">
      <w:start w:val="1"/>
      <w:numFmt w:val="bullet"/>
      <w:lvlText w:val="–"/>
      <w:lvlJc w:val="left"/>
      <w:pPr>
        <w:tabs>
          <w:tab w:val="num" w:pos="720"/>
        </w:tabs>
        <w:ind w:left="720" w:hanging="360"/>
      </w:pPr>
      <w:rPr>
        <w:rFonts w:ascii="Times New Roman" w:hAnsi="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91362ADA" w:tentative="1">
      <w:start w:val="1"/>
      <w:numFmt w:val="bullet"/>
      <w:lvlText w:val="–"/>
      <w:lvlJc w:val="left"/>
      <w:pPr>
        <w:tabs>
          <w:tab w:val="num" w:pos="2160"/>
        </w:tabs>
        <w:ind w:left="2160" w:hanging="360"/>
      </w:pPr>
      <w:rPr>
        <w:rFonts w:ascii="Times New Roman" w:hAnsi="Times New Roman" w:hint="default"/>
      </w:rPr>
    </w:lvl>
    <w:lvl w:ilvl="3" w:tplc="4EE075BA" w:tentative="1">
      <w:start w:val="1"/>
      <w:numFmt w:val="bullet"/>
      <w:lvlText w:val="–"/>
      <w:lvlJc w:val="left"/>
      <w:pPr>
        <w:tabs>
          <w:tab w:val="num" w:pos="2880"/>
        </w:tabs>
        <w:ind w:left="2880" w:hanging="360"/>
      </w:pPr>
      <w:rPr>
        <w:rFonts w:ascii="Times New Roman" w:hAnsi="Times New Roman" w:hint="default"/>
      </w:rPr>
    </w:lvl>
    <w:lvl w:ilvl="4" w:tplc="BF00E4DA" w:tentative="1">
      <w:start w:val="1"/>
      <w:numFmt w:val="bullet"/>
      <w:lvlText w:val="–"/>
      <w:lvlJc w:val="left"/>
      <w:pPr>
        <w:tabs>
          <w:tab w:val="num" w:pos="3600"/>
        </w:tabs>
        <w:ind w:left="3600" w:hanging="360"/>
      </w:pPr>
      <w:rPr>
        <w:rFonts w:ascii="Times New Roman" w:hAnsi="Times New Roman" w:hint="default"/>
      </w:rPr>
    </w:lvl>
    <w:lvl w:ilvl="5" w:tplc="2DD0E306" w:tentative="1">
      <w:start w:val="1"/>
      <w:numFmt w:val="bullet"/>
      <w:lvlText w:val="–"/>
      <w:lvlJc w:val="left"/>
      <w:pPr>
        <w:tabs>
          <w:tab w:val="num" w:pos="4320"/>
        </w:tabs>
        <w:ind w:left="4320" w:hanging="360"/>
      </w:pPr>
      <w:rPr>
        <w:rFonts w:ascii="Times New Roman" w:hAnsi="Times New Roman" w:hint="default"/>
      </w:rPr>
    </w:lvl>
    <w:lvl w:ilvl="6" w:tplc="067861FC" w:tentative="1">
      <w:start w:val="1"/>
      <w:numFmt w:val="bullet"/>
      <w:lvlText w:val="–"/>
      <w:lvlJc w:val="left"/>
      <w:pPr>
        <w:tabs>
          <w:tab w:val="num" w:pos="5040"/>
        </w:tabs>
        <w:ind w:left="5040" w:hanging="360"/>
      </w:pPr>
      <w:rPr>
        <w:rFonts w:ascii="Times New Roman" w:hAnsi="Times New Roman" w:hint="default"/>
      </w:rPr>
    </w:lvl>
    <w:lvl w:ilvl="7" w:tplc="6598EEC4" w:tentative="1">
      <w:start w:val="1"/>
      <w:numFmt w:val="bullet"/>
      <w:lvlText w:val="–"/>
      <w:lvlJc w:val="left"/>
      <w:pPr>
        <w:tabs>
          <w:tab w:val="num" w:pos="5760"/>
        </w:tabs>
        <w:ind w:left="5760" w:hanging="360"/>
      </w:pPr>
      <w:rPr>
        <w:rFonts w:ascii="Times New Roman" w:hAnsi="Times New Roman" w:hint="default"/>
      </w:rPr>
    </w:lvl>
    <w:lvl w:ilvl="8" w:tplc="74903248"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F984744"/>
    <w:multiLevelType w:val="hybridMultilevel"/>
    <w:tmpl w:val="ED128F2A"/>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7"/>
  </w:num>
  <w:num w:numId="3">
    <w:abstractNumId w:val="40"/>
  </w:num>
  <w:num w:numId="4">
    <w:abstractNumId w:val="31"/>
  </w:num>
  <w:num w:numId="5">
    <w:abstractNumId w:val="10"/>
  </w:num>
  <w:num w:numId="6">
    <w:abstractNumId w:val="35"/>
  </w:num>
  <w:num w:numId="7">
    <w:abstractNumId w:val="25"/>
  </w:num>
  <w:num w:numId="8">
    <w:abstractNumId w:val="43"/>
  </w:num>
  <w:num w:numId="9">
    <w:abstractNumId w:val="18"/>
  </w:num>
  <w:num w:numId="10">
    <w:abstractNumId w:val="21"/>
  </w:num>
  <w:num w:numId="11">
    <w:abstractNumId w:val="24"/>
  </w:num>
  <w:num w:numId="12">
    <w:abstractNumId w:val="7"/>
  </w:num>
  <w:num w:numId="13">
    <w:abstractNumId w:val="2"/>
  </w:num>
  <w:num w:numId="14">
    <w:abstractNumId w:val="0"/>
  </w:num>
  <w:num w:numId="15">
    <w:abstractNumId w:val="8"/>
  </w:num>
  <w:num w:numId="16">
    <w:abstractNumId w:val="16"/>
  </w:num>
  <w:num w:numId="17">
    <w:abstractNumId w:val="6"/>
  </w:num>
  <w:num w:numId="18">
    <w:abstractNumId w:val="42"/>
  </w:num>
  <w:num w:numId="19">
    <w:abstractNumId w:val="39"/>
  </w:num>
  <w:num w:numId="20">
    <w:abstractNumId w:val="28"/>
  </w:num>
  <w:num w:numId="21">
    <w:abstractNumId w:val="15"/>
  </w:num>
  <w:num w:numId="22">
    <w:abstractNumId w:val="3"/>
  </w:num>
  <w:num w:numId="23">
    <w:abstractNumId w:val="11"/>
  </w:num>
  <w:num w:numId="24">
    <w:abstractNumId w:val="33"/>
  </w:num>
  <w:num w:numId="25">
    <w:abstractNumId w:val="12"/>
  </w:num>
  <w:num w:numId="26">
    <w:abstractNumId w:val="30"/>
  </w:num>
  <w:num w:numId="27">
    <w:abstractNumId w:val="32"/>
  </w:num>
  <w:num w:numId="28">
    <w:abstractNumId w:val="17"/>
  </w:num>
  <w:num w:numId="29">
    <w:abstractNumId w:val="41"/>
  </w:num>
  <w:num w:numId="30">
    <w:abstractNumId w:val="14"/>
  </w:num>
  <w:num w:numId="31">
    <w:abstractNumId w:val="1"/>
  </w:num>
  <w:num w:numId="32">
    <w:abstractNumId w:val="9"/>
  </w:num>
  <w:num w:numId="33">
    <w:abstractNumId w:val="26"/>
  </w:num>
  <w:num w:numId="34">
    <w:abstractNumId w:val="23"/>
  </w:num>
  <w:num w:numId="35">
    <w:abstractNumId w:val="5"/>
  </w:num>
  <w:num w:numId="36">
    <w:abstractNumId w:val="27"/>
  </w:num>
  <w:num w:numId="37">
    <w:abstractNumId w:val="13"/>
  </w:num>
  <w:num w:numId="38">
    <w:abstractNumId w:val="22"/>
  </w:num>
  <w:num w:numId="39">
    <w:abstractNumId w:val="36"/>
  </w:num>
  <w:num w:numId="40">
    <w:abstractNumId w:val="4"/>
  </w:num>
  <w:num w:numId="41">
    <w:abstractNumId w:val="29"/>
  </w:num>
  <w:num w:numId="42">
    <w:abstractNumId w:val="44"/>
  </w:num>
  <w:num w:numId="43">
    <w:abstractNumId w:val="34"/>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721"/>
    <w:rsid w:val="000020DB"/>
    <w:rsid w:val="000025FA"/>
    <w:rsid w:val="000044D9"/>
    <w:rsid w:val="0000585F"/>
    <w:rsid w:val="00007066"/>
    <w:rsid w:val="00007072"/>
    <w:rsid w:val="00010544"/>
    <w:rsid w:val="00011E3A"/>
    <w:rsid w:val="00012BC8"/>
    <w:rsid w:val="00012E20"/>
    <w:rsid w:val="00013231"/>
    <w:rsid w:val="000138F9"/>
    <w:rsid w:val="000146A4"/>
    <w:rsid w:val="00017096"/>
    <w:rsid w:val="0002296B"/>
    <w:rsid w:val="00023BE5"/>
    <w:rsid w:val="00024433"/>
    <w:rsid w:val="00025B68"/>
    <w:rsid w:val="000301C7"/>
    <w:rsid w:val="00030E68"/>
    <w:rsid w:val="000376D0"/>
    <w:rsid w:val="00041D10"/>
    <w:rsid w:val="00041EAD"/>
    <w:rsid w:val="00042981"/>
    <w:rsid w:val="0004535B"/>
    <w:rsid w:val="000467BC"/>
    <w:rsid w:val="00052D9B"/>
    <w:rsid w:val="00061AA1"/>
    <w:rsid w:val="00061AC6"/>
    <w:rsid w:val="000639C6"/>
    <w:rsid w:val="0006425F"/>
    <w:rsid w:val="00064C76"/>
    <w:rsid w:val="000672D3"/>
    <w:rsid w:val="00070A2C"/>
    <w:rsid w:val="00071A41"/>
    <w:rsid w:val="00072E25"/>
    <w:rsid w:val="000762F3"/>
    <w:rsid w:val="00076D36"/>
    <w:rsid w:val="00077F6D"/>
    <w:rsid w:val="00082906"/>
    <w:rsid w:val="00082D3A"/>
    <w:rsid w:val="00085284"/>
    <w:rsid w:val="000878BA"/>
    <w:rsid w:val="00087E3A"/>
    <w:rsid w:val="00090CA3"/>
    <w:rsid w:val="000951E6"/>
    <w:rsid w:val="00095EE3"/>
    <w:rsid w:val="00095F05"/>
    <w:rsid w:val="0009637D"/>
    <w:rsid w:val="000A0F52"/>
    <w:rsid w:val="000A3DCC"/>
    <w:rsid w:val="000A7A68"/>
    <w:rsid w:val="000A7E15"/>
    <w:rsid w:val="000B30EE"/>
    <w:rsid w:val="000B3FDB"/>
    <w:rsid w:val="000B63DA"/>
    <w:rsid w:val="000B6554"/>
    <w:rsid w:val="000C14CB"/>
    <w:rsid w:val="000C1833"/>
    <w:rsid w:val="000C2497"/>
    <w:rsid w:val="000C5ED2"/>
    <w:rsid w:val="000D03A7"/>
    <w:rsid w:val="000D135D"/>
    <w:rsid w:val="000D3096"/>
    <w:rsid w:val="000D37FE"/>
    <w:rsid w:val="000D3BB6"/>
    <w:rsid w:val="000D497E"/>
    <w:rsid w:val="000D5830"/>
    <w:rsid w:val="000D721D"/>
    <w:rsid w:val="000E0596"/>
    <w:rsid w:val="000E3951"/>
    <w:rsid w:val="000E3C47"/>
    <w:rsid w:val="000E687F"/>
    <w:rsid w:val="000F1902"/>
    <w:rsid w:val="000F4B8F"/>
    <w:rsid w:val="00100165"/>
    <w:rsid w:val="00103E44"/>
    <w:rsid w:val="00104DCE"/>
    <w:rsid w:val="0010655F"/>
    <w:rsid w:val="001065F3"/>
    <w:rsid w:val="00110429"/>
    <w:rsid w:val="001124EB"/>
    <w:rsid w:val="001133D5"/>
    <w:rsid w:val="00113AA7"/>
    <w:rsid w:val="001148DD"/>
    <w:rsid w:val="00115470"/>
    <w:rsid w:val="0011556E"/>
    <w:rsid w:val="00115DE2"/>
    <w:rsid w:val="0011691F"/>
    <w:rsid w:val="0012084D"/>
    <w:rsid w:val="001211D0"/>
    <w:rsid w:val="00121F6C"/>
    <w:rsid w:val="00125EC0"/>
    <w:rsid w:val="00126F04"/>
    <w:rsid w:val="00127217"/>
    <w:rsid w:val="001275D7"/>
    <w:rsid w:val="001320A8"/>
    <w:rsid w:val="00133F89"/>
    <w:rsid w:val="0013646D"/>
    <w:rsid w:val="0013688D"/>
    <w:rsid w:val="00136C42"/>
    <w:rsid w:val="00137D07"/>
    <w:rsid w:val="00140AFD"/>
    <w:rsid w:val="00142F17"/>
    <w:rsid w:val="0014319A"/>
    <w:rsid w:val="00143D29"/>
    <w:rsid w:val="0014579A"/>
    <w:rsid w:val="001462CA"/>
    <w:rsid w:val="0014794A"/>
    <w:rsid w:val="00147AF2"/>
    <w:rsid w:val="00147B80"/>
    <w:rsid w:val="00147F57"/>
    <w:rsid w:val="00150F74"/>
    <w:rsid w:val="001512CD"/>
    <w:rsid w:val="0015163F"/>
    <w:rsid w:val="001545D1"/>
    <w:rsid w:val="001560C8"/>
    <w:rsid w:val="00160232"/>
    <w:rsid w:val="00161EB9"/>
    <w:rsid w:val="00163F15"/>
    <w:rsid w:val="00165B8F"/>
    <w:rsid w:val="00167256"/>
    <w:rsid w:val="00167AFB"/>
    <w:rsid w:val="00167B42"/>
    <w:rsid w:val="001728E7"/>
    <w:rsid w:val="0017424A"/>
    <w:rsid w:val="00174326"/>
    <w:rsid w:val="00177EBF"/>
    <w:rsid w:val="00182111"/>
    <w:rsid w:val="00182CBE"/>
    <w:rsid w:val="001833E4"/>
    <w:rsid w:val="001844DF"/>
    <w:rsid w:val="0018453F"/>
    <w:rsid w:val="0018482B"/>
    <w:rsid w:val="001851BB"/>
    <w:rsid w:val="001864E7"/>
    <w:rsid w:val="00192354"/>
    <w:rsid w:val="001930CE"/>
    <w:rsid w:val="00193788"/>
    <w:rsid w:val="00193DAD"/>
    <w:rsid w:val="00194FB4"/>
    <w:rsid w:val="001A0B7E"/>
    <w:rsid w:val="001A2044"/>
    <w:rsid w:val="001A36E8"/>
    <w:rsid w:val="001A3B52"/>
    <w:rsid w:val="001A5144"/>
    <w:rsid w:val="001A5ED1"/>
    <w:rsid w:val="001A7737"/>
    <w:rsid w:val="001A7A95"/>
    <w:rsid w:val="001B1E23"/>
    <w:rsid w:val="001B43DA"/>
    <w:rsid w:val="001B47E1"/>
    <w:rsid w:val="001B4F24"/>
    <w:rsid w:val="001B6A34"/>
    <w:rsid w:val="001C10F2"/>
    <w:rsid w:val="001C2B6F"/>
    <w:rsid w:val="001C34A3"/>
    <w:rsid w:val="001C4333"/>
    <w:rsid w:val="001C5A9B"/>
    <w:rsid w:val="001C6DD4"/>
    <w:rsid w:val="001D195F"/>
    <w:rsid w:val="001D23E2"/>
    <w:rsid w:val="001D3564"/>
    <w:rsid w:val="001D42C1"/>
    <w:rsid w:val="001D4D6E"/>
    <w:rsid w:val="001D7921"/>
    <w:rsid w:val="001E10A2"/>
    <w:rsid w:val="001E4CF1"/>
    <w:rsid w:val="001E60E9"/>
    <w:rsid w:val="001E6385"/>
    <w:rsid w:val="001E6D40"/>
    <w:rsid w:val="001E7245"/>
    <w:rsid w:val="001F27C4"/>
    <w:rsid w:val="001F51BC"/>
    <w:rsid w:val="001F57D6"/>
    <w:rsid w:val="001F7585"/>
    <w:rsid w:val="001F7E02"/>
    <w:rsid w:val="00202D55"/>
    <w:rsid w:val="002057BB"/>
    <w:rsid w:val="002062A7"/>
    <w:rsid w:val="0021123A"/>
    <w:rsid w:val="00212C28"/>
    <w:rsid w:val="002134A2"/>
    <w:rsid w:val="00215556"/>
    <w:rsid w:val="00215DDD"/>
    <w:rsid w:val="00222B7C"/>
    <w:rsid w:val="00222F3E"/>
    <w:rsid w:val="00226137"/>
    <w:rsid w:val="0022748D"/>
    <w:rsid w:val="002278F6"/>
    <w:rsid w:val="00233D33"/>
    <w:rsid w:val="002345A7"/>
    <w:rsid w:val="002350F1"/>
    <w:rsid w:val="00235D99"/>
    <w:rsid w:val="00236747"/>
    <w:rsid w:val="00247935"/>
    <w:rsid w:val="00247974"/>
    <w:rsid w:val="0025078B"/>
    <w:rsid w:val="00251E7E"/>
    <w:rsid w:val="00252362"/>
    <w:rsid w:val="00252A3B"/>
    <w:rsid w:val="00257B60"/>
    <w:rsid w:val="00260757"/>
    <w:rsid w:val="00261420"/>
    <w:rsid w:val="00265F54"/>
    <w:rsid w:val="0026665D"/>
    <w:rsid w:val="00266B55"/>
    <w:rsid w:val="002707F0"/>
    <w:rsid w:val="00277A49"/>
    <w:rsid w:val="00281A76"/>
    <w:rsid w:val="002826A3"/>
    <w:rsid w:val="00283297"/>
    <w:rsid w:val="002852D0"/>
    <w:rsid w:val="00286B12"/>
    <w:rsid w:val="002878A7"/>
    <w:rsid w:val="002908CE"/>
    <w:rsid w:val="00290FC7"/>
    <w:rsid w:val="00292960"/>
    <w:rsid w:val="002933A0"/>
    <w:rsid w:val="002935BD"/>
    <w:rsid w:val="00295518"/>
    <w:rsid w:val="00295C0C"/>
    <w:rsid w:val="00295F07"/>
    <w:rsid w:val="00296316"/>
    <w:rsid w:val="002A3DBC"/>
    <w:rsid w:val="002A50D3"/>
    <w:rsid w:val="002B22D8"/>
    <w:rsid w:val="002B24DC"/>
    <w:rsid w:val="002B6D79"/>
    <w:rsid w:val="002C36E5"/>
    <w:rsid w:val="002C4DA6"/>
    <w:rsid w:val="002C57ED"/>
    <w:rsid w:val="002D1966"/>
    <w:rsid w:val="002D310B"/>
    <w:rsid w:val="002D4445"/>
    <w:rsid w:val="002D620D"/>
    <w:rsid w:val="002E2B96"/>
    <w:rsid w:val="002E3DA2"/>
    <w:rsid w:val="002E4DB9"/>
    <w:rsid w:val="002F0A9A"/>
    <w:rsid w:val="002F0DD6"/>
    <w:rsid w:val="002F0F5D"/>
    <w:rsid w:val="002F1260"/>
    <w:rsid w:val="002F3341"/>
    <w:rsid w:val="002F3D01"/>
    <w:rsid w:val="002F4655"/>
    <w:rsid w:val="002F4CDE"/>
    <w:rsid w:val="002F615D"/>
    <w:rsid w:val="002F757A"/>
    <w:rsid w:val="002F793E"/>
    <w:rsid w:val="003009DF"/>
    <w:rsid w:val="003011C7"/>
    <w:rsid w:val="00303325"/>
    <w:rsid w:val="00304999"/>
    <w:rsid w:val="003056A6"/>
    <w:rsid w:val="0031039C"/>
    <w:rsid w:val="00311119"/>
    <w:rsid w:val="00311314"/>
    <w:rsid w:val="00311A97"/>
    <w:rsid w:val="00311D0F"/>
    <w:rsid w:val="00313315"/>
    <w:rsid w:val="00314E93"/>
    <w:rsid w:val="00316DD7"/>
    <w:rsid w:val="00320F6F"/>
    <w:rsid w:val="0032293F"/>
    <w:rsid w:val="003243CE"/>
    <w:rsid w:val="00331A1D"/>
    <w:rsid w:val="00332958"/>
    <w:rsid w:val="00332D60"/>
    <w:rsid w:val="003346CB"/>
    <w:rsid w:val="00334757"/>
    <w:rsid w:val="003348B9"/>
    <w:rsid w:val="00334D2C"/>
    <w:rsid w:val="003373D5"/>
    <w:rsid w:val="0034193B"/>
    <w:rsid w:val="00343165"/>
    <w:rsid w:val="00346720"/>
    <w:rsid w:val="00350552"/>
    <w:rsid w:val="00354DD5"/>
    <w:rsid w:val="00362549"/>
    <w:rsid w:val="00362B1B"/>
    <w:rsid w:val="00363377"/>
    <w:rsid w:val="00364DBE"/>
    <w:rsid w:val="0036538C"/>
    <w:rsid w:val="00367DB3"/>
    <w:rsid w:val="00370580"/>
    <w:rsid w:val="00373866"/>
    <w:rsid w:val="00374B78"/>
    <w:rsid w:val="00377D04"/>
    <w:rsid w:val="00377DEB"/>
    <w:rsid w:val="0038343C"/>
    <w:rsid w:val="00383885"/>
    <w:rsid w:val="0038496B"/>
    <w:rsid w:val="0038752E"/>
    <w:rsid w:val="00391DA8"/>
    <w:rsid w:val="00391DB2"/>
    <w:rsid w:val="00392214"/>
    <w:rsid w:val="00393180"/>
    <w:rsid w:val="00396FBA"/>
    <w:rsid w:val="00397100"/>
    <w:rsid w:val="003979F0"/>
    <w:rsid w:val="003A13D6"/>
    <w:rsid w:val="003A1BCD"/>
    <w:rsid w:val="003A405C"/>
    <w:rsid w:val="003A5502"/>
    <w:rsid w:val="003B094C"/>
    <w:rsid w:val="003B46B3"/>
    <w:rsid w:val="003B61B3"/>
    <w:rsid w:val="003B6BA1"/>
    <w:rsid w:val="003B74F4"/>
    <w:rsid w:val="003C02DB"/>
    <w:rsid w:val="003C249D"/>
    <w:rsid w:val="003C2646"/>
    <w:rsid w:val="003C4A54"/>
    <w:rsid w:val="003C4C20"/>
    <w:rsid w:val="003C5D5C"/>
    <w:rsid w:val="003C7B7E"/>
    <w:rsid w:val="003D11FF"/>
    <w:rsid w:val="003D2765"/>
    <w:rsid w:val="003D2EC2"/>
    <w:rsid w:val="003D338A"/>
    <w:rsid w:val="003D5BA8"/>
    <w:rsid w:val="003D65B2"/>
    <w:rsid w:val="003D7B5B"/>
    <w:rsid w:val="003E075D"/>
    <w:rsid w:val="003E0A1B"/>
    <w:rsid w:val="003E0A73"/>
    <w:rsid w:val="003E5135"/>
    <w:rsid w:val="003E616D"/>
    <w:rsid w:val="003E68FD"/>
    <w:rsid w:val="003E6D49"/>
    <w:rsid w:val="003E72EC"/>
    <w:rsid w:val="003E7878"/>
    <w:rsid w:val="003F0902"/>
    <w:rsid w:val="003F166A"/>
    <w:rsid w:val="003F352C"/>
    <w:rsid w:val="003F4779"/>
    <w:rsid w:val="003F4B36"/>
    <w:rsid w:val="003F6FBB"/>
    <w:rsid w:val="003F7500"/>
    <w:rsid w:val="003F76E9"/>
    <w:rsid w:val="00400968"/>
    <w:rsid w:val="00400FFE"/>
    <w:rsid w:val="00402FB4"/>
    <w:rsid w:val="0040376D"/>
    <w:rsid w:val="00404E66"/>
    <w:rsid w:val="00405B41"/>
    <w:rsid w:val="00407190"/>
    <w:rsid w:val="0040799D"/>
    <w:rsid w:val="004103FC"/>
    <w:rsid w:val="0041208B"/>
    <w:rsid w:val="004131D1"/>
    <w:rsid w:val="0041651A"/>
    <w:rsid w:val="00417E78"/>
    <w:rsid w:val="0042154E"/>
    <w:rsid w:val="00422CF1"/>
    <w:rsid w:val="00425158"/>
    <w:rsid w:val="00425D8F"/>
    <w:rsid w:val="00430109"/>
    <w:rsid w:val="00432CC1"/>
    <w:rsid w:val="00433084"/>
    <w:rsid w:val="0043378A"/>
    <w:rsid w:val="00434BAA"/>
    <w:rsid w:val="0043786B"/>
    <w:rsid w:val="004379E4"/>
    <w:rsid w:val="004401D2"/>
    <w:rsid w:val="004461E0"/>
    <w:rsid w:val="00447C84"/>
    <w:rsid w:val="00450B62"/>
    <w:rsid w:val="004533D1"/>
    <w:rsid w:val="00454541"/>
    <w:rsid w:val="00454B7E"/>
    <w:rsid w:val="0046125E"/>
    <w:rsid w:val="00462EAB"/>
    <w:rsid w:val="0046493E"/>
    <w:rsid w:val="004651E5"/>
    <w:rsid w:val="00467C3A"/>
    <w:rsid w:val="00474CBC"/>
    <w:rsid w:val="004769A5"/>
    <w:rsid w:val="00476F29"/>
    <w:rsid w:val="004777F7"/>
    <w:rsid w:val="00477A3A"/>
    <w:rsid w:val="00481A84"/>
    <w:rsid w:val="0048254F"/>
    <w:rsid w:val="00483205"/>
    <w:rsid w:val="00483E9B"/>
    <w:rsid w:val="004847A4"/>
    <w:rsid w:val="00484D23"/>
    <w:rsid w:val="0048501F"/>
    <w:rsid w:val="00492302"/>
    <w:rsid w:val="00492F4C"/>
    <w:rsid w:val="00493EF5"/>
    <w:rsid w:val="004949D2"/>
    <w:rsid w:val="00494DF1"/>
    <w:rsid w:val="00495073"/>
    <w:rsid w:val="004A1413"/>
    <w:rsid w:val="004A25A5"/>
    <w:rsid w:val="004A40A2"/>
    <w:rsid w:val="004A5FC8"/>
    <w:rsid w:val="004B1075"/>
    <w:rsid w:val="004B15AF"/>
    <w:rsid w:val="004B1AC1"/>
    <w:rsid w:val="004B2B00"/>
    <w:rsid w:val="004B2D8C"/>
    <w:rsid w:val="004B418D"/>
    <w:rsid w:val="004B6AC6"/>
    <w:rsid w:val="004B73FE"/>
    <w:rsid w:val="004B7934"/>
    <w:rsid w:val="004C0175"/>
    <w:rsid w:val="004C1020"/>
    <w:rsid w:val="004C10E3"/>
    <w:rsid w:val="004C179D"/>
    <w:rsid w:val="004C1A2C"/>
    <w:rsid w:val="004C1F1E"/>
    <w:rsid w:val="004C251C"/>
    <w:rsid w:val="004C45D5"/>
    <w:rsid w:val="004C583F"/>
    <w:rsid w:val="004C7F59"/>
    <w:rsid w:val="004D287C"/>
    <w:rsid w:val="004D5F33"/>
    <w:rsid w:val="004D61FE"/>
    <w:rsid w:val="004E388D"/>
    <w:rsid w:val="004E4FD3"/>
    <w:rsid w:val="004E5A8C"/>
    <w:rsid w:val="004E7951"/>
    <w:rsid w:val="004F158F"/>
    <w:rsid w:val="004F29EF"/>
    <w:rsid w:val="004F4ABB"/>
    <w:rsid w:val="004F51DA"/>
    <w:rsid w:val="004F67A3"/>
    <w:rsid w:val="004F7A2D"/>
    <w:rsid w:val="00504D46"/>
    <w:rsid w:val="00504D81"/>
    <w:rsid w:val="0050597F"/>
    <w:rsid w:val="00505AF5"/>
    <w:rsid w:val="0051056F"/>
    <w:rsid w:val="00511197"/>
    <w:rsid w:val="0051261B"/>
    <w:rsid w:val="00512C2D"/>
    <w:rsid w:val="005171B9"/>
    <w:rsid w:val="0052100B"/>
    <w:rsid w:val="00524DFF"/>
    <w:rsid w:val="00524FAC"/>
    <w:rsid w:val="00527B24"/>
    <w:rsid w:val="00527CED"/>
    <w:rsid w:val="00530D45"/>
    <w:rsid w:val="00533137"/>
    <w:rsid w:val="00540455"/>
    <w:rsid w:val="00544760"/>
    <w:rsid w:val="005453A9"/>
    <w:rsid w:val="00546347"/>
    <w:rsid w:val="0054704F"/>
    <w:rsid w:val="00547F79"/>
    <w:rsid w:val="00552150"/>
    <w:rsid w:val="005528D8"/>
    <w:rsid w:val="00553253"/>
    <w:rsid w:val="00556D0D"/>
    <w:rsid w:val="00556EF7"/>
    <w:rsid w:val="00557024"/>
    <w:rsid w:val="00557A58"/>
    <w:rsid w:val="00561BBE"/>
    <w:rsid w:val="005626C1"/>
    <w:rsid w:val="00562A1C"/>
    <w:rsid w:val="00563C09"/>
    <w:rsid w:val="005655A6"/>
    <w:rsid w:val="00566172"/>
    <w:rsid w:val="00572843"/>
    <w:rsid w:val="0057311B"/>
    <w:rsid w:val="0057446F"/>
    <w:rsid w:val="005815B1"/>
    <w:rsid w:val="00582C55"/>
    <w:rsid w:val="005834CD"/>
    <w:rsid w:val="0058394C"/>
    <w:rsid w:val="00585C61"/>
    <w:rsid w:val="00593451"/>
    <w:rsid w:val="00594E49"/>
    <w:rsid w:val="005964EA"/>
    <w:rsid w:val="00596B74"/>
    <w:rsid w:val="00597D8C"/>
    <w:rsid w:val="005A0BE0"/>
    <w:rsid w:val="005A1ECD"/>
    <w:rsid w:val="005A2A2A"/>
    <w:rsid w:val="005A754B"/>
    <w:rsid w:val="005B15C0"/>
    <w:rsid w:val="005B1943"/>
    <w:rsid w:val="005B1C1E"/>
    <w:rsid w:val="005B2D02"/>
    <w:rsid w:val="005B5C25"/>
    <w:rsid w:val="005C1125"/>
    <w:rsid w:val="005C12DB"/>
    <w:rsid w:val="005C2D30"/>
    <w:rsid w:val="005C42BD"/>
    <w:rsid w:val="005C462B"/>
    <w:rsid w:val="005C5729"/>
    <w:rsid w:val="005C6165"/>
    <w:rsid w:val="005C750E"/>
    <w:rsid w:val="005C783D"/>
    <w:rsid w:val="005D58A5"/>
    <w:rsid w:val="005D68DC"/>
    <w:rsid w:val="005D77A1"/>
    <w:rsid w:val="005E37C7"/>
    <w:rsid w:val="005E41EC"/>
    <w:rsid w:val="005E4EC3"/>
    <w:rsid w:val="005E59C6"/>
    <w:rsid w:val="005E6806"/>
    <w:rsid w:val="005E6F7B"/>
    <w:rsid w:val="005E73FA"/>
    <w:rsid w:val="005F260B"/>
    <w:rsid w:val="005F661E"/>
    <w:rsid w:val="005F6816"/>
    <w:rsid w:val="0060028B"/>
    <w:rsid w:val="00600C88"/>
    <w:rsid w:val="00601F7E"/>
    <w:rsid w:val="00603360"/>
    <w:rsid w:val="00610058"/>
    <w:rsid w:val="00611092"/>
    <w:rsid w:val="0061300A"/>
    <w:rsid w:val="00613447"/>
    <w:rsid w:val="00620057"/>
    <w:rsid w:val="0062152B"/>
    <w:rsid w:val="00622530"/>
    <w:rsid w:val="006226D6"/>
    <w:rsid w:val="00623197"/>
    <w:rsid w:val="006243F5"/>
    <w:rsid w:val="006251FD"/>
    <w:rsid w:val="00625F0A"/>
    <w:rsid w:val="00626CD9"/>
    <w:rsid w:val="0062714F"/>
    <w:rsid w:val="00631E32"/>
    <w:rsid w:val="00632690"/>
    <w:rsid w:val="00632846"/>
    <w:rsid w:val="00633245"/>
    <w:rsid w:val="0063350A"/>
    <w:rsid w:val="00637473"/>
    <w:rsid w:val="0064245C"/>
    <w:rsid w:val="00642477"/>
    <w:rsid w:val="0065043C"/>
    <w:rsid w:val="00653EB1"/>
    <w:rsid w:val="00655420"/>
    <w:rsid w:val="00656001"/>
    <w:rsid w:val="00661E40"/>
    <w:rsid w:val="0066272F"/>
    <w:rsid w:val="006629BC"/>
    <w:rsid w:val="00663EEA"/>
    <w:rsid w:val="00666D54"/>
    <w:rsid w:val="006670DF"/>
    <w:rsid w:val="006676B3"/>
    <w:rsid w:val="00667D95"/>
    <w:rsid w:val="00670B19"/>
    <w:rsid w:val="00671872"/>
    <w:rsid w:val="006725BC"/>
    <w:rsid w:val="006726A5"/>
    <w:rsid w:val="006729C2"/>
    <w:rsid w:val="00674186"/>
    <w:rsid w:val="0067492E"/>
    <w:rsid w:val="00680427"/>
    <w:rsid w:val="00681FF1"/>
    <w:rsid w:val="00683949"/>
    <w:rsid w:val="0069046D"/>
    <w:rsid w:val="00697387"/>
    <w:rsid w:val="0069787C"/>
    <w:rsid w:val="006A182A"/>
    <w:rsid w:val="006A1894"/>
    <w:rsid w:val="006A2D67"/>
    <w:rsid w:val="006A353E"/>
    <w:rsid w:val="006A36F1"/>
    <w:rsid w:val="006A3775"/>
    <w:rsid w:val="006A3BFD"/>
    <w:rsid w:val="006A3D94"/>
    <w:rsid w:val="006A5819"/>
    <w:rsid w:val="006B0592"/>
    <w:rsid w:val="006B2681"/>
    <w:rsid w:val="006B4A2F"/>
    <w:rsid w:val="006B75B8"/>
    <w:rsid w:val="006C06D4"/>
    <w:rsid w:val="006C1667"/>
    <w:rsid w:val="006C1CAA"/>
    <w:rsid w:val="006D11F3"/>
    <w:rsid w:val="006D1E5A"/>
    <w:rsid w:val="006D41F2"/>
    <w:rsid w:val="006D4608"/>
    <w:rsid w:val="006D54BB"/>
    <w:rsid w:val="006D628C"/>
    <w:rsid w:val="006D680C"/>
    <w:rsid w:val="006D6A00"/>
    <w:rsid w:val="006D6C2A"/>
    <w:rsid w:val="006D6FFE"/>
    <w:rsid w:val="006E0EE3"/>
    <w:rsid w:val="006E5082"/>
    <w:rsid w:val="006E5340"/>
    <w:rsid w:val="006E5764"/>
    <w:rsid w:val="006E6315"/>
    <w:rsid w:val="006E7E31"/>
    <w:rsid w:val="006E7FE4"/>
    <w:rsid w:val="006F2CDC"/>
    <w:rsid w:val="006F4773"/>
    <w:rsid w:val="006F4E96"/>
    <w:rsid w:val="006F4EF9"/>
    <w:rsid w:val="006F5C26"/>
    <w:rsid w:val="007023C7"/>
    <w:rsid w:val="007065B8"/>
    <w:rsid w:val="007067B8"/>
    <w:rsid w:val="00706863"/>
    <w:rsid w:val="00707677"/>
    <w:rsid w:val="007114DD"/>
    <w:rsid w:val="00713004"/>
    <w:rsid w:val="00715608"/>
    <w:rsid w:val="007177D8"/>
    <w:rsid w:val="00720CAE"/>
    <w:rsid w:val="007248E7"/>
    <w:rsid w:val="0072561F"/>
    <w:rsid w:val="0072624A"/>
    <w:rsid w:val="007318BF"/>
    <w:rsid w:val="00731B7F"/>
    <w:rsid w:val="00731D38"/>
    <w:rsid w:val="0073296B"/>
    <w:rsid w:val="00732EF4"/>
    <w:rsid w:val="00734225"/>
    <w:rsid w:val="0073534C"/>
    <w:rsid w:val="00735768"/>
    <w:rsid w:val="00735891"/>
    <w:rsid w:val="00736D54"/>
    <w:rsid w:val="007376A6"/>
    <w:rsid w:val="00742E8B"/>
    <w:rsid w:val="00742F45"/>
    <w:rsid w:val="0074431E"/>
    <w:rsid w:val="00750D2E"/>
    <w:rsid w:val="0075165A"/>
    <w:rsid w:val="0075350E"/>
    <w:rsid w:val="007565D2"/>
    <w:rsid w:val="007574B8"/>
    <w:rsid w:val="00760E1F"/>
    <w:rsid w:val="00760EFD"/>
    <w:rsid w:val="00762798"/>
    <w:rsid w:val="007632AE"/>
    <w:rsid w:val="00763CDA"/>
    <w:rsid w:val="00763E6E"/>
    <w:rsid w:val="00763E8C"/>
    <w:rsid w:val="007640F3"/>
    <w:rsid w:val="00765C10"/>
    <w:rsid w:val="007668C3"/>
    <w:rsid w:val="00770031"/>
    <w:rsid w:val="007717C1"/>
    <w:rsid w:val="00773F54"/>
    <w:rsid w:val="00777748"/>
    <w:rsid w:val="00777F31"/>
    <w:rsid w:val="00780ECB"/>
    <w:rsid w:val="00781452"/>
    <w:rsid w:val="0079126A"/>
    <w:rsid w:val="007935AC"/>
    <w:rsid w:val="00793DA7"/>
    <w:rsid w:val="00794182"/>
    <w:rsid w:val="00794A54"/>
    <w:rsid w:val="00796E6D"/>
    <w:rsid w:val="00797707"/>
    <w:rsid w:val="007A0FC6"/>
    <w:rsid w:val="007A2295"/>
    <w:rsid w:val="007A2532"/>
    <w:rsid w:val="007A32FE"/>
    <w:rsid w:val="007A53E4"/>
    <w:rsid w:val="007A76D9"/>
    <w:rsid w:val="007B16D8"/>
    <w:rsid w:val="007B26BD"/>
    <w:rsid w:val="007B406F"/>
    <w:rsid w:val="007B62AC"/>
    <w:rsid w:val="007B77CD"/>
    <w:rsid w:val="007C09D3"/>
    <w:rsid w:val="007C56D6"/>
    <w:rsid w:val="007C6FA7"/>
    <w:rsid w:val="007D07A8"/>
    <w:rsid w:val="007D4F1F"/>
    <w:rsid w:val="007D5080"/>
    <w:rsid w:val="007D553E"/>
    <w:rsid w:val="007D6726"/>
    <w:rsid w:val="007D72B0"/>
    <w:rsid w:val="007D7A94"/>
    <w:rsid w:val="007E1FB0"/>
    <w:rsid w:val="007E2FAF"/>
    <w:rsid w:val="007E3E64"/>
    <w:rsid w:val="007E4421"/>
    <w:rsid w:val="007E663A"/>
    <w:rsid w:val="007E7081"/>
    <w:rsid w:val="007E78C6"/>
    <w:rsid w:val="007F2208"/>
    <w:rsid w:val="007F3855"/>
    <w:rsid w:val="00800CE2"/>
    <w:rsid w:val="00802320"/>
    <w:rsid w:val="008026D4"/>
    <w:rsid w:val="00803969"/>
    <w:rsid w:val="00804840"/>
    <w:rsid w:val="008052C0"/>
    <w:rsid w:val="00807A68"/>
    <w:rsid w:val="00813F80"/>
    <w:rsid w:val="008142D4"/>
    <w:rsid w:val="008170F8"/>
    <w:rsid w:val="008173D9"/>
    <w:rsid w:val="0082122B"/>
    <w:rsid w:val="00822F45"/>
    <w:rsid w:val="00823781"/>
    <w:rsid w:val="00824A4F"/>
    <w:rsid w:val="0082606B"/>
    <w:rsid w:val="00833C9A"/>
    <w:rsid w:val="00834515"/>
    <w:rsid w:val="0083588A"/>
    <w:rsid w:val="00836A56"/>
    <w:rsid w:val="00840D48"/>
    <w:rsid w:val="008445CE"/>
    <w:rsid w:val="00854FDA"/>
    <w:rsid w:val="00855BEE"/>
    <w:rsid w:val="0085760B"/>
    <w:rsid w:val="008607AF"/>
    <w:rsid w:val="008620F8"/>
    <w:rsid w:val="0086265C"/>
    <w:rsid w:val="00864A22"/>
    <w:rsid w:val="00864F38"/>
    <w:rsid w:val="008662BE"/>
    <w:rsid w:val="0086698F"/>
    <w:rsid w:val="00867075"/>
    <w:rsid w:val="00870262"/>
    <w:rsid w:val="008717FF"/>
    <w:rsid w:val="00873907"/>
    <w:rsid w:val="008745B1"/>
    <w:rsid w:val="00874D68"/>
    <w:rsid w:val="00874F0B"/>
    <w:rsid w:val="00875812"/>
    <w:rsid w:val="0087795B"/>
    <w:rsid w:val="00877A5B"/>
    <w:rsid w:val="00881128"/>
    <w:rsid w:val="00881891"/>
    <w:rsid w:val="00881981"/>
    <w:rsid w:val="008837D3"/>
    <w:rsid w:val="00891E80"/>
    <w:rsid w:val="00892308"/>
    <w:rsid w:val="008927ED"/>
    <w:rsid w:val="008A080D"/>
    <w:rsid w:val="008A238E"/>
    <w:rsid w:val="008A2F56"/>
    <w:rsid w:val="008A3862"/>
    <w:rsid w:val="008A6E18"/>
    <w:rsid w:val="008B016F"/>
    <w:rsid w:val="008B0A77"/>
    <w:rsid w:val="008B0B59"/>
    <w:rsid w:val="008B1115"/>
    <w:rsid w:val="008B2294"/>
    <w:rsid w:val="008B2F2C"/>
    <w:rsid w:val="008B6C5D"/>
    <w:rsid w:val="008B6FCC"/>
    <w:rsid w:val="008B7BFF"/>
    <w:rsid w:val="008C1DBC"/>
    <w:rsid w:val="008C3E0F"/>
    <w:rsid w:val="008C4B98"/>
    <w:rsid w:val="008C5CCB"/>
    <w:rsid w:val="008C7BBD"/>
    <w:rsid w:val="008D025B"/>
    <w:rsid w:val="008D047E"/>
    <w:rsid w:val="008D0D24"/>
    <w:rsid w:val="008D1D2B"/>
    <w:rsid w:val="008D22EF"/>
    <w:rsid w:val="008D3A20"/>
    <w:rsid w:val="008E0DE2"/>
    <w:rsid w:val="008E4EF4"/>
    <w:rsid w:val="008E548E"/>
    <w:rsid w:val="008E5FA2"/>
    <w:rsid w:val="008F2024"/>
    <w:rsid w:val="008F53DB"/>
    <w:rsid w:val="0090171A"/>
    <w:rsid w:val="00902679"/>
    <w:rsid w:val="00902693"/>
    <w:rsid w:val="009041AA"/>
    <w:rsid w:val="009042AC"/>
    <w:rsid w:val="009106DA"/>
    <w:rsid w:val="00912025"/>
    <w:rsid w:val="00913986"/>
    <w:rsid w:val="009211AB"/>
    <w:rsid w:val="00922300"/>
    <w:rsid w:val="00923CCE"/>
    <w:rsid w:val="0093038F"/>
    <w:rsid w:val="00930D3F"/>
    <w:rsid w:val="00935B47"/>
    <w:rsid w:val="00937C92"/>
    <w:rsid w:val="00937FF3"/>
    <w:rsid w:val="00941EEE"/>
    <w:rsid w:val="00944196"/>
    <w:rsid w:val="00944F23"/>
    <w:rsid w:val="00945EF0"/>
    <w:rsid w:val="00946646"/>
    <w:rsid w:val="00950501"/>
    <w:rsid w:val="0095074B"/>
    <w:rsid w:val="0095203F"/>
    <w:rsid w:val="00952046"/>
    <w:rsid w:val="009527F0"/>
    <w:rsid w:val="009544E8"/>
    <w:rsid w:val="0095469E"/>
    <w:rsid w:val="009564EE"/>
    <w:rsid w:val="00960851"/>
    <w:rsid w:val="00964D4A"/>
    <w:rsid w:val="009657C2"/>
    <w:rsid w:val="009659E7"/>
    <w:rsid w:val="0097134A"/>
    <w:rsid w:val="00972386"/>
    <w:rsid w:val="00973D8D"/>
    <w:rsid w:val="00973FC0"/>
    <w:rsid w:val="00974168"/>
    <w:rsid w:val="00974AC4"/>
    <w:rsid w:val="009754B6"/>
    <w:rsid w:val="00976CE6"/>
    <w:rsid w:val="009778E9"/>
    <w:rsid w:val="00981716"/>
    <w:rsid w:val="009824F5"/>
    <w:rsid w:val="00985975"/>
    <w:rsid w:val="00992AD7"/>
    <w:rsid w:val="00995EA9"/>
    <w:rsid w:val="00997E7A"/>
    <w:rsid w:val="009A0CB7"/>
    <w:rsid w:val="009A4187"/>
    <w:rsid w:val="009A51E0"/>
    <w:rsid w:val="009A7F2F"/>
    <w:rsid w:val="009B0014"/>
    <w:rsid w:val="009B0195"/>
    <w:rsid w:val="009B08B5"/>
    <w:rsid w:val="009B231F"/>
    <w:rsid w:val="009B2AD4"/>
    <w:rsid w:val="009B3C62"/>
    <w:rsid w:val="009B5B53"/>
    <w:rsid w:val="009B6203"/>
    <w:rsid w:val="009C017E"/>
    <w:rsid w:val="009C6A0D"/>
    <w:rsid w:val="009D0843"/>
    <w:rsid w:val="009D4E92"/>
    <w:rsid w:val="009D7F97"/>
    <w:rsid w:val="009E0A8C"/>
    <w:rsid w:val="009E1B8D"/>
    <w:rsid w:val="009E1C17"/>
    <w:rsid w:val="009F054F"/>
    <w:rsid w:val="009F2619"/>
    <w:rsid w:val="009F5206"/>
    <w:rsid w:val="00A00ACF"/>
    <w:rsid w:val="00A02BB8"/>
    <w:rsid w:val="00A04BD4"/>
    <w:rsid w:val="00A07D50"/>
    <w:rsid w:val="00A10EFF"/>
    <w:rsid w:val="00A1189F"/>
    <w:rsid w:val="00A1262E"/>
    <w:rsid w:val="00A129C2"/>
    <w:rsid w:val="00A14C92"/>
    <w:rsid w:val="00A150B1"/>
    <w:rsid w:val="00A15B53"/>
    <w:rsid w:val="00A2108A"/>
    <w:rsid w:val="00A211FB"/>
    <w:rsid w:val="00A21834"/>
    <w:rsid w:val="00A22537"/>
    <w:rsid w:val="00A22A32"/>
    <w:rsid w:val="00A23BD3"/>
    <w:rsid w:val="00A24EBE"/>
    <w:rsid w:val="00A31840"/>
    <w:rsid w:val="00A319BA"/>
    <w:rsid w:val="00A31B86"/>
    <w:rsid w:val="00A33573"/>
    <w:rsid w:val="00A351D7"/>
    <w:rsid w:val="00A372C5"/>
    <w:rsid w:val="00A40CF8"/>
    <w:rsid w:val="00A417BA"/>
    <w:rsid w:val="00A42C9D"/>
    <w:rsid w:val="00A44147"/>
    <w:rsid w:val="00A4670D"/>
    <w:rsid w:val="00A502B3"/>
    <w:rsid w:val="00A50BB4"/>
    <w:rsid w:val="00A516E1"/>
    <w:rsid w:val="00A5281D"/>
    <w:rsid w:val="00A528A4"/>
    <w:rsid w:val="00A52BE2"/>
    <w:rsid w:val="00A5461D"/>
    <w:rsid w:val="00A62262"/>
    <w:rsid w:val="00A63028"/>
    <w:rsid w:val="00A65391"/>
    <w:rsid w:val="00A6671F"/>
    <w:rsid w:val="00A70E20"/>
    <w:rsid w:val="00A7135D"/>
    <w:rsid w:val="00A723E6"/>
    <w:rsid w:val="00A729B1"/>
    <w:rsid w:val="00A7636A"/>
    <w:rsid w:val="00A7778F"/>
    <w:rsid w:val="00A77B51"/>
    <w:rsid w:val="00A84898"/>
    <w:rsid w:val="00A8611B"/>
    <w:rsid w:val="00A900AA"/>
    <w:rsid w:val="00A923A3"/>
    <w:rsid w:val="00A94D57"/>
    <w:rsid w:val="00A9619F"/>
    <w:rsid w:val="00A97081"/>
    <w:rsid w:val="00AA0D90"/>
    <w:rsid w:val="00AA1CBE"/>
    <w:rsid w:val="00AA4ADB"/>
    <w:rsid w:val="00AA635C"/>
    <w:rsid w:val="00AA646D"/>
    <w:rsid w:val="00AB0245"/>
    <w:rsid w:val="00AB1B47"/>
    <w:rsid w:val="00AB21E2"/>
    <w:rsid w:val="00AB22FA"/>
    <w:rsid w:val="00AB3764"/>
    <w:rsid w:val="00AC103E"/>
    <w:rsid w:val="00AC2589"/>
    <w:rsid w:val="00AC33FD"/>
    <w:rsid w:val="00AC4CD2"/>
    <w:rsid w:val="00AC4D98"/>
    <w:rsid w:val="00AC7467"/>
    <w:rsid w:val="00AD5A78"/>
    <w:rsid w:val="00AD710D"/>
    <w:rsid w:val="00AD79D9"/>
    <w:rsid w:val="00AE289F"/>
    <w:rsid w:val="00AE36DE"/>
    <w:rsid w:val="00AE44F9"/>
    <w:rsid w:val="00AE7C99"/>
    <w:rsid w:val="00AF1E1B"/>
    <w:rsid w:val="00AF2656"/>
    <w:rsid w:val="00AF3059"/>
    <w:rsid w:val="00AF343C"/>
    <w:rsid w:val="00B004CF"/>
    <w:rsid w:val="00B01621"/>
    <w:rsid w:val="00B029B9"/>
    <w:rsid w:val="00B045CE"/>
    <w:rsid w:val="00B05DFF"/>
    <w:rsid w:val="00B11F5E"/>
    <w:rsid w:val="00B15535"/>
    <w:rsid w:val="00B16601"/>
    <w:rsid w:val="00B20FAD"/>
    <w:rsid w:val="00B21A55"/>
    <w:rsid w:val="00B222B1"/>
    <w:rsid w:val="00B230E5"/>
    <w:rsid w:val="00B242BC"/>
    <w:rsid w:val="00B24538"/>
    <w:rsid w:val="00B24D25"/>
    <w:rsid w:val="00B27DCA"/>
    <w:rsid w:val="00B358D9"/>
    <w:rsid w:val="00B35C5D"/>
    <w:rsid w:val="00B36150"/>
    <w:rsid w:val="00B40D6B"/>
    <w:rsid w:val="00B41485"/>
    <w:rsid w:val="00B43795"/>
    <w:rsid w:val="00B441F4"/>
    <w:rsid w:val="00B44B80"/>
    <w:rsid w:val="00B45652"/>
    <w:rsid w:val="00B45D5B"/>
    <w:rsid w:val="00B47A0E"/>
    <w:rsid w:val="00B47CD4"/>
    <w:rsid w:val="00B50984"/>
    <w:rsid w:val="00B521DE"/>
    <w:rsid w:val="00B537EE"/>
    <w:rsid w:val="00B54051"/>
    <w:rsid w:val="00B57180"/>
    <w:rsid w:val="00B57AD0"/>
    <w:rsid w:val="00B61463"/>
    <w:rsid w:val="00B62587"/>
    <w:rsid w:val="00B62DEE"/>
    <w:rsid w:val="00B66078"/>
    <w:rsid w:val="00B6676C"/>
    <w:rsid w:val="00B722EE"/>
    <w:rsid w:val="00B74113"/>
    <w:rsid w:val="00B75E20"/>
    <w:rsid w:val="00B77D57"/>
    <w:rsid w:val="00B802C3"/>
    <w:rsid w:val="00B808D5"/>
    <w:rsid w:val="00B8163C"/>
    <w:rsid w:val="00B82C20"/>
    <w:rsid w:val="00B84462"/>
    <w:rsid w:val="00B84A16"/>
    <w:rsid w:val="00B868EB"/>
    <w:rsid w:val="00B901D9"/>
    <w:rsid w:val="00B91226"/>
    <w:rsid w:val="00B92330"/>
    <w:rsid w:val="00B9393D"/>
    <w:rsid w:val="00B948BD"/>
    <w:rsid w:val="00B95C12"/>
    <w:rsid w:val="00B96B9D"/>
    <w:rsid w:val="00B976CC"/>
    <w:rsid w:val="00BA0091"/>
    <w:rsid w:val="00BA3720"/>
    <w:rsid w:val="00BA4103"/>
    <w:rsid w:val="00BA7406"/>
    <w:rsid w:val="00BB1376"/>
    <w:rsid w:val="00BB2AC4"/>
    <w:rsid w:val="00BB3F97"/>
    <w:rsid w:val="00BB563D"/>
    <w:rsid w:val="00BB62A8"/>
    <w:rsid w:val="00BB66F3"/>
    <w:rsid w:val="00BC000C"/>
    <w:rsid w:val="00BC0BD3"/>
    <w:rsid w:val="00BC2CAC"/>
    <w:rsid w:val="00BC404C"/>
    <w:rsid w:val="00BC498E"/>
    <w:rsid w:val="00BD012D"/>
    <w:rsid w:val="00BD5855"/>
    <w:rsid w:val="00BD5A67"/>
    <w:rsid w:val="00BD63EE"/>
    <w:rsid w:val="00BE078F"/>
    <w:rsid w:val="00BE1125"/>
    <w:rsid w:val="00BE6C2F"/>
    <w:rsid w:val="00BF09F6"/>
    <w:rsid w:val="00BF3F17"/>
    <w:rsid w:val="00BF7410"/>
    <w:rsid w:val="00C00046"/>
    <w:rsid w:val="00C030CB"/>
    <w:rsid w:val="00C040FE"/>
    <w:rsid w:val="00C0419C"/>
    <w:rsid w:val="00C05BE3"/>
    <w:rsid w:val="00C11D3A"/>
    <w:rsid w:val="00C12931"/>
    <w:rsid w:val="00C13DBD"/>
    <w:rsid w:val="00C13F27"/>
    <w:rsid w:val="00C14C49"/>
    <w:rsid w:val="00C14DA3"/>
    <w:rsid w:val="00C17A3D"/>
    <w:rsid w:val="00C20B9E"/>
    <w:rsid w:val="00C23482"/>
    <w:rsid w:val="00C255CF"/>
    <w:rsid w:val="00C348B5"/>
    <w:rsid w:val="00C35221"/>
    <w:rsid w:val="00C44264"/>
    <w:rsid w:val="00C45D4A"/>
    <w:rsid w:val="00C50984"/>
    <w:rsid w:val="00C51040"/>
    <w:rsid w:val="00C51465"/>
    <w:rsid w:val="00C52DD0"/>
    <w:rsid w:val="00C55EED"/>
    <w:rsid w:val="00C64D52"/>
    <w:rsid w:val="00C65421"/>
    <w:rsid w:val="00C665A1"/>
    <w:rsid w:val="00C72237"/>
    <w:rsid w:val="00C74277"/>
    <w:rsid w:val="00C75649"/>
    <w:rsid w:val="00C769E3"/>
    <w:rsid w:val="00C7723E"/>
    <w:rsid w:val="00C77CDC"/>
    <w:rsid w:val="00C8377D"/>
    <w:rsid w:val="00C86C27"/>
    <w:rsid w:val="00C90469"/>
    <w:rsid w:val="00C949C2"/>
    <w:rsid w:val="00C94AC0"/>
    <w:rsid w:val="00CA3C6C"/>
    <w:rsid w:val="00CB1315"/>
    <w:rsid w:val="00CB1322"/>
    <w:rsid w:val="00CB36B5"/>
    <w:rsid w:val="00CB3B24"/>
    <w:rsid w:val="00CB5AE7"/>
    <w:rsid w:val="00CB6008"/>
    <w:rsid w:val="00CB6BAB"/>
    <w:rsid w:val="00CB6F67"/>
    <w:rsid w:val="00CB72E7"/>
    <w:rsid w:val="00CC0E53"/>
    <w:rsid w:val="00CC3721"/>
    <w:rsid w:val="00CD0194"/>
    <w:rsid w:val="00CD10CC"/>
    <w:rsid w:val="00CD1B5F"/>
    <w:rsid w:val="00CD4831"/>
    <w:rsid w:val="00CD5441"/>
    <w:rsid w:val="00CD6017"/>
    <w:rsid w:val="00CD6576"/>
    <w:rsid w:val="00CD67D8"/>
    <w:rsid w:val="00CD68D0"/>
    <w:rsid w:val="00CE0BE9"/>
    <w:rsid w:val="00CE45A9"/>
    <w:rsid w:val="00CE4652"/>
    <w:rsid w:val="00CE5D0D"/>
    <w:rsid w:val="00CE65E9"/>
    <w:rsid w:val="00CE73EC"/>
    <w:rsid w:val="00CF0718"/>
    <w:rsid w:val="00CF0A95"/>
    <w:rsid w:val="00CF314F"/>
    <w:rsid w:val="00CF4B86"/>
    <w:rsid w:val="00D01965"/>
    <w:rsid w:val="00D02D3D"/>
    <w:rsid w:val="00D042D8"/>
    <w:rsid w:val="00D10DA7"/>
    <w:rsid w:val="00D11663"/>
    <w:rsid w:val="00D13A90"/>
    <w:rsid w:val="00D15A19"/>
    <w:rsid w:val="00D15A3A"/>
    <w:rsid w:val="00D17198"/>
    <w:rsid w:val="00D177C6"/>
    <w:rsid w:val="00D17982"/>
    <w:rsid w:val="00D17BEA"/>
    <w:rsid w:val="00D17F44"/>
    <w:rsid w:val="00D2210E"/>
    <w:rsid w:val="00D22C2C"/>
    <w:rsid w:val="00D238EB"/>
    <w:rsid w:val="00D257EF"/>
    <w:rsid w:val="00D35324"/>
    <w:rsid w:val="00D3693F"/>
    <w:rsid w:val="00D458BD"/>
    <w:rsid w:val="00D46563"/>
    <w:rsid w:val="00D47D46"/>
    <w:rsid w:val="00D51AD4"/>
    <w:rsid w:val="00D5318C"/>
    <w:rsid w:val="00D55566"/>
    <w:rsid w:val="00D608CD"/>
    <w:rsid w:val="00D60994"/>
    <w:rsid w:val="00D635DE"/>
    <w:rsid w:val="00D63A95"/>
    <w:rsid w:val="00D63BFF"/>
    <w:rsid w:val="00D648AC"/>
    <w:rsid w:val="00D6503E"/>
    <w:rsid w:val="00D65668"/>
    <w:rsid w:val="00D67425"/>
    <w:rsid w:val="00D700EA"/>
    <w:rsid w:val="00D71697"/>
    <w:rsid w:val="00D727C1"/>
    <w:rsid w:val="00D72891"/>
    <w:rsid w:val="00D72F7C"/>
    <w:rsid w:val="00D752E7"/>
    <w:rsid w:val="00D7609D"/>
    <w:rsid w:val="00D81DE1"/>
    <w:rsid w:val="00D82C60"/>
    <w:rsid w:val="00D84BBB"/>
    <w:rsid w:val="00D84EEA"/>
    <w:rsid w:val="00D85A5C"/>
    <w:rsid w:val="00D86A42"/>
    <w:rsid w:val="00D86C04"/>
    <w:rsid w:val="00D91989"/>
    <w:rsid w:val="00D93750"/>
    <w:rsid w:val="00D95AC8"/>
    <w:rsid w:val="00D95C16"/>
    <w:rsid w:val="00D9602A"/>
    <w:rsid w:val="00DA3034"/>
    <w:rsid w:val="00DA69A7"/>
    <w:rsid w:val="00DA6AD0"/>
    <w:rsid w:val="00DA716E"/>
    <w:rsid w:val="00DA7CFF"/>
    <w:rsid w:val="00DB125E"/>
    <w:rsid w:val="00DB47CB"/>
    <w:rsid w:val="00DB6317"/>
    <w:rsid w:val="00DB699D"/>
    <w:rsid w:val="00DB6E78"/>
    <w:rsid w:val="00DC0D8F"/>
    <w:rsid w:val="00DC1068"/>
    <w:rsid w:val="00DC1238"/>
    <w:rsid w:val="00DC1CB7"/>
    <w:rsid w:val="00DC2EEA"/>
    <w:rsid w:val="00DC2F0B"/>
    <w:rsid w:val="00DC3071"/>
    <w:rsid w:val="00DC339F"/>
    <w:rsid w:val="00DC5F91"/>
    <w:rsid w:val="00DC62E9"/>
    <w:rsid w:val="00DD03B6"/>
    <w:rsid w:val="00DD3193"/>
    <w:rsid w:val="00DD52A7"/>
    <w:rsid w:val="00DD6E7E"/>
    <w:rsid w:val="00DD7B56"/>
    <w:rsid w:val="00DE058E"/>
    <w:rsid w:val="00DE0DD3"/>
    <w:rsid w:val="00DE121A"/>
    <w:rsid w:val="00DE27DA"/>
    <w:rsid w:val="00DE67EA"/>
    <w:rsid w:val="00DE71A5"/>
    <w:rsid w:val="00DE7798"/>
    <w:rsid w:val="00DE7E1C"/>
    <w:rsid w:val="00DE7F48"/>
    <w:rsid w:val="00DF1BE2"/>
    <w:rsid w:val="00DF302D"/>
    <w:rsid w:val="00DF33FE"/>
    <w:rsid w:val="00DF4098"/>
    <w:rsid w:val="00DF5583"/>
    <w:rsid w:val="00DF5D98"/>
    <w:rsid w:val="00DF6090"/>
    <w:rsid w:val="00DF78F4"/>
    <w:rsid w:val="00E034CC"/>
    <w:rsid w:val="00E04C5C"/>
    <w:rsid w:val="00E07307"/>
    <w:rsid w:val="00E10A47"/>
    <w:rsid w:val="00E12D91"/>
    <w:rsid w:val="00E13306"/>
    <w:rsid w:val="00E13318"/>
    <w:rsid w:val="00E145FD"/>
    <w:rsid w:val="00E14A1D"/>
    <w:rsid w:val="00E15D6C"/>
    <w:rsid w:val="00E20CFA"/>
    <w:rsid w:val="00E24868"/>
    <w:rsid w:val="00E26C86"/>
    <w:rsid w:val="00E3067C"/>
    <w:rsid w:val="00E30DBA"/>
    <w:rsid w:val="00E33166"/>
    <w:rsid w:val="00E33467"/>
    <w:rsid w:val="00E3388E"/>
    <w:rsid w:val="00E33F77"/>
    <w:rsid w:val="00E34271"/>
    <w:rsid w:val="00E34C83"/>
    <w:rsid w:val="00E36233"/>
    <w:rsid w:val="00E3704A"/>
    <w:rsid w:val="00E3730A"/>
    <w:rsid w:val="00E40D0F"/>
    <w:rsid w:val="00E420CE"/>
    <w:rsid w:val="00E44B2A"/>
    <w:rsid w:val="00E45C8D"/>
    <w:rsid w:val="00E575BD"/>
    <w:rsid w:val="00E602FC"/>
    <w:rsid w:val="00E718E7"/>
    <w:rsid w:val="00E71BF8"/>
    <w:rsid w:val="00E72E5C"/>
    <w:rsid w:val="00E736CF"/>
    <w:rsid w:val="00E75E8A"/>
    <w:rsid w:val="00E76699"/>
    <w:rsid w:val="00E83BFA"/>
    <w:rsid w:val="00E845AC"/>
    <w:rsid w:val="00E85734"/>
    <w:rsid w:val="00E85CE7"/>
    <w:rsid w:val="00E85D3B"/>
    <w:rsid w:val="00E861F7"/>
    <w:rsid w:val="00E866D4"/>
    <w:rsid w:val="00E86A48"/>
    <w:rsid w:val="00E86ABD"/>
    <w:rsid w:val="00E86B94"/>
    <w:rsid w:val="00E912D6"/>
    <w:rsid w:val="00E91A3B"/>
    <w:rsid w:val="00E93001"/>
    <w:rsid w:val="00E95ACE"/>
    <w:rsid w:val="00E974C2"/>
    <w:rsid w:val="00E97663"/>
    <w:rsid w:val="00EA64DA"/>
    <w:rsid w:val="00EB001F"/>
    <w:rsid w:val="00EB115B"/>
    <w:rsid w:val="00EB1C73"/>
    <w:rsid w:val="00EB39A7"/>
    <w:rsid w:val="00EB6D6A"/>
    <w:rsid w:val="00EB7784"/>
    <w:rsid w:val="00EC03A1"/>
    <w:rsid w:val="00EC25C2"/>
    <w:rsid w:val="00EC6997"/>
    <w:rsid w:val="00EC7B66"/>
    <w:rsid w:val="00ED60E2"/>
    <w:rsid w:val="00ED691F"/>
    <w:rsid w:val="00EE1CB0"/>
    <w:rsid w:val="00EE34A0"/>
    <w:rsid w:val="00EE5028"/>
    <w:rsid w:val="00EE664E"/>
    <w:rsid w:val="00EF0001"/>
    <w:rsid w:val="00EF0D08"/>
    <w:rsid w:val="00EF10FE"/>
    <w:rsid w:val="00EF11CE"/>
    <w:rsid w:val="00EF2980"/>
    <w:rsid w:val="00EF3BF7"/>
    <w:rsid w:val="00EF3E15"/>
    <w:rsid w:val="00EF4779"/>
    <w:rsid w:val="00EF76BD"/>
    <w:rsid w:val="00EF7E33"/>
    <w:rsid w:val="00F02A7B"/>
    <w:rsid w:val="00F034D1"/>
    <w:rsid w:val="00F07A9F"/>
    <w:rsid w:val="00F109BB"/>
    <w:rsid w:val="00F11600"/>
    <w:rsid w:val="00F1164C"/>
    <w:rsid w:val="00F11FA4"/>
    <w:rsid w:val="00F1395D"/>
    <w:rsid w:val="00F13A2C"/>
    <w:rsid w:val="00F1546A"/>
    <w:rsid w:val="00F160D9"/>
    <w:rsid w:val="00F22763"/>
    <w:rsid w:val="00F231EF"/>
    <w:rsid w:val="00F27B10"/>
    <w:rsid w:val="00F31BAC"/>
    <w:rsid w:val="00F32ECE"/>
    <w:rsid w:val="00F404B1"/>
    <w:rsid w:val="00F430BA"/>
    <w:rsid w:val="00F45D59"/>
    <w:rsid w:val="00F46F25"/>
    <w:rsid w:val="00F4732F"/>
    <w:rsid w:val="00F47F4A"/>
    <w:rsid w:val="00F51AA7"/>
    <w:rsid w:val="00F607D8"/>
    <w:rsid w:val="00F60F4F"/>
    <w:rsid w:val="00F6151D"/>
    <w:rsid w:val="00F61E58"/>
    <w:rsid w:val="00F623FE"/>
    <w:rsid w:val="00F634C9"/>
    <w:rsid w:val="00F63AC6"/>
    <w:rsid w:val="00F64DA6"/>
    <w:rsid w:val="00F65983"/>
    <w:rsid w:val="00F65CBE"/>
    <w:rsid w:val="00F65E71"/>
    <w:rsid w:val="00F6629B"/>
    <w:rsid w:val="00F709E1"/>
    <w:rsid w:val="00F715D9"/>
    <w:rsid w:val="00F73108"/>
    <w:rsid w:val="00F74088"/>
    <w:rsid w:val="00F7733B"/>
    <w:rsid w:val="00F80443"/>
    <w:rsid w:val="00F80971"/>
    <w:rsid w:val="00F819DA"/>
    <w:rsid w:val="00F827A9"/>
    <w:rsid w:val="00F82D9D"/>
    <w:rsid w:val="00F84451"/>
    <w:rsid w:val="00F84AAA"/>
    <w:rsid w:val="00F90DAC"/>
    <w:rsid w:val="00F91E19"/>
    <w:rsid w:val="00F924FA"/>
    <w:rsid w:val="00FA05F6"/>
    <w:rsid w:val="00FA1968"/>
    <w:rsid w:val="00FA2C84"/>
    <w:rsid w:val="00FA2CC4"/>
    <w:rsid w:val="00FA3B29"/>
    <w:rsid w:val="00FB0BD9"/>
    <w:rsid w:val="00FB43EE"/>
    <w:rsid w:val="00FB5B22"/>
    <w:rsid w:val="00FC0279"/>
    <w:rsid w:val="00FC0F99"/>
    <w:rsid w:val="00FC109F"/>
    <w:rsid w:val="00FC1C94"/>
    <w:rsid w:val="00FC24B4"/>
    <w:rsid w:val="00FC32B2"/>
    <w:rsid w:val="00FC5795"/>
    <w:rsid w:val="00FC6815"/>
    <w:rsid w:val="00FD056E"/>
    <w:rsid w:val="00FD060C"/>
    <w:rsid w:val="00FD1A3E"/>
    <w:rsid w:val="00FD3510"/>
    <w:rsid w:val="00FE3B64"/>
    <w:rsid w:val="00FE6A0A"/>
    <w:rsid w:val="00FF1D16"/>
    <w:rsid w:val="00FF1E8B"/>
    <w:rsid w:val="00FF251B"/>
    <w:rsid w:val="00FF2991"/>
    <w:rsid w:val="00FF34B0"/>
    <w:rsid w:val="00FF3BC6"/>
    <w:rsid w:val="00FF53A4"/>
    <w:rsid w:val="00FF7B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81966"/>
  <w15:docId w15:val="{FA2E8030-DC2A-4700-B3C4-615D7DD22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9C2"/>
    <w:rPr>
      <w:sz w:val="24"/>
      <w:szCs w:val="24"/>
      <w:lang w:val="en-GB"/>
    </w:rPr>
  </w:style>
  <w:style w:type="paragraph" w:styleId="Heading1">
    <w:name w:val="heading 1"/>
    <w:basedOn w:val="Normal"/>
    <w:qFormat/>
    <w:rsid w:val="006729C2"/>
    <w:pPr>
      <w:keepNext/>
      <w:spacing w:before="240" w:after="60"/>
      <w:outlineLvl w:val="0"/>
    </w:pPr>
    <w:rPr>
      <w:rFonts w:ascii="Arial" w:hAnsi="Arial" w:cs="Arial"/>
      <w:b/>
      <w:bCs/>
      <w:kern w:val="32"/>
      <w:szCs w:val="32"/>
    </w:rPr>
  </w:style>
  <w:style w:type="paragraph" w:styleId="Heading2">
    <w:name w:val="heading 2"/>
    <w:basedOn w:val="Normal"/>
    <w:qFormat/>
    <w:rsid w:val="006729C2"/>
    <w:pPr>
      <w:keepNext/>
      <w:numPr>
        <w:ilvl w:val="1"/>
        <w:numId w:val="1"/>
      </w:numPr>
      <w:spacing w:before="240" w:after="60"/>
      <w:outlineLvl w:val="1"/>
    </w:pPr>
    <w:rPr>
      <w:rFonts w:ascii="Arial" w:hAnsi="Arial" w:cs="Arial"/>
      <w:b/>
      <w:bCs/>
      <w:iCs/>
      <w:sz w:val="20"/>
      <w:szCs w:val="28"/>
      <w:lang w:val="en-ZA"/>
    </w:rPr>
  </w:style>
  <w:style w:type="paragraph" w:styleId="Heading3">
    <w:name w:val="heading 3"/>
    <w:basedOn w:val="Normal"/>
    <w:next w:val="Normal"/>
    <w:qFormat/>
    <w:rsid w:val="006729C2"/>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6729C2"/>
    <w:pPr>
      <w:keepNext/>
      <w:numPr>
        <w:ilvl w:val="3"/>
        <w:numId w:val="1"/>
      </w:numPr>
      <w:spacing w:before="240" w:after="60"/>
      <w:outlineLvl w:val="3"/>
    </w:pPr>
    <w:rPr>
      <w:b/>
      <w:bCs/>
      <w:sz w:val="28"/>
      <w:szCs w:val="28"/>
    </w:rPr>
  </w:style>
  <w:style w:type="paragraph" w:styleId="Heading5">
    <w:name w:val="heading 5"/>
    <w:basedOn w:val="Normal"/>
    <w:next w:val="Normal"/>
    <w:qFormat/>
    <w:rsid w:val="006729C2"/>
    <w:pPr>
      <w:numPr>
        <w:ilvl w:val="4"/>
        <w:numId w:val="1"/>
      </w:numPr>
      <w:spacing w:before="240" w:after="60"/>
      <w:outlineLvl w:val="4"/>
    </w:pPr>
    <w:rPr>
      <w:b/>
      <w:bCs/>
      <w:i/>
      <w:iCs/>
      <w:sz w:val="26"/>
      <w:szCs w:val="26"/>
    </w:rPr>
  </w:style>
  <w:style w:type="paragraph" w:styleId="Heading6">
    <w:name w:val="heading 6"/>
    <w:basedOn w:val="Normal"/>
    <w:next w:val="Normal"/>
    <w:qFormat/>
    <w:rsid w:val="006729C2"/>
    <w:pPr>
      <w:numPr>
        <w:ilvl w:val="5"/>
        <w:numId w:val="1"/>
      </w:numPr>
      <w:spacing w:before="240" w:after="60"/>
      <w:outlineLvl w:val="5"/>
    </w:pPr>
    <w:rPr>
      <w:b/>
      <w:bCs/>
      <w:sz w:val="22"/>
      <w:szCs w:val="22"/>
    </w:rPr>
  </w:style>
  <w:style w:type="paragraph" w:styleId="Heading7">
    <w:name w:val="heading 7"/>
    <w:basedOn w:val="Normal"/>
    <w:next w:val="Normal"/>
    <w:qFormat/>
    <w:rsid w:val="006729C2"/>
    <w:pPr>
      <w:numPr>
        <w:ilvl w:val="6"/>
        <w:numId w:val="1"/>
      </w:numPr>
      <w:spacing w:before="240" w:after="60"/>
      <w:outlineLvl w:val="6"/>
    </w:pPr>
  </w:style>
  <w:style w:type="paragraph" w:styleId="Heading8">
    <w:name w:val="heading 8"/>
    <w:basedOn w:val="Normal"/>
    <w:next w:val="Normal"/>
    <w:qFormat/>
    <w:rsid w:val="006729C2"/>
    <w:pPr>
      <w:numPr>
        <w:ilvl w:val="7"/>
        <w:numId w:val="1"/>
      </w:numPr>
      <w:spacing w:before="240" w:after="60"/>
      <w:outlineLvl w:val="7"/>
    </w:pPr>
    <w:rPr>
      <w:i/>
      <w:iCs/>
    </w:rPr>
  </w:style>
  <w:style w:type="paragraph" w:styleId="Heading9">
    <w:name w:val="heading 9"/>
    <w:basedOn w:val="Normal"/>
    <w:next w:val="Normal"/>
    <w:qFormat/>
    <w:rsid w:val="006729C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729C2"/>
    <w:pPr>
      <w:ind w:left="431"/>
      <w:jc w:val="both"/>
    </w:pPr>
    <w:rPr>
      <w:lang w:val="en-ZA"/>
    </w:rPr>
  </w:style>
  <w:style w:type="paragraph" w:styleId="BodyTextIndent2">
    <w:name w:val="Body Text Indent 2"/>
    <w:basedOn w:val="Normal"/>
    <w:rsid w:val="006729C2"/>
    <w:pPr>
      <w:ind w:left="431"/>
      <w:jc w:val="both"/>
    </w:pPr>
    <w:rPr>
      <w:rFonts w:ascii="Arial" w:hAnsi="Arial" w:cs="Arial"/>
      <w:sz w:val="20"/>
    </w:rPr>
  </w:style>
  <w:style w:type="paragraph" w:styleId="Header">
    <w:name w:val="header"/>
    <w:basedOn w:val="Normal"/>
    <w:rsid w:val="006729C2"/>
    <w:pPr>
      <w:tabs>
        <w:tab w:val="center" w:pos="4153"/>
        <w:tab w:val="right" w:pos="8306"/>
      </w:tabs>
    </w:pPr>
  </w:style>
  <w:style w:type="paragraph" w:styleId="Footer">
    <w:name w:val="footer"/>
    <w:basedOn w:val="Normal"/>
    <w:link w:val="FooterChar"/>
    <w:uiPriority w:val="99"/>
    <w:rsid w:val="006729C2"/>
    <w:pPr>
      <w:tabs>
        <w:tab w:val="center" w:pos="4153"/>
        <w:tab w:val="right" w:pos="8306"/>
      </w:tabs>
    </w:pPr>
  </w:style>
  <w:style w:type="character" w:styleId="PageNumber">
    <w:name w:val="page number"/>
    <w:basedOn w:val="DefaultParagraphFont"/>
    <w:rsid w:val="006729C2"/>
  </w:style>
  <w:style w:type="paragraph" w:styleId="BodyText">
    <w:name w:val="Body Text"/>
    <w:basedOn w:val="Normal"/>
    <w:rsid w:val="006729C2"/>
    <w:pPr>
      <w:jc w:val="both"/>
    </w:pPr>
    <w:rPr>
      <w:rFonts w:ascii="Arial" w:hAnsi="Arial" w:cs="Arial"/>
      <w:sz w:val="22"/>
      <w:szCs w:val="22"/>
      <w:lang w:val="en-ZA"/>
    </w:rPr>
  </w:style>
  <w:style w:type="paragraph" w:styleId="BalloonText">
    <w:name w:val="Balloon Text"/>
    <w:basedOn w:val="Normal"/>
    <w:semiHidden/>
    <w:rsid w:val="006729C2"/>
    <w:rPr>
      <w:rFonts w:ascii="Tahoma" w:hAnsi="Tahoma" w:cs="Tahoma"/>
      <w:sz w:val="16"/>
      <w:szCs w:val="16"/>
    </w:rPr>
  </w:style>
  <w:style w:type="paragraph" w:styleId="BodyTextIndent3">
    <w:name w:val="Body Text Indent 3"/>
    <w:basedOn w:val="Normal"/>
    <w:rsid w:val="006729C2"/>
    <w:pPr>
      <w:ind w:left="431"/>
      <w:jc w:val="both"/>
    </w:pPr>
    <w:rPr>
      <w:rFonts w:ascii="Arial" w:hAnsi="Arial" w:cs="Arial"/>
      <w:b/>
      <w:bCs/>
      <w:sz w:val="20"/>
      <w:szCs w:val="20"/>
      <w:lang w:val="en-ZA"/>
    </w:rPr>
  </w:style>
  <w:style w:type="paragraph" w:styleId="Subtitle">
    <w:name w:val="Subtitle"/>
    <w:basedOn w:val="Normal"/>
    <w:qFormat/>
    <w:rsid w:val="006F4EF9"/>
    <w:pPr>
      <w:jc w:val="center"/>
    </w:pPr>
    <w:rPr>
      <w:rFonts w:ascii="Arial" w:hAnsi="Arial"/>
      <w:b/>
      <w:szCs w:val="20"/>
    </w:rPr>
  </w:style>
  <w:style w:type="paragraph" w:styleId="ListParagraph">
    <w:name w:val="List Paragraph"/>
    <w:basedOn w:val="Normal"/>
    <w:link w:val="ListParagraphChar"/>
    <w:uiPriority w:val="34"/>
    <w:qFormat/>
    <w:rsid w:val="00512C2D"/>
    <w:pPr>
      <w:ind w:left="720"/>
    </w:pPr>
  </w:style>
  <w:style w:type="paragraph" w:customStyle="1" w:styleId="Default">
    <w:name w:val="Default"/>
    <w:rsid w:val="00557024"/>
    <w:pPr>
      <w:widowControl w:val="0"/>
      <w:autoSpaceDE w:val="0"/>
      <w:autoSpaceDN w:val="0"/>
      <w:adjustRightInd w:val="0"/>
    </w:pPr>
    <w:rPr>
      <w:rFonts w:ascii="Times" w:hAnsi="Times" w:cs="Times"/>
      <w:color w:val="000000"/>
      <w:sz w:val="24"/>
      <w:szCs w:val="24"/>
    </w:rPr>
  </w:style>
  <w:style w:type="table" w:styleId="TableGrid">
    <w:name w:val="Table Grid"/>
    <w:basedOn w:val="TableNormal"/>
    <w:rsid w:val="00794A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gal1">
    <w:name w:val="Legal 1"/>
    <w:basedOn w:val="Normal"/>
    <w:rsid w:val="00D85A5C"/>
    <w:pPr>
      <w:widowControl w:val="0"/>
    </w:pPr>
    <w:rPr>
      <w:lang w:val="en-US" w:eastAsia="en-ZA"/>
    </w:rPr>
  </w:style>
  <w:style w:type="paragraph" w:styleId="FootnoteText">
    <w:name w:val="footnote text"/>
    <w:basedOn w:val="Normal"/>
    <w:link w:val="FootnoteTextChar"/>
    <w:rsid w:val="00D85A5C"/>
    <w:rPr>
      <w:rFonts w:ascii="Arial" w:hAnsi="Arial"/>
      <w:bCs/>
      <w:sz w:val="20"/>
      <w:szCs w:val="20"/>
      <w:lang w:val="en-ZA"/>
    </w:rPr>
  </w:style>
  <w:style w:type="character" w:customStyle="1" w:styleId="FootnoteTextChar">
    <w:name w:val="Footnote Text Char"/>
    <w:basedOn w:val="DefaultParagraphFont"/>
    <w:link w:val="FootnoteText"/>
    <w:rsid w:val="00D85A5C"/>
    <w:rPr>
      <w:rFonts w:ascii="Arial" w:hAnsi="Arial"/>
      <w:bCs/>
      <w:lang w:val="en-ZA"/>
    </w:rPr>
  </w:style>
  <w:style w:type="character" w:styleId="FootnoteReference">
    <w:name w:val="footnote reference"/>
    <w:basedOn w:val="DefaultParagraphFont"/>
    <w:rsid w:val="00D85A5C"/>
    <w:rPr>
      <w:vertAlign w:val="superscript"/>
    </w:rPr>
  </w:style>
  <w:style w:type="character" w:customStyle="1" w:styleId="FooterChar">
    <w:name w:val="Footer Char"/>
    <w:basedOn w:val="DefaultParagraphFont"/>
    <w:link w:val="Footer"/>
    <w:uiPriority w:val="99"/>
    <w:rsid w:val="00E26C86"/>
    <w:rPr>
      <w:sz w:val="24"/>
      <w:szCs w:val="24"/>
      <w:lang w:val="en-GB"/>
    </w:rPr>
  </w:style>
  <w:style w:type="character" w:styleId="CommentReference">
    <w:name w:val="annotation reference"/>
    <w:basedOn w:val="DefaultParagraphFont"/>
    <w:rsid w:val="0082122B"/>
    <w:rPr>
      <w:sz w:val="16"/>
      <w:szCs w:val="16"/>
    </w:rPr>
  </w:style>
  <w:style w:type="paragraph" w:styleId="CommentText">
    <w:name w:val="annotation text"/>
    <w:basedOn w:val="Normal"/>
    <w:link w:val="CommentTextChar"/>
    <w:rsid w:val="0082122B"/>
    <w:rPr>
      <w:sz w:val="20"/>
      <w:szCs w:val="20"/>
    </w:rPr>
  </w:style>
  <w:style w:type="character" w:customStyle="1" w:styleId="CommentTextChar">
    <w:name w:val="Comment Text Char"/>
    <w:basedOn w:val="DefaultParagraphFont"/>
    <w:link w:val="CommentText"/>
    <w:rsid w:val="0082122B"/>
    <w:rPr>
      <w:lang w:val="en-GB"/>
    </w:rPr>
  </w:style>
  <w:style w:type="paragraph" w:styleId="CommentSubject">
    <w:name w:val="annotation subject"/>
    <w:basedOn w:val="CommentText"/>
    <w:next w:val="CommentText"/>
    <w:link w:val="CommentSubjectChar"/>
    <w:rsid w:val="0082122B"/>
    <w:rPr>
      <w:b/>
      <w:bCs/>
    </w:rPr>
  </w:style>
  <w:style w:type="character" w:customStyle="1" w:styleId="CommentSubjectChar">
    <w:name w:val="Comment Subject Char"/>
    <w:basedOn w:val="CommentTextChar"/>
    <w:link w:val="CommentSubject"/>
    <w:rsid w:val="0082122B"/>
    <w:rPr>
      <w:b/>
      <w:bCs/>
      <w:lang w:val="en-GB"/>
    </w:rPr>
  </w:style>
  <w:style w:type="character" w:customStyle="1" w:styleId="BodyTextIndentChar">
    <w:name w:val="Body Text Indent Char"/>
    <w:basedOn w:val="DefaultParagraphFont"/>
    <w:link w:val="BodyTextIndent"/>
    <w:rsid w:val="006E7FE4"/>
    <w:rPr>
      <w:sz w:val="24"/>
      <w:szCs w:val="24"/>
      <w:lang w:val="en-ZA"/>
    </w:rPr>
  </w:style>
  <w:style w:type="character" w:styleId="Emphasis">
    <w:name w:val="Emphasis"/>
    <w:basedOn w:val="DefaultParagraphFont"/>
    <w:uiPriority w:val="20"/>
    <w:qFormat/>
    <w:rsid w:val="00DD7B56"/>
    <w:rPr>
      <w:b/>
      <w:bCs/>
      <w:i w:val="0"/>
      <w:iCs w:val="0"/>
    </w:rPr>
  </w:style>
  <w:style w:type="character" w:customStyle="1" w:styleId="st1">
    <w:name w:val="st1"/>
    <w:basedOn w:val="DefaultParagraphFont"/>
    <w:rsid w:val="00DD7B56"/>
  </w:style>
  <w:style w:type="paragraph" w:styleId="Revision">
    <w:name w:val="Revision"/>
    <w:hidden/>
    <w:uiPriority w:val="99"/>
    <w:semiHidden/>
    <w:rsid w:val="00797707"/>
    <w:rPr>
      <w:sz w:val="24"/>
      <w:szCs w:val="24"/>
      <w:lang w:val="en-GB"/>
    </w:rPr>
  </w:style>
  <w:style w:type="paragraph" w:styleId="NoSpacing">
    <w:name w:val="No Spacing"/>
    <w:uiPriority w:val="1"/>
    <w:qFormat/>
    <w:rsid w:val="00CB1322"/>
    <w:pPr>
      <w:widowControl w:val="0"/>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locked/>
    <w:rsid w:val="00D15A19"/>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25386">
      <w:bodyDiv w:val="1"/>
      <w:marLeft w:val="0"/>
      <w:marRight w:val="0"/>
      <w:marTop w:val="0"/>
      <w:marBottom w:val="0"/>
      <w:divBdr>
        <w:top w:val="none" w:sz="0" w:space="0" w:color="auto"/>
        <w:left w:val="none" w:sz="0" w:space="0" w:color="auto"/>
        <w:bottom w:val="none" w:sz="0" w:space="0" w:color="auto"/>
        <w:right w:val="none" w:sz="0" w:space="0" w:color="auto"/>
      </w:divBdr>
      <w:divsChild>
        <w:div w:id="192768378">
          <w:marLeft w:val="547"/>
          <w:marRight w:val="0"/>
          <w:marTop w:val="86"/>
          <w:marBottom w:val="0"/>
          <w:divBdr>
            <w:top w:val="none" w:sz="0" w:space="0" w:color="auto"/>
            <w:left w:val="none" w:sz="0" w:space="0" w:color="auto"/>
            <w:bottom w:val="none" w:sz="0" w:space="0" w:color="auto"/>
            <w:right w:val="none" w:sz="0" w:space="0" w:color="auto"/>
          </w:divBdr>
        </w:div>
        <w:div w:id="946349522">
          <w:marLeft w:val="547"/>
          <w:marRight w:val="0"/>
          <w:marTop w:val="86"/>
          <w:marBottom w:val="0"/>
          <w:divBdr>
            <w:top w:val="none" w:sz="0" w:space="0" w:color="auto"/>
            <w:left w:val="none" w:sz="0" w:space="0" w:color="auto"/>
            <w:bottom w:val="none" w:sz="0" w:space="0" w:color="auto"/>
            <w:right w:val="none" w:sz="0" w:space="0" w:color="auto"/>
          </w:divBdr>
        </w:div>
        <w:div w:id="1424646731">
          <w:marLeft w:val="547"/>
          <w:marRight w:val="0"/>
          <w:marTop w:val="86"/>
          <w:marBottom w:val="0"/>
          <w:divBdr>
            <w:top w:val="none" w:sz="0" w:space="0" w:color="auto"/>
            <w:left w:val="none" w:sz="0" w:space="0" w:color="auto"/>
            <w:bottom w:val="none" w:sz="0" w:space="0" w:color="auto"/>
            <w:right w:val="none" w:sz="0" w:space="0" w:color="auto"/>
          </w:divBdr>
        </w:div>
        <w:div w:id="1494905289">
          <w:marLeft w:val="1166"/>
          <w:marRight w:val="0"/>
          <w:marTop w:val="77"/>
          <w:marBottom w:val="0"/>
          <w:divBdr>
            <w:top w:val="none" w:sz="0" w:space="0" w:color="auto"/>
            <w:left w:val="none" w:sz="0" w:space="0" w:color="auto"/>
            <w:bottom w:val="none" w:sz="0" w:space="0" w:color="auto"/>
            <w:right w:val="none" w:sz="0" w:space="0" w:color="auto"/>
          </w:divBdr>
        </w:div>
        <w:div w:id="664404378">
          <w:marLeft w:val="1166"/>
          <w:marRight w:val="0"/>
          <w:marTop w:val="77"/>
          <w:marBottom w:val="0"/>
          <w:divBdr>
            <w:top w:val="none" w:sz="0" w:space="0" w:color="auto"/>
            <w:left w:val="none" w:sz="0" w:space="0" w:color="auto"/>
            <w:bottom w:val="none" w:sz="0" w:space="0" w:color="auto"/>
            <w:right w:val="none" w:sz="0" w:space="0" w:color="auto"/>
          </w:divBdr>
        </w:div>
      </w:divsChild>
    </w:div>
    <w:div w:id="148863082">
      <w:bodyDiv w:val="1"/>
      <w:marLeft w:val="0"/>
      <w:marRight w:val="0"/>
      <w:marTop w:val="0"/>
      <w:marBottom w:val="0"/>
      <w:divBdr>
        <w:top w:val="none" w:sz="0" w:space="0" w:color="auto"/>
        <w:left w:val="none" w:sz="0" w:space="0" w:color="auto"/>
        <w:bottom w:val="none" w:sz="0" w:space="0" w:color="auto"/>
        <w:right w:val="none" w:sz="0" w:space="0" w:color="auto"/>
      </w:divBdr>
      <w:divsChild>
        <w:div w:id="1137406864">
          <w:marLeft w:val="446"/>
          <w:marRight w:val="0"/>
          <w:marTop w:val="86"/>
          <w:marBottom w:val="0"/>
          <w:divBdr>
            <w:top w:val="none" w:sz="0" w:space="0" w:color="auto"/>
            <w:left w:val="none" w:sz="0" w:space="0" w:color="auto"/>
            <w:bottom w:val="none" w:sz="0" w:space="0" w:color="auto"/>
            <w:right w:val="none" w:sz="0" w:space="0" w:color="auto"/>
          </w:divBdr>
        </w:div>
        <w:div w:id="1943413431">
          <w:marLeft w:val="1166"/>
          <w:marRight w:val="0"/>
          <w:marTop w:val="77"/>
          <w:marBottom w:val="0"/>
          <w:divBdr>
            <w:top w:val="none" w:sz="0" w:space="0" w:color="auto"/>
            <w:left w:val="none" w:sz="0" w:space="0" w:color="auto"/>
            <w:bottom w:val="none" w:sz="0" w:space="0" w:color="auto"/>
            <w:right w:val="none" w:sz="0" w:space="0" w:color="auto"/>
          </w:divBdr>
        </w:div>
        <w:div w:id="79764737">
          <w:marLeft w:val="1166"/>
          <w:marRight w:val="0"/>
          <w:marTop w:val="77"/>
          <w:marBottom w:val="0"/>
          <w:divBdr>
            <w:top w:val="none" w:sz="0" w:space="0" w:color="auto"/>
            <w:left w:val="none" w:sz="0" w:space="0" w:color="auto"/>
            <w:bottom w:val="none" w:sz="0" w:space="0" w:color="auto"/>
            <w:right w:val="none" w:sz="0" w:space="0" w:color="auto"/>
          </w:divBdr>
        </w:div>
        <w:div w:id="47923792">
          <w:marLeft w:val="1166"/>
          <w:marRight w:val="0"/>
          <w:marTop w:val="77"/>
          <w:marBottom w:val="0"/>
          <w:divBdr>
            <w:top w:val="none" w:sz="0" w:space="0" w:color="auto"/>
            <w:left w:val="none" w:sz="0" w:space="0" w:color="auto"/>
            <w:bottom w:val="none" w:sz="0" w:space="0" w:color="auto"/>
            <w:right w:val="none" w:sz="0" w:space="0" w:color="auto"/>
          </w:divBdr>
        </w:div>
      </w:divsChild>
    </w:div>
    <w:div w:id="306397221">
      <w:bodyDiv w:val="1"/>
      <w:marLeft w:val="0"/>
      <w:marRight w:val="0"/>
      <w:marTop w:val="0"/>
      <w:marBottom w:val="0"/>
      <w:divBdr>
        <w:top w:val="none" w:sz="0" w:space="0" w:color="auto"/>
        <w:left w:val="none" w:sz="0" w:space="0" w:color="auto"/>
        <w:bottom w:val="none" w:sz="0" w:space="0" w:color="auto"/>
        <w:right w:val="none" w:sz="0" w:space="0" w:color="auto"/>
      </w:divBdr>
    </w:div>
    <w:div w:id="671614838">
      <w:bodyDiv w:val="1"/>
      <w:marLeft w:val="0"/>
      <w:marRight w:val="0"/>
      <w:marTop w:val="0"/>
      <w:marBottom w:val="0"/>
      <w:divBdr>
        <w:top w:val="none" w:sz="0" w:space="0" w:color="auto"/>
        <w:left w:val="none" w:sz="0" w:space="0" w:color="auto"/>
        <w:bottom w:val="none" w:sz="0" w:space="0" w:color="auto"/>
        <w:right w:val="none" w:sz="0" w:space="0" w:color="auto"/>
      </w:divBdr>
    </w:div>
    <w:div w:id="735469173">
      <w:bodyDiv w:val="1"/>
      <w:marLeft w:val="0"/>
      <w:marRight w:val="0"/>
      <w:marTop w:val="0"/>
      <w:marBottom w:val="0"/>
      <w:divBdr>
        <w:top w:val="none" w:sz="0" w:space="0" w:color="auto"/>
        <w:left w:val="none" w:sz="0" w:space="0" w:color="auto"/>
        <w:bottom w:val="none" w:sz="0" w:space="0" w:color="auto"/>
        <w:right w:val="none" w:sz="0" w:space="0" w:color="auto"/>
      </w:divBdr>
      <w:divsChild>
        <w:div w:id="1546525469">
          <w:marLeft w:val="547"/>
          <w:marRight w:val="0"/>
          <w:marTop w:val="0"/>
          <w:marBottom w:val="0"/>
          <w:divBdr>
            <w:top w:val="none" w:sz="0" w:space="0" w:color="auto"/>
            <w:left w:val="none" w:sz="0" w:space="0" w:color="auto"/>
            <w:bottom w:val="none" w:sz="0" w:space="0" w:color="auto"/>
            <w:right w:val="none" w:sz="0" w:space="0" w:color="auto"/>
          </w:divBdr>
        </w:div>
        <w:div w:id="659624532">
          <w:marLeft w:val="547"/>
          <w:marRight w:val="0"/>
          <w:marTop w:val="0"/>
          <w:marBottom w:val="0"/>
          <w:divBdr>
            <w:top w:val="none" w:sz="0" w:space="0" w:color="auto"/>
            <w:left w:val="none" w:sz="0" w:space="0" w:color="auto"/>
            <w:bottom w:val="none" w:sz="0" w:space="0" w:color="auto"/>
            <w:right w:val="none" w:sz="0" w:space="0" w:color="auto"/>
          </w:divBdr>
        </w:div>
      </w:divsChild>
    </w:div>
    <w:div w:id="757747070">
      <w:bodyDiv w:val="1"/>
      <w:marLeft w:val="0"/>
      <w:marRight w:val="0"/>
      <w:marTop w:val="0"/>
      <w:marBottom w:val="0"/>
      <w:divBdr>
        <w:top w:val="none" w:sz="0" w:space="0" w:color="auto"/>
        <w:left w:val="none" w:sz="0" w:space="0" w:color="auto"/>
        <w:bottom w:val="none" w:sz="0" w:space="0" w:color="auto"/>
        <w:right w:val="none" w:sz="0" w:space="0" w:color="auto"/>
      </w:divBdr>
      <w:divsChild>
        <w:div w:id="1962883124">
          <w:marLeft w:val="0"/>
          <w:marRight w:val="0"/>
          <w:marTop w:val="0"/>
          <w:marBottom w:val="0"/>
          <w:divBdr>
            <w:top w:val="none" w:sz="0" w:space="0" w:color="auto"/>
            <w:left w:val="none" w:sz="0" w:space="0" w:color="auto"/>
            <w:bottom w:val="none" w:sz="0" w:space="0" w:color="auto"/>
            <w:right w:val="none" w:sz="0" w:space="0" w:color="auto"/>
          </w:divBdr>
        </w:div>
      </w:divsChild>
    </w:div>
    <w:div w:id="759645103">
      <w:bodyDiv w:val="1"/>
      <w:marLeft w:val="0"/>
      <w:marRight w:val="0"/>
      <w:marTop w:val="0"/>
      <w:marBottom w:val="0"/>
      <w:divBdr>
        <w:top w:val="none" w:sz="0" w:space="0" w:color="auto"/>
        <w:left w:val="none" w:sz="0" w:space="0" w:color="auto"/>
        <w:bottom w:val="none" w:sz="0" w:space="0" w:color="auto"/>
        <w:right w:val="none" w:sz="0" w:space="0" w:color="auto"/>
      </w:divBdr>
    </w:div>
    <w:div w:id="820776577">
      <w:bodyDiv w:val="1"/>
      <w:marLeft w:val="0"/>
      <w:marRight w:val="0"/>
      <w:marTop w:val="0"/>
      <w:marBottom w:val="0"/>
      <w:divBdr>
        <w:top w:val="none" w:sz="0" w:space="0" w:color="auto"/>
        <w:left w:val="none" w:sz="0" w:space="0" w:color="auto"/>
        <w:bottom w:val="none" w:sz="0" w:space="0" w:color="auto"/>
        <w:right w:val="none" w:sz="0" w:space="0" w:color="auto"/>
      </w:divBdr>
      <w:divsChild>
        <w:div w:id="196238922">
          <w:marLeft w:val="1166"/>
          <w:marRight w:val="0"/>
          <w:marTop w:val="86"/>
          <w:marBottom w:val="0"/>
          <w:divBdr>
            <w:top w:val="none" w:sz="0" w:space="0" w:color="auto"/>
            <w:left w:val="none" w:sz="0" w:space="0" w:color="auto"/>
            <w:bottom w:val="none" w:sz="0" w:space="0" w:color="auto"/>
            <w:right w:val="none" w:sz="0" w:space="0" w:color="auto"/>
          </w:divBdr>
        </w:div>
        <w:div w:id="174809087">
          <w:marLeft w:val="1166"/>
          <w:marRight w:val="0"/>
          <w:marTop w:val="86"/>
          <w:marBottom w:val="0"/>
          <w:divBdr>
            <w:top w:val="none" w:sz="0" w:space="0" w:color="auto"/>
            <w:left w:val="none" w:sz="0" w:space="0" w:color="auto"/>
            <w:bottom w:val="none" w:sz="0" w:space="0" w:color="auto"/>
            <w:right w:val="none" w:sz="0" w:space="0" w:color="auto"/>
          </w:divBdr>
        </w:div>
        <w:div w:id="784425729">
          <w:marLeft w:val="1166"/>
          <w:marRight w:val="0"/>
          <w:marTop w:val="86"/>
          <w:marBottom w:val="0"/>
          <w:divBdr>
            <w:top w:val="none" w:sz="0" w:space="0" w:color="auto"/>
            <w:left w:val="none" w:sz="0" w:space="0" w:color="auto"/>
            <w:bottom w:val="none" w:sz="0" w:space="0" w:color="auto"/>
            <w:right w:val="none" w:sz="0" w:space="0" w:color="auto"/>
          </w:divBdr>
        </w:div>
      </w:divsChild>
    </w:div>
    <w:div w:id="856850059">
      <w:bodyDiv w:val="1"/>
      <w:marLeft w:val="0"/>
      <w:marRight w:val="0"/>
      <w:marTop w:val="0"/>
      <w:marBottom w:val="0"/>
      <w:divBdr>
        <w:top w:val="none" w:sz="0" w:space="0" w:color="auto"/>
        <w:left w:val="none" w:sz="0" w:space="0" w:color="auto"/>
        <w:bottom w:val="none" w:sz="0" w:space="0" w:color="auto"/>
        <w:right w:val="none" w:sz="0" w:space="0" w:color="auto"/>
      </w:divBdr>
    </w:div>
    <w:div w:id="879785474">
      <w:bodyDiv w:val="1"/>
      <w:marLeft w:val="0"/>
      <w:marRight w:val="0"/>
      <w:marTop w:val="0"/>
      <w:marBottom w:val="0"/>
      <w:divBdr>
        <w:top w:val="none" w:sz="0" w:space="0" w:color="auto"/>
        <w:left w:val="none" w:sz="0" w:space="0" w:color="auto"/>
        <w:bottom w:val="none" w:sz="0" w:space="0" w:color="auto"/>
        <w:right w:val="none" w:sz="0" w:space="0" w:color="auto"/>
      </w:divBdr>
      <w:divsChild>
        <w:div w:id="1665817054">
          <w:marLeft w:val="0"/>
          <w:marRight w:val="0"/>
          <w:marTop w:val="0"/>
          <w:marBottom w:val="0"/>
          <w:divBdr>
            <w:top w:val="none" w:sz="0" w:space="0" w:color="auto"/>
            <w:left w:val="none" w:sz="0" w:space="0" w:color="auto"/>
            <w:bottom w:val="none" w:sz="0" w:space="0" w:color="auto"/>
            <w:right w:val="none" w:sz="0" w:space="0" w:color="auto"/>
          </w:divBdr>
          <w:divsChild>
            <w:div w:id="68755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01819">
      <w:bodyDiv w:val="1"/>
      <w:marLeft w:val="0"/>
      <w:marRight w:val="0"/>
      <w:marTop w:val="0"/>
      <w:marBottom w:val="0"/>
      <w:divBdr>
        <w:top w:val="none" w:sz="0" w:space="0" w:color="auto"/>
        <w:left w:val="none" w:sz="0" w:space="0" w:color="auto"/>
        <w:bottom w:val="none" w:sz="0" w:space="0" w:color="auto"/>
        <w:right w:val="none" w:sz="0" w:space="0" w:color="auto"/>
      </w:divBdr>
      <w:divsChild>
        <w:div w:id="620575930">
          <w:marLeft w:val="1166"/>
          <w:marRight w:val="0"/>
          <w:marTop w:val="77"/>
          <w:marBottom w:val="0"/>
          <w:divBdr>
            <w:top w:val="none" w:sz="0" w:space="0" w:color="auto"/>
            <w:left w:val="none" w:sz="0" w:space="0" w:color="auto"/>
            <w:bottom w:val="none" w:sz="0" w:space="0" w:color="auto"/>
            <w:right w:val="none" w:sz="0" w:space="0" w:color="auto"/>
          </w:divBdr>
        </w:div>
        <w:div w:id="1668822925">
          <w:marLeft w:val="1166"/>
          <w:marRight w:val="0"/>
          <w:marTop w:val="77"/>
          <w:marBottom w:val="0"/>
          <w:divBdr>
            <w:top w:val="none" w:sz="0" w:space="0" w:color="auto"/>
            <w:left w:val="none" w:sz="0" w:space="0" w:color="auto"/>
            <w:bottom w:val="none" w:sz="0" w:space="0" w:color="auto"/>
            <w:right w:val="none" w:sz="0" w:space="0" w:color="auto"/>
          </w:divBdr>
        </w:div>
        <w:div w:id="439497489">
          <w:marLeft w:val="1166"/>
          <w:marRight w:val="0"/>
          <w:marTop w:val="77"/>
          <w:marBottom w:val="0"/>
          <w:divBdr>
            <w:top w:val="none" w:sz="0" w:space="0" w:color="auto"/>
            <w:left w:val="none" w:sz="0" w:space="0" w:color="auto"/>
            <w:bottom w:val="none" w:sz="0" w:space="0" w:color="auto"/>
            <w:right w:val="none" w:sz="0" w:space="0" w:color="auto"/>
          </w:divBdr>
        </w:div>
      </w:divsChild>
    </w:div>
    <w:div w:id="928197507">
      <w:bodyDiv w:val="1"/>
      <w:marLeft w:val="0"/>
      <w:marRight w:val="0"/>
      <w:marTop w:val="0"/>
      <w:marBottom w:val="0"/>
      <w:divBdr>
        <w:top w:val="none" w:sz="0" w:space="0" w:color="auto"/>
        <w:left w:val="none" w:sz="0" w:space="0" w:color="auto"/>
        <w:bottom w:val="none" w:sz="0" w:space="0" w:color="auto"/>
        <w:right w:val="none" w:sz="0" w:space="0" w:color="auto"/>
      </w:divBdr>
      <w:divsChild>
        <w:div w:id="1800805403">
          <w:marLeft w:val="0"/>
          <w:marRight w:val="0"/>
          <w:marTop w:val="0"/>
          <w:marBottom w:val="0"/>
          <w:divBdr>
            <w:top w:val="none" w:sz="0" w:space="0" w:color="auto"/>
            <w:left w:val="none" w:sz="0" w:space="0" w:color="auto"/>
            <w:bottom w:val="none" w:sz="0" w:space="0" w:color="auto"/>
            <w:right w:val="none" w:sz="0" w:space="0" w:color="auto"/>
          </w:divBdr>
        </w:div>
      </w:divsChild>
    </w:div>
    <w:div w:id="965351846">
      <w:bodyDiv w:val="1"/>
      <w:marLeft w:val="0"/>
      <w:marRight w:val="0"/>
      <w:marTop w:val="0"/>
      <w:marBottom w:val="0"/>
      <w:divBdr>
        <w:top w:val="none" w:sz="0" w:space="0" w:color="auto"/>
        <w:left w:val="none" w:sz="0" w:space="0" w:color="auto"/>
        <w:bottom w:val="none" w:sz="0" w:space="0" w:color="auto"/>
        <w:right w:val="none" w:sz="0" w:space="0" w:color="auto"/>
      </w:divBdr>
      <w:divsChild>
        <w:div w:id="1265459974">
          <w:marLeft w:val="1166"/>
          <w:marRight w:val="0"/>
          <w:marTop w:val="77"/>
          <w:marBottom w:val="0"/>
          <w:divBdr>
            <w:top w:val="none" w:sz="0" w:space="0" w:color="auto"/>
            <w:left w:val="none" w:sz="0" w:space="0" w:color="auto"/>
            <w:bottom w:val="none" w:sz="0" w:space="0" w:color="auto"/>
            <w:right w:val="none" w:sz="0" w:space="0" w:color="auto"/>
          </w:divBdr>
        </w:div>
        <w:div w:id="967784687">
          <w:marLeft w:val="1166"/>
          <w:marRight w:val="0"/>
          <w:marTop w:val="77"/>
          <w:marBottom w:val="0"/>
          <w:divBdr>
            <w:top w:val="none" w:sz="0" w:space="0" w:color="auto"/>
            <w:left w:val="none" w:sz="0" w:space="0" w:color="auto"/>
            <w:bottom w:val="none" w:sz="0" w:space="0" w:color="auto"/>
            <w:right w:val="none" w:sz="0" w:space="0" w:color="auto"/>
          </w:divBdr>
        </w:div>
        <w:div w:id="917057400">
          <w:marLeft w:val="1166"/>
          <w:marRight w:val="0"/>
          <w:marTop w:val="77"/>
          <w:marBottom w:val="0"/>
          <w:divBdr>
            <w:top w:val="none" w:sz="0" w:space="0" w:color="auto"/>
            <w:left w:val="none" w:sz="0" w:space="0" w:color="auto"/>
            <w:bottom w:val="none" w:sz="0" w:space="0" w:color="auto"/>
            <w:right w:val="none" w:sz="0" w:space="0" w:color="auto"/>
          </w:divBdr>
        </w:div>
        <w:div w:id="403067371">
          <w:marLeft w:val="1166"/>
          <w:marRight w:val="0"/>
          <w:marTop w:val="77"/>
          <w:marBottom w:val="0"/>
          <w:divBdr>
            <w:top w:val="none" w:sz="0" w:space="0" w:color="auto"/>
            <w:left w:val="none" w:sz="0" w:space="0" w:color="auto"/>
            <w:bottom w:val="none" w:sz="0" w:space="0" w:color="auto"/>
            <w:right w:val="none" w:sz="0" w:space="0" w:color="auto"/>
          </w:divBdr>
        </w:div>
        <w:div w:id="974410819">
          <w:marLeft w:val="1166"/>
          <w:marRight w:val="0"/>
          <w:marTop w:val="77"/>
          <w:marBottom w:val="0"/>
          <w:divBdr>
            <w:top w:val="none" w:sz="0" w:space="0" w:color="auto"/>
            <w:left w:val="none" w:sz="0" w:space="0" w:color="auto"/>
            <w:bottom w:val="none" w:sz="0" w:space="0" w:color="auto"/>
            <w:right w:val="none" w:sz="0" w:space="0" w:color="auto"/>
          </w:divBdr>
        </w:div>
        <w:div w:id="1985234254">
          <w:marLeft w:val="1166"/>
          <w:marRight w:val="0"/>
          <w:marTop w:val="77"/>
          <w:marBottom w:val="0"/>
          <w:divBdr>
            <w:top w:val="none" w:sz="0" w:space="0" w:color="auto"/>
            <w:left w:val="none" w:sz="0" w:space="0" w:color="auto"/>
            <w:bottom w:val="none" w:sz="0" w:space="0" w:color="auto"/>
            <w:right w:val="none" w:sz="0" w:space="0" w:color="auto"/>
          </w:divBdr>
        </w:div>
        <w:div w:id="1209413793">
          <w:marLeft w:val="1166"/>
          <w:marRight w:val="0"/>
          <w:marTop w:val="77"/>
          <w:marBottom w:val="0"/>
          <w:divBdr>
            <w:top w:val="none" w:sz="0" w:space="0" w:color="auto"/>
            <w:left w:val="none" w:sz="0" w:space="0" w:color="auto"/>
            <w:bottom w:val="none" w:sz="0" w:space="0" w:color="auto"/>
            <w:right w:val="none" w:sz="0" w:space="0" w:color="auto"/>
          </w:divBdr>
        </w:div>
        <w:div w:id="1130172438">
          <w:marLeft w:val="1166"/>
          <w:marRight w:val="0"/>
          <w:marTop w:val="77"/>
          <w:marBottom w:val="0"/>
          <w:divBdr>
            <w:top w:val="none" w:sz="0" w:space="0" w:color="auto"/>
            <w:left w:val="none" w:sz="0" w:space="0" w:color="auto"/>
            <w:bottom w:val="none" w:sz="0" w:space="0" w:color="auto"/>
            <w:right w:val="none" w:sz="0" w:space="0" w:color="auto"/>
          </w:divBdr>
        </w:div>
      </w:divsChild>
    </w:div>
    <w:div w:id="1131366837">
      <w:bodyDiv w:val="1"/>
      <w:marLeft w:val="0"/>
      <w:marRight w:val="0"/>
      <w:marTop w:val="0"/>
      <w:marBottom w:val="0"/>
      <w:divBdr>
        <w:top w:val="none" w:sz="0" w:space="0" w:color="auto"/>
        <w:left w:val="none" w:sz="0" w:space="0" w:color="auto"/>
        <w:bottom w:val="none" w:sz="0" w:space="0" w:color="auto"/>
        <w:right w:val="none" w:sz="0" w:space="0" w:color="auto"/>
      </w:divBdr>
      <w:divsChild>
        <w:div w:id="1133669916">
          <w:marLeft w:val="994"/>
          <w:marRight w:val="0"/>
          <w:marTop w:val="77"/>
          <w:marBottom w:val="0"/>
          <w:divBdr>
            <w:top w:val="none" w:sz="0" w:space="0" w:color="auto"/>
            <w:left w:val="none" w:sz="0" w:space="0" w:color="auto"/>
            <w:bottom w:val="none" w:sz="0" w:space="0" w:color="auto"/>
            <w:right w:val="none" w:sz="0" w:space="0" w:color="auto"/>
          </w:divBdr>
        </w:div>
        <w:div w:id="517617363">
          <w:marLeft w:val="994"/>
          <w:marRight w:val="0"/>
          <w:marTop w:val="77"/>
          <w:marBottom w:val="0"/>
          <w:divBdr>
            <w:top w:val="none" w:sz="0" w:space="0" w:color="auto"/>
            <w:left w:val="none" w:sz="0" w:space="0" w:color="auto"/>
            <w:bottom w:val="none" w:sz="0" w:space="0" w:color="auto"/>
            <w:right w:val="none" w:sz="0" w:space="0" w:color="auto"/>
          </w:divBdr>
        </w:div>
        <w:div w:id="1606108099">
          <w:marLeft w:val="994"/>
          <w:marRight w:val="0"/>
          <w:marTop w:val="77"/>
          <w:marBottom w:val="0"/>
          <w:divBdr>
            <w:top w:val="none" w:sz="0" w:space="0" w:color="auto"/>
            <w:left w:val="none" w:sz="0" w:space="0" w:color="auto"/>
            <w:bottom w:val="none" w:sz="0" w:space="0" w:color="auto"/>
            <w:right w:val="none" w:sz="0" w:space="0" w:color="auto"/>
          </w:divBdr>
        </w:div>
        <w:div w:id="1001663713">
          <w:marLeft w:val="994"/>
          <w:marRight w:val="0"/>
          <w:marTop w:val="77"/>
          <w:marBottom w:val="0"/>
          <w:divBdr>
            <w:top w:val="none" w:sz="0" w:space="0" w:color="auto"/>
            <w:left w:val="none" w:sz="0" w:space="0" w:color="auto"/>
            <w:bottom w:val="none" w:sz="0" w:space="0" w:color="auto"/>
            <w:right w:val="none" w:sz="0" w:space="0" w:color="auto"/>
          </w:divBdr>
        </w:div>
      </w:divsChild>
    </w:div>
    <w:div w:id="1173766244">
      <w:bodyDiv w:val="1"/>
      <w:marLeft w:val="0"/>
      <w:marRight w:val="0"/>
      <w:marTop w:val="0"/>
      <w:marBottom w:val="0"/>
      <w:divBdr>
        <w:top w:val="none" w:sz="0" w:space="0" w:color="auto"/>
        <w:left w:val="none" w:sz="0" w:space="0" w:color="auto"/>
        <w:bottom w:val="none" w:sz="0" w:space="0" w:color="auto"/>
        <w:right w:val="none" w:sz="0" w:space="0" w:color="auto"/>
      </w:divBdr>
      <w:divsChild>
        <w:div w:id="2133862365">
          <w:marLeft w:val="547"/>
          <w:marRight w:val="0"/>
          <w:marTop w:val="96"/>
          <w:marBottom w:val="0"/>
          <w:divBdr>
            <w:top w:val="none" w:sz="0" w:space="0" w:color="auto"/>
            <w:left w:val="none" w:sz="0" w:space="0" w:color="auto"/>
            <w:bottom w:val="none" w:sz="0" w:space="0" w:color="auto"/>
            <w:right w:val="none" w:sz="0" w:space="0" w:color="auto"/>
          </w:divBdr>
        </w:div>
        <w:div w:id="1415131518">
          <w:marLeft w:val="547"/>
          <w:marRight w:val="0"/>
          <w:marTop w:val="82"/>
          <w:marBottom w:val="0"/>
          <w:divBdr>
            <w:top w:val="none" w:sz="0" w:space="0" w:color="auto"/>
            <w:left w:val="none" w:sz="0" w:space="0" w:color="auto"/>
            <w:bottom w:val="none" w:sz="0" w:space="0" w:color="auto"/>
            <w:right w:val="none" w:sz="0" w:space="0" w:color="auto"/>
          </w:divBdr>
        </w:div>
        <w:div w:id="621762204">
          <w:marLeft w:val="547"/>
          <w:marRight w:val="0"/>
          <w:marTop w:val="96"/>
          <w:marBottom w:val="0"/>
          <w:divBdr>
            <w:top w:val="none" w:sz="0" w:space="0" w:color="auto"/>
            <w:left w:val="none" w:sz="0" w:space="0" w:color="auto"/>
            <w:bottom w:val="none" w:sz="0" w:space="0" w:color="auto"/>
            <w:right w:val="none" w:sz="0" w:space="0" w:color="auto"/>
          </w:divBdr>
        </w:div>
        <w:div w:id="584414518">
          <w:marLeft w:val="547"/>
          <w:marRight w:val="0"/>
          <w:marTop w:val="82"/>
          <w:marBottom w:val="0"/>
          <w:divBdr>
            <w:top w:val="none" w:sz="0" w:space="0" w:color="auto"/>
            <w:left w:val="none" w:sz="0" w:space="0" w:color="auto"/>
            <w:bottom w:val="none" w:sz="0" w:space="0" w:color="auto"/>
            <w:right w:val="none" w:sz="0" w:space="0" w:color="auto"/>
          </w:divBdr>
        </w:div>
        <w:div w:id="719942895">
          <w:marLeft w:val="547"/>
          <w:marRight w:val="0"/>
          <w:marTop w:val="82"/>
          <w:marBottom w:val="0"/>
          <w:divBdr>
            <w:top w:val="none" w:sz="0" w:space="0" w:color="auto"/>
            <w:left w:val="none" w:sz="0" w:space="0" w:color="auto"/>
            <w:bottom w:val="none" w:sz="0" w:space="0" w:color="auto"/>
            <w:right w:val="none" w:sz="0" w:space="0" w:color="auto"/>
          </w:divBdr>
        </w:div>
        <w:div w:id="470902472">
          <w:marLeft w:val="547"/>
          <w:marRight w:val="0"/>
          <w:marTop w:val="96"/>
          <w:marBottom w:val="0"/>
          <w:divBdr>
            <w:top w:val="none" w:sz="0" w:space="0" w:color="auto"/>
            <w:left w:val="none" w:sz="0" w:space="0" w:color="auto"/>
            <w:bottom w:val="none" w:sz="0" w:space="0" w:color="auto"/>
            <w:right w:val="none" w:sz="0" w:space="0" w:color="auto"/>
          </w:divBdr>
        </w:div>
        <w:div w:id="1370885006">
          <w:marLeft w:val="547"/>
          <w:marRight w:val="0"/>
          <w:marTop w:val="82"/>
          <w:marBottom w:val="0"/>
          <w:divBdr>
            <w:top w:val="none" w:sz="0" w:space="0" w:color="auto"/>
            <w:left w:val="none" w:sz="0" w:space="0" w:color="auto"/>
            <w:bottom w:val="none" w:sz="0" w:space="0" w:color="auto"/>
            <w:right w:val="none" w:sz="0" w:space="0" w:color="auto"/>
          </w:divBdr>
        </w:div>
        <w:div w:id="1092747382">
          <w:marLeft w:val="547"/>
          <w:marRight w:val="0"/>
          <w:marTop w:val="82"/>
          <w:marBottom w:val="0"/>
          <w:divBdr>
            <w:top w:val="none" w:sz="0" w:space="0" w:color="auto"/>
            <w:left w:val="none" w:sz="0" w:space="0" w:color="auto"/>
            <w:bottom w:val="none" w:sz="0" w:space="0" w:color="auto"/>
            <w:right w:val="none" w:sz="0" w:space="0" w:color="auto"/>
          </w:divBdr>
        </w:div>
      </w:divsChild>
    </w:div>
    <w:div w:id="1208906221">
      <w:bodyDiv w:val="1"/>
      <w:marLeft w:val="0"/>
      <w:marRight w:val="0"/>
      <w:marTop w:val="0"/>
      <w:marBottom w:val="0"/>
      <w:divBdr>
        <w:top w:val="none" w:sz="0" w:space="0" w:color="auto"/>
        <w:left w:val="none" w:sz="0" w:space="0" w:color="auto"/>
        <w:bottom w:val="none" w:sz="0" w:space="0" w:color="auto"/>
        <w:right w:val="none" w:sz="0" w:space="0" w:color="auto"/>
      </w:divBdr>
      <w:divsChild>
        <w:div w:id="2138333449">
          <w:marLeft w:val="0"/>
          <w:marRight w:val="0"/>
          <w:marTop w:val="0"/>
          <w:marBottom w:val="0"/>
          <w:divBdr>
            <w:top w:val="none" w:sz="0" w:space="0" w:color="auto"/>
            <w:left w:val="none" w:sz="0" w:space="0" w:color="auto"/>
            <w:bottom w:val="none" w:sz="0" w:space="0" w:color="auto"/>
            <w:right w:val="none" w:sz="0" w:space="0" w:color="auto"/>
          </w:divBdr>
          <w:divsChild>
            <w:div w:id="4840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48201">
      <w:bodyDiv w:val="1"/>
      <w:marLeft w:val="0"/>
      <w:marRight w:val="0"/>
      <w:marTop w:val="0"/>
      <w:marBottom w:val="0"/>
      <w:divBdr>
        <w:top w:val="none" w:sz="0" w:space="0" w:color="auto"/>
        <w:left w:val="none" w:sz="0" w:space="0" w:color="auto"/>
        <w:bottom w:val="none" w:sz="0" w:space="0" w:color="auto"/>
        <w:right w:val="none" w:sz="0" w:space="0" w:color="auto"/>
      </w:divBdr>
      <w:divsChild>
        <w:div w:id="1946687955">
          <w:marLeft w:val="0"/>
          <w:marRight w:val="0"/>
          <w:marTop w:val="0"/>
          <w:marBottom w:val="0"/>
          <w:divBdr>
            <w:top w:val="none" w:sz="0" w:space="0" w:color="auto"/>
            <w:left w:val="none" w:sz="0" w:space="0" w:color="auto"/>
            <w:bottom w:val="none" w:sz="0" w:space="0" w:color="auto"/>
            <w:right w:val="none" w:sz="0" w:space="0" w:color="auto"/>
          </w:divBdr>
          <w:divsChild>
            <w:div w:id="17198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82096">
      <w:bodyDiv w:val="1"/>
      <w:marLeft w:val="0"/>
      <w:marRight w:val="0"/>
      <w:marTop w:val="0"/>
      <w:marBottom w:val="0"/>
      <w:divBdr>
        <w:top w:val="none" w:sz="0" w:space="0" w:color="auto"/>
        <w:left w:val="none" w:sz="0" w:space="0" w:color="auto"/>
        <w:bottom w:val="none" w:sz="0" w:space="0" w:color="auto"/>
        <w:right w:val="none" w:sz="0" w:space="0" w:color="auto"/>
      </w:divBdr>
      <w:divsChild>
        <w:div w:id="559481995">
          <w:marLeft w:val="0"/>
          <w:marRight w:val="0"/>
          <w:marTop w:val="0"/>
          <w:marBottom w:val="0"/>
          <w:divBdr>
            <w:top w:val="none" w:sz="0" w:space="0" w:color="auto"/>
            <w:left w:val="none" w:sz="0" w:space="0" w:color="auto"/>
            <w:bottom w:val="none" w:sz="0" w:space="0" w:color="auto"/>
            <w:right w:val="none" w:sz="0" w:space="0" w:color="auto"/>
          </w:divBdr>
        </w:div>
      </w:divsChild>
    </w:div>
    <w:div w:id="1579628004">
      <w:bodyDiv w:val="1"/>
      <w:marLeft w:val="0"/>
      <w:marRight w:val="0"/>
      <w:marTop w:val="0"/>
      <w:marBottom w:val="0"/>
      <w:divBdr>
        <w:top w:val="none" w:sz="0" w:space="0" w:color="auto"/>
        <w:left w:val="none" w:sz="0" w:space="0" w:color="auto"/>
        <w:bottom w:val="none" w:sz="0" w:space="0" w:color="auto"/>
        <w:right w:val="none" w:sz="0" w:space="0" w:color="auto"/>
      </w:divBdr>
      <w:divsChild>
        <w:div w:id="1184320133">
          <w:marLeft w:val="0"/>
          <w:marRight w:val="0"/>
          <w:marTop w:val="0"/>
          <w:marBottom w:val="0"/>
          <w:divBdr>
            <w:top w:val="none" w:sz="0" w:space="0" w:color="auto"/>
            <w:left w:val="none" w:sz="0" w:space="0" w:color="auto"/>
            <w:bottom w:val="none" w:sz="0" w:space="0" w:color="auto"/>
            <w:right w:val="none" w:sz="0" w:space="0" w:color="auto"/>
          </w:divBdr>
        </w:div>
      </w:divsChild>
    </w:div>
    <w:div w:id="1611352547">
      <w:bodyDiv w:val="1"/>
      <w:marLeft w:val="0"/>
      <w:marRight w:val="0"/>
      <w:marTop w:val="0"/>
      <w:marBottom w:val="0"/>
      <w:divBdr>
        <w:top w:val="none" w:sz="0" w:space="0" w:color="auto"/>
        <w:left w:val="none" w:sz="0" w:space="0" w:color="auto"/>
        <w:bottom w:val="none" w:sz="0" w:space="0" w:color="auto"/>
        <w:right w:val="none" w:sz="0" w:space="0" w:color="auto"/>
      </w:divBdr>
      <w:divsChild>
        <w:div w:id="691998807">
          <w:marLeft w:val="547"/>
          <w:marRight w:val="0"/>
          <w:marTop w:val="96"/>
          <w:marBottom w:val="0"/>
          <w:divBdr>
            <w:top w:val="none" w:sz="0" w:space="0" w:color="auto"/>
            <w:left w:val="none" w:sz="0" w:space="0" w:color="auto"/>
            <w:bottom w:val="none" w:sz="0" w:space="0" w:color="auto"/>
            <w:right w:val="none" w:sz="0" w:space="0" w:color="auto"/>
          </w:divBdr>
        </w:div>
        <w:div w:id="1695156424">
          <w:marLeft w:val="1166"/>
          <w:marRight w:val="0"/>
          <w:marTop w:val="86"/>
          <w:marBottom w:val="0"/>
          <w:divBdr>
            <w:top w:val="none" w:sz="0" w:space="0" w:color="auto"/>
            <w:left w:val="none" w:sz="0" w:space="0" w:color="auto"/>
            <w:bottom w:val="none" w:sz="0" w:space="0" w:color="auto"/>
            <w:right w:val="none" w:sz="0" w:space="0" w:color="auto"/>
          </w:divBdr>
        </w:div>
      </w:divsChild>
    </w:div>
    <w:div w:id="1622952533">
      <w:bodyDiv w:val="1"/>
      <w:marLeft w:val="0"/>
      <w:marRight w:val="0"/>
      <w:marTop w:val="0"/>
      <w:marBottom w:val="0"/>
      <w:divBdr>
        <w:top w:val="none" w:sz="0" w:space="0" w:color="auto"/>
        <w:left w:val="none" w:sz="0" w:space="0" w:color="auto"/>
        <w:bottom w:val="none" w:sz="0" w:space="0" w:color="auto"/>
        <w:right w:val="none" w:sz="0" w:space="0" w:color="auto"/>
      </w:divBdr>
      <w:divsChild>
        <w:div w:id="1448961534">
          <w:marLeft w:val="446"/>
          <w:marRight w:val="0"/>
          <w:marTop w:val="86"/>
          <w:marBottom w:val="0"/>
          <w:divBdr>
            <w:top w:val="none" w:sz="0" w:space="0" w:color="auto"/>
            <w:left w:val="none" w:sz="0" w:space="0" w:color="auto"/>
            <w:bottom w:val="none" w:sz="0" w:space="0" w:color="auto"/>
            <w:right w:val="none" w:sz="0" w:space="0" w:color="auto"/>
          </w:divBdr>
        </w:div>
        <w:div w:id="381711610">
          <w:marLeft w:val="446"/>
          <w:marRight w:val="0"/>
          <w:marTop w:val="86"/>
          <w:marBottom w:val="0"/>
          <w:divBdr>
            <w:top w:val="none" w:sz="0" w:space="0" w:color="auto"/>
            <w:left w:val="none" w:sz="0" w:space="0" w:color="auto"/>
            <w:bottom w:val="none" w:sz="0" w:space="0" w:color="auto"/>
            <w:right w:val="none" w:sz="0" w:space="0" w:color="auto"/>
          </w:divBdr>
        </w:div>
        <w:div w:id="161940669">
          <w:marLeft w:val="446"/>
          <w:marRight w:val="0"/>
          <w:marTop w:val="86"/>
          <w:marBottom w:val="0"/>
          <w:divBdr>
            <w:top w:val="none" w:sz="0" w:space="0" w:color="auto"/>
            <w:left w:val="none" w:sz="0" w:space="0" w:color="auto"/>
            <w:bottom w:val="none" w:sz="0" w:space="0" w:color="auto"/>
            <w:right w:val="none" w:sz="0" w:space="0" w:color="auto"/>
          </w:divBdr>
        </w:div>
        <w:div w:id="2002469200">
          <w:marLeft w:val="446"/>
          <w:marRight w:val="0"/>
          <w:marTop w:val="86"/>
          <w:marBottom w:val="0"/>
          <w:divBdr>
            <w:top w:val="none" w:sz="0" w:space="0" w:color="auto"/>
            <w:left w:val="none" w:sz="0" w:space="0" w:color="auto"/>
            <w:bottom w:val="none" w:sz="0" w:space="0" w:color="auto"/>
            <w:right w:val="none" w:sz="0" w:space="0" w:color="auto"/>
          </w:divBdr>
        </w:div>
        <w:div w:id="694573902">
          <w:marLeft w:val="446"/>
          <w:marRight w:val="0"/>
          <w:marTop w:val="86"/>
          <w:marBottom w:val="0"/>
          <w:divBdr>
            <w:top w:val="none" w:sz="0" w:space="0" w:color="auto"/>
            <w:left w:val="none" w:sz="0" w:space="0" w:color="auto"/>
            <w:bottom w:val="none" w:sz="0" w:space="0" w:color="auto"/>
            <w:right w:val="none" w:sz="0" w:space="0" w:color="auto"/>
          </w:divBdr>
        </w:div>
        <w:div w:id="875848805">
          <w:marLeft w:val="446"/>
          <w:marRight w:val="0"/>
          <w:marTop w:val="86"/>
          <w:marBottom w:val="0"/>
          <w:divBdr>
            <w:top w:val="none" w:sz="0" w:space="0" w:color="auto"/>
            <w:left w:val="none" w:sz="0" w:space="0" w:color="auto"/>
            <w:bottom w:val="none" w:sz="0" w:space="0" w:color="auto"/>
            <w:right w:val="none" w:sz="0" w:space="0" w:color="auto"/>
          </w:divBdr>
        </w:div>
        <w:div w:id="1713458631">
          <w:marLeft w:val="446"/>
          <w:marRight w:val="0"/>
          <w:marTop w:val="86"/>
          <w:marBottom w:val="0"/>
          <w:divBdr>
            <w:top w:val="none" w:sz="0" w:space="0" w:color="auto"/>
            <w:left w:val="none" w:sz="0" w:space="0" w:color="auto"/>
            <w:bottom w:val="none" w:sz="0" w:space="0" w:color="auto"/>
            <w:right w:val="none" w:sz="0" w:space="0" w:color="auto"/>
          </w:divBdr>
        </w:div>
      </w:divsChild>
    </w:div>
    <w:div w:id="1798334173">
      <w:bodyDiv w:val="1"/>
      <w:marLeft w:val="0"/>
      <w:marRight w:val="0"/>
      <w:marTop w:val="0"/>
      <w:marBottom w:val="0"/>
      <w:divBdr>
        <w:top w:val="none" w:sz="0" w:space="0" w:color="auto"/>
        <w:left w:val="none" w:sz="0" w:space="0" w:color="auto"/>
        <w:bottom w:val="none" w:sz="0" w:space="0" w:color="auto"/>
        <w:right w:val="none" w:sz="0" w:space="0" w:color="auto"/>
      </w:divBdr>
      <w:divsChild>
        <w:div w:id="970593154">
          <w:marLeft w:val="806"/>
          <w:marRight w:val="0"/>
          <w:marTop w:val="160"/>
          <w:marBottom w:val="0"/>
          <w:divBdr>
            <w:top w:val="none" w:sz="0" w:space="0" w:color="auto"/>
            <w:left w:val="none" w:sz="0" w:space="0" w:color="auto"/>
            <w:bottom w:val="none" w:sz="0" w:space="0" w:color="auto"/>
            <w:right w:val="none" w:sz="0" w:space="0" w:color="auto"/>
          </w:divBdr>
        </w:div>
        <w:div w:id="1852719068">
          <w:marLeft w:val="806"/>
          <w:marRight w:val="0"/>
          <w:marTop w:val="160"/>
          <w:marBottom w:val="0"/>
          <w:divBdr>
            <w:top w:val="none" w:sz="0" w:space="0" w:color="auto"/>
            <w:left w:val="none" w:sz="0" w:space="0" w:color="auto"/>
            <w:bottom w:val="none" w:sz="0" w:space="0" w:color="auto"/>
            <w:right w:val="none" w:sz="0" w:space="0" w:color="auto"/>
          </w:divBdr>
        </w:div>
        <w:div w:id="1985427667">
          <w:marLeft w:val="806"/>
          <w:marRight w:val="0"/>
          <w:marTop w:val="160"/>
          <w:marBottom w:val="0"/>
          <w:divBdr>
            <w:top w:val="none" w:sz="0" w:space="0" w:color="auto"/>
            <w:left w:val="none" w:sz="0" w:space="0" w:color="auto"/>
            <w:bottom w:val="none" w:sz="0" w:space="0" w:color="auto"/>
            <w:right w:val="none" w:sz="0" w:space="0" w:color="auto"/>
          </w:divBdr>
        </w:div>
        <w:div w:id="1246037613">
          <w:marLeft w:val="806"/>
          <w:marRight w:val="0"/>
          <w:marTop w:val="160"/>
          <w:marBottom w:val="0"/>
          <w:divBdr>
            <w:top w:val="none" w:sz="0" w:space="0" w:color="auto"/>
            <w:left w:val="none" w:sz="0" w:space="0" w:color="auto"/>
            <w:bottom w:val="none" w:sz="0" w:space="0" w:color="auto"/>
            <w:right w:val="none" w:sz="0" w:space="0" w:color="auto"/>
          </w:divBdr>
        </w:div>
        <w:div w:id="1274947332">
          <w:marLeft w:val="806"/>
          <w:marRight w:val="0"/>
          <w:marTop w:val="160"/>
          <w:marBottom w:val="0"/>
          <w:divBdr>
            <w:top w:val="none" w:sz="0" w:space="0" w:color="auto"/>
            <w:left w:val="none" w:sz="0" w:space="0" w:color="auto"/>
            <w:bottom w:val="none" w:sz="0" w:space="0" w:color="auto"/>
            <w:right w:val="none" w:sz="0" w:space="0" w:color="auto"/>
          </w:divBdr>
        </w:div>
      </w:divsChild>
    </w:div>
    <w:div w:id="1808082085">
      <w:bodyDiv w:val="1"/>
      <w:marLeft w:val="0"/>
      <w:marRight w:val="0"/>
      <w:marTop w:val="0"/>
      <w:marBottom w:val="0"/>
      <w:divBdr>
        <w:top w:val="none" w:sz="0" w:space="0" w:color="auto"/>
        <w:left w:val="none" w:sz="0" w:space="0" w:color="auto"/>
        <w:bottom w:val="none" w:sz="0" w:space="0" w:color="auto"/>
        <w:right w:val="none" w:sz="0" w:space="0" w:color="auto"/>
      </w:divBdr>
      <w:divsChild>
        <w:div w:id="66268736">
          <w:marLeft w:val="0"/>
          <w:marRight w:val="0"/>
          <w:marTop w:val="0"/>
          <w:marBottom w:val="0"/>
          <w:divBdr>
            <w:top w:val="none" w:sz="0" w:space="0" w:color="auto"/>
            <w:left w:val="none" w:sz="0" w:space="0" w:color="auto"/>
            <w:bottom w:val="none" w:sz="0" w:space="0" w:color="auto"/>
            <w:right w:val="none" w:sz="0" w:space="0" w:color="auto"/>
          </w:divBdr>
          <w:divsChild>
            <w:div w:id="449252773">
              <w:marLeft w:val="0"/>
              <w:marRight w:val="0"/>
              <w:marTop w:val="0"/>
              <w:marBottom w:val="0"/>
              <w:divBdr>
                <w:top w:val="none" w:sz="0" w:space="0" w:color="auto"/>
                <w:left w:val="none" w:sz="0" w:space="0" w:color="auto"/>
                <w:bottom w:val="none" w:sz="0" w:space="0" w:color="auto"/>
                <w:right w:val="none" w:sz="0" w:space="0" w:color="auto"/>
              </w:divBdr>
            </w:div>
            <w:div w:id="5035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82677">
      <w:bodyDiv w:val="1"/>
      <w:marLeft w:val="0"/>
      <w:marRight w:val="0"/>
      <w:marTop w:val="0"/>
      <w:marBottom w:val="0"/>
      <w:divBdr>
        <w:top w:val="none" w:sz="0" w:space="0" w:color="auto"/>
        <w:left w:val="none" w:sz="0" w:space="0" w:color="auto"/>
        <w:bottom w:val="none" w:sz="0" w:space="0" w:color="auto"/>
        <w:right w:val="none" w:sz="0" w:space="0" w:color="auto"/>
      </w:divBdr>
      <w:divsChild>
        <w:div w:id="818614046">
          <w:marLeft w:val="0"/>
          <w:marRight w:val="0"/>
          <w:marTop w:val="0"/>
          <w:marBottom w:val="0"/>
          <w:divBdr>
            <w:top w:val="none" w:sz="0" w:space="0" w:color="auto"/>
            <w:left w:val="none" w:sz="0" w:space="0" w:color="auto"/>
            <w:bottom w:val="none" w:sz="0" w:space="0" w:color="auto"/>
            <w:right w:val="none" w:sz="0" w:space="0" w:color="auto"/>
          </w:divBdr>
        </w:div>
      </w:divsChild>
    </w:div>
    <w:div w:id="1857114654">
      <w:bodyDiv w:val="1"/>
      <w:marLeft w:val="0"/>
      <w:marRight w:val="0"/>
      <w:marTop w:val="0"/>
      <w:marBottom w:val="0"/>
      <w:divBdr>
        <w:top w:val="none" w:sz="0" w:space="0" w:color="auto"/>
        <w:left w:val="none" w:sz="0" w:space="0" w:color="auto"/>
        <w:bottom w:val="none" w:sz="0" w:space="0" w:color="auto"/>
        <w:right w:val="none" w:sz="0" w:space="0" w:color="auto"/>
      </w:divBdr>
      <w:divsChild>
        <w:div w:id="110514661">
          <w:marLeft w:val="1166"/>
          <w:marRight w:val="0"/>
          <w:marTop w:val="91"/>
          <w:marBottom w:val="0"/>
          <w:divBdr>
            <w:top w:val="none" w:sz="0" w:space="0" w:color="auto"/>
            <w:left w:val="none" w:sz="0" w:space="0" w:color="auto"/>
            <w:bottom w:val="none" w:sz="0" w:space="0" w:color="auto"/>
            <w:right w:val="none" w:sz="0" w:space="0" w:color="auto"/>
          </w:divBdr>
        </w:div>
        <w:div w:id="936133545">
          <w:marLeft w:val="1800"/>
          <w:marRight w:val="0"/>
          <w:marTop w:val="77"/>
          <w:marBottom w:val="0"/>
          <w:divBdr>
            <w:top w:val="none" w:sz="0" w:space="0" w:color="auto"/>
            <w:left w:val="none" w:sz="0" w:space="0" w:color="auto"/>
            <w:bottom w:val="none" w:sz="0" w:space="0" w:color="auto"/>
            <w:right w:val="none" w:sz="0" w:space="0" w:color="auto"/>
          </w:divBdr>
        </w:div>
        <w:div w:id="1076439740">
          <w:marLeft w:val="1800"/>
          <w:marRight w:val="0"/>
          <w:marTop w:val="77"/>
          <w:marBottom w:val="0"/>
          <w:divBdr>
            <w:top w:val="none" w:sz="0" w:space="0" w:color="auto"/>
            <w:left w:val="none" w:sz="0" w:space="0" w:color="auto"/>
            <w:bottom w:val="none" w:sz="0" w:space="0" w:color="auto"/>
            <w:right w:val="none" w:sz="0" w:space="0" w:color="auto"/>
          </w:divBdr>
        </w:div>
        <w:div w:id="1269191671">
          <w:marLeft w:val="1166"/>
          <w:marRight w:val="0"/>
          <w:marTop w:val="91"/>
          <w:marBottom w:val="0"/>
          <w:divBdr>
            <w:top w:val="none" w:sz="0" w:space="0" w:color="auto"/>
            <w:left w:val="none" w:sz="0" w:space="0" w:color="auto"/>
            <w:bottom w:val="none" w:sz="0" w:space="0" w:color="auto"/>
            <w:right w:val="none" w:sz="0" w:space="0" w:color="auto"/>
          </w:divBdr>
        </w:div>
        <w:div w:id="1276015441">
          <w:marLeft w:val="547"/>
          <w:marRight w:val="0"/>
          <w:marTop w:val="115"/>
          <w:marBottom w:val="0"/>
          <w:divBdr>
            <w:top w:val="none" w:sz="0" w:space="0" w:color="auto"/>
            <w:left w:val="none" w:sz="0" w:space="0" w:color="auto"/>
            <w:bottom w:val="none" w:sz="0" w:space="0" w:color="auto"/>
            <w:right w:val="none" w:sz="0" w:space="0" w:color="auto"/>
          </w:divBdr>
        </w:div>
        <w:div w:id="1345745530">
          <w:marLeft w:val="1166"/>
          <w:marRight w:val="0"/>
          <w:marTop w:val="91"/>
          <w:marBottom w:val="0"/>
          <w:divBdr>
            <w:top w:val="none" w:sz="0" w:space="0" w:color="auto"/>
            <w:left w:val="none" w:sz="0" w:space="0" w:color="auto"/>
            <w:bottom w:val="none" w:sz="0" w:space="0" w:color="auto"/>
            <w:right w:val="none" w:sz="0" w:space="0" w:color="auto"/>
          </w:divBdr>
        </w:div>
        <w:div w:id="1519614633">
          <w:marLeft w:val="1166"/>
          <w:marRight w:val="0"/>
          <w:marTop w:val="91"/>
          <w:marBottom w:val="0"/>
          <w:divBdr>
            <w:top w:val="none" w:sz="0" w:space="0" w:color="auto"/>
            <w:left w:val="none" w:sz="0" w:space="0" w:color="auto"/>
            <w:bottom w:val="none" w:sz="0" w:space="0" w:color="auto"/>
            <w:right w:val="none" w:sz="0" w:space="0" w:color="auto"/>
          </w:divBdr>
        </w:div>
        <w:div w:id="1534534458">
          <w:marLeft w:val="1800"/>
          <w:marRight w:val="0"/>
          <w:marTop w:val="77"/>
          <w:marBottom w:val="0"/>
          <w:divBdr>
            <w:top w:val="none" w:sz="0" w:space="0" w:color="auto"/>
            <w:left w:val="none" w:sz="0" w:space="0" w:color="auto"/>
            <w:bottom w:val="none" w:sz="0" w:space="0" w:color="auto"/>
            <w:right w:val="none" w:sz="0" w:space="0" w:color="auto"/>
          </w:divBdr>
        </w:div>
        <w:div w:id="1821187937">
          <w:marLeft w:val="1800"/>
          <w:marRight w:val="0"/>
          <w:marTop w:val="77"/>
          <w:marBottom w:val="0"/>
          <w:divBdr>
            <w:top w:val="none" w:sz="0" w:space="0" w:color="auto"/>
            <w:left w:val="none" w:sz="0" w:space="0" w:color="auto"/>
            <w:bottom w:val="none" w:sz="0" w:space="0" w:color="auto"/>
            <w:right w:val="none" w:sz="0" w:space="0" w:color="auto"/>
          </w:divBdr>
        </w:div>
        <w:div w:id="1914897947">
          <w:marLeft w:val="1166"/>
          <w:marRight w:val="0"/>
          <w:marTop w:val="91"/>
          <w:marBottom w:val="0"/>
          <w:divBdr>
            <w:top w:val="none" w:sz="0" w:space="0" w:color="auto"/>
            <w:left w:val="none" w:sz="0" w:space="0" w:color="auto"/>
            <w:bottom w:val="none" w:sz="0" w:space="0" w:color="auto"/>
            <w:right w:val="none" w:sz="0" w:space="0" w:color="auto"/>
          </w:divBdr>
        </w:div>
      </w:divsChild>
    </w:div>
    <w:div w:id="1895191563">
      <w:bodyDiv w:val="1"/>
      <w:marLeft w:val="0"/>
      <w:marRight w:val="0"/>
      <w:marTop w:val="0"/>
      <w:marBottom w:val="0"/>
      <w:divBdr>
        <w:top w:val="none" w:sz="0" w:space="0" w:color="auto"/>
        <w:left w:val="none" w:sz="0" w:space="0" w:color="auto"/>
        <w:bottom w:val="none" w:sz="0" w:space="0" w:color="auto"/>
        <w:right w:val="none" w:sz="0" w:space="0" w:color="auto"/>
      </w:divBdr>
      <w:divsChild>
        <w:div w:id="1018965500">
          <w:marLeft w:val="547"/>
          <w:marRight w:val="0"/>
          <w:marTop w:val="0"/>
          <w:marBottom w:val="0"/>
          <w:divBdr>
            <w:top w:val="none" w:sz="0" w:space="0" w:color="auto"/>
            <w:left w:val="none" w:sz="0" w:space="0" w:color="auto"/>
            <w:bottom w:val="none" w:sz="0" w:space="0" w:color="auto"/>
            <w:right w:val="none" w:sz="0" w:space="0" w:color="auto"/>
          </w:divBdr>
        </w:div>
        <w:div w:id="489949384">
          <w:marLeft w:val="547"/>
          <w:marRight w:val="0"/>
          <w:marTop w:val="0"/>
          <w:marBottom w:val="0"/>
          <w:divBdr>
            <w:top w:val="none" w:sz="0" w:space="0" w:color="auto"/>
            <w:left w:val="none" w:sz="0" w:space="0" w:color="auto"/>
            <w:bottom w:val="none" w:sz="0" w:space="0" w:color="auto"/>
            <w:right w:val="none" w:sz="0" w:space="0" w:color="auto"/>
          </w:divBdr>
        </w:div>
      </w:divsChild>
    </w:div>
    <w:div w:id="2008900347">
      <w:bodyDiv w:val="1"/>
      <w:marLeft w:val="0"/>
      <w:marRight w:val="0"/>
      <w:marTop w:val="0"/>
      <w:marBottom w:val="0"/>
      <w:divBdr>
        <w:top w:val="none" w:sz="0" w:space="0" w:color="auto"/>
        <w:left w:val="none" w:sz="0" w:space="0" w:color="auto"/>
        <w:bottom w:val="none" w:sz="0" w:space="0" w:color="auto"/>
        <w:right w:val="none" w:sz="0" w:space="0" w:color="auto"/>
      </w:divBdr>
      <w:divsChild>
        <w:div w:id="1182472517">
          <w:marLeft w:val="1166"/>
          <w:marRight w:val="0"/>
          <w:marTop w:val="86"/>
          <w:marBottom w:val="0"/>
          <w:divBdr>
            <w:top w:val="none" w:sz="0" w:space="0" w:color="auto"/>
            <w:left w:val="none" w:sz="0" w:space="0" w:color="auto"/>
            <w:bottom w:val="none" w:sz="0" w:space="0" w:color="auto"/>
            <w:right w:val="none" w:sz="0" w:space="0" w:color="auto"/>
          </w:divBdr>
        </w:div>
        <w:div w:id="481195589">
          <w:marLeft w:val="1166"/>
          <w:marRight w:val="0"/>
          <w:marTop w:val="86"/>
          <w:marBottom w:val="0"/>
          <w:divBdr>
            <w:top w:val="none" w:sz="0" w:space="0" w:color="auto"/>
            <w:left w:val="none" w:sz="0" w:space="0" w:color="auto"/>
            <w:bottom w:val="none" w:sz="0" w:space="0" w:color="auto"/>
            <w:right w:val="none" w:sz="0" w:space="0" w:color="auto"/>
          </w:divBdr>
        </w:div>
        <w:div w:id="1115171549">
          <w:marLeft w:val="1166"/>
          <w:marRight w:val="0"/>
          <w:marTop w:val="86"/>
          <w:marBottom w:val="0"/>
          <w:divBdr>
            <w:top w:val="none" w:sz="0" w:space="0" w:color="auto"/>
            <w:left w:val="none" w:sz="0" w:space="0" w:color="auto"/>
            <w:bottom w:val="none" w:sz="0" w:space="0" w:color="auto"/>
            <w:right w:val="none" w:sz="0" w:space="0" w:color="auto"/>
          </w:divBdr>
        </w:div>
      </w:divsChild>
    </w:div>
    <w:div w:id="2073768873">
      <w:bodyDiv w:val="1"/>
      <w:marLeft w:val="0"/>
      <w:marRight w:val="0"/>
      <w:marTop w:val="0"/>
      <w:marBottom w:val="0"/>
      <w:divBdr>
        <w:top w:val="none" w:sz="0" w:space="0" w:color="auto"/>
        <w:left w:val="none" w:sz="0" w:space="0" w:color="auto"/>
        <w:bottom w:val="none" w:sz="0" w:space="0" w:color="auto"/>
        <w:right w:val="none" w:sz="0" w:space="0" w:color="auto"/>
      </w:divBdr>
      <w:divsChild>
        <w:div w:id="979959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659838844EFE469032E4BCDFC875C7" ma:contentTypeVersion="13" ma:contentTypeDescription="Create a new document." ma:contentTypeScope="" ma:versionID="95ebe6af61846c133068edeaf47263b2">
  <xsd:schema xmlns:xsd="http://www.w3.org/2001/XMLSchema" xmlns:xs="http://www.w3.org/2001/XMLSchema" xmlns:p="http://schemas.microsoft.com/office/2006/metadata/properties" xmlns:ns3="13d0d8ea-76a9-4371-9fec-94f9fb8aa006" xmlns:ns4="9eeab659-c46c-45e0-b1ad-2884d13ea558" targetNamespace="http://schemas.microsoft.com/office/2006/metadata/properties" ma:root="true" ma:fieldsID="63ec8020d6cf446cb435da56290e1a21" ns3:_="" ns4:_="">
    <xsd:import namespace="13d0d8ea-76a9-4371-9fec-94f9fb8aa006"/>
    <xsd:import namespace="9eeab659-c46c-45e0-b1ad-2884d13ea55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0d8ea-76a9-4371-9fec-94f9fb8aa0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eab659-c46c-45e0-b1ad-2884d13ea5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9C0AB-4C78-4A93-8105-01CD40BF6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0d8ea-76a9-4371-9fec-94f9fb8aa006"/>
    <ds:schemaRef ds:uri="9eeab659-c46c-45e0-b1ad-2884d13ea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096BC8-3FDF-419D-91C9-99CB46D5D7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5E455B-C7BC-4E92-ACB2-BAC701F738F5}">
  <ds:schemaRefs>
    <ds:schemaRef ds:uri="http://schemas.microsoft.com/sharepoint/v3/contenttype/forms"/>
  </ds:schemaRefs>
</ds:datastoreItem>
</file>

<file path=customXml/itemProps4.xml><?xml version="1.0" encoding="utf-8"?>
<ds:datastoreItem xmlns:ds="http://schemas.openxmlformats.org/officeDocument/2006/customXml" ds:itemID="{136FDCBC-E368-4CA0-8462-4B14BC502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2666</Words>
  <Characters>15198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1</vt:lpstr>
    </vt:vector>
  </TitlesOfParts>
  <Company>gautengleg</Company>
  <LinksUpToDate>false</LinksUpToDate>
  <CharactersWithSpaces>17829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Hlanganani Ngobeni</dc:creator>
  <cp:lastModifiedBy>Estelle Grunewald</cp:lastModifiedBy>
  <cp:revision>2</cp:revision>
  <cp:lastPrinted>2020-05-25T11:24:00Z</cp:lastPrinted>
  <dcterms:created xsi:type="dcterms:W3CDTF">2020-05-26T09:31:00Z</dcterms:created>
  <dcterms:modified xsi:type="dcterms:W3CDTF">2020-05-26T09:31:00Z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0x010100E5659838844EFE469032E4BCDFC875C7</vt:lpwstr>
  </property>
</Properties>
</file>