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1392D" w14:textId="1974479C" w:rsidR="00C05C71" w:rsidRPr="001F2D44" w:rsidRDefault="001F2D44" w:rsidP="007429F2">
      <w:pPr>
        <w:tabs>
          <w:tab w:val="left" w:pos="2552"/>
        </w:tabs>
        <w:autoSpaceDE w:val="0"/>
        <w:autoSpaceDN w:val="0"/>
        <w:adjustRightInd w:val="0"/>
        <w:spacing w:line="360" w:lineRule="auto"/>
        <w:jc w:val="both"/>
        <w:rPr>
          <w:b/>
          <w:sz w:val="28"/>
          <w:szCs w:val="28"/>
        </w:rPr>
      </w:pPr>
      <w:r w:rsidRPr="001F2D44">
        <w:rPr>
          <w:b/>
          <w:sz w:val="28"/>
          <w:szCs w:val="28"/>
        </w:rPr>
        <w:t xml:space="preserve">2. </w:t>
      </w:r>
      <w:r w:rsidR="00C05C71" w:rsidRPr="001F2D44">
        <w:rPr>
          <w:b/>
          <w:sz w:val="28"/>
          <w:szCs w:val="28"/>
        </w:rPr>
        <w:t>The Budgetary Review and Recommendation Report of the Portfolio Committee on Justice and Co</w:t>
      </w:r>
      <w:r w:rsidR="00F804CA" w:rsidRPr="001F2D44">
        <w:rPr>
          <w:b/>
          <w:sz w:val="28"/>
          <w:szCs w:val="28"/>
        </w:rPr>
        <w:t>rrectional Services</w:t>
      </w:r>
      <w:r w:rsidR="00C05C71" w:rsidRPr="001F2D44">
        <w:rPr>
          <w:b/>
          <w:sz w:val="28"/>
          <w:szCs w:val="28"/>
        </w:rPr>
        <w:t xml:space="preserve">, dated </w:t>
      </w:r>
      <w:r w:rsidR="005D13B4" w:rsidRPr="001F2D44">
        <w:rPr>
          <w:b/>
          <w:sz w:val="28"/>
          <w:szCs w:val="28"/>
        </w:rPr>
        <w:t>29</w:t>
      </w:r>
      <w:r w:rsidR="00E63F01" w:rsidRPr="001F2D44">
        <w:rPr>
          <w:b/>
          <w:sz w:val="28"/>
          <w:szCs w:val="28"/>
        </w:rPr>
        <w:t xml:space="preserve"> October 2019</w:t>
      </w:r>
    </w:p>
    <w:p w14:paraId="785B43BE" w14:textId="77777777" w:rsidR="00C05C71" w:rsidRPr="001F2D44" w:rsidRDefault="00C05C71" w:rsidP="007429F2">
      <w:pPr>
        <w:autoSpaceDE w:val="0"/>
        <w:autoSpaceDN w:val="0"/>
        <w:adjustRightInd w:val="0"/>
        <w:spacing w:line="360" w:lineRule="auto"/>
        <w:jc w:val="both"/>
        <w:rPr>
          <w:sz w:val="28"/>
          <w:szCs w:val="28"/>
        </w:rPr>
      </w:pPr>
    </w:p>
    <w:p w14:paraId="6042CC67" w14:textId="77777777" w:rsidR="00C05C71" w:rsidRPr="007868D0" w:rsidRDefault="00C05C71" w:rsidP="007429F2">
      <w:pPr>
        <w:autoSpaceDE w:val="0"/>
        <w:autoSpaceDN w:val="0"/>
        <w:adjustRightInd w:val="0"/>
        <w:spacing w:line="360" w:lineRule="auto"/>
        <w:jc w:val="both"/>
        <w:rPr>
          <w:b/>
          <w:lang w:val="en-ZA"/>
        </w:rPr>
      </w:pPr>
      <w:r w:rsidRPr="007868D0">
        <w:t>The Portfolio Committee on Justice and Co</w:t>
      </w:r>
      <w:r w:rsidR="00F804CA" w:rsidRPr="007868D0">
        <w:t>rrectional Services</w:t>
      </w:r>
      <w:r w:rsidRPr="007868D0">
        <w:t xml:space="preserve">, having considered the performance and requests for additional allocations for the medium term period of the </w:t>
      </w:r>
      <w:bookmarkStart w:id="0" w:name="_GoBack"/>
      <w:r w:rsidR="009B277E" w:rsidRPr="007868D0">
        <w:t>Office of the Chief Justice and Judicial Administration</w:t>
      </w:r>
      <w:bookmarkEnd w:id="0"/>
      <w:r w:rsidRPr="007868D0">
        <w:t>, reports as follows:</w:t>
      </w:r>
    </w:p>
    <w:p w14:paraId="7DA87956" w14:textId="77777777" w:rsidR="00C05C71" w:rsidRPr="007868D0" w:rsidRDefault="00C05C71" w:rsidP="007429F2">
      <w:pPr>
        <w:autoSpaceDE w:val="0"/>
        <w:autoSpaceDN w:val="0"/>
        <w:adjustRightInd w:val="0"/>
        <w:spacing w:line="360" w:lineRule="auto"/>
        <w:jc w:val="both"/>
        <w:rPr>
          <w:lang w:val="en-ZA"/>
        </w:rPr>
      </w:pPr>
    </w:p>
    <w:p w14:paraId="4343C3FD" w14:textId="77777777" w:rsidR="00C05C71" w:rsidRPr="007868D0" w:rsidRDefault="00C05C71" w:rsidP="007429F2">
      <w:pPr>
        <w:numPr>
          <w:ilvl w:val="0"/>
          <w:numId w:val="1"/>
        </w:numPr>
        <w:tabs>
          <w:tab w:val="clear" w:pos="360"/>
          <w:tab w:val="num" w:pos="709"/>
        </w:tabs>
        <w:spacing w:line="360" w:lineRule="auto"/>
        <w:ind w:left="709" w:hanging="709"/>
        <w:jc w:val="both"/>
        <w:rPr>
          <w:b/>
          <w:lang w:val="en-ZA"/>
        </w:rPr>
      </w:pPr>
      <w:r w:rsidRPr="007868D0">
        <w:rPr>
          <w:b/>
          <w:lang w:val="en-ZA"/>
        </w:rPr>
        <w:t>Introduction</w:t>
      </w:r>
    </w:p>
    <w:p w14:paraId="19C2A28B" w14:textId="77777777" w:rsidR="00C05C71" w:rsidRPr="007868D0" w:rsidRDefault="00C05C71" w:rsidP="007429F2">
      <w:pPr>
        <w:spacing w:line="360" w:lineRule="auto"/>
        <w:jc w:val="both"/>
        <w:rPr>
          <w:lang w:val="en-ZA"/>
        </w:rPr>
      </w:pPr>
    </w:p>
    <w:p w14:paraId="5AE27BF8" w14:textId="77777777" w:rsidR="00EF4AD0" w:rsidRDefault="008E474D" w:rsidP="007429F2">
      <w:pPr>
        <w:pStyle w:val="ListParagraph"/>
        <w:numPr>
          <w:ilvl w:val="1"/>
          <w:numId w:val="1"/>
        </w:numPr>
        <w:tabs>
          <w:tab w:val="num" w:pos="709"/>
        </w:tabs>
        <w:spacing w:line="360" w:lineRule="auto"/>
        <w:ind w:left="709" w:hanging="709"/>
        <w:jc w:val="both"/>
        <w:rPr>
          <w:lang w:val="en-US"/>
        </w:rPr>
      </w:pPr>
      <w:r w:rsidRPr="007868D0">
        <w:rPr>
          <w:lang w:val="en-US"/>
        </w:rPr>
        <w:t xml:space="preserve">The Money Bills Procedure Amendment </w:t>
      </w:r>
      <w:r w:rsidR="009C311F" w:rsidRPr="007868D0">
        <w:rPr>
          <w:lang w:val="en-US"/>
        </w:rPr>
        <w:t xml:space="preserve">and Related Matters Act 9 of 2009 sets out the process that allows Parliament to make recommendations to the Minister of Finance to amend the budget of a national department. </w:t>
      </w:r>
    </w:p>
    <w:p w14:paraId="3DBAD241" w14:textId="77777777" w:rsidR="00EF4AD0" w:rsidRDefault="00EF4AD0" w:rsidP="007429F2">
      <w:pPr>
        <w:pStyle w:val="ListParagraph"/>
        <w:tabs>
          <w:tab w:val="num" w:pos="1004"/>
        </w:tabs>
        <w:spacing w:line="360" w:lineRule="auto"/>
        <w:ind w:left="709"/>
        <w:jc w:val="both"/>
        <w:rPr>
          <w:lang w:val="en-US"/>
        </w:rPr>
      </w:pPr>
    </w:p>
    <w:p w14:paraId="4320D670" w14:textId="77777777" w:rsidR="009C311F" w:rsidRPr="009B5DC2" w:rsidRDefault="009C311F" w:rsidP="007429F2">
      <w:pPr>
        <w:pStyle w:val="ListParagraph"/>
        <w:numPr>
          <w:ilvl w:val="1"/>
          <w:numId w:val="1"/>
        </w:numPr>
        <w:tabs>
          <w:tab w:val="num" w:pos="709"/>
        </w:tabs>
        <w:spacing w:line="360" w:lineRule="auto"/>
        <w:ind w:left="709" w:hanging="709"/>
        <w:jc w:val="both"/>
        <w:rPr>
          <w:lang w:val="en-US"/>
        </w:rPr>
      </w:pPr>
      <w:r w:rsidRPr="007868D0">
        <w:rPr>
          <w:lang w:val="en-US"/>
        </w:rPr>
        <w:t xml:space="preserve">In October of each year, portfolio committees must compile Budgetary Review and Recommendation Reports (BRRR) that assess service delivery performance </w:t>
      </w:r>
      <w:r w:rsidR="00EF4AD0">
        <w:rPr>
          <w:lang w:val="en-US"/>
        </w:rPr>
        <w:t xml:space="preserve">of departments, entities and institutions </w:t>
      </w:r>
      <w:r w:rsidRPr="007868D0">
        <w:rPr>
          <w:lang w:val="en-US"/>
        </w:rPr>
        <w:t xml:space="preserve">given </w:t>
      </w:r>
      <w:r w:rsidR="00A9386F" w:rsidRPr="007868D0">
        <w:rPr>
          <w:lang w:val="en-US"/>
        </w:rPr>
        <w:t>the</w:t>
      </w:r>
      <w:r w:rsidR="00EF4AD0">
        <w:rPr>
          <w:lang w:val="en-US"/>
        </w:rPr>
        <w:t>ir respective</w:t>
      </w:r>
      <w:r w:rsidR="00A9386F" w:rsidRPr="007868D0">
        <w:rPr>
          <w:lang w:val="en-US"/>
        </w:rPr>
        <w:t xml:space="preserve"> </w:t>
      </w:r>
      <w:r w:rsidRPr="007868D0">
        <w:rPr>
          <w:lang w:val="en-US"/>
        </w:rPr>
        <w:t>available resources; evaluate the effective and efficient use and forward</w:t>
      </w:r>
      <w:r w:rsidR="002B3E59" w:rsidRPr="007868D0">
        <w:rPr>
          <w:lang w:val="en-US"/>
        </w:rPr>
        <w:t xml:space="preserve"> </w:t>
      </w:r>
      <w:r w:rsidRPr="007868D0">
        <w:rPr>
          <w:lang w:val="en-US"/>
        </w:rPr>
        <w:t xml:space="preserve">allocation of resources; and may make recommendations on the future allocation of resources. The </w:t>
      </w:r>
      <w:r w:rsidR="00157E9A" w:rsidRPr="007868D0">
        <w:rPr>
          <w:lang w:val="en-US"/>
        </w:rPr>
        <w:t xml:space="preserve">annual </w:t>
      </w:r>
      <w:r w:rsidRPr="007868D0">
        <w:rPr>
          <w:lang w:val="en-US"/>
        </w:rPr>
        <w:t xml:space="preserve">review of </w:t>
      </w:r>
      <w:r w:rsidR="00157E9A" w:rsidRPr="007868D0">
        <w:rPr>
          <w:lang w:val="en-US"/>
        </w:rPr>
        <w:t xml:space="preserve">expenditure and </w:t>
      </w:r>
      <w:r w:rsidRPr="007868D0">
        <w:rPr>
          <w:lang w:val="en-US"/>
        </w:rPr>
        <w:t>performance</w:t>
      </w:r>
      <w:r w:rsidR="00236552" w:rsidRPr="007868D0">
        <w:rPr>
          <w:lang w:val="en-US"/>
        </w:rPr>
        <w:t xml:space="preserve"> </w:t>
      </w:r>
      <w:r w:rsidR="00157E9A" w:rsidRPr="007868D0">
        <w:rPr>
          <w:lang w:val="en-US"/>
        </w:rPr>
        <w:t xml:space="preserve">for </w:t>
      </w:r>
      <w:r w:rsidR="00E23B56">
        <w:rPr>
          <w:lang w:val="en-US"/>
        </w:rPr>
        <w:t xml:space="preserve">the previous </w:t>
      </w:r>
      <w:r w:rsidR="00E23B56" w:rsidRPr="009B5DC2">
        <w:rPr>
          <w:lang w:val="en-US"/>
        </w:rPr>
        <w:t>financial year (2018/2019)</w:t>
      </w:r>
      <w:r w:rsidR="00157E9A" w:rsidRPr="009B5DC2">
        <w:rPr>
          <w:lang w:val="en-US"/>
        </w:rPr>
        <w:t xml:space="preserve"> </w:t>
      </w:r>
      <w:r w:rsidR="005F4BAB" w:rsidRPr="009B5DC2">
        <w:rPr>
          <w:lang w:val="en-US"/>
        </w:rPr>
        <w:t xml:space="preserve">also </w:t>
      </w:r>
      <w:r w:rsidRPr="009B5DC2">
        <w:rPr>
          <w:lang w:val="en-US"/>
        </w:rPr>
        <w:t>forms part of this process.</w:t>
      </w:r>
    </w:p>
    <w:p w14:paraId="5DCF63D2" w14:textId="77777777" w:rsidR="00C05C71" w:rsidRPr="009B5DC2" w:rsidRDefault="00C05C71" w:rsidP="007429F2">
      <w:pPr>
        <w:spacing w:line="360" w:lineRule="auto"/>
        <w:jc w:val="both"/>
        <w:rPr>
          <w:lang w:val="en-ZA"/>
        </w:rPr>
      </w:pPr>
    </w:p>
    <w:p w14:paraId="78356705" w14:textId="77777777" w:rsidR="002A15B3" w:rsidRPr="0078546E" w:rsidRDefault="00EF4AD0" w:rsidP="007429F2">
      <w:pPr>
        <w:pStyle w:val="ListParagraph"/>
        <w:numPr>
          <w:ilvl w:val="1"/>
          <w:numId w:val="1"/>
        </w:numPr>
        <w:tabs>
          <w:tab w:val="num" w:pos="709"/>
        </w:tabs>
        <w:spacing w:line="360" w:lineRule="auto"/>
        <w:ind w:left="709" w:hanging="709"/>
        <w:jc w:val="both"/>
        <w:rPr>
          <w:lang w:val="en-US"/>
        </w:rPr>
      </w:pPr>
      <w:r w:rsidRPr="009B5DC2">
        <w:rPr>
          <w:lang w:val="en-US" w:eastAsia="en-US"/>
        </w:rPr>
        <w:t xml:space="preserve">The Office of the Chief Justice and Judicial Administration (OCJ) was established </w:t>
      </w:r>
      <w:r w:rsidR="006D08A6" w:rsidRPr="009B5DC2">
        <w:rPr>
          <w:lang w:val="en-US" w:eastAsia="en-US"/>
        </w:rPr>
        <w:t xml:space="preserve">in 2010 </w:t>
      </w:r>
      <w:r w:rsidRPr="009B5DC2">
        <w:rPr>
          <w:lang w:val="en-US" w:eastAsia="en-US"/>
        </w:rPr>
        <w:t xml:space="preserve">primarily to support the Chief Justice in </w:t>
      </w:r>
      <w:r w:rsidR="006D08A6" w:rsidRPr="009B5DC2">
        <w:rPr>
          <w:lang w:val="en-US" w:eastAsia="en-US"/>
        </w:rPr>
        <w:t xml:space="preserve">the execution of </w:t>
      </w:r>
      <w:r w:rsidRPr="009B5DC2">
        <w:rPr>
          <w:lang w:val="en-US" w:eastAsia="en-US"/>
        </w:rPr>
        <w:t xml:space="preserve">his/her administrative and judicial powers and duties as Head of the Judiciary and Head of the Constitutional Court. </w:t>
      </w:r>
      <w:r w:rsidRPr="009B5DC2">
        <w:t xml:space="preserve">The transfer of administrative functions and identified staff attached to the Superior Courts from the Justice Department of Justice and Constitutional Development to the OCJ commenced on 1 October 2014. </w:t>
      </w:r>
    </w:p>
    <w:p w14:paraId="33BE350F" w14:textId="77777777" w:rsidR="002A15B3" w:rsidRPr="0078546E" w:rsidRDefault="002A15B3" w:rsidP="007429F2">
      <w:pPr>
        <w:pStyle w:val="ListParagraph"/>
        <w:spacing w:line="360" w:lineRule="auto"/>
        <w:rPr>
          <w:lang w:val="en-US"/>
        </w:rPr>
      </w:pPr>
    </w:p>
    <w:p w14:paraId="23065F3C" w14:textId="77777777" w:rsidR="00C824F1" w:rsidRPr="00931E8A" w:rsidRDefault="00C824F1" w:rsidP="007429F2">
      <w:pPr>
        <w:pStyle w:val="ListParagraph"/>
        <w:numPr>
          <w:ilvl w:val="1"/>
          <w:numId w:val="1"/>
        </w:numPr>
        <w:tabs>
          <w:tab w:val="num" w:pos="709"/>
        </w:tabs>
        <w:spacing w:line="360" w:lineRule="auto"/>
        <w:ind w:left="709" w:hanging="709"/>
        <w:jc w:val="both"/>
        <w:rPr>
          <w:lang w:val="en-US"/>
        </w:rPr>
      </w:pPr>
      <w:r w:rsidRPr="00931E8A">
        <w:rPr>
          <w:lang w:val="en-US"/>
        </w:rPr>
        <w:t>On 1 April 2015, the Office of Chief Justice (OCJ) became a fully-fledged Department with its own Vote – Vote 22: Office of the Chief Justice and Judicial Administration. The administration for the Superior Courts, Judicial Services Commission (JSC) and South African Judicial Education Institute (SAJEI) were transferred to the OCJ, together with the budget and personnel, from the Department of Justice and Constitutional Development. The funds for judges’ salaries were also transferred to the new Vote.</w:t>
      </w:r>
    </w:p>
    <w:p w14:paraId="46805205" w14:textId="77777777" w:rsidR="002A15B3" w:rsidRPr="002A15B3" w:rsidRDefault="002A15B3" w:rsidP="007429F2">
      <w:pPr>
        <w:pStyle w:val="ListParagraph"/>
        <w:spacing w:line="360" w:lineRule="auto"/>
        <w:rPr>
          <w:highlight w:val="yellow"/>
          <w:lang w:val="en-US"/>
        </w:rPr>
      </w:pPr>
    </w:p>
    <w:p w14:paraId="43D75FC2" w14:textId="77777777" w:rsidR="00EF4AD0" w:rsidRPr="0005134C" w:rsidRDefault="00EF4AD0" w:rsidP="007429F2">
      <w:pPr>
        <w:autoSpaceDE w:val="0"/>
        <w:autoSpaceDN w:val="0"/>
        <w:adjustRightInd w:val="0"/>
        <w:spacing w:line="360" w:lineRule="auto"/>
        <w:ind w:left="720"/>
      </w:pPr>
    </w:p>
    <w:p w14:paraId="38817C6E" w14:textId="77777777" w:rsidR="00EF4AD0" w:rsidRPr="00103D64" w:rsidRDefault="00EF4AD0" w:rsidP="007429F2">
      <w:pPr>
        <w:numPr>
          <w:ilvl w:val="0"/>
          <w:numId w:val="1"/>
        </w:numPr>
        <w:tabs>
          <w:tab w:val="clear" w:pos="360"/>
          <w:tab w:val="num" w:pos="709"/>
        </w:tabs>
        <w:spacing w:line="360" w:lineRule="auto"/>
        <w:ind w:left="709" w:hanging="709"/>
        <w:jc w:val="both"/>
        <w:rPr>
          <w:b/>
          <w:lang w:val="en-US"/>
        </w:rPr>
      </w:pPr>
      <w:r w:rsidRPr="00103D64">
        <w:rPr>
          <w:b/>
          <w:lang w:val="en-US"/>
        </w:rPr>
        <w:t>Process followed</w:t>
      </w:r>
    </w:p>
    <w:p w14:paraId="5A8F5177" w14:textId="77777777" w:rsidR="00EF4AD0" w:rsidRPr="00EF4AD0" w:rsidRDefault="00EF4AD0" w:rsidP="007429F2">
      <w:pPr>
        <w:tabs>
          <w:tab w:val="num" w:pos="1004"/>
        </w:tabs>
        <w:spacing w:line="360" w:lineRule="auto"/>
        <w:jc w:val="both"/>
        <w:rPr>
          <w:highlight w:val="yellow"/>
          <w:lang w:val="en-US"/>
        </w:rPr>
      </w:pPr>
    </w:p>
    <w:p w14:paraId="47352356" w14:textId="77777777" w:rsidR="00C05C71" w:rsidRPr="00103D64" w:rsidRDefault="009B277E" w:rsidP="007429F2">
      <w:pPr>
        <w:pStyle w:val="ListParagraph"/>
        <w:numPr>
          <w:ilvl w:val="1"/>
          <w:numId w:val="1"/>
        </w:numPr>
        <w:tabs>
          <w:tab w:val="num" w:pos="709"/>
        </w:tabs>
        <w:spacing w:line="360" w:lineRule="auto"/>
        <w:ind w:left="709" w:hanging="709"/>
        <w:jc w:val="both"/>
        <w:rPr>
          <w:lang w:val="en-US"/>
        </w:rPr>
      </w:pPr>
      <w:r w:rsidRPr="00103D64">
        <w:rPr>
          <w:lang w:val="en-US"/>
        </w:rPr>
        <w:t xml:space="preserve">On </w:t>
      </w:r>
      <w:r w:rsidR="00A15FC5" w:rsidRPr="00103D64">
        <w:rPr>
          <w:lang w:val="en-US"/>
        </w:rPr>
        <w:t>10</w:t>
      </w:r>
      <w:r w:rsidR="007468E6" w:rsidRPr="00103D64">
        <w:rPr>
          <w:lang w:val="en-US"/>
        </w:rPr>
        <w:t xml:space="preserve"> </w:t>
      </w:r>
      <w:r w:rsidR="00856216" w:rsidRPr="00103D64">
        <w:rPr>
          <w:lang w:val="en-US"/>
        </w:rPr>
        <w:t xml:space="preserve">October </w:t>
      </w:r>
      <w:r w:rsidR="00E63F01" w:rsidRPr="00103D64">
        <w:rPr>
          <w:lang w:val="en-US"/>
        </w:rPr>
        <w:t>2019</w:t>
      </w:r>
      <w:r w:rsidRPr="00103D64">
        <w:rPr>
          <w:lang w:val="en-US"/>
        </w:rPr>
        <w:t>, t</w:t>
      </w:r>
      <w:r w:rsidR="00C05C71" w:rsidRPr="00103D64">
        <w:rPr>
          <w:lang w:val="en-US"/>
        </w:rPr>
        <w:t>he Committee enga</w:t>
      </w:r>
      <w:r w:rsidR="004C613B" w:rsidRPr="00103D64">
        <w:rPr>
          <w:lang w:val="en-US"/>
        </w:rPr>
        <w:t xml:space="preserve">ged with the </w:t>
      </w:r>
      <w:r w:rsidRPr="00103D64">
        <w:t xml:space="preserve">Office of the Chief Justice </w:t>
      </w:r>
      <w:r w:rsidRPr="00103D64">
        <w:rPr>
          <w:lang w:val="en-US"/>
        </w:rPr>
        <w:t>on its a</w:t>
      </w:r>
      <w:r w:rsidR="00C05C71" w:rsidRPr="00103D64">
        <w:rPr>
          <w:lang w:val="en-US"/>
        </w:rPr>
        <w:t xml:space="preserve">nnual performance and </w:t>
      </w:r>
      <w:r w:rsidR="00B85262" w:rsidRPr="00103D64">
        <w:rPr>
          <w:lang w:val="en-US"/>
        </w:rPr>
        <w:t xml:space="preserve">expenditure </w:t>
      </w:r>
      <w:r w:rsidR="00C05C71" w:rsidRPr="00103D64">
        <w:rPr>
          <w:lang w:val="en-US"/>
        </w:rPr>
        <w:t>for 201</w:t>
      </w:r>
      <w:r w:rsidR="00E63F01" w:rsidRPr="00103D64">
        <w:rPr>
          <w:lang w:val="en-US"/>
        </w:rPr>
        <w:t>8</w:t>
      </w:r>
      <w:r w:rsidR="0044061A" w:rsidRPr="00103D64">
        <w:rPr>
          <w:lang w:val="en-US"/>
        </w:rPr>
        <w:t>/1</w:t>
      </w:r>
      <w:r w:rsidR="00E63F01" w:rsidRPr="00103D64">
        <w:rPr>
          <w:lang w:val="en-US"/>
        </w:rPr>
        <w:t>9</w:t>
      </w:r>
      <w:r w:rsidR="00103D64" w:rsidRPr="00103D64">
        <w:rPr>
          <w:lang w:val="en-US"/>
        </w:rPr>
        <w:t xml:space="preserve"> </w:t>
      </w:r>
      <w:r w:rsidR="00E63F01" w:rsidRPr="00103D64">
        <w:rPr>
          <w:lang w:val="en-US"/>
        </w:rPr>
        <w:t xml:space="preserve">and </w:t>
      </w:r>
      <w:r w:rsidR="00D714C6" w:rsidRPr="00103D64">
        <w:rPr>
          <w:lang w:val="en-US"/>
        </w:rPr>
        <w:t xml:space="preserve">on </w:t>
      </w:r>
      <w:r w:rsidR="00E63F01" w:rsidRPr="00103D64">
        <w:rPr>
          <w:lang w:val="en-US"/>
        </w:rPr>
        <w:t>its funding needs</w:t>
      </w:r>
      <w:r w:rsidR="00D714C6" w:rsidRPr="00103D64">
        <w:rPr>
          <w:lang w:val="en-US"/>
        </w:rPr>
        <w:t xml:space="preserve"> for the 2020 MTEF</w:t>
      </w:r>
      <w:r w:rsidR="00E63F01" w:rsidRPr="00103D64">
        <w:rPr>
          <w:lang w:val="en-US"/>
        </w:rPr>
        <w:t xml:space="preserve">. The Committee </w:t>
      </w:r>
      <w:r w:rsidR="00D714C6" w:rsidRPr="00103D64">
        <w:rPr>
          <w:lang w:val="en-US"/>
        </w:rPr>
        <w:t xml:space="preserve">had already </w:t>
      </w:r>
      <w:r w:rsidR="00E63F01" w:rsidRPr="00103D64">
        <w:rPr>
          <w:lang w:val="en-US"/>
        </w:rPr>
        <w:t xml:space="preserve">met with the OCJ on its performance and spending </w:t>
      </w:r>
      <w:r w:rsidR="00D714C6" w:rsidRPr="00103D64">
        <w:rPr>
          <w:lang w:val="en-US"/>
        </w:rPr>
        <w:t xml:space="preserve">for the First Quarter of </w:t>
      </w:r>
      <w:r w:rsidR="00E63F01" w:rsidRPr="00103D64">
        <w:rPr>
          <w:lang w:val="en-US"/>
        </w:rPr>
        <w:t xml:space="preserve">2019/20 </w:t>
      </w:r>
      <w:r w:rsidR="00103D64" w:rsidRPr="00B970CA">
        <w:rPr>
          <w:lang w:val="en-US"/>
        </w:rPr>
        <w:t>on 11</w:t>
      </w:r>
      <w:r w:rsidR="00E63F01" w:rsidRPr="00B970CA">
        <w:rPr>
          <w:lang w:val="en-US"/>
        </w:rPr>
        <w:t xml:space="preserve"> September</w:t>
      </w:r>
      <w:r w:rsidR="00E63F01" w:rsidRPr="00103D64">
        <w:rPr>
          <w:lang w:val="en-US"/>
        </w:rPr>
        <w:t xml:space="preserve"> 2019</w:t>
      </w:r>
      <w:r w:rsidR="00B85262" w:rsidRPr="00103D64">
        <w:rPr>
          <w:lang w:val="en-US"/>
        </w:rPr>
        <w:t xml:space="preserve">. The </w:t>
      </w:r>
      <w:r w:rsidR="00EF4AD0" w:rsidRPr="00103D64">
        <w:rPr>
          <w:lang w:val="en-US"/>
        </w:rPr>
        <w:t xml:space="preserve">outcomes of that meeting are </w:t>
      </w:r>
      <w:r w:rsidR="00E63F01" w:rsidRPr="00103D64">
        <w:rPr>
          <w:lang w:val="en-US"/>
        </w:rPr>
        <w:t>reflected in this report.</w:t>
      </w:r>
      <w:r w:rsidR="005F4BAB" w:rsidRPr="00103D64">
        <w:rPr>
          <w:lang w:val="en-US"/>
        </w:rPr>
        <w:t xml:space="preserve"> </w:t>
      </w:r>
    </w:p>
    <w:p w14:paraId="5C9983AA" w14:textId="77777777" w:rsidR="00C05C71" w:rsidRPr="007868D0" w:rsidRDefault="00C05C71" w:rsidP="007429F2">
      <w:pPr>
        <w:spacing w:line="360" w:lineRule="auto"/>
        <w:jc w:val="both"/>
        <w:rPr>
          <w:lang w:val="en-US"/>
        </w:rPr>
      </w:pPr>
    </w:p>
    <w:p w14:paraId="085D0068" w14:textId="77777777" w:rsidR="00C05C71" w:rsidRPr="007868D0" w:rsidRDefault="00B85262" w:rsidP="007429F2">
      <w:pPr>
        <w:pStyle w:val="ListParagraph"/>
        <w:numPr>
          <w:ilvl w:val="1"/>
          <w:numId w:val="1"/>
        </w:numPr>
        <w:tabs>
          <w:tab w:val="num" w:pos="709"/>
        </w:tabs>
        <w:spacing w:line="360" w:lineRule="auto"/>
        <w:ind w:left="709" w:hanging="709"/>
        <w:jc w:val="both"/>
        <w:rPr>
          <w:lang w:val="en-US"/>
        </w:rPr>
      </w:pPr>
      <w:r>
        <w:rPr>
          <w:lang w:val="en-US"/>
        </w:rPr>
        <w:t>Before meeting with the OCJ, the</w:t>
      </w:r>
      <w:r w:rsidR="00C05C71" w:rsidRPr="007868D0">
        <w:rPr>
          <w:lang w:val="en-US"/>
        </w:rPr>
        <w:t xml:space="preserve"> Committee</w:t>
      </w:r>
      <w:r w:rsidR="006F6A75" w:rsidRPr="007868D0">
        <w:rPr>
          <w:lang w:val="en-US"/>
        </w:rPr>
        <w:t xml:space="preserve"> </w:t>
      </w:r>
      <w:r w:rsidR="00E63F01">
        <w:rPr>
          <w:lang w:val="en-US"/>
        </w:rPr>
        <w:t xml:space="preserve">was briefed </w:t>
      </w:r>
      <w:r>
        <w:rPr>
          <w:lang w:val="en-US"/>
        </w:rPr>
        <w:t xml:space="preserve">by the </w:t>
      </w:r>
      <w:r w:rsidRPr="007868D0">
        <w:rPr>
          <w:lang w:val="en-US"/>
        </w:rPr>
        <w:t xml:space="preserve">Auditor-General </w:t>
      </w:r>
      <w:r w:rsidR="00A15FC5">
        <w:rPr>
          <w:lang w:val="en-US"/>
        </w:rPr>
        <w:t>on 8</w:t>
      </w:r>
      <w:r>
        <w:rPr>
          <w:lang w:val="en-US"/>
        </w:rPr>
        <w:t xml:space="preserve"> October 2019 </w:t>
      </w:r>
      <w:r w:rsidR="00C05C71" w:rsidRPr="007868D0">
        <w:rPr>
          <w:lang w:val="en-US"/>
        </w:rPr>
        <w:t xml:space="preserve">on the </w:t>
      </w:r>
      <w:r w:rsidR="00042CCC" w:rsidRPr="007868D0">
        <w:rPr>
          <w:lang w:val="en-US"/>
        </w:rPr>
        <w:t>a</w:t>
      </w:r>
      <w:r w:rsidR="00856216" w:rsidRPr="007868D0">
        <w:rPr>
          <w:lang w:val="en-US"/>
        </w:rPr>
        <w:t>udit outcomes for the Vote</w:t>
      </w:r>
      <w:r w:rsidR="00042CCC" w:rsidRPr="007868D0">
        <w:rPr>
          <w:lang w:val="en-US"/>
        </w:rPr>
        <w:t xml:space="preserve">. </w:t>
      </w:r>
    </w:p>
    <w:p w14:paraId="72E53B9E" w14:textId="77777777" w:rsidR="00856216" w:rsidRPr="007868D0" w:rsidRDefault="00856216" w:rsidP="007429F2">
      <w:pPr>
        <w:pStyle w:val="ListParagraph"/>
        <w:spacing w:line="360" w:lineRule="auto"/>
        <w:jc w:val="both"/>
        <w:rPr>
          <w:lang w:val="en-US"/>
        </w:rPr>
      </w:pPr>
    </w:p>
    <w:p w14:paraId="5F2D122F" w14:textId="77777777" w:rsidR="00C05C71" w:rsidRPr="007868D0" w:rsidRDefault="00A15FC5" w:rsidP="007429F2">
      <w:pPr>
        <w:pStyle w:val="ListParagraph"/>
        <w:numPr>
          <w:ilvl w:val="1"/>
          <w:numId w:val="1"/>
        </w:numPr>
        <w:tabs>
          <w:tab w:val="num" w:pos="709"/>
        </w:tabs>
        <w:spacing w:line="360" w:lineRule="auto"/>
        <w:ind w:left="709" w:hanging="709"/>
        <w:jc w:val="both"/>
        <w:rPr>
          <w:lang w:val="en-US"/>
        </w:rPr>
      </w:pPr>
      <w:r>
        <w:rPr>
          <w:lang w:val="en-US"/>
        </w:rPr>
        <w:t>Copies of all</w:t>
      </w:r>
      <w:r w:rsidR="00BF4747" w:rsidRPr="007868D0">
        <w:rPr>
          <w:lang w:val="en-US"/>
        </w:rPr>
        <w:t xml:space="preserve"> </w:t>
      </w:r>
      <w:r w:rsidR="00C05C71" w:rsidRPr="007868D0">
        <w:rPr>
          <w:lang w:val="en-US"/>
        </w:rPr>
        <w:t xml:space="preserve">the presentations are available from the committee </w:t>
      </w:r>
      <w:r w:rsidRPr="007868D0">
        <w:rPr>
          <w:lang w:val="en-US"/>
        </w:rPr>
        <w:t>secretari</w:t>
      </w:r>
      <w:r>
        <w:rPr>
          <w:lang w:val="en-US"/>
        </w:rPr>
        <w:t>at</w:t>
      </w:r>
      <w:r w:rsidR="00C05C71" w:rsidRPr="007868D0">
        <w:rPr>
          <w:lang w:val="en-US"/>
        </w:rPr>
        <w:t xml:space="preserve">. </w:t>
      </w:r>
    </w:p>
    <w:p w14:paraId="5F1F8398" w14:textId="77777777" w:rsidR="00BE558A" w:rsidRDefault="00BE558A" w:rsidP="007429F2">
      <w:pPr>
        <w:tabs>
          <w:tab w:val="num" w:pos="2520"/>
        </w:tabs>
        <w:spacing w:line="360" w:lineRule="auto"/>
        <w:jc w:val="both"/>
        <w:rPr>
          <w:b/>
        </w:rPr>
      </w:pPr>
    </w:p>
    <w:p w14:paraId="570834FC" w14:textId="77777777" w:rsidR="00B85262" w:rsidRPr="007868D0" w:rsidRDefault="00B85262" w:rsidP="007429F2">
      <w:pPr>
        <w:tabs>
          <w:tab w:val="num" w:pos="2520"/>
        </w:tabs>
        <w:spacing w:line="360" w:lineRule="auto"/>
        <w:jc w:val="both"/>
        <w:rPr>
          <w:b/>
        </w:rPr>
      </w:pPr>
    </w:p>
    <w:p w14:paraId="70E58E6C" w14:textId="77777777" w:rsidR="00C05C71" w:rsidRPr="007868D0" w:rsidRDefault="005F4BAB" w:rsidP="007429F2">
      <w:pPr>
        <w:numPr>
          <w:ilvl w:val="0"/>
          <w:numId w:val="1"/>
        </w:numPr>
        <w:tabs>
          <w:tab w:val="clear" w:pos="360"/>
          <w:tab w:val="num" w:pos="709"/>
        </w:tabs>
        <w:spacing w:line="360" w:lineRule="auto"/>
        <w:ind w:left="709" w:hanging="709"/>
        <w:jc w:val="both"/>
        <w:rPr>
          <w:b/>
          <w:lang w:val="en-ZA"/>
        </w:rPr>
      </w:pPr>
      <w:r w:rsidRPr="00087419">
        <w:rPr>
          <w:b/>
          <w:lang w:val="en-US" w:eastAsia="en-US"/>
        </w:rPr>
        <w:t>S</w:t>
      </w:r>
      <w:r w:rsidR="006F6A75" w:rsidRPr="00087419">
        <w:rPr>
          <w:b/>
          <w:lang w:val="en-US" w:eastAsia="en-US"/>
        </w:rPr>
        <w:t>trategic</w:t>
      </w:r>
      <w:r w:rsidR="006F6A75" w:rsidRPr="007868D0">
        <w:rPr>
          <w:b/>
          <w:lang w:val="en-ZA"/>
        </w:rPr>
        <w:t xml:space="preserve"> overview</w:t>
      </w:r>
    </w:p>
    <w:p w14:paraId="3195AE23" w14:textId="77777777" w:rsidR="00C05C71" w:rsidRPr="007868D0" w:rsidRDefault="00C05C71" w:rsidP="007429F2">
      <w:pPr>
        <w:spacing w:line="360" w:lineRule="auto"/>
        <w:jc w:val="both"/>
        <w:rPr>
          <w:lang w:val="en-ZA"/>
        </w:rPr>
      </w:pPr>
    </w:p>
    <w:p w14:paraId="56463394" w14:textId="77777777" w:rsidR="00845397" w:rsidRPr="007868D0" w:rsidRDefault="00856216" w:rsidP="00845397">
      <w:pPr>
        <w:pStyle w:val="ListParagraph"/>
        <w:numPr>
          <w:ilvl w:val="1"/>
          <w:numId w:val="1"/>
        </w:numPr>
        <w:tabs>
          <w:tab w:val="num" w:pos="709"/>
        </w:tabs>
        <w:spacing w:line="360" w:lineRule="auto"/>
        <w:ind w:left="709" w:hanging="709"/>
        <w:jc w:val="both"/>
      </w:pPr>
      <w:r w:rsidRPr="007868D0">
        <w:rPr>
          <w:bCs/>
        </w:rPr>
        <w:t>Strengthening judicial governance and the rule of law is considered vital to further the transformati</w:t>
      </w:r>
      <w:r w:rsidR="00236552" w:rsidRPr="007868D0">
        <w:rPr>
          <w:bCs/>
        </w:rPr>
        <w:t>ve promise of our Constitution.</w:t>
      </w:r>
      <w:r w:rsidR="00845397">
        <w:rPr>
          <w:bCs/>
        </w:rPr>
        <w:t xml:space="preserve"> </w:t>
      </w:r>
      <w:r w:rsidR="00845397" w:rsidRPr="000F6D33">
        <w:rPr>
          <w:lang w:val="en-US"/>
        </w:rPr>
        <w:t>The</w:t>
      </w:r>
      <w:r w:rsidR="00845397" w:rsidRPr="007868D0">
        <w:t xml:space="preserve"> NDP recommends a judiciary-led independent court administration. To strengthen judicial governance, the NDP also identifies the need for a strategy to improve the quality of judges through appointments and the scaling up of judicial training. </w:t>
      </w:r>
    </w:p>
    <w:p w14:paraId="5E359DD0" w14:textId="77777777" w:rsidR="000A2F98" w:rsidRPr="007868D0" w:rsidRDefault="000A2F98" w:rsidP="007429F2">
      <w:pPr>
        <w:pStyle w:val="ListParagraph"/>
        <w:spacing w:line="360" w:lineRule="auto"/>
        <w:ind w:left="709"/>
        <w:jc w:val="both"/>
        <w:rPr>
          <w:lang w:val="en-US" w:eastAsia="en-US"/>
        </w:rPr>
      </w:pPr>
    </w:p>
    <w:p w14:paraId="49F427BA" w14:textId="77777777" w:rsidR="00856216" w:rsidRPr="007868D0" w:rsidRDefault="00806FBE" w:rsidP="007429F2">
      <w:pPr>
        <w:pStyle w:val="ListParagraph"/>
        <w:numPr>
          <w:ilvl w:val="1"/>
          <w:numId w:val="1"/>
        </w:numPr>
        <w:tabs>
          <w:tab w:val="num" w:pos="709"/>
        </w:tabs>
        <w:spacing w:line="360" w:lineRule="auto"/>
        <w:ind w:left="709" w:hanging="709"/>
        <w:jc w:val="both"/>
        <w:rPr>
          <w:lang w:val="en-US" w:eastAsia="en-US"/>
        </w:rPr>
      </w:pPr>
      <w:r w:rsidRPr="007868D0">
        <w:rPr>
          <w:lang w:val="en-US" w:eastAsia="en-US"/>
        </w:rPr>
        <w:t xml:space="preserve">The intention </w:t>
      </w:r>
      <w:r w:rsidR="00C824F1">
        <w:rPr>
          <w:lang w:val="en-US" w:eastAsia="en-US"/>
        </w:rPr>
        <w:t xml:space="preserve">when establishing the OCJ as a national department within the public service </w:t>
      </w:r>
      <w:r w:rsidRPr="007868D0">
        <w:rPr>
          <w:lang w:val="en-US" w:eastAsia="en-US"/>
        </w:rPr>
        <w:t>w</w:t>
      </w:r>
      <w:r w:rsidR="003D7013" w:rsidRPr="007868D0">
        <w:rPr>
          <w:lang w:val="en-US" w:eastAsia="en-US"/>
        </w:rPr>
        <w:t xml:space="preserve">as </w:t>
      </w:r>
      <w:r w:rsidRPr="007868D0">
        <w:rPr>
          <w:lang w:val="en-US" w:eastAsia="en-US"/>
        </w:rPr>
        <w:t xml:space="preserve">that this would be </w:t>
      </w:r>
      <w:r w:rsidR="003D7013" w:rsidRPr="007868D0">
        <w:rPr>
          <w:lang w:val="en-US" w:eastAsia="en-US"/>
        </w:rPr>
        <w:t xml:space="preserve">the first phase towards an </w:t>
      </w:r>
      <w:r w:rsidR="00570286" w:rsidRPr="007868D0">
        <w:rPr>
          <w:lang w:val="en-US" w:eastAsia="en-US"/>
        </w:rPr>
        <w:t>independent judiciary</w:t>
      </w:r>
      <w:r w:rsidR="003D7013" w:rsidRPr="007868D0">
        <w:rPr>
          <w:lang w:val="en-US" w:eastAsia="en-US"/>
        </w:rPr>
        <w:t xml:space="preserve">-led court administration system to </w:t>
      </w:r>
      <w:r w:rsidR="003D7013" w:rsidRPr="007868D0">
        <w:rPr>
          <w:lang w:eastAsia="en-US"/>
        </w:rPr>
        <w:t>realise</w:t>
      </w:r>
      <w:r w:rsidR="003D7013" w:rsidRPr="007868D0">
        <w:rPr>
          <w:lang w:val="en-US" w:eastAsia="en-US"/>
        </w:rPr>
        <w:t xml:space="preserve"> </w:t>
      </w:r>
      <w:r w:rsidR="000D6C91" w:rsidRPr="007868D0">
        <w:rPr>
          <w:lang w:val="en-US" w:eastAsia="en-US"/>
        </w:rPr>
        <w:t xml:space="preserve">fully </w:t>
      </w:r>
      <w:r w:rsidR="003D7013" w:rsidRPr="007868D0">
        <w:rPr>
          <w:lang w:val="en-US" w:eastAsia="en-US"/>
        </w:rPr>
        <w:t>the Judiciary’s institutional independence in line with the Constitution</w:t>
      </w:r>
      <w:r w:rsidR="00C824F1">
        <w:rPr>
          <w:lang w:val="en-US" w:eastAsia="en-US"/>
        </w:rPr>
        <w:t>, 1996</w:t>
      </w:r>
      <w:r w:rsidR="003D7013" w:rsidRPr="007868D0">
        <w:rPr>
          <w:lang w:val="en-US" w:eastAsia="en-US"/>
        </w:rPr>
        <w:t xml:space="preserve">. </w:t>
      </w:r>
    </w:p>
    <w:p w14:paraId="36A4EB61" w14:textId="77777777" w:rsidR="00856216" w:rsidRPr="007868D0" w:rsidRDefault="00856216" w:rsidP="007429F2">
      <w:pPr>
        <w:autoSpaceDE w:val="0"/>
        <w:autoSpaceDN w:val="0"/>
        <w:adjustRightInd w:val="0"/>
        <w:spacing w:line="360" w:lineRule="auto"/>
        <w:ind w:left="720"/>
        <w:jc w:val="both"/>
        <w:rPr>
          <w:lang w:val="en-US" w:eastAsia="en-US"/>
        </w:rPr>
      </w:pPr>
    </w:p>
    <w:p w14:paraId="6FE6B5C9" w14:textId="77777777" w:rsidR="00856216" w:rsidRPr="007868D0" w:rsidRDefault="003D7013" w:rsidP="007429F2">
      <w:pPr>
        <w:pStyle w:val="ListParagraph"/>
        <w:numPr>
          <w:ilvl w:val="1"/>
          <w:numId w:val="1"/>
        </w:numPr>
        <w:tabs>
          <w:tab w:val="num" w:pos="709"/>
        </w:tabs>
        <w:spacing w:line="360" w:lineRule="auto"/>
        <w:ind w:left="709" w:hanging="709"/>
        <w:jc w:val="both"/>
        <w:rPr>
          <w:lang w:val="en-US" w:eastAsia="en-US"/>
        </w:rPr>
      </w:pPr>
      <w:r w:rsidRPr="007868D0">
        <w:rPr>
          <w:lang w:val="en-US"/>
        </w:rPr>
        <w:t>The Constitution Seventeenth Amendment Act, 2013, affirms the Chief Justice as head of the Judiciary responsible for establishing and monitoring the norms and standards for the exercise of judicial functions of all courts. The Superior Courts Act</w:t>
      </w:r>
      <w:r w:rsidR="00CA00DF" w:rsidRPr="007868D0">
        <w:rPr>
          <w:lang w:val="en-US"/>
        </w:rPr>
        <w:t>, 2013,</w:t>
      </w:r>
      <w:r w:rsidRPr="007868D0">
        <w:rPr>
          <w:lang w:val="en-US"/>
        </w:rPr>
        <w:t xml:space="preserve"> establishes a legislative framework for the Chief Justice to exercise his/her judicial leadership supported by the OCJ and provides for the delegation of certain functions flowing from the Act to the OCJ.</w:t>
      </w:r>
      <w:r w:rsidRPr="007868D0">
        <w:rPr>
          <w:lang w:val="en-US" w:eastAsia="en-US"/>
        </w:rPr>
        <w:t xml:space="preserve"> </w:t>
      </w:r>
    </w:p>
    <w:p w14:paraId="00D8E027" w14:textId="77777777" w:rsidR="00856216" w:rsidRPr="007868D0" w:rsidRDefault="00856216" w:rsidP="007429F2">
      <w:pPr>
        <w:pStyle w:val="ListParagraph"/>
        <w:spacing w:line="360" w:lineRule="auto"/>
        <w:jc w:val="both"/>
      </w:pPr>
    </w:p>
    <w:p w14:paraId="1B1BDCA9" w14:textId="77777777" w:rsidR="006D08A6" w:rsidRPr="00103D64" w:rsidRDefault="006D08A6" w:rsidP="007429F2">
      <w:pPr>
        <w:pStyle w:val="ListParagraph"/>
        <w:numPr>
          <w:ilvl w:val="1"/>
          <w:numId w:val="1"/>
        </w:numPr>
        <w:tabs>
          <w:tab w:val="num" w:pos="709"/>
        </w:tabs>
        <w:spacing w:line="360" w:lineRule="auto"/>
        <w:ind w:left="709" w:hanging="709"/>
        <w:jc w:val="both"/>
        <w:rPr>
          <w:lang w:val="en-US" w:eastAsia="en-US"/>
        </w:rPr>
      </w:pPr>
      <w:r w:rsidRPr="00103D64">
        <w:t xml:space="preserve">In terms of the Superior Courts Act, 2013, the Minister of Justice and Correctional Services is the Executive Authority (EA) and the Secretary General (SG) it’s administrative head. The Secretary-General engages and consults with the Chief Justice and other Heads of Courts in respect of the administrative functioning of the Superior Courts, while the Chief Justice controls the judicial functions of the Superior and Lower courts. </w:t>
      </w:r>
    </w:p>
    <w:p w14:paraId="16ED047C" w14:textId="77777777" w:rsidR="006D08A6" w:rsidRPr="00103D64" w:rsidRDefault="006D08A6" w:rsidP="007429F2">
      <w:pPr>
        <w:pStyle w:val="ListParagraph"/>
        <w:spacing w:line="360" w:lineRule="auto"/>
      </w:pPr>
    </w:p>
    <w:p w14:paraId="1DD1B3CC" w14:textId="77777777" w:rsidR="00856216" w:rsidRPr="00845397" w:rsidRDefault="006D08A6" w:rsidP="001072DD">
      <w:pPr>
        <w:pStyle w:val="ListParagraph"/>
        <w:numPr>
          <w:ilvl w:val="1"/>
          <w:numId w:val="1"/>
        </w:numPr>
        <w:tabs>
          <w:tab w:val="num" w:pos="709"/>
        </w:tabs>
        <w:spacing w:line="360" w:lineRule="auto"/>
        <w:ind w:left="709" w:hanging="709"/>
        <w:jc w:val="both"/>
        <w:rPr>
          <w:lang w:val="en-US" w:eastAsia="en-US"/>
        </w:rPr>
      </w:pPr>
      <w:r w:rsidRPr="00103D64">
        <w:t xml:space="preserve">The Department of Justice and Constitutional Development continues to support the administration of the Lower/Magistrate’s courts. </w:t>
      </w:r>
      <w:r w:rsidR="00103D64" w:rsidRPr="00845397">
        <w:rPr>
          <w:lang w:val="en-US"/>
        </w:rPr>
        <w:t>Further, u</w:t>
      </w:r>
      <w:r w:rsidR="005F4BAB" w:rsidRPr="00845397">
        <w:rPr>
          <w:lang w:val="en-US"/>
        </w:rPr>
        <w:t xml:space="preserve">ntil the legislative framework for the Magistrates’ Courts </w:t>
      </w:r>
      <w:r w:rsidR="00103D64" w:rsidRPr="00845397">
        <w:rPr>
          <w:lang w:val="en-US"/>
        </w:rPr>
        <w:t xml:space="preserve">is </w:t>
      </w:r>
      <w:r w:rsidR="005F4BAB" w:rsidRPr="00845397">
        <w:rPr>
          <w:lang w:val="en-US"/>
        </w:rPr>
        <w:t xml:space="preserve">overhauled to transform these courts in line with the Superior Courts Act, 2013, </w:t>
      </w:r>
      <w:r w:rsidR="0007296B" w:rsidRPr="00845397">
        <w:rPr>
          <w:lang w:val="en-US"/>
        </w:rPr>
        <w:t>certain shared service</w:t>
      </w:r>
      <w:r w:rsidR="00A15FC5" w:rsidRPr="00845397">
        <w:rPr>
          <w:lang w:val="en-US"/>
        </w:rPr>
        <w:t>s (for example, tools of trade</w:t>
      </w:r>
      <w:r w:rsidR="0007296B" w:rsidRPr="00845397">
        <w:rPr>
          <w:lang w:val="en-US"/>
        </w:rPr>
        <w:t xml:space="preserve"> and security</w:t>
      </w:r>
      <w:r w:rsidR="00103D64" w:rsidRPr="00845397">
        <w:rPr>
          <w:lang w:val="en-US"/>
        </w:rPr>
        <w:t xml:space="preserve"> services</w:t>
      </w:r>
      <w:r w:rsidR="0007296B" w:rsidRPr="00845397">
        <w:rPr>
          <w:lang w:val="en-US"/>
        </w:rPr>
        <w:t>)</w:t>
      </w:r>
      <w:r w:rsidR="00103D64" w:rsidRPr="00845397">
        <w:rPr>
          <w:lang w:val="en-US"/>
        </w:rPr>
        <w:t xml:space="preserve"> are provided by the</w:t>
      </w:r>
      <w:r w:rsidR="00103D64" w:rsidRPr="00103D64">
        <w:t xml:space="preserve"> Department of Justice and Constitutional Development</w:t>
      </w:r>
      <w:r w:rsidR="00103D64">
        <w:t>.</w:t>
      </w:r>
      <w:r w:rsidR="00570286" w:rsidRPr="00845397">
        <w:rPr>
          <w:lang w:val="en-US"/>
        </w:rPr>
        <w:t xml:space="preserve"> </w:t>
      </w:r>
    </w:p>
    <w:p w14:paraId="10EB516C" w14:textId="77777777" w:rsidR="003554EB" w:rsidRPr="003554EB" w:rsidRDefault="003554EB" w:rsidP="007429F2">
      <w:pPr>
        <w:pStyle w:val="ListParagraph"/>
        <w:spacing w:line="360" w:lineRule="auto"/>
        <w:rPr>
          <w:lang w:val="en-US" w:eastAsia="en-US"/>
        </w:rPr>
      </w:pPr>
    </w:p>
    <w:p w14:paraId="2E9F4FD3" w14:textId="77777777" w:rsidR="00856216" w:rsidRPr="007868D0" w:rsidRDefault="00845397" w:rsidP="001072DD">
      <w:pPr>
        <w:pStyle w:val="ListParagraph"/>
        <w:numPr>
          <w:ilvl w:val="1"/>
          <w:numId w:val="1"/>
        </w:numPr>
        <w:tabs>
          <w:tab w:val="num" w:pos="709"/>
        </w:tabs>
        <w:spacing w:line="360" w:lineRule="auto"/>
        <w:ind w:left="709" w:hanging="709"/>
        <w:jc w:val="both"/>
      </w:pPr>
      <w:r w:rsidRPr="00845397">
        <w:rPr>
          <w:lang w:val="en-US" w:eastAsia="en-US"/>
        </w:rPr>
        <w:t xml:space="preserve">Overall, there has been little change in the legislative and policy environment since the OCJ became a fully-fledged department on 1 April 2015. However, </w:t>
      </w:r>
      <w:r>
        <w:rPr>
          <w:lang w:val="en-US" w:eastAsia="en-US"/>
        </w:rPr>
        <w:t>a</w:t>
      </w:r>
      <w:r w:rsidR="00103D64" w:rsidRPr="00845397">
        <w:rPr>
          <w:lang w:val="en-US"/>
        </w:rPr>
        <w:t xml:space="preserve"> notable </w:t>
      </w:r>
      <w:r w:rsidR="009C5A75" w:rsidRPr="00845397">
        <w:rPr>
          <w:lang w:val="en-US"/>
        </w:rPr>
        <w:t xml:space="preserve">development has been the </w:t>
      </w:r>
      <w:r w:rsidR="00A950EB" w:rsidRPr="00845397">
        <w:rPr>
          <w:lang w:val="en-US"/>
        </w:rPr>
        <w:t xml:space="preserve">announcement by the Judiciary that it </w:t>
      </w:r>
      <w:r w:rsidR="00A950EB" w:rsidRPr="00845397">
        <w:rPr>
          <w:lang w:val="en-US" w:eastAsia="en-US"/>
        </w:rPr>
        <w:t>would account to the public</w:t>
      </w:r>
      <w:r w:rsidR="00B970CA">
        <w:rPr>
          <w:lang w:val="en-US" w:eastAsia="en-US"/>
        </w:rPr>
        <w:t xml:space="preserve"> </w:t>
      </w:r>
      <w:r w:rsidR="00B970CA" w:rsidRPr="00845397">
        <w:rPr>
          <w:lang w:val="en-US" w:eastAsia="en-US"/>
        </w:rPr>
        <w:t>annually</w:t>
      </w:r>
      <w:r w:rsidR="00A950EB" w:rsidRPr="00845397">
        <w:rPr>
          <w:lang w:val="en-US" w:eastAsia="en-US"/>
        </w:rPr>
        <w:t xml:space="preserve">. So far, the Judiciary has </w:t>
      </w:r>
      <w:r w:rsidR="00B970CA">
        <w:rPr>
          <w:lang w:val="en-US" w:eastAsia="en-US"/>
        </w:rPr>
        <w:t xml:space="preserve">presented </w:t>
      </w:r>
      <w:r w:rsidR="00A950EB" w:rsidRPr="00845397">
        <w:rPr>
          <w:lang w:val="en-US" w:eastAsia="en-US"/>
        </w:rPr>
        <w:t>annual reports for 2017/18 and 2018/19.</w:t>
      </w:r>
    </w:p>
    <w:p w14:paraId="30C61A99" w14:textId="77777777" w:rsidR="00D326EB" w:rsidRPr="007868D0" w:rsidRDefault="00D326EB" w:rsidP="007429F2">
      <w:pPr>
        <w:pStyle w:val="ListParagraph"/>
        <w:tabs>
          <w:tab w:val="num" w:pos="862"/>
        </w:tabs>
        <w:spacing w:line="360" w:lineRule="auto"/>
        <w:ind w:left="567"/>
        <w:jc w:val="both"/>
      </w:pPr>
    </w:p>
    <w:p w14:paraId="3AF71F9C" w14:textId="77777777" w:rsidR="00024E4D" w:rsidRPr="007868D0" w:rsidRDefault="003D7013" w:rsidP="007429F2">
      <w:pPr>
        <w:pStyle w:val="ListParagraph"/>
        <w:numPr>
          <w:ilvl w:val="1"/>
          <w:numId w:val="1"/>
        </w:numPr>
        <w:tabs>
          <w:tab w:val="num" w:pos="709"/>
        </w:tabs>
        <w:spacing w:line="360" w:lineRule="auto"/>
        <w:ind w:left="709" w:hanging="709"/>
        <w:jc w:val="both"/>
      </w:pPr>
      <w:r w:rsidRPr="007868D0">
        <w:t>The OCJ contributes to the N</w:t>
      </w:r>
      <w:r w:rsidR="00570286" w:rsidRPr="007868D0">
        <w:t xml:space="preserve">ational </w:t>
      </w:r>
      <w:r w:rsidRPr="007868D0">
        <w:t>D</w:t>
      </w:r>
      <w:r w:rsidR="00570286" w:rsidRPr="007868D0">
        <w:t xml:space="preserve">evelopment </w:t>
      </w:r>
      <w:r w:rsidRPr="007868D0">
        <w:t>P</w:t>
      </w:r>
      <w:r w:rsidR="00570286" w:rsidRPr="007868D0">
        <w:t>lan</w:t>
      </w:r>
      <w:r w:rsidRPr="007868D0">
        <w:t xml:space="preserve">’s </w:t>
      </w:r>
      <w:r w:rsidR="00570286" w:rsidRPr="007868D0">
        <w:t xml:space="preserve">(NDP) </w:t>
      </w:r>
      <w:r w:rsidRPr="007868D0">
        <w:t>call for strengthened judicial governance and the rule of law</w:t>
      </w:r>
      <w:r w:rsidR="00570286" w:rsidRPr="007868D0">
        <w:t xml:space="preserve">, and also to ensuring </w:t>
      </w:r>
      <w:r w:rsidRPr="007868D0">
        <w:t>an efficient and effective criminal justice system</w:t>
      </w:r>
      <w:r w:rsidR="00245C90" w:rsidRPr="007868D0">
        <w:t xml:space="preserve"> in support of Outcome 3 of the Medium Term Strategic Framework 2014-2019 (MTSF) – ‘All people in South Africa are and feel safe’.</w:t>
      </w:r>
      <w:r w:rsidR="00570286" w:rsidRPr="007868D0">
        <w:t xml:space="preserve"> </w:t>
      </w:r>
      <w:r w:rsidR="00D326EB" w:rsidRPr="007868D0">
        <w:t>In addition, the OCJ contributes to creating a capable state by</w:t>
      </w:r>
      <w:r w:rsidR="00024E4D" w:rsidRPr="007868D0">
        <w:t>:</w:t>
      </w:r>
    </w:p>
    <w:p w14:paraId="35847276" w14:textId="77777777" w:rsidR="0046751C" w:rsidRPr="007868D0" w:rsidRDefault="00024E4D" w:rsidP="007429F2">
      <w:pPr>
        <w:numPr>
          <w:ilvl w:val="0"/>
          <w:numId w:val="5"/>
        </w:numPr>
        <w:autoSpaceDE w:val="0"/>
        <w:autoSpaceDN w:val="0"/>
        <w:adjustRightInd w:val="0"/>
        <w:spacing w:line="360" w:lineRule="auto"/>
        <w:ind w:left="1080" w:hanging="371"/>
        <w:jc w:val="both"/>
        <w:rPr>
          <w:lang w:val="en-US"/>
        </w:rPr>
      </w:pPr>
      <w:r w:rsidRPr="007868D0">
        <w:rPr>
          <w:lang w:val="en-US"/>
        </w:rPr>
        <w:t>Accelerating reforms to implement a judiciary-led court administration.</w:t>
      </w:r>
    </w:p>
    <w:p w14:paraId="3527DF4D" w14:textId="4FF05C0F" w:rsidR="00024E4D" w:rsidRPr="007868D0" w:rsidRDefault="00DD618F" w:rsidP="007429F2">
      <w:pPr>
        <w:numPr>
          <w:ilvl w:val="0"/>
          <w:numId w:val="5"/>
        </w:numPr>
        <w:autoSpaceDE w:val="0"/>
        <w:autoSpaceDN w:val="0"/>
        <w:adjustRightInd w:val="0"/>
        <w:spacing w:line="360" w:lineRule="auto"/>
        <w:ind w:left="1080" w:hanging="371"/>
        <w:jc w:val="both"/>
        <w:rPr>
          <w:lang w:val="en-US"/>
        </w:rPr>
      </w:pPr>
      <w:r>
        <w:rPr>
          <w:lang w:val="en-US"/>
        </w:rPr>
        <w:t>Ensuring</w:t>
      </w:r>
      <w:r w:rsidR="00024E4D" w:rsidRPr="007868D0">
        <w:rPr>
          <w:lang w:val="en-US"/>
        </w:rPr>
        <w:t xml:space="preserve"> an efficient court system.</w:t>
      </w:r>
    </w:p>
    <w:p w14:paraId="55AE5CEC" w14:textId="53087B52" w:rsidR="00024E4D" w:rsidRPr="007868D0" w:rsidRDefault="00024E4D" w:rsidP="007429F2">
      <w:pPr>
        <w:numPr>
          <w:ilvl w:val="0"/>
          <w:numId w:val="5"/>
        </w:numPr>
        <w:autoSpaceDE w:val="0"/>
        <w:autoSpaceDN w:val="0"/>
        <w:adjustRightInd w:val="0"/>
        <w:spacing w:line="360" w:lineRule="auto"/>
        <w:ind w:left="1080" w:hanging="371"/>
        <w:jc w:val="both"/>
        <w:rPr>
          <w:lang w:val="en-US"/>
        </w:rPr>
      </w:pPr>
      <w:r w:rsidRPr="007868D0">
        <w:rPr>
          <w:lang w:val="en-US"/>
        </w:rPr>
        <w:t>Reduc</w:t>
      </w:r>
      <w:r w:rsidR="00DD618F">
        <w:rPr>
          <w:lang w:val="en-US"/>
        </w:rPr>
        <w:t>ing</w:t>
      </w:r>
      <w:r w:rsidRPr="007868D0">
        <w:rPr>
          <w:lang w:val="en-US"/>
        </w:rPr>
        <w:t xml:space="preserve"> court administration inefficiencies.</w:t>
      </w:r>
    </w:p>
    <w:p w14:paraId="1D2F9C4F" w14:textId="076FEAC2" w:rsidR="00024E4D" w:rsidRPr="007868D0" w:rsidRDefault="00024E4D" w:rsidP="007429F2">
      <w:pPr>
        <w:numPr>
          <w:ilvl w:val="0"/>
          <w:numId w:val="5"/>
        </w:numPr>
        <w:autoSpaceDE w:val="0"/>
        <w:autoSpaceDN w:val="0"/>
        <w:adjustRightInd w:val="0"/>
        <w:spacing w:line="360" w:lineRule="auto"/>
        <w:ind w:left="1080" w:hanging="371"/>
        <w:jc w:val="both"/>
        <w:rPr>
          <w:lang w:val="en-US"/>
        </w:rPr>
      </w:pPr>
      <w:r w:rsidRPr="007868D0">
        <w:rPr>
          <w:lang w:val="en-US"/>
        </w:rPr>
        <w:t>Ensur</w:t>
      </w:r>
      <w:r w:rsidR="00DD618F">
        <w:rPr>
          <w:lang w:val="en-US"/>
        </w:rPr>
        <w:t>ing</w:t>
      </w:r>
      <w:r w:rsidRPr="007868D0">
        <w:rPr>
          <w:lang w:val="en-US"/>
        </w:rPr>
        <w:t xml:space="preserve"> judicial accountability.</w:t>
      </w:r>
    </w:p>
    <w:p w14:paraId="468C3C9E" w14:textId="6B8DD284" w:rsidR="00024E4D" w:rsidRPr="007868D0" w:rsidRDefault="00024E4D" w:rsidP="007429F2">
      <w:pPr>
        <w:numPr>
          <w:ilvl w:val="0"/>
          <w:numId w:val="5"/>
        </w:numPr>
        <w:autoSpaceDE w:val="0"/>
        <w:autoSpaceDN w:val="0"/>
        <w:adjustRightInd w:val="0"/>
        <w:spacing w:line="360" w:lineRule="auto"/>
        <w:ind w:left="1080" w:hanging="371"/>
        <w:jc w:val="both"/>
      </w:pPr>
      <w:r w:rsidRPr="007868D0">
        <w:rPr>
          <w:lang w:val="en-US"/>
        </w:rPr>
        <w:t>Provid</w:t>
      </w:r>
      <w:r w:rsidR="00DD618F">
        <w:rPr>
          <w:lang w:val="en-US"/>
        </w:rPr>
        <w:t>ing</w:t>
      </w:r>
      <w:r w:rsidRPr="007868D0">
        <w:t xml:space="preserve"> training to the judiciary though SAJEI.</w:t>
      </w:r>
    </w:p>
    <w:p w14:paraId="0CFE62E7" w14:textId="77777777" w:rsidR="0046751C" w:rsidRPr="007868D0" w:rsidRDefault="0046751C" w:rsidP="007429F2">
      <w:pPr>
        <w:pStyle w:val="ListParagraph"/>
        <w:spacing w:line="360" w:lineRule="auto"/>
        <w:jc w:val="both"/>
        <w:rPr>
          <w:lang w:val="en-US"/>
        </w:rPr>
      </w:pPr>
    </w:p>
    <w:p w14:paraId="1624E1CE" w14:textId="77777777" w:rsidR="00632573" w:rsidRPr="007868D0" w:rsidRDefault="00570286" w:rsidP="007429F2">
      <w:pPr>
        <w:pStyle w:val="ListParagraph"/>
        <w:numPr>
          <w:ilvl w:val="1"/>
          <w:numId w:val="1"/>
        </w:numPr>
        <w:tabs>
          <w:tab w:val="num" w:pos="709"/>
        </w:tabs>
        <w:spacing w:line="360" w:lineRule="auto"/>
        <w:ind w:left="709" w:hanging="709"/>
        <w:jc w:val="both"/>
      </w:pPr>
      <w:r w:rsidRPr="007868D0">
        <w:t>T</w:t>
      </w:r>
      <w:r w:rsidR="00632573" w:rsidRPr="007868D0">
        <w:t xml:space="preserve">he OCJ has aligned its </w:t>
      </w:r>
      <w:r w:rsidRPr="007868D0">
        <w:t xml:space="preserve">plans to the NDP and the </w:t>
      </w:r>
      <w:r w:rsidR="00632573" w:rsidRPr="007868D0">
        <w:t>M</w:t>
      </w:r>
      <w:r w:rsidR="00245C90" w:rsidRPr="007868D0">
        <w:t>TSF</w:t>
      </w:r>
      <w:r w:rsidRPr="007868D0">
        <w:t>,</w:t>
      </w:r>
      <w:r w:rsidR="00632573" w:rsidRPr="007868D0">
        <w:t xml:space="preserve"> as follows</w:t>
      </w:r>
      <w:r w:rsidR="00632573" w:rsidRPr="007868D0">
        <w:rPr>
          <w:lang w:val="en-US"/>
        </w:rPr>
        <w:t>:</w:t>
      </w:r>
    </w:p>
    <w:p w14:paraId="1FF763EB" w14:textId="77777777" w:rsidR="00632573" w:rsidRPr="009C5A75" w:rsidRDefault="00632573" w:rsidP="007429F2">
      <w:pPr>
        <w:numPr>
          <w:ilvl w:val="0"/>
          <w:numId w:val="5"/>
        </w:numPr>
        <w:autoSpaceDE w:val="0"/>
        <w:autoSpaceDN w:val="0"/>
        <w:adjustRightInd w:val="0"/>
        <w:spacing w:line="360" w:lineRule="auto"/>
        <w:ind w:left="1080" w:hanging="371"/>
        <w:jc w:val="both"/>
        <w:rPr>
          <w:lang w:val="en-US"/>
        </w:rPr>
      </w:pPr>
      <w:r w:rsidRPr="009C5A75">
        <w:rPr>
          <w:lang w:val="en-US"/>
        </w:rPr>
        <w:t>Administration is linked to Outcome 12</w:t>
      </w:r>
      <w:r w:rsidR="00386511" w:rsidRPr="009C5A75">
        <w:rPr>
          <w:lang w:val="en-US"/>
        </w:rPr>
        <w:t xml:space="preserve"> of the MTSF</w:t>
      </w:r>
      <w:r w:rsidRPr="009C5A75">
        <w:rPr>
          <w:lang w:val="en-US"/>
        </w:rPr>
        <w:t>: An efficient and effective development-orientated public service.</w:t>
      </w:r>
    </w:p>
    <w:p w14:paraId="70C0FE2B" w14:textId="77777777" w:rsidR="009C5A75" w:rsidRPr="009C5A75" w:rsidRDefault="00570286" w:rsidP="009C5A75">
      <w:pPr>
        <w:numPr>
          <w:ilvl w:val="0"/>
          <w:numId w:val="5"/>
        </w:numPr>
        <w:autoSpaceDE w:val="0"/>
        <w:autoSpaceDN w:val="0"/>
        <w:adjustRightInd w:val="0"/>
        <w:spacing w:line="360" w:lineRule="auto"/>
        <w:ind w:left="1080" w:hanging="371"/>
        <w:jc w:val="both"/>
      </w:pPr>
      <w:r w:rsidRPr="009C5A75">
        <w:rPr>
          <w:lang w:val="en-US"/>
        </w:rPr>
        <w:t xml:space="preserve">Both the </w:t>
      </w:r>
      <w:r w:rsidR="000F6D33" w:rsidRPr="009C5A75">
        <w:rPr>
          <w:lang w:val="en-US"/>
        </w:rPr>
        <w:t xml:space="preserve">Superior Court Services </w:t>
      </w:r>
      <w:r w:rsidR="00632573" w:rsidRPr="009C5A75">
        <w:rPr>
          <w:lang w:val="en-US"/>
        </w:rPr>
        <w:t>and Judicial Education and Research programmes are linked to Chapter 14 of the NDP: Strengthening judicial governance</w:t>
      </w:r>
      <w:r w:rsidR="00632573" w:rsidRPr="009C5A75">
        <w:t xml:space="preserve"> and the rule of law.</w:t>
      </w:r>
      <w:r w:rsidR="00631839" w:rsidRPr="009C5A75">
        <w:t xml:space="preserve"> </w:t>
      </w:r>
    </w:p>
    <w:p w14:paraId="36E3A29F" w14:textId="77777777" w:rsidR="009C5A75" w:rsidRDefault="009C5A75" w:rsidP="009C5A75">
      <w:pPr>
        <w:pStyle w:val="ListParagraph"/>
        <w:tabs>
          <w:tab w:val="num" w:pos="1004"/>
        </w:tabs>
        <w:spacing w:line="360" w:lineRule="auto"/>
        <w:ind w:left="709"/>
        <w:jc w:val="both"/>
      </w:pPr>
    </w:p>
    <w:p w14:paraId="55E26FEC" w14:textId="77777777" w:rsidR="003D7013" w:rsidRPr="00B970CA" w:rsidRDefault="003D7013" w:rsidP="009C5A75">
      <w:pPr>
        <w:pStyle w:val="ListParagraph"/>
        <w:numPr>
          <w:ilvl w:val="1"/>
          <w:numId w:val="1"/>
        </w:numPr>
        <w:tabs>
          <w:tab w:val="num" w:pos="709"/>
        </w:tabs>
        <w:spacing w:line="360" w:lineRule="auto"/>
        <w:ind w:left="709" w:hanging="709"/>
        <w:jc w:val="both"/>
      </w:pPr>
      <w:r w:rsidRPr="00B970CA">
        <w:t>The OCJ has the following broad strategic outcome-orientated goals.</w:t>
      </w:r>
    </w:p>
    <w:p w14:paraId="6AEC997B" w14:textId="77777777" w:rsidR="003D7013" w:rsidRPr="00B970CA" w:rsidRDefault="00083BFB" w:rsidP="007429F2">
      <w:pPr>
        <w:numPr>
          <w:ilvl w:val="0"/>
          <w:numId w:val="5"/>
        </w:numPr>
        <w:autoSpaceDE w:val="0"/>
        <w:autoSpaceDN w:val="0"/>
        <w:adjustRightInd w:val="0"/>
        <w:spacing w:line="360" w:lineRule="auto"/>
        <w:ind w:left="1080" w:hanging="371"/>
        <w:jc w:val="both"/>
        <w:rPr>
          <w:lang w:val="en-US"/>
        </w:rPr>
      </w:pPr>
      <w:r w:rsidRPr="00B970CA">
        <w:rPr>
          <w:lang w:val="en-US"/>
        </w:rPr>
        <w:t>Capacitating</w:t>
      </w:r>
      <w:r w:rsidR="003D7013" w:rsidRPr="00B970CA">
        <w:rPr>
          <w:lang w:val="en-US"/>
        </w:rPr>
        <w:t xml:space="preserve"> the Office of the Chief Justice</w:t>
      </w:r>
      <w:r w:rsidRPr="00B970CA">
        <w:rPr>
          <w:lang w:val="en-US"/>
        </w:rPr>
        <w:t xml:space="preserve"> by securing </w:t>
      </w:r>
      <w:r w:rsidR="003D7013" w:rsidRPr="00B970CA">
        <w:rPr>
          <w:lang w:val="en-US"/>
        </w:rPr>
        <w:t>a</w:t>
      </w:r>
      <w:r w:rsidRPr="00B970CA">
        <w:rPr>
          <w:lang w:val="en-US"/>
        </w:rPr>
        <w:t xml:space="preserve">dequate human resources for </w:t>
      </w:r>
      <w:r w:rsidR="003D7013" w:rsidRPr="00B970CA">
        <w:rPr>
          <w:lang w:val="en-US"/>
        </w:rPr>
        <w:t>it to carry out its mandate effectively.</w:t>
      </w:r>
    </w:p>
    <w:p w14:paraId="11C90157" w14:textId="77777777" w:rsidR="003D7013" w:rsidRPr="00B970CA" w:rsidRDefault="00083BFB" w:rsidP="007429F2">
      <w:pPr>
        <w:numPr>
          <w:ilvl w:val="0"/>
          <w:numId w:val="5"/>
        </w:numPr>
        <w:autoSpaceDE w:val="0"/>
        <w:autoSpaceDN w:val="0"/>
        <w:adjustRightInd w:val="0"/>
        <w:spacing w:line="360" w:lineRule="auto"/>
        <w:ind w:left="1080" w:hanging="371"/>
        <w:jc w:val="both"/>
        <w:rPr>
          <w:lang w:val="en-US"/>
        </w:rPr>
      </w:pPr>
      <w:r w:rsidRPr="00B970CA">
        <w:rPr>
          <w:lang w:val="en-US"/>
        </w:rPr>
        <w:t xml:space="preserve">Providing administrative support to </w:t>
      </w:r>
      <w:r w:rsidR="003D7013" w:rsidRPr="00B970CA">
        <w:rPr>
          <w:lang w:val="en-US"/>
        </w:rPr>
        <w:t>the Chief Justice in fulfilling his/her functions as Head of the Judiciary.</w:t>
      </w:r>
    </w:p>
    <w:p w14:paraId="6745319B" w14:textId="77777777" w:rsidR="003D7013" w:rsidRPr="00B970CA" w:rsidRDefault="003D7013" w:rsidP="007429F2">
      <w:pPr>
        <w:numPr>
          <w:ilvl w:val="0"/>
          <w:numId w:val="5"/>
        </w:numPr>
        <w:autoSpaceDE w:val="0"/>
        <w:autoSpaceDN w:val="0"/>
        <w:adjustRightInd w:val="0"/>
        <w:spacing w:line="360" w:lineRule="auto"/>
        <w:ind w:left="1080" w:hanging="371"/>
        <w:jc w:val="both"/>
        <w:rPr>
          <w:i/>
        </w:rPr>
      </w:pPr>
      <w:r w:rsidRPr="00B970CA">
        <w:rPr>
          <w:lang w:val="en-US"/>
        </w:rPr>
        <w:t>Render</w:t>
      </w:r>
      <w:r w:rsidR="00083BFB" w:rsidRPr="00B970CA">
        <w:rPr>
          <w:lang w:val="en-US"/>
        </w:rPr>
        <w:t>ing</w:t>
      </w:r>
      <w:r w:rsidRPr="00B970CA">
        <w:rPr>
          <w:lang w:val="en-US"/>
        </w:rPr>
        <w:t xml:space="preserve"> effective and efficient administration and technical support to the Superior Courts</w:t>
      </w:r>
      <w:r w:rsidR="00083BFB" w:rsidRPr="00B970CA">
        <w:rPr>
          <w:lang w:val="en-US"/>
        </w:rPr>
        <w:t>.</w:t>
      </w:r>
    </w:p>
    <w:p w14:paraId="648D00B1" w14:textId="77777777" w:rsidR="004F1DA7" w:rsidRDefault="004F1DA7" w:rsidP="007429F2">
      <w:pPr>
        <w:autoSpaceDE w:val="0"/>
        <w:autoSpaceDN w:val="0"/>
        <w:adjustRightInd w:val="0"/>
        <w:spacing w:line="360" w:lineRule="auto"/>
        <w:jc w:val="both"/>
      </w:pPr>
    </w:p>
    <w:p w14:paraId="10606A09" w14:textId="77777777" w:rsidR="00845397" w:rsidRPr="007868D0" w:rsidRDefault="00845397" w:rsidP="007429F2">
      <w:pPr>
        <w:autoSpaceDE w:val="0"/>
        <w:autoSpaceDN w:val="0"/>
        <w:adjustRightInd w:val="0"/>
        <w:spacing w:line="360" w:lineRule="auto"/>
        <w:jc w:val="both"/>
      </w:pPr>
    </w:p>
    <w:p w14:paraId="5DD085AD" w14:textId="77777777" w:rsidR="000A2F98" w:rsidRDefault="00E3467F" w:rsidP="007429F2">
      <w:pPr>
        <w:numPr>
          <w:ilvl w:val="0"/>
          <w:numId w:val="1"/>
        </w:numPr>
        <w:tabs>
          <w:tab w:val="clear" w:pos="360"/>
          <w:tab w:val="num" w:pos="709"/>
        </w:tabs>
        <w:spacing w:line="360" w:lineRule="auto"/>
        <w:ind w:left="709" w:hanging="709"/>
        <w:jc w:val="both"/>
        <w:rPr>
          <w:b/>
          <w:lang w:val="en-US" w:eastAsia="en-US"/>
        </w:rPr>
      </w:pPr>
      <w:r>
        <w:rPr>
          <w:b/>
          <w:lang w:val="en-US" w:eastAsia="en-US"/>
        </w:rPr>
        <w:t>Audit outcome</w:t>
      </w:r>
    </w:p>
    <w:p w14:paraId="23A536B6" w14:textId="77777777" w:rsidR="00026426" w:rsidRDefault="00026426" w:rsidP="007429F2">
      <w:pPr>
        <w:spacing w:line="360" w:lineRule="auto"/>
        <w:ind w:left="709"/>
        <w:jc w:val="both"/>
        <w:rPr>
          <w:b/>
          <w:lang w:val="en-US" w:eastAsia="en-US"/>
        </w:rPr>
      </w:pPr>
    </w:p>
    <w:p w14:paraId="14309712" w14:textId="6D0A3A66" w:rsidR="00B970CA" w:rsidRDefault="00B970CA" w:rsidP="007429F2">
      <w:pPr>
        <w:spacing w:line="360" w:lineRule="auto"/>
        <w:ind w:left="709"/>
        <w:jc w:val="both"/>
        <w:rPr>
          <w:b/>
          <w:lang w:val="en-US" w:eastAsia="en-US"/>
        </w:rPr>
      </w:pPr>
      <w:r>
        <w:rPr>
          <w:b/>
          <w:lang w:val="en-US" w:eastAsia="en-US"/>
        </w:rPr>
        <w:t>Table 1: Progression of audit outcome 2015/16 -2018/19</w:t>
      </w:r>
    </w:p>
    <w:tbl>
      <w:tblPr>
        <w:tblStyle w:val="TableGrid"/>
        <w:tblW w:w="0" w:type="auto"/>
        <w:tblInd w:w="709" w:type="dxa"/>
        <w:tblLook w:val="04A0" w:firstRow="1" w:lastRow="0" w:firstColumn="1" w:lastColumn="0" w:noHBand="0" w:noVBand="1"/>
      </w:tblPr>
      <w:tblGrid>
        <w:gridCol w:w="2256"/>
        <w:gridCol w:w="2257"/>
        <w:gridCol w:w="2257"/>
        <w:gridCol w:w="2257"/>
      </w:tblGrid>
      <w:tr w:rsidR="00C824F1" w14:paraId="64301860" w14:textId="77777777" w:rsidTr="0078546E">
        <w:trPr>
          <w:tblHeader/>
        </w:trPr>
        <w:tc>
          <w:tcPr>
            <w:tcW w:w="2256" w:type="dxa"/>
            <w:shd w:val="clear" w:color="auto" w:fill="D9D9D9" w:themeFill="background1" w:themeFillShade="D9"/>
          </w:tcPr>
          <w:p w14:paraId="272054CC" w14:textId="77777777" w:rsidR="00C824F1" w:rsidRDefault="00C824F1" w:rsidP="007429F2">
            <w:pPr>
              <w:pStyle w:val="ListParagraph"/>
              <w:spacing w:line="360" w:lineRule="auto"/>
              <w:ind w:left="0"/>
              <w:jc w:val="center"/>
              <w:rPr>
                <w:b/>
                <w:lang w:val="en-US" w:eastAsia="en-US"/>
              </w:rPr>
            </w:pPr>
            <w:r>
              <w:rPr>
                <w:b/>
                <w:lang w:val="en-US" w:eastAsia="en-US"/>
              </w:rPr>
              <w:t>2015/2016</w:t>
            </w:r>
          </w:p>
        </w:tc>
        <w:tc>
          <w:tcPr>
            <w:tcW w:w="2257" w:type="dxa"/>
            <w:shd w:val="clear" w:color="auto" w:fill="D9D9D9" w:themeFill="background1" w:themeFillShade="D9"/>
          </w:tcPr>
          <w:p w14:paraId="1E61E5FC" w14:textId="77777777" w:rsidR="00C824F1" w:rsidRDefault="00C824F1" w:rsidP="007429F2">
            <w:pPr>
              <w:pStyle w:val="ListParagraph"/>
              <w:spacing w:line="360" w:lineRule="auto"/>
              <w:ind w:left="0"/>
              <w:jc w:val="center"/>
              <w:rPr>
                <w:b/>
                <w:lang w:val="en-US" w:eastAsia="en-US"/>
              </w:rPr>
            </w:pPr>
            <w:r>
              <w:rPr>
                <w:b/>
                <w:lang w:val="en-US" w:eastAsia="en-US"/>
              </w:rPr>
              <w:t>2016/17</w:t>
            </w:r>
          </w:p>
        </w:tc>
        <w:tc>
          <w:tcPr>
            <w:tcW w:w="2257" w:type="dxa"/>
            <w:shd w:val="clear" w:color="auto" w:fill="D9D9D9" w:themeFill="background1" w:themeFillShade="D9"/>
          </w:tcPr>
          <w:p w14:paraId="2CC0C027" w14:textId="77777777" w:rsidR="00C824F1" w:rsidRDefault="00C824F1" w:rsidP="007429F2">
            <w:pPr>
              <w:pStyle w:val="ListParagraph"/>
              <w:spacing w:line="360" w:lineRule="auto"/>
              <w:ind w:left="0"/>
              <w:jc w:val="center"/>
              <w:rPr>
                <w:b/>
                <w:lang w:val="en-US" w:eastAsia="en-US"/>
              </w:rPr>
            </w:pPr>
            <w:r>
              <w:rPr>
                <w:b/>
                <w:lang w:val="en-US" w:eastAsia="en-US"/>
              </w:rPr>
              <w:t>2017/18</w:t>
            </w:r>
          </w:p>
        </w:tc>
        <w:tc>
          <w:tcPr>
            <w:tcW w:w="2257" w:type="dxa"/>
            <w:shd w:val="clear" w:color="auto" w:fill="D9D9D9" w:themeFill="background1" w:themeFillShade="D9"/>
          </w:tcPr>
          <w:p w14:paraId="79985635" w14:textId="77777777" w:rsidR="00C824F1" w:rsidRDefault="00C824F1" w:rsidP="007429F2">
            <w:pPr>
              <w:pStyle w:val="ListParagraph"/>
              <w:spacing w:line="360" w:lineRule="auto"/>
              <w:ind w:left="0"/>
              <w:jc w:val="center"/>
              <w:rPr>
                <w:b/>
                <w:lang w:val="en-US" w:eastAsia="en-US"/>
              </w:rPr>
            </w:pPr>
            <w:r>
              <w:rPr>
                <w:b/>
                <w:lang w:val="en-US" w:eastAsia="en-US"/>
              </w:rPr>
              <w:t>2018/19</w:t>
            </w:r>
          </w:p>
        </w:tc>
      </w:tr>
      <w:tr w:rsidR="00C824F1" w14:paraId="62F02882" w14:textId="77777777" w:rsidTr="00C824F1">
        <w:tc>
          <w:tcPr>
            <w:tcW w:w="2256" w:type="dxa"/>
          </w:tcPr>
          <w:p w14:paraId="24241516" w14:textId="77777777" w:rsidR="00C824F1" w:rsidRPr="008566CF" w:rsidRDefault="00C824F1" w:rsidP="007429F2">
            <w:pPr>
              <w:pStyle w:val="ListParagraph"/>
              <w:spacing w:line="360" w:lineRule="auto"/>
              <w:ind w:left="0"/>
              <w:jc w:val="both"/>
              <w:rPr>
                <w:lang w:val="en-US" w:eastAsia="en-US"/>
              </w:rPr>
            </w:pPr>
            <w:r w:rsidRPr="008566CF">
              <w:rPr>
                <w:lang w:val="en-US" w:eastAsia="en-US"/>
              </w:rPr>
              <w:t>Unqualified with findings</w:t>
            </w:r>
          </w:p>
        </w:tc>
        <w:tc>
          <w:tcPr>
            <w:tcW w:w="2257" w:type="dxa"/>
          </w:tcPr>
          <w:p w14:paraId="1749AA49" w14:textId="77777777" w:rsidR="00C824F1" w:rsidRPr="008566CF" w:rsidRDefault="00C824F1" w:rsidP="007429F2">
            <w:pPr>
              <w:pStyle w:val="ListParagraph"/>
              <w:spacing w:line="360" w:lineRule="auto"/>
              <w:ind w:left="0"/>
              <w:jc w:val="both"/>
              <w:rPr>
                <w:lang w:val="en-US" w:eastAsia="en-US"/>
              </w:rPr>
            </w:pPr>
            <w:r w:rsidRPr="008566CF">
              <w:rPr>
                <w:lang w:val="en-US" w:eastAsia="en-US"/>
              </w:rPr>
              <w:t>Unqualified with findings</w:t>
            </w:r>
          </w:p>
        </w:tc>
        <w:tc>
          <w:tcPr>
            <w:tcW w:w="2257" w:type="dxa"/>
          </w:tcPr>
          <w:p w14:paraId="00167C54" w14:textId="77777777" w:rsidR="00C824F1" w:rsidRPr="008566CF" w:rsidRDefault="00C824F1" w:rsidP="007429F2">
            <w:pPr>
              <w:pStyle w:val="ListParagraph"/>
              <w:spacing w:line="360" w:lineRule="auto"/>
              <w:ind w:left="0"/>
              <w:jc w:val="both"/>
              <w:rPr>
                <w:lang w:val="en-US" w:eastAsia="en-US"/>
              </w:rPr>
            </w:pPr>
            <w:r w:rsidRPr="008566CF">
              <w:rPr>
                <w:lang w:val="en-US" w:eastAsia="en-US"/>
              </w:rPr>
              <w:t>Unqualified with no material findings</w:t>
            </w:r>
          </w:p>
        </w:tc>
        <w:tc>
          <w:tcPr>
            <w:tcW w:w="2257" w:type="dxa"/>
          </w:tcPr>
          <w:p w14:paraId="79AC52C4" w14:textId="77777777" w:rsidR="00C824F1" w:rsidRPr="008566CF" w:rsidRDefault="00C824F1" w:rsidP="007429F2">
            <w:pPr>
              <w:pStyle w:val="ListParagraph"/>
              <w:spacing w:line="360" w:lineRule="auto"/>
              <w:ind w:left="0"/>
              <w:jc w:val="both"/>
              <w:rPr>
                <w:lang w:val="en-US" w:eastAsia="en-US"/>
              </w:rPr>
            </w:pPr>
            <w:r w:rsidRPr="008566CF">
              <w:rPr>
                <w:lang w:val="en-US" w:eastAsia="en-US"/>
              </w:rPr>
              <w:t>Unqualified with no material findings</w:t>
            </w:r>
          </w:p>
        </w:tc>
      </w:tr>
    </w:tbl>
    <w:p w14:paraId="324EDBB8" w14:textId="77777777" w:rsidR="00C824F1" w:rsidRDefault="00C824F1" w:rsidP="007429F2">
      <w:pPr>
        <w:spacing w:line="360" w:lineRule="auto"/>
        <w:ind w:left="709"/>
        <w:jc w:val="both"/>
        <w:rPr>
          <w:b/>
          <w:lang w:val="en-US" w:eastAsia="en-US"/>
        </w:rPr>
      </w:pPr>
    </w:p>
    <w:p w14:paraId="164FE92E" w14:textId="77777777" w:rsidR="00FB5E9B" w:rsidRPr="00FB5E9B" w:rsidRDefault="0007296B" w:rsidP="007429F2">
      <w:pPr>
        <w:pStyle w:val="ListParagraph"/>
        <w:numPr>
          <w:ilvl w:val="1"/>
          <w:numId w:val="1"/>
        </w:numPr>
        <w:tabs>
          <w:tab w:val="num" w:pos="709"/>
        </w:tabs>
        <w:spacing w:line="360" w:lineRule="auto"/>
        <w:ind w:left="709" w:hanging="709"/>
        <w:jc w:val="both"/>
        <w:rPr>
          <w:b/>
          <w:lang w:val="en-ZA"/>
        </w:rPr>
      </w:pPr>
      <w:r>
        <w:rPr>
          <w:lang w:val="en-US" w:eastAsia="en-US"/>
        </w:rPr>
        <w:t xml:space="preserve">Since 2015/16, </w:t>
      </w:r>
      <w:r w:rsidR="00FB5E9B" w:rsidRPr="00FB5E9B">
        <w:rPr>
          <w:lang w:val="en-US" w:eastAsia="en-US"/>
        </w:rPr>
        <w:t>the OCJ</w:t>
      </w:r>
      <w:r w:rsidR="00C824F1">
        <w:rPr>
          <w:lang w:val="en-US" w:eastAsia="en-US"/>
        </w:rPr>
        <w:t xml:space="preserve"> has received an unqualified audit opinion. In 2017/18</w:t>
      </w:r>
      <w:r w:rsidR="00026426">
        <w:rPr>
          <w:lang w:val="en-US" w:eastAsia="en-US"/>
        </w:rPr>
        <w:t>, however, the</w:t>
      </w:r>
      <w:r w:rsidR="00C824F1">
        <w:rPr>
          <w:lang w:val="en-US" w:eastAsia="en-US"/>
        </w:rPr>
        <w:t xml:space="preserve"> OCJ was able to improve </w:t>
      </w:r>
      <w:r w:rsidR="00026426">
        <w:rPr>
          <w:lang w:val="en-US" w:eastAsia="en-US"/>
        </w:rPr>
        <w:t xml:space="preserve">on the outcome </w:t>
      </w:r>
      <w:r w:rsidR="00C824F1">
        <w:rPr>
          <w:lang w:val="en-US" w:eastAsia="en-US"/>
        </w:rPr>
        <w:t xml:space="preserve">to achieve </w:t>
      </w:r>
      <w:r w:rsidR="00B970CA">
        <w:rPr>
          <w:lang w:val="en-US" w:eastAsia="en-US"/>
        </w:rPr>
        <w:t xml:space="preserve">a clean audit opinion </w:t>
      </w:r>
      <w:r w:rsidR="00026426">
        <w:rPr>
          <w:lang w:val="en-US" w:eastAsia="en-US"/>
        </w:rPr>
        <w:t>and, in 2018/19,</w:t>
      </w:r>
      <w:r w:rsidR="00A950EB">
        <w:rPr>
          <w:lang w:val="en-US" w:eastAsia="en-US"/>
        </w:rPr>
        <w:t xml:space="preserve"> has </w:t>
      </w:r>
      <w:r w:rsidR="00026426">
        <w:rPr>
          <w:lang w:val="en-US" w:eastAsia="en-US"/>
        </w:rPr>
        <w:t>maintain</w:t>
      </w:r>
      <w:r w:rsidR="00B970CA">
        <w:rPr>
          <w:lang w:val="en-US" w:eastAsia="en-US"/>
        </w:rPr>
        <w:t>ed this outcome.</w:t>
      </w:r>
      <w:r w:rsidR="006D2A51">
        <w:rPr>
          <w:lang w:val="en-US" w:eastAsia="en-US"/>
        </w:rPr>
        <w:t xml:space="preserve"> </w:t>
      </w:r>
    </w:p>
    <w:p w14:paraId="12B13A31" w14:textId="77777777" w:rsidR="000A2F98" w:rsidRDefault="000A2F98" w:rsidP="007429F2">
      <w:pPr>
        <w:pStyle w:val="ListParagraph"/>
        <w:spacing w:line="360" w:lineRule="auto"/>
        <w:ind w:left="709"/>
        <w:jc w:val="both"/>
        <w:rPr>
          <w:b/>
          <w:lang w:val="en-ZA"/>
        </w:rPr>
      </w:pPr>
    </w:p>
    <w:p w14:paraId="34123149" w14:textId="77777777" w:rsidR="00B970CA" w:rsidRPr="007868D0" w:rsidRDefault="00B970CA" w:rsidP="007429F2">
      <w:pPr>
        <w:pStyle w:val="ListParagraph"/>
        <w:spacing w:line="360" w:lineRule="auto"/>
        <w:ind w:left="709"/>
        <w:jc w:val="both"/>
        <w:rPr>
          <w:b/>
          <w:lang w:val="en-ZA"/>
        </w:rPr>
      </w:pPr>
    </w:p>
    <w:p w14:paraId="38F97BF0" w14:textId="77777777" w:rsidR="00087419" w:rsidRPr="00B970CA" w:rsidRDefault="00087419" w:rsidP="007429F2">
      <w:pPr>
        <w:numPr>
          <w:ilvl w:val="0"/>
          <w:numId w:val="1"/>
        </w:numPr>
        <w:tabs>
          <w:tab w:val="clear" w:pos="360"/>
          <w:tab w:val="num" w:pos="709"/>
        </w:tabs>
        <w:spacing w:line="360" w:lineRule="auto"/>
        <w:ind w:left="709" w:hanging="709"/>
        <w:jc w:val="both"/>
        <w:rPr>
          <w:lang w:val="en-US" w:eastAsia="en-US"/>
        </w:rPr>
      </w:pPr>
      <w:r w:rsidRPr="00B970CA">
        <w:rPr>
          <w:b/>
          <w:lang w:val="en-US" w:eastAsia="en-US"/>
        </w:rPr>
        <w:t>Human resources</w:t>
      </w:r>
    </w:p>
    <w:p w14:paraId="5614656D" w14:textId="77777777" w:rsidR="00087419" w:rsidRPr="00B970CA" w:rsidRDefault="00087419" w:rsidP="007429F2">
      <w:pPr>
        <w:spacing w:line="360" w:lineRule="auto"/>
        <w:ind w:left="709"/>
        <w:jc w:val="both"/>
        <w:rPr>
          <w:lang w:val="en-US" w:eastAsia="en-US"/>
        </w:rPr>
      </w:pPr>
    </w:p>
    <w:p w14:paraId="6783EC20" w14:textId="77777777" w:rsidR="00D634FC" w:rsidRPr="00B970CA" w:rsidRDefault="00F56200" w:rsidP="007429F2">
      <w:pPr>
        <w:pStyle w:val="ListParagraph"/>
        <w:numPr>
          <w:ilvl w:val="1"/>
          <w:numId w:val="1"/>
        </w:numPr>
        <w:tabs>
          <w:tab w:val="num" w:pos="709"/>
        </w:tabs>
        <w:spacing w:line="360" w:lineRule="auto"/>
        <w:ind w:left="709" w:hanging="709"/>
        <w:jc w:val="both"/>
        <w:rPr>
          <w:lang w:val="en-US" w:eastAsia="en-US"/>
        </w:rPr>
      </w:pPr>
      <w:r w:rsidRPr="00B970CA">
        <w:rPr>
          <w:lang w:val="en-US" w:eastAsia="en-US"/>
        </w:rPr>
        <w:t xml:space="preserve">In 2018/19, </w:t>
      </w:r>
      <w:r w:rsidR="00D634FC" w:rsidRPr="00B970CA">
        <w:rPr>
          <w:lang w:val="en-US" w:eastAsia="en-US"/>
        </w:rPr>
        <w:t xml:space="preserve">actual </w:t>
      </w:r>
      <w:r w:rsidRPr="00B970CA">
        <w:rPr>
          <w:lang w:val="en-US" w:eastAsia="en-US"/>
        </w:rPr>
        <w:t xml:space="preserve">spending on </w:t>
      </w:r>
      <w:r w:rsidR="00D634FC" w:rsidRPr="00B970CA">
        <w:rPr>
          <w:lang w:val="en-US" w:eastAsia="en-US"/>
        </w:rPr>
        <w:t>compensation of employees, including the Direct Charge for Judges salaries, accounted</w:t>
      </w:r>
      <w:r w:rsidRPr="00B970CA">
        <w:rPr>
          <w:lang w:val="en-US" w:eastAsia="en-US"/>
        </w:rPr>
        <w:t xml:space="preserve"> for </w:t>
      </w:r>
      <w:r w:rsidR="00D634FC" w:rsidRPr="00B970CA">
        <w:rPr>
          <w:lang w:val="en-US" w:eastAsia="en-US"/>
        </w:rPr>
        <w:t xml:space="preserve">R 1.62 billion with an amount of R24.8 million unspent. </w:t>
      </w:r>
    </w:p>
    <w:p w14:paraId="4B06662F" w14:textId="77777777" w:rsidR="001F77C6" w:rsidRDefault="001F77C6" w:rsidP="007429F2">
      <w:pPr>
        <w:pStyle w:val="ListParagraph"/>
        <w:tabs>
          <w:tab w:val="num" w:pos="1004"/>
        </w:tabs>
        <w:spacing w:line="360" w:lineRule="auto"/>
        <w:ind w:left="709"/>
        <w:jc w:val="both"/>
        <w:rPr>
          <w:lang w:val="en-US" w:eastAsia="en-US"/>
        </w:rPr>
      </w:pPr>
    </w:p>
    <w:p w14:paraId="4F8AFBC1" w14:textId="77777777" w:rsidR="00F56200" w:rsidRDefault="00A932A0" w:rsidP="007429F2">
      <w:pPr>
        <w:pStyle w:val="ListParagraph"/>
        <w:numPr>
          <w:ilvl w:val="1"/>
          <w:numId w:val="1"/>
        </w:numPr>
        <w:tabs>
          <w:tab w:val="num" w:pos="709"/>
        </w:tabs>
        <w:spacing w:line="360" w:lineRule="auto"/>
        <w:ind w:left="709" w:hanging="709"/>
        <w:jc w:val="both"/>
        <w:rPr>
          <w:lang w:val="en-US" w:eastAsia="en-US"/>
        </w:rPr>
      </w:pPr>
      <w:r>
        <w:rPr>
          <w:lang w:val="en-US" w:eastAsia="en-US"/>
        </w:rPr>
        <w:t xml:space="preserve">At programme level, </w:t>
      </w:r>
      <w:r w:rsidR="00D634FC">
        <w:rPr>
          <w:lang w:val="en-US" w:eastAsia="en-US"/>
        </w:rPr>
        <w:t>s</w:t>
      </w:r>
      <w:r>
        <w:rPr>
          <w:lang w:val="en-US" w:eastAsia="en-US"/>
        </w:rPr>
        <w:t xml:space="preserve">pending on compensation in 2018/19 </w:t>
      </w:r>
      <w:r w:rsidR="00D634FC">
        <w:rPr>
          <w:lang w:val="en-US" w:eastAsia="en-US"/>
        </w:rPr>
        <w:t>was R675.7 million</w:t>
      </w:r>
      <w:r>
        <w:rPr>
          <w:lang w:val="en-US" w:eastAsia="en-US"/>
        </w:rPr>
        <w:t xml:space="preserve"> (the final appropriation was R704.4 million)</w:t>
      </w:r>
      <w:r w:rsidR="00D634FC">
        <w:rPr>
          <w:lang w:val="en-US" w:eastAsia="en-US"/>
        </w:rPr>
        <w:t xml:space="preserve">. </w:t>
      </w:r>
      <w:r w:rsidR="001F77C6">
        <w:rPr>
          <w:lang w:val="en-US" w:eastAsia="en-US"/>
        </w:rPr>
        <w:t xml:space="preserve">Underspending in the </w:t>
      </w:r>
      <w:r w:rsidR="00D634FC">
        <w:rPr>
          <w:lang w:val="en-US" w:eastAsia="en-US"/>
        </w:rPr>
        <w:t xml:space="preserve">amount of </w:t>
      </w:r>
      <w:r w:rsidR="001F77C6">
        <w:rPr>
          <w:lang w:val="en-US" w:eastAsia="en-US"/>
        </w:rPr>
        <w:t xml:space="preserve">R27.7 million occurred as a result of </w:t>
      </w:r>
      <w:r>
        <w:rPr>
          <w:lang w:val="en-US" w:eastAsia="en-US"/>
        </w:rPr>
        <w:t xml:space="preserve">the delay in the approval of the macro-organisational structure, as well as the non-appointment </w:t>
      </w:r>
      <w:r w:rsidR="007F6B38">
        <w:rPr>
          <w:lang w:val="en-US" w:eastAsia="en-US"/>
        </w:rPr>
        <w:t xml:space="preserve">of </w:t>
      </w:r>
      <w:r>
        <w:rPr>
          <w:lang w:val="en-US" w:eastAsia="en-US"/>
        </w:rPr>
        <w:t>officials to the Mpumalanga High Court</w:t>
      </w:r>
      <w:r w:rsidR="00F56200">
        <w:rPr>
          <w:lang w:val="en-US" w:eastAsia="en-US"/>
        </w:rPr>
        <w:t>.</w:t>
      </w:r>
      <w:r w:rsidR="00180B7F">
        <w:rPr>
          <w:lang w:val="en-US" w:eastAsia="en-US"/>
        </w:rPr>
        <w:t xml:space="preserve"> </w:t>
      </w:r>
    </w:p>
    <w:p w14:paraId="21E8FD6C" w14:textId="77777777" w:rsidR="00F56200" w:rsidRDefault="00F56200" w:rsidP="007429F2">
      <w:pPr>
        <w:pStyle w:val="ListParagraph"/>
        <w:tabs>
          <w:tab w:val="num" w:pos="1004"/>
        </w:tabs>
        <w:spacing w:line="360" w:lineRule="auto"/>
        <w:ind w:left="709"/>
        <w:jc w:val="both"/>
        <w:rPr>
          <w:lang w:val="en-US" w:eastAsia="en-US"/>
        </w:rPr>
      </w:pPr>
    </w:p>
    <w:p w14:paraId="024ED7B4" w14:textId="3AD1FB14" w:rsidR="00F56200" w:rsidRDefault="00F61721" w:rsidP="007429F2">
      <w:pPr>
        <w:pStyle w:val="ListParagraph"/>
        <w:numPr>
          <w:ilvl w:val="1"/>
          <w:numId w:val="1"/>
        </w:numPr>
        <w:tabs>
          <w:tab w:val="num" w:pos="709"/>
        </w:tabs>
        <w:spacing w:line="360" w:lineRule="auto"/>
        <w:ind w:left="709" w:hanging="709"/>
        <w:jc w:val="both"/>
        <w:rPr>
          <w:lang w:val="en-US" w:eastAsia="en-US"/>
        </w:rPr>
      </w:pPr>
      <w:r>
        <w:rPr>
          <w:lang w:val="en-US" w:eastAsia="en-US"/>
        </w:rPr>
        <w:t>At the end of 2018/19</w:t>
      </w:r>
      <w:r w:rsidR="00087419">
        <w:rPr>
          <w:lang w:val="en-US" w:eastAsia="en-US"/>
        </w:rPr>
        <w:t xml:space="preserve">, </w:t>
      </w:r>
      <w:r>
        <w:rPr>
          <w:lang w:val="en-US" w:eastAsia="en-US"/>
        </w:rPr>
        <w:t>the number of filled posts at the OCJ was 1</w:t>
      </w:r>
      <w:r w:rsidR="00B970CA">
        <w:rPr>
          <w:lang w:val="en-US" w:eastAsia="en-US"/>
        </w:rPr>
        <w:t xml:space="preserve"> </w:t>
      </w:r>
      <w:r>
        <w:rPr>
          <w:lang w:val="en-US" w:eastAsia="en-US"/>
        </w:rPr>
        <w:t>947 (the number of approved posts is 2</w:t>
      </w:r>
      <w:r w:rsidR="007F6B38">
        <w:rPr>
          <w:lang w:val="en-US" w:eastAsia="en-US"/>
        </w:rPr>
        <w:t> </w:t>
      </w:r>
      <w:r>
        <w:rPr>
          <w:lang w:val="en-US" w:eastAsia="en-US"/>
        </w:rPr>
        <w:t>099</w:t>
      </w:r>
      <w:r w:rsidR="007F6B38">
        <w:rPr>
          <w:lang w:val="en-US" w:eastAsia="en-US"/>
        </w:rPr>
        <w:t>)</w:t>
      </w:r>
      <w:r>
        <w:rPr>
          <w:lang w:val="en-US" w:eastAsia="en-US"/>
        </w:rPr>
        <w:t xml:space="preserve">. </w:t>
      </w:r>
    </w:p>
    <w:p w14:paraId="25B5C219" w14:textId="77777777" w:rsidR="00F56200" w:rsidRPr="00F56200" w:rsidRDefault="00F56200" w:rsidP="007429F2">
      <w:pPr>
        <w:pStyle w:val="ListParagraph"/>
        <w:spacing w:line="360" w:lineRule="auto"/>
        <w:rPr>
          <w:lang w:val="en-US" w:eastAsia="en-US"/>
        </w:rPr>
      </w:pPr>
    </w:p>
    <w:p w14:paraId="48E40B48" w14:textId="77777777" w:rsidR="00F61721" w:rsidRDefault="00F61721" w:rsidP="007429F2">
      <w:pPr>
        <w:pStyle w:val="ListParagraph"/>
        <w:numPr>
          <w:ilvl w:val="1"/>
          <w:numId w:val="1"/>
        </w:numPr>
        <w:tabs>
          <w:tab w:val="num" w:pos="709"/>
        </w:tabs>
        <w:spacing w:line="360" w:lineRule="auto"/>
        <w:ind w:left="709" w:hanging="709"/>
        <w:jc w:val="both"/>
        <w:rPr>
          <w:lang w:val="en-US" w:eastAsia="en-US"/>
        </w:rPr>
      </w:pPr>
      <w:r>
        <w:rPr>
          <w:lang w:val="en-US" w:eastAsia="en-US"/>
        </w:rPr>
        <w:t xml:space="preserve">The </w:t>
      </w:r>
      <w:r w:rsidR="00F56200">
        <w:rPr>
          <w:lang w:val="en-US" w:eastAsia="en-US"/>
        </w:rPr>
        <w:t xml:space="preserve">overall </w:t>
      </w:r>
      <w:r>
        <w:rPr>
          <w:lang w:val="en-US" w:eastAsia="en-US"/>
        </w:rPr>
        <w:t>vacancy rate has grown from 4.6% in 2017/18 to 7.2% in 2018/19.</w:t>
      </w:r>
      <w:r w:rsidR="00F56200">
        <w:rPr>
          <w:lang w:val="en-US" w:eastAsia="en-US"/>
        </w:rPr>
        <w:t xml:space="preserve"> However, this is still below the 10% target set by DPSA for the year.</w:t>
      </w:r>
    </w:p>
    <w:p w14:paraId="6F919D99" w14:textId="77777777" w:rsidR="00F61721" w:rsidRDefault="00F61721" w:rsidP="007429F2">
      <w:pPr>
        <w:pStyle w:val="ListParagraph"/>
        <w:tabs>
          <w:tab w:val="num" w:pos="1004"/>
        </w:tabs>
        <w:spacing w:line="360" w:lineRule="auto"/>
        <w:ind w:left="709"/>
        <w:jc w:val="both"/>
        <w:rPr>
          <w:lang w:val="en-US" w:eastAsia="en-US"/>
        </w:rPr>
      </w:pPr>
    </w:p>
    <w:p w14:paraId="4057EB9F" w14:textId="77777777" w:rsidR="00F56200" w:rsidRPr="00F56200" w:rsidRDefault="00F56200" w:rsidP="007429F2">
      <w:pPr>
        <w:pStyle w:val="ListParagraph"/>
        <w:numPr>
          <w:ilvl w:val="1"/>
          <w:numId w:val="1"/>
        </w:numPr>
        <w:tabs>
          <w:tab w:val="num" w:pos="709"/>
        </w:tabs>
        <w:spacing w:line="360" w:lineRule="auto"/>
        <w:ind w:left="709" w:hanging="709"/>
        <w:jc w:val="both"/>
        <w:rPr>
          <w:lang w:val="en-US" w:eastAsia="en-US"/>
        </w:rPr>
      </w:pPr>
      <w:r w:rsidRPr="00F56200">
        <w:rPr>
          <w:lang w:val="en-US" w:eastAsia="en-US"/>
        </w:rPr>
        <w:t xml:space="preserve">At SMS level, 37 of 41 posts are filled at the end of the 2018/19 financial year with a vacancy rate </w:t>
      </w:r>
      <w:r w:rsidR="00180B7F">
        <w:rPr>
          <w:lang w:val="en-US" w:eastAsia="en-US"/>
        </w:rPr>
        <w:t xml:space="preserve">at that level </w:t>
      </w:r>
      <w:r w:rsidRPr="00F56200">
        <w:rPr>
          <w:lang w:val="en-US" w:eastAsia="en-US"/>
        </w:rPr>
        <w:t>of 9.8%.</w:t>
      </w:r>
    </w:p>
    <w:p w14:paraId="07F7021D" w14:textId="77777777" w:rsidR="00F56200" w:rsidRPr="00F56200" w:rsidRDefault="00F56200" w:rsidP="007429F2">
      <w:pPr>
        <w:pStyle w:val="ListParagraph"/>
        <w:spacing w:line="360" w:lineRule="auto"/>
        <w:rPr>
          <w:highlight w:val="yellow"/>
          <w:lang w:val="en-US" w:eastAsia="en-US"/>
        </w:rPr>
      </w:pPr>
    </w:p>
    <w:p w14:paraId="2A18D3B9" w14:textId="77777777" w:rsidR="00087419" w:rsidRPr="00087419" w:rsidRDefault="00087419" w:rsidP="007429F2">
      <w:pPr>
        <w:pStyle w:val="ListParagraph"/>
        <w:spacing w:line="360" w:lineRule="auto"/>
        <w:rPr>
          <w:lang w:val="en-US" w:eastAsia="en-US"/>
        </w:rPr>
      </w:pPr>
    </w:p>
    <w:p w14:paraId="157F3B19" w14:textId="77777777" w:rsidR="00A15FC5" w:rsidRPr="00D91AC2" w:rsidRDefault="001F77C6" w:rsidP="00D91AC2">
      <w:pPr>
        <w:numPr>
          <w:ilvl w:val="0"/>
          <w:numId w:val="1"/>
        </w:numPr>
        <w:tabs>
          <w:tab w:val="clear" w:pos="360"/>
          <w:tab w:val="num" w:pos="709"/>
        </w:tabs>
        <w:spacing w:line="360" w:lineRule="auto"/>
        <w:ind w:left="709" w:hanging="709"/>
        <w:jc w:val="both"/>
        <w:rPr>
          <w:b/>
          <w:lang w:val="en-ZA"/>
        </w:rPr>
      </w:pPr>
      <w:r w:rsidRPr="00D91AC2">
        <w:rPr>
          <w:b/>
        </w:rPr>
        <w:t>Expenditure</w:t>
      </w:r>
      <w:r w:rsidR="00A15FC5" w:rsidRPr="00D91AC2">
        <w:rPr>
          <w:b/>
        </w:rPr>
        <w:t xml:space="preserve"> 2018/19</w:t>
      </w:r>
    </w:p>
    <w:p w14:paraId="4D0AEE38" w14:textId="77777777" w:rsidR="00A51FE5" w:rsidRPr="00A51FE5" w:rsidRDefault="00A51FE5" w:rsidP="007429F2">
      <w:pPr>
        <w:tabs>
          <w:tab w:val="num" w:pos="1004"/>
        </w:tabs>
        <w:spacing w:line="360" w:lineRule="auto"/>
        <w:jc w:val="both"/>
        <w:rPr>
          <w:b/>
        </w:rPr>
      </w:pPr>
    </w:p>
    <w:p w14:paraId="3761C6C4" w14:textId="77777777" w:rsidR="004961AC" w:rsidRDefault="00A51FE5" w:rsidP="007429F2">
      <w:pPr>
        <w:pStyle w:val="ListParagraph"/>
        <w:spacing w:line="360" w:lineRule="auto"/>
        <w:ind w:left="0"/>
        <w:jc w:val="both"/>
        <w:rPr>
          <w:b/>
        </w:rPr>
      </w:pPr>
      <w:r>
        <w:rPr>
          <w:b/>
        </w:rPr>
        <w:t>Table</w:t>
      </w:r>
      <w:r w:rsidR="00B970CA">
        <w:rPr>
          <w:b/>
        </w:rPr>
        <w:t xml:space="preserve"> 2</w:t>
      </w:r>
      <w:r>
        <w:rPr>
          <w:b/>
        </w:rPr>
        <w:t xml:space="preserve">: Comparison of </w:t>
      </w:r>
      <w:r w:rsidR="007429F2">
        <w:rPr>
          <w:b/>
        </w:rPr>
        <w:t>p</w:t>
      </w:r>
      <w:r>
        <w:rPr>
          <w:b/>
        </w:rPr>
        <w:t>lanned vs actual expenditure 2017/18-2018/19</w:t>
      </w:r>
    </w:p>
    <w:tbl>
      <w:tblPr>
        <w:tblStyle w:val="TableGrid"/>
        <w:tblW w:w="0" w:type="auto"/>
        <w:tblLook w:val="04A0" w:firstRow="1" w:lastRow="0" w:firstColumn="1" w:lastColumn="0" w:noHBand="0" w:noVBand="1"/>
      </w:tblPr>
      <w:tblGrid>
        <w:gridCol w:w="3491"/>
        <w:gridCol w:w="1057"/>
        <w:gridCol w:w="936"/>
        <w:gridCol w:w="1150"/>
        <w:gridCol w:w="1057"/>
        <w:gridCol w:w="936"/>
        <w:gridCol w:w="1150"/>
      </w:tblGrid>
      <w:tr w:rsidR="00A51FE5" w:rsidRPr="00845397" w14:paraId="28852ACE" w14:textId="77777777" w:rsidTr="00A51FE5">
        <w:trPr>
          <w:tblHeader/>
        </w:trPr>
        <w:tc>
          <w:tcPr>
            <w:tcW w:w="0" w:type="auto"/>
            <w:vMerge w:val="restart"/>
            <w:shd w:val="clear" w:color="auto" w:fill="D9D9D9" w:themeFill="background1" w:themeFillShade="D9"/>
          </w:tcPr>
          <w:p w14:paraId="3D1320AC" w14:textId="77777777" w:rsidR="00A51FE5" w:rsidRPr="00845397" w:rsidRDefault="00A51FE5" w:rsidP="007429F2">
            <w:pPr>
              <w:autoSpaceDE w:val="0"/>
              <w:autoSpaceDN w:val="0"/>
              <w:adjustRightInd w:val="0"/>
              <w:spacing w:line="360" w:lineRule="auto"/>
              <w:jc w:val="both"/>
              <w:rPr>
                <w:b/>
              </w:rPr>
            </w:pPr>
            <w:r w:rsidRPr="00845397">
              <w:rPr>
                <w:b/>
              </w:rPr>
              <w:t>Programme</w:t>
            </w:r>
          </w:p>
        </w:tc>
        <w:tc>
          <w:tcPr>
            <w:tcW w:w="0" w:type="auto"/>
            <w:gridSpan w:val="6"/>
            <w:shd w:val="clear" w:color="auto" w:fill="D9D9D9" w:themeFill="background1" w:themeFillShade="D9"/>
          </w:tcPr>
          <w:p w14:paraId="21D94DAA" w14:textId="77777777" w:rsidR="00A51FE5" w:rsidRPr="00845397" w:rsidRDefault="00A51FE5" w:rsidP="007429F2">
            <w:pPr>
              <w:autoSpaceDE w:val="0"/>
              <w:autoSpaceDN w:val="0"/>
              <w:adjustRightInd w:val="0"/>
              <w:spacing w:line="360" w:lineRule="auto"/>
              <w:jc w:val="center"/>
              <w:rPr>
                <w:b/>
              </w:rPr>
            </w:pPr>
            <w:r w:rsidRPr="00845397">
              <w:rPr>
                <w:b/>
              </w:rPr>
              <w:t>Expenditure</w:t>
            </w:r>
          </w:p>
        </w:tc>
      </w:tr>
      <w:tr w:rsidR="00A51FE5" w:rsidRPr="00845397" w14:paraId="613DFB44" w14:textId="77777777" w:rsidTr="00A51FE5">
        <w:trPr>
          <w:tblHeader/>
        </w:trPr>
        <w:tc>
          <w:tcPr>
            <w:tcW w:w="0" w:type="auto"/>
            <w:vMerge/>
            <w:shd w:val="clear" w:color="auto" w:fill="D9D9D9" w:themeFill="background1" w:themeFillShade="D9"/>
          </w:tcPr>
          <w:p w14:paraId="17C7F595" w14:textId="77777777" w:rsidR="00A51FE5" w:rsidRPr="00845397" w:rsidRDefault="00A51FE5" w:rsidP="007429F2">
            <w:pPr>
              <w:autoSpaceDE w:val="0"/>
              <w:autoSpaceDN w:val="0"/>
              <w:adjustRightInd w:val="0"/>
              <w:spacing w:line="360" w:lineRule="auto"/>
              <w:jc w:val="both"/>
              <w:rPr>
                <w:b/>
              </w:rPr>
            </w:pPr>
          </w:p>
        </w:tc>
        <w:tc>
          <w:tcPr>
            <w:tcW w:w="0" w:type="auto"/>
            <w:gridSpan w:val="3"/>
            <w:shd w:val="clear" w:color="auto" w:fill="D9D9D9" w:themeFill="background1" w:themeFillShade="D9"/>
          </w:tcPr>
          <w:p w14:paraId="6D251950" w14:textId="77777777" w:rsidR="00A51FE5" w:rsidRPr="00845397" w:rsidRDefault="00A51FE5" w:rsidP="007429F2">
            <w:pPr>
              <w:autoSpaceDE w:val="0"/>
              <w:autoSpaceDN w:val="0"/>
              <w:adjustRightInd w:val="0"/>
              <w:spacing w:line="360" w:lineRule="auto"/>
              <w:jc w:val="center"/>
              <w:rPr>
                <w:b/>
              </w:rPr>
            </w:pPr>
            <w:r w:rsidRPr="00845397">
              <w:rPr>
                <w:b/>
              </w:rPr>
              <w:t>2018/19</w:t>
            </w:r>
          </w:p>
        </w:tc>
        <w:tc>
          <w:tcPr>
            <w:tcW w:w="0" w:type="auto"/>
            <w:gridSpan w:val="3"/>
            <w:shd w:val="clear" w:color="auto" w:fill="D9D9D9" w:themeFill="background1" w:themeFillShade="D9"/>
          </w:tcPr>
          <w:p w14:paraId="4348F724" w14:textId="77777777" w:rsidR="00A51FE5" w:rsidRPr="00845397" w:rsidRDefault="00A51FE5" w:rsidP="007429F2">
            <w:pPr>
              <w:autoSpaceDE w:val="0"/>
              <w:autoSpaceDN w:val="0"/>
              <w:adjustRightInd w:val="0"/>
              <w:spacing w:line="360" w:lineRule="auto"/>
              <w:jc w:val="center"/>
              <w:rPr>
                <w:b/>
              </w:rPr>
            </w:pPr>
            <w:r w:rsidRPr="00845397">
              <w:rPr>
                <w:b/>
              </w:rPr>
              <w:t>2017/18</w:t>
            </w:r>
          </w:p>
        </w:tc>
      </w:tr>
      <w:tr w:rsidR="00A51FE5" w:rsidRPr="00845397" w14:paraId="7B9244FA" w14:textId="77777777" w:rsidTr="00A51FE5">
        <w:trPr>
          <w:tblHeader/>
        </w:trPr>
        <w:tc>
          <w:tcPr>
            <w:tcW w:w="0" w:type="auto"/>
            <w:vMerge/>
            <w:shd w:val="clear" w:color="auto" w:fill="D9D9D9" w:themeFill="background1" w:themeFillShade="D9"/>
          </w:tcPr>
          <w:p w14:paraId="21DD3BB8" w14:textId="77777777" w:rsidR="00A51FE5" w:rsidRPr="00845397" w:rsidRDefault="00A51FE5" w:rsidP="007429F2">
            <w:pPr>
              <w:autoSpaceDE w:val="0"/>
              <w:autoSpaceDN w:val="0"/>
              <w:adjustRightInd w:val="0"/>
              <w:spacing w:line="360" w:lineRule="auto"/>
              <w:jc w:val="both"/>
              <w:rPr>
                <w:b/>
              </w:rPr>
            </w:pPr>
          </w:p>
        </w:tc>
        <w:tc>
          <w:tcPr>
            <w:tcW w:w="0" w:type="auto"/>
            <w:shd w:val="clear" w:color="auto" w:fill="D9D9D9" w:themeFill="background1" w:themeFillShade="D9"/>
          </w:tcPr>
          <w:p w14:paraId="3F48B76B" w14:textId="77777777" w:rsidR="00A51FE5" w:rsidRPr="00845397" w:rsidRDefault="00A51FE5" w:rsidP="007429F2">
            <w:pPr>
              <w:autoSpaceDE w:val="0"/>
              <w:autoSpaceDN w:val="0"/>
              <w:adjustRightInd w:val="0"/>
              <w:spacing w:line="360" w:lineRule="auto"/>
              <w:jc w:val="both"/>
              <w:rPr>
                <w:b/>
              </w:rPr>
            </w:pPr>
            <w:r w:rsidRPr="00845397">
              <w:rPr>
                <w:b/>
              </w:rPr>
              <w:t xml:space="preserve">Planned </w:t>
            </w:r>
          </w:p>
        </w:tc>
        <w:tc>
          <w:tcPr>
            <w:tcW w:w="0" w:type="auto"/>
            <w:shd w:val="clear" w:color="auto" w:fill="D9D9D9" w:themeFill="background1" w:themeFillShade="D9"/>
          </w:tcPr>
          <w:p w14:paraId="63B158D7" w14:textId="77777777" w:rsidR="00A51FE5" w:rsidRPr="00845397" w:rsidRDefault="00A51FE5" w:rsidP="007429F2">
            <w:pPr>
              <w:autoSpaceDE w:val="0"/>
              <w:autoSpaceDN w:val="0"/>
              <w:adjustRightInd w:val="0"/>
              <w:spacing w:line="360" w:lineRule="auto"/>
              <w:jc w:val="both"/>
              <w:rPr>
                <w:b/>
              </w:rPr>
            </w:pPr>
            <w:r w:rsidRPr="00845397">
              <w:rPr>
                <w:b/>
              </w:rPr>
              <w:t xml:space="preserve">Actual </w:t>
            </w:r>
          </w:p>
        </w:tc>
        <w:tc>
          <w:tcPr>
            <w:tcW w:w="0" w:type="auto"/>
            <w:shd w:val="clear" w:color="auto" w:fill="D9D9D9" w:themeFill="background1" w:themeFillShade="D9"/>
          </w:tcPr>
          <w:p w14:paraId="25AA0932" w14:textId="77777777" w:rsidR="00A51FE5" w:rsidRPr="00845397" w:rsidRDefault="00A51FE5" w:rsidP="007429F2">
            <w:pPr>
              <w:autoSpaceDE w:val="0"/>
              <w:autoSpaceDN w:val="0"/>
              <w:adjustRightInd w:val="0"/>
              <w:spacing w:line="360" w:lineRule="auto"/>
              <w:jc w:val="both"/>
              <w:rPr>
                <w:b/>
              </w:rPr>
            </w:pPr>
            <w:r w:rsidRPr="00845397">
              <w:rPr>
                <w:b/>
              </w:rPr>
              <w:t>Variance</w:t>
            </w:r>
          </w:p>
        </w:tc>
        <w:tc>
          <w:tcPr>
            <w:tcW w:w="0" w:type="auto"/>
            <w:shd w:val="clear" w:color="auto" w:fill="D9D9D9" w:themeFill="background1" w:themeFillShade="D9"/>
          </w:tcPr>
          <w:p w14:paraId="072F9BE2" w14:textId="77777777" w:rsidR="00A51FE5" w:rsidRPr="00845397" w:rsidRDefault="00A51FE5" w:rsidP="007429F2">
            <w:pPr>
              <w:autoSpaceDE w:val="0"/>
              <w:autoSpaceDN w:val="0"/>
              <w:adjustRightInd w:val="0"/>
              <w:spacing w:line="360" w:lineRule="auto"/>
              <w:jc w:val="both"/>
              <w:rPr>
                <w:b/>
              </w:rPr>
            </w:pPr>
            <w:r w:rsidRPr="00845397">
              <w:rPr>
                <w:b/>
              </w:rPr>
              <w:t xml:space="preserve">Planned </w:t>
            </w:r>
          </w:p>
        </w:tc>
        <w:tc>
          <w:tcPr>
            <w:tcW w:w="0" w:type="auto"/>
            <w:shd w:val="clear" w:color="auto" w:fill="D9D9D9" w:themeFill="background1" w:themeFillShade="D9"/>
          </w:tcPr>
          <w:p w14:paraId="487BE2FA" w14:textId="77777777" w:rsidR="00A51FE5" w:rsidRPr="00845397" w:rsidRDefault="00A51FE5" w:rsidP="007429F2">
            <w:pPr>
              <w:autoSpaceDE w:val="0"/>
              <w:autoSpaceDN w:val="0"/>
              <w:adjustRightInd w:val="0"/>
              <w:spacing w:line="360" w:lineRule="auto"/>
              <w:jc w:val="both"/>
              <w:rPr>
                <w:b/>
              </w:rPr>
            </w:pPr>
            <w:r w:rsidRPr="00845397">
              <w:rPr>
                <w:b/>
              </w:rPr>
              <w:t xml:space="preserve">Actual </w:t>
            </w:r>
          </w:p>
        </w:tc>
        <w:tc>
          <w:tcPr>
            <w:tcW w:w="0" w:type="auto"/>
            <w:shd w:val="clear" w:color="auto" w:fill="D9D9D9" w:themeFill="background1" w:themeFillShade="D9"/>
          </w:tcPr>
          <w:p w14:paraId="53BF5B4C" w14:textId="77777777" w:rsidR="00A51FE5" w:rsidRPr="00845397" w:rsidRDefault="00A51FE5" w:rsidP="007429F2">
            <w:pPr>
              <w:autoSpaceDE w:val="0"/>
              <w:autoSpaceDN w:val="0"/>
              <w:adjustRightInd w:val="0"/>
              <w:spacing w:line="360" w:lineRule="auto"/>
              <w:jc w:val="both"/>
              <w:rPr>
                <w:b/>
              </w:rPr>
            </w:pPr>
            <w:r w:rsidRPr="00845397">
              <w:rPr>
                <w:b/>
              </w:rPr>
              <w:t>Variance</w:t>
            </w:r>
          </w:p>
          <w:p w14:paraId="6F1E6193" w14:textId="77777777" w:rsidR="00A51FE5" w:rsidRPr="00845397" w:rsidRDefault="00A51FE5" w:rsidP="007429F2">
            <w:pPr>
              <w:autoSpaceDE w:val="0"/>
              <w:autoSpaceDN w:val="0"/>
              <w:adjustRightInd w:val="0"/>
              <w:spacing w:line="360" w:lineRule="auto"/>
              <w:jc w:val="both"/>
              <w:rPr>
                <w:b/>
              </w:rPr>
            </w:pPr>
          </w:p>
        </w:tc>
      </w:tr>
      <w:tr w:rsidR="00A51FE5" w:rsidRPr="00845397" w14:paraId="65E31B83" w14:textId="77777777" w:rsidTr="00A51FE5">
        <w:trPr>
          <w:tblHeader/>
        </w:trPr>
        <w:tc>
          <w:tcPr>
            <w:tcW w:w="0" w:type="auto"/>
            <w:vMerge/>
            <w:shd w:val="clear" w:color="auto" w:fill="D9D9D9" w:themeFill="background1" w:themeFillShade="D9"/>
          </w:tcPr>
          <w:p w14:paraId="356D1F56" w14:textId="77777777" w:rsidR="00A51FE5" w:rsidRPr="00845397" w:rsidRDefault="00A51FE5" w:rsidP="007429F2">
            <w:pPr>
              <w:autoSpaceDE w:val="0"/>
              <w:autoSpaceDN w:val="0"/>
              <w:adjustRightInd w:val="0"/>
              <w:spacing w:line="360" w:lineRule="auto"/>
              <w:jc w:val="both"/>
              <w:rPr>
                <w:b/>
              </w:rPr>
            </w:pPr>
          </w:p>
        </w:tc>
        <w:tc>
          <w:tcPr>
            <w:tcW w:w="0" w:type="auto"/>
            <w:gridSpan w:val="6"/>
            <w:shd w:val="clear" w:color="auto" w:fill="D9D9D9" w:themeFill="background1" w:themeFillShade="D9"/>
          </w:tcPr>
          <w:p w14:paraId="3657EB1A" w14:textId="77777777" w:rsidR="00A51FE5" w:rsidRPr="00845397" w:rsidRDefault="00A51FE5" w:rsidP="007429F2">
            <w:pPr>
              <w:autoSpaceDE w:val="0"/>
              <w:autoSpaceDN w:val="0"/>
              <w:adjustRightInd w:val="0"/>
              <w:spacing w:line="360" w:lineRule="auto"/>
              <w:jc w:val="center"/>
              <w:rPr>
                <w:b/>
              </w:rPr>
            </w:pPr>
            <w:r w:rsidRPr="00845397">
              <w:rPr>
                <w:b/>
              </w:rPr>
              <w:t>R’million</w:t>
            </w:r>
          </w:p>
        </w:tc>
      </w:tr>
      <w:tr w:rsidR="00A51FE5" w:rsidRPr="00845397" w14:paraId="7E8A18FB" w14:textId="77777777" w:rsidTr="00026426">
        <w:tc>
          <w:tcPr>
            <w:tcW w:w="0" w:type="auto"/>
          </w:tcPr>
          <w:p w14:paraId="54A34CFA" w14:textId="77777777" w:rsidR="001F77C6" w:rsidRPr="00845397" w:rsidRDefault="001F77C6" w:rsidP="007429F2">
            <w:pPr>
              <w:autoSpaceDE w:val="0"/>
              <w:autoSpaceDN w:val="0"/>
              <w:adjustRightInd w:val="0"/>
              <w:spacing w:line="360" w:lineRule="auto"/>
              <w:jc w:val="both"/>
              <w:rPr>
                <w:b/>
              </w:rPr>
            </w:pPr>
            <w:r w:rsidRPr="00845397">
              <w:rPr>
                <w:b/>
              </w:rPr>
              <w:t>Administration</w:t>
            </w:r>
          </w:p>
        </w:tc>
        <w:tc>
          <w:tcPr>
            <w:tcW w:w="0" w:type="auto"/>
          </w:tcPr>
          <w:p w14:paraId="17CCEB3D" w14:textId="77777777" w:rsidR="001F77C6" w:rsidRPr="00B970CA" w:rsidRDefault="001F77C6" w:rsidP="007429F2">
            <w:pPr>
              <w:autoSpaceDE w:val="0"/>
              <w:autoSpaceDN w:val="0"/>
              <w:adjustRightInd w:val="0"/>
              <w:spacing w:line="360" w:lineRule="auto"/>
              <w:jc w:val="both"/>
            </w:pPr>
            <w:r w:rsidRPr="00B970CA">
              <w:t>223</w:t>
            </w:r>
            <w:r w:rsidR="00950FB2" w:rsidRPr="00B970CA">
              <w:t>.8</w:t>
            </w:r>
          </w:p>
        </w:tc>
        <w:tc>
          <w:tcPr>
            <w:tcW w:w="0" w:type="auto"/>
          </w:tcPr>
          <w:p w14:paraId="2B694386" w14:textId="77777777" w:rsidR="001F77C6" w:rsidRPr="00B970CA" w:rsidRDefault="001F77C6" w:rsidP="007429F2">
            <w:pPr>
              <w:autoSpaceDE w:val="0"/>
              <w:autoSpaceDN w:val="0"/>
              <w:adjustRightInd w:val="0"/>
              <w:spacing w:line="360" w:lineRule="auto"/>
              <w:jc w:val="both"/>
            </w:pPr>
            <w:r w:rsidRPr="00B970CA">
              <w:t>222</w:t>
            </w:r>
            <w:r w:rsidR="00950FB2" w:rsidRPr="00B970CA">
              <w:t>.1</w:t>
            </w:r>
          </w:p>
        </w:tc>
        <w:tc>
          <w:tcPr>
            <w:tcW w:w="0" w:type="auto"/>
          </w:tcPr>
          <w:p w14:paraId="005046A6" w14:textId="77777777" w:rsidR="001F77C6" w:rsidRPr="00B970CA" w:rsidRDefault="001F77C6" w:rsidP="007429F2">
            <w:pPr>
              <w:autoSpaceDE w:val="0"/>
              <w:autoSpaceDN w:val="0"/>
              <w:adjustRightInd w:val="0"/>
              <w:spacing w:line="360" w:lineRule="auto"/>
              <w:jc w:val="both"/>
            </w:pPr>
            <w:r w:rsidRPr="00B970CA">
              <w:t>1</w:t>
            </w:r>
            <w:r w:rsidR="00950FB2" w:rsidRPr="00B970CA">
              <w:t>.</w:t>
            </w:r>
            <w:r w:rsidRPr="00B970CA">
              <w:t>7</w:t>
            </w:r>
          </w:p>
        </w:tc>
        <w:tc>
          <w:tcPr>
            <w:tcW w:w="0" w:type="auto"/>
          </w:tcPr>
          <w:p w14:paraId="22B2EF0D" w14:textId="77777777" w:rsidR="001F77C6" w:rsidRPr="00B970CA" w:rsidRDefault="001F77C6" w:rsidP="007429F2">
            <w:pPr>
              <w:autoSpaceDE w:val="0"/>
              <w:autoSpaceDN w:val="0"/>
              <w:adjustRightInd w:val="0"/>
              <w:spacing w:line="360" w:lineRule="auto"/>
              <w:jc w:val="both"/>
            </w:pPr>
            <w:r w:rsidRPr="00B970CA">
              <w:t>177</w:t>
            </w:r>
            <w:r w:rsidR="00950FB2" w:rsidRPr="00B970CA">
              <w:t>.4</w:t>
            </w:r>
          </w:p>
        </w:tc>
        <w:tc>
          <w:tcPr>
            <w:tcW w:w="0" w:type="auto"/>
          </w:tcPr>
          <w:p w14:paraId="458987A9" w14:textId="77777777" w:rsidR="001F77C6" w:rsidRPr="00B970CA" w:rsidRDefault="001F77C6" w:rsidP="007429F2">
            <w:pPr>
              <w:autoSpaceDE w:val="0"/>
              <w:autoSpaceDN w:val="0"/>
              <w:adjustRightInd w:val="0"/>
              <w:spacing w:line="360" w:lineRule="auto"/>
              <w:jc w:val="both"/>
            </w:pPr>
            <w:r w:rsidRPr="00B970CA">
              <w:t>167</w:t>
            </w:r>
            <w:r w:rsidR="00950FB2" w:rsidRPr="00B970CA">
              <w:t>.7</w:t>
            </w:r>
          </w:p>
        </w:tc>
        <w:tc>
          <w:tcPr>
            <w:tcW w:w="0" w:type="auto"/>
          </w:tcPr>
          <w:p w14:paraId="482640A0" w14:textId="77777777" w:rsidR="001F77C6" w:rsidRPr="00B970CA" w:rsidRDefault="001F77C6" w:rsidP="007429F2">
            <w:pPr>
              <w:autoSpaceDE w:val="0"/>
              <w:autoSpaceDN w:val="0"/>
              <w:adjustRightInd w:val="0"/>
              <w:spacing w:line="360" w:lineRule="auto"/>
              <w:jc w:val="both"/>
            </w:pPr>
            <w:r w:rsidRPr="00B970CA">
              <w:t>9</w:t>
            </w:r>
            <w:r w:rsidR="00950FB2" w:rsidRPr="00B970CA">
              <w:t>.7</w:t>
            </w:r>
          </w:p>
        </w:tc>
      </w:tr>
      <w:tr w:rsidR="00A51FE5" w:rsidRPr="00845397" w14:paraId="38FD9F60" w14:textId="77777777" w:rsidTr="00026426">
        <w:tc>
          <w:tcPr>
            <w:tcW w:w="0" w:type="auto"/>
          </w:tcPr>
          <w:p w14:paraId="12ED53BE" w14:textId="77777777" w:rsidR="001F77C6" w:rsidRPr="00845397" w:rsidRDefault="001F77C6" w:rsidP="007429F2">
            <w:pPr>
              <w:autoSpaceDE w:val="0"/>
              <w:autoSpaceDN w:val="0"/>
              <w:adjustRightInd w:val="0"/>
              <w:spacing w:line="360" w:lineRule="auto"/>
              <w:jc w:val="both"/>
              <w:rPr>
                <w:b/>
              </w:rPr>
            </w:pPr>
            <w:r w:rsidRPr="00845397">
              <w:rPr>
                <w:b/>
              </w:rPr>
              <w:t>Superior Court Services</w:t>
            </w:r>
          </w:p>
        </w:tc>
        <w:tc>
          <w:tcPr>
            <w:tcW w:w="0" w:type="auto"/>
          </w:tcPr>
          <w:p w14:paraId="35B24B8F" w14:textId="77777777" w:rsidR="001F77C6" w:rsidRPr="00B970CA" w:rsidRDefault="001F77C6" w:rsidP="007429F2">
            <w:pPr>
              <w:autoSpaceDE w:val="0"/>
              <w:autoSpaceDN w:val="0"/>
              <w:adjustRightInd w:val="0"/>
              <w:spacing w:line="360" w:lineRule="auto"/>
              <w:jc w:val="both"/>
            </w:pPr>
            <w:r w:rsidRPr="00B970CA">
              <w:t>824</w:t>
            </w:r>
            <w:r w:rsidR="00950FB2" w:rsidRPr="00B970CA">
              <w:t>.8</w:t>
            </w:r>
          </w:p>
        </w:tc>
        <w:tc>
          <w:tcPr>
            <w:tcW w:w="0" w:type="auto"/>
          </w:tcPr>
          <w:p w14:paraId="140974E2" w14:textId="77777777" w:rsidR="001F77C6" w:rsidRPr="00B970CA" w:rsidRDefault="001F77C6" w:rsidP="007429F2">
            <w:pPr>
              <w:autoSpaceDE w:val="0"/>
              <w:autoSpaceDN w:val="0"/>
              <w:adjustRightInd w:val="0"/>
              <w:spacing w:line="360" w:lineRule="auto"/>
              <w:jc w:val="both"/>
            </w:pPr>
            <w:r w:rsidRPr="00B970CA">
              <w:t>801</w:t>
            </w:r>
            <w:r w:rsidR="00950FB2" w:rsidRPr="00B970CA">
              <w:t>.5</w:t>
            </w:r>
          </w:p>
        </w:tc>
        <w:tc>
          <w:tcPr>
            <w:tcW w:w="0" w:type="auto"/>
          </w:tcPr>
          <w:p w14:paraId="49D5C3F7" w14:textId="77777777" w:rsidR="001F77C6" w:rsidRPr="00B970CA" w:rsidRDefault="001F77C6" w:rsidP="007429F2">
            <w:pPr>
              <w:autoSpaceDE w:val="0"/>
              <w:autoSpaceDN w:val="0"/>
              <w:adjustRightInd w:val="0"/>
              <w:spacing w:line="360" w:lineRule="auto"/>
              <w:jc w:val="both"/>
            </w:pPr>
            <w:r w:rsidRPr="00B970CA">
              <w:t>23</w:t>
            </w:r>
            <w:r w:rsidR="00950FB2" w:rsidRPr="00B970CA">
              <w:t>.</w:t>
            </w:r>
            <w:r w:rsidRPr="00B970CA">
              <w:t>2</w:t>
            </w:r>
          </w:p>
        </w:tc>
        <w:tc>
          <w:tcPr>
            <w:tcW w:w="0" w:type="auto"/>
          </w:tcPr>
          <w:p w14:paraId="28CBA79C" w14:textId="77777777" w:rsidR="001F77C6" w:rsidRPr="00B970CA" w:rsidRDefault="001F77C6" w:rsidP="007429F2">
            <w:pPr>
              <w:autoSpaceDE w:val="0"/>
              <w:autoSpaceDN w:val="0"/>
              <w:adjustRightInd w:val="0"/>
              <w:spacing w:line="360" w:lineRule="auto"/>
              <w:jc w:val="both"/>
            </w:pPr>
            <w:r w:rsidRPr="00B970CA">
              <w:t>760</w:t>
            </w:r>
            <w:r w:rsidR="00950FB2" w:rsidRPr="00B970CA">
              <w:t>.</w:t>
            </w:r>
            <w:r w:rsidRPr="00B970CA">
              <w:t>3</w:t>
            </w:r>
          </w:p>
        </w:tc>
        <w:tc>
          <w:tcPr>
            <w:tcW w:w="0" w:type="auto"/>
          </w:tcPr>
          <w:p w14:paraId="27E9CD16" w14:textId="77777777" w:rsidR="001F77C6" w:rsidRPr="00B970CA" w:rsidRDefault="00950FB2" w:rsidP="007429F2">
            <w:pPr>
              <w:autoSpaceDE w:val="0"/>
              <w:autoSpaceDN w:val="0"/>
              <w:adjustRightInd w:val="0"/>
              <w:spacing w:line="360" w:lineRule="auto"/>
              <w:jc w:val="both"/>
            </w:pPr>
            <w:r w:rsidRPr="00B970CA">
              <w:t>748.2</w:t>
            </w:r>
          </w:p>
        </w:tc>
        <w:tc>
          <w:tcPr>
            <w:tcW w:w="0" w:type="auto"/>
          </w:tcPr>
          <w:p w14:paraId="4F6D8E6C" w14:textId="77777777" w:rsidR="001F77C6" w:rsidRPr="00B970CA" w:rsidRDefault="001F77C6" w:rsidP="007429F2">
            <w:pPr>
              <w:autoSpaceDE w:val="0"/>
              <w:autoSpaceDN w:val="0"/>
              <w:adjustRightInd w:val="0"/>
              <w:spacing w:line="360" w:lineRule="auto"/>
              <w:jc w:val="both"/>
            </w:pPr>
            <w:r w:rsidRPr="00B970CA">
              <w:t>12</w:t>
            </w:r>
            <w:r w:rsidR="00950FB2" w:rsidRPr="00B970CA">
              <w:t>.1</w:t>
            </w:r>
          </w:p>
        </w:tc>
      </w:tr>
      <w:tr w:rsidR="00A51FE5" w:rsidRPr="00845397" w14:paraId="09F07DB0" w14:textId="77777777" w:rsidTr="00026426">
        <w:tc>
          <w:tcPr>
            <w:tcW w:w="0" w:type="auto"/>
          </w:tcPr>
          <w:p w14:paraId="74D7ED0E" w14:textId="77777777" w:rsidR="001F77C6" w:rsidRPr="00D91AC2" w:rsidRDefault="001F77C6" w:rsidP="007429F2">
            <w:pPr>
              <w:autoSpaceDE w:val="0"/>
              <w:autoSpaceDN w:val="0"/>
              <w:adjustRightInd w:val="0"/>
              <w:spacing w:line="360" w:lineRule="auto"/>
              <w:jc w:val="both"/>
              <w:rPr>
                <w:b/>
              </w:rPr>
            </w:pPr>
            <w:r w:rsidRPr="00D91AC2">
              <w:rPr>
                <w:b/>
              </w:rPr>
              <w:t>Judicial Education and Support</w:t>
            </w:r>
          </w:p>
        </w:tc>
        <w:tc>
          <w:tcPr>
            <w:tcW w:w="0" w:type="auto"/>
          </w:tcPr>
          <w:p w14:paraId="1AAE215B" w14:textId="77777777" w:rsidR="001F77C6" w:rsidRPr="00B970CA" w:rsidRDefault="001F77C6" w:rsidP="007429F2">
            <w:pPr>
              <w:autoSpaceDE w:val="0"/>
              <w:autoSpaceDN w:val="0"/>
              <w:adjustRightInd w:val="0"/>
              <w:spacing w:line="360" w:lineRule="auto"/>
              <w:jc w:val="both"/>
            </w:pPr>
            <w:r w:rsidRPr="00B970CA">
              <w:t>71</w:t>
            </w:r>
            <w:r w:rsidR="00950FB2" w:rsidRPr="00B970CA">
              <w:t>.2</w:t>
            </w:r>
          </w:p>
        </w:tc>
        <w:tc>
          <w:tcPr>
            <w:tcW w:w="0" w:type="auto"/>
          </w:tcPr>
          <w:p w14:paraId="25426FDC" w14:textId="77777777" w:rsidR="001F77C6" w:rsidRPr="00B970CA" w:rsidRDefault="001F77C6" w:rsidP="007429F2">
            <w:pPr>
              <w:autoSpaceDE w:val="0"/>
              <w:autoSpaceDN w:val="0"/>
              <w:adjustRightInd w:val="0"/>
              <w:spacing w:line="360" w:lineRule="auto"/>
              <w:jc w:val="both"/>
            </w:pPr>
            <w:r w:rsidRPr="00B970CA">
              <w:t>6</w:t>
            </w:r>
            <w:r w:rsidR="00950FB2" w:rsidRPr="00B970CA">
              <w:t>8.4</w:t>
            </w:r>
          </w:p>
        </w:tc>
        <w:tc>
          <w:tcPr>
            <w:tcW w:w="0" w:type="auto"/>
          </w:tcPr>
          <w:p w14:paraId="00CA0F8F" w14:textId="77777777" w:rsidR="001F77C6" w:rsidRPr="00B970CA" w:rsidRDefault="001F77C6" w:rsidP="007429F2">
            <w:pPr>
              <w:autoSpaceDE w:val="0"/>
              <w:autoSpaceDN w:val="0"/>
              <w:adjustRightInd w:val="0"/>
              <w:spacing w:line="360" w:lineRule="auto"/>
              <w:jc w:val="both"/>
            </w:pPr>
            <w:r w:rsidRPr="00B970CA">
              <w:t>2</w:t>
            </w:r>
            <w:r w:rsidR="00950FB2" w:rsidRPr="00B970CA">
              <w:t>.8</w:t>
            </w:r>
          </w:p>
        </w:tc>
        <w:tc>
          <w:tcPr>
            <w:tcW w:w="0" w:type="auto"/>
          </w:tcPr>
          <w:p w14:paraId="62C3A31C" w14:textId="77777777" w:rsidR="001F77C6" w:rsidRPr="00B970CA" w:rsidRDefault="001F77C6" w:rsidP="007429F2">
            <w:pPr>
              <w:autoSpaceDE w:val="0"/>
              <w:autoSpaceDN w:val="0"/>
              <w:adjustRightInd w:val="0"/>
              <w:spacing w:line="360" w:lineRule="auto"/>
              <w:jc w:val="both"/>
            </w:pPr>
            <w:r w:rsidRPr="00B970CA">
              <w:t>81</w:t>
            </w:r>
            <w:r w:rsidR="00950FB2" w:rsidRPr="00B970CA">
              <w:t>.6</w:t>
            </w:r>
            <w:r w:rsidR="00D91AC2" w:rsidRPr="00B970CA">
              <w:t>4</w:t>
            </w:r>
          </w:p>
        </w:tc>
        <w:tc>
          <w:tcPr>
            <w:tcW w:w="0" w:type="auto"/>
          </w:tcPr>
          <w:p w14:paraId="065551ED" w14:textId="77777777" w:rsidR="001F77C6" w:rsidRPr="00B970CA" w:rsidRDefault="001F77C6" w:rsidP="007429F2">
            <w:pPr>
              <w:autoSpaceDE w:val="0"/>
              <w:autoSpaceDN w:val="0"/>
              <w:adjustRightInd w:val="0"/>
              <w:spacing w:line="360" w:lineRule="auto"/>
              <w:jc w:val="both"/>
            </w:pPr>
            <w:r w:rsidRPr="00B970CA">
              <w:t>81</w:t>
            </w:r>
            <w:r w:rsidR="00950FB2" w:rsidRPr="00B970CA">
              <w:t>.6</w:t>
            </w:r>
            <w:r w:rsidR="00D91AC2" w:rsidRPr="00B970CA">
              <w:t>2</w:t>
            </w:r>
          </w:p>
        </w:tc>
        <w:tc>
          <w:tcPr>
            <w:tcW w:w="0" w:type="auto"/>
          </w:tcPr>
          <w:p w14:paraId="1234AD7E" w14:textId="77777777" w:rsidR="001F77C6" w:rsidRPr="00B970CA" w:rsidRDefault="001F77C6" w:rsidP="007429F2">
            <w:pPr>
              <w:autoSpaceDE w:val="0"/>
              <w:autoSpaceDN w:val="0"/>
              <w:adjustRightInd w:val="0"/>
              <w:spacing w:line="360" w:lineRule="auto"/>
              <w:jc w:val="both"/>
            </w:pPr>
            <w:r w:rsidRPr="00B970CA">
              <w:t>19</w:t>
            </w:r>
          </w:p>
        </w:tc>
      </w:tr>
      <w:tr w:rsidR="00A51FE5" w:rsidRPr="00845397" w14:paraId="3A470507" w14:textId="77777777" w:rsidTr="00026426">
        <w:tc>
          <w:tcPr>
            <w:tcW w:w="0" w:type="auto"/>
          </w:tcPr>
          <w:p w14:paraId="6A128447" w14:textId="77777777" w:rsidR="001F77C6" w:rsidRPr="00845397" w:rsidRDefault="001F77C6" w:rsidP="007429F2">
            <w:pPr>
              <w:autoSpaceDE w:val="0"/>
              <w:autoSpaceDN w:val="0"/>
              <w:adjustRightInd w:val="0"/>
              <w:spacing w:line="360" w:lineRule="auto"/>
              <w:jc w:val="both"/>
              <w:rPr>
                <w:b/>
              </w:rPr>
            </w:pPr>
            <w:r w:rsidRPr="00845397">
              <w:rPr>
                <w:b/>
              </w:rPr>
              <w:t>Sub-total</w:t>
            </w:r>
          </w:p>
        </w:tc>
        <w:tc>
          <w:tcPr>
            <w:tcW w:w="0" w:type="auto"/>
          </w:tcPr>
          <w:p w14:paraId="63699299" w14:textId="77777777" w:rsidR="001F77C6" w:rsidRPr="00B970CA" w:rsidRDefault="001F77C6" w:rsidP="007429F2">
            <w:pPr>
              <w:autoSpaceDE w:val="0"/>
              <w:autoSpaceDN w:val="0"/>
              <w:adjustRightInd w:val="0"/>
              <w:spacing w:line="360" w:lineRule="auto"/>
              <w:jc w:val="both"/>
            </w:pPr>
            <w:r w:rsidRPr="00B970CA">
              <w:t>1</w:t>
            </w:r>
            <w:r w:rsidR="00950FB2" w:rsidRPr="00B970CA">
              <w:t> </w:t>
            </w:r>
            <w:r w:rsidRPr="00B970CA">
              <w:t>119</w:t>
            </w:r>
            <w:r w:rsidR="00950FB2" w:rsidRPr="00B970CA">
              <w:t>.7</w:t>
            </w:r>
          </w:p>
        </w:tc>
        <w:tc>
          <w:tcPr>
            <w:tcW w:w="0" w:type="auto"/>
          </w:tcPr>
          <w:p w14:paraId="6429EC9E" w14:textId="77777777" w:rsidR="001F77C6" w:rsidRPr="00B970CA" w:rsidRDefault="001F77C6" w:rsidP="007429F2">
            <w:pPr>
              <w:autoSpaceDE w:val="0"/>
              <w:autoSpaceDN w:val="0"/>
              <w:adjustRightInd w:val="0"/>
              <w:spacing w:line="360" w:lineRule="auto"/>
              <w:jc w:val="both"/>
            </w:pPr>
            <w:r w:rsidRPr="00B970CA">
              <w:t>1</w:t>
            </w:r>
            <w:r w:rsidR="00950FB2" w:rsidRPr="00B970CA">
              <w:t> </w:t>
            </w:r>
            <w:r w:rsidRPr="00B970CA">
              <w:t>092</w:t>
            </w:r>
            <w:r w:rsidR="006D2A51" w:rsidRPr="00B970CA">
              <w:t>.0</w:t>
            </w:r>
          </w:p>
        </w:tc>
        <w:tc>
          <w:tcPr>
            <w:tcW w:w="0" w:type="auto"/>
          </w:tcPr>
          <w:p w14:paraId="37675EF6" w14:textId="77777777" w:rsidR="001F77C6" w:rsidRPr="00B970CA" w:rsidRDefault="001F77C6" w:rsidP="007429F2">
            <w:pPr>
              <w:autoSpaceDE w:val="0"/>
              <w:autoSpaceDN w:val="0"/>
              <w:adjustRightInd w:val="0"/>
              <w:spacing w:line="360" w:lineRule="auto"/>
              <w:jc w:val="both"/>
            </w:pPr>
            <w:r w:rsidRPr="00B970CA">
              <w:t>27</w:t>
            </w:r>
            <w:r w:rsidR="00950FB2" w:rsidRPr="00B970CA">
              <w:t>.7</w:t>
            </w:r>
          </w:p>
        </w:tc>
        <w:tc>
          <w:tcPr>
            <w:tcW w:w="0" w:type="auto"/>
          </w:tcPr>
          <w:p w14:paraId="13B2DCFC" w14:textId="77777777" w:rsidR="001F77C6" w:rsidRPr="00B970CA" w:rsidRDefault="001F77C6" w:rsidP="007429F2">
            <w:pPr>
              <w:autoSpaceDE w:val="0"/>
              <w:autoSpaceDN w:val="0"/>
              <w:adjustRightInd w:val="0"/>
              <w:spacing w:line="360" w:lineRule="auto"/>
              <w:jc w:val="both"/>
            </w:pPr>
            <w:r w:rsidRPr="00B970CA">
              <w:t>1</w:t>
            </w:r>
            <w:r w:rsidR="00950FB2" w:rsidRPr="00B970CA">
              <w:t> </w:t>
            </w:r>
            <w:r w:rsidRPr="00B970CA">
              <w:t>019</w:t>
            </w:r>
            <w:r w:rsidR="00950FB2" w:rsidRPr="00B970CA">
              <w:t>.3</w:t>
            </w:r>
          </w:p>
        </w:tc>
        <w:tc>
          <w:tcPr>
            <w:tcW w:w="0" w:type="auto"/>
          </w:tcPr>
          <w:p w14:paraId="4FD46C50" w14:textId="77777777" w:rsidR="001F77C6" w:rsidRPr="00B970CA" w:rsidRDefault="001F77C6" w:rsidP="007429F2">
            <w:pPr>
              <w:autoSpaceDE w:val="0"/>
              <w:autoSpaceDN w:val="0"/>
              <w:adjustRightInd w:val="0"/>
              <w:spacing w:line="360" w:lineRule="auto"/>
              <w:jc w:val="both"/>
            </w:pPr>
            <w:r w:rsidRPr="00B970CA">
              <w:t>997</w:t>
            </w:r>
            <w:r w:rsidR="00950FB2" w:rsidRPr="00B970CA">
              <w:t>.5</w:t>
            </w:r>
          </w:p>
        </w:tc>
        <w:tc>
          <w:tcPr>
            <w:tcW w:w="0" w:type="auto"/>
          </w:tcPr>
          <w:p w14:paraId="234C1ED1" w14:textId="77777777" w:rsidR="001F77C6" w:rsidRPr="00B970CA" w:rsidRDefault="001F77C6" w:rsidP="007429F2">
            <w:pPr>
              <w:autoSpaceDE w:val="0"/>
              <w:autoSpaceDN w:val="0"/>
              <w:adjustRightInd w:val="0"/>
              <w:spacing w:line="360" w:lineRule="auto"/>
              <w:jc w:val="both"/>
            </w:pPr>
            <w:r w:rsidRPr="00B970CA">
              <w:t>21</w:t>
            </w:r>
            <w:r w:rsidR="00950FB2" w:rsidRPr="00B970CA">
              <w:t>.8</w:t>
            </w:r>
          </w:p>
        </w:tc>
      </w:tr>
      <w:tr w:rsidR="00A51FE5" w:rsidRPr="00845397" w14:paraId="472DB70F" w14:textId="77777777" w:rsidTr="00026426">
        <w:tc>
          <w:tcPr>
            <w:tcW w:w="0" w:type="auto"/>
          </w:tcPr>
          <w:p w14:paraId="5198B3DC" w14:textId="77777777" w:rsidR="001F77C6" w:rsidRPr="00845397" w:rsidRDefault="001F77C6" w:rsidP="007429F2">
            <w:pPr>
              <w:autoSpaceDE w:val="0"/>
              <w:autoSpaceDN w:val="0"/>
              <w:adjustRightInd w:val="0"/>
              <w:spacing w:line="360" w:lineRule="auto"/>
              <w:jc w:val="both"/>
              <w:rPr>
                <w:b/>
              </w:rPr>
            </w:pPr>
            <w:r w:rsidRPr="00845397">
              <w:rPr>
                <w:b/>
              </w:rPr>
              <w:t>Judges’ salaries</w:t>
            </w:r>
          </w:p>
        </w:tc>
        <w:tc>
          <w:tcPr>
            <w:tcW w:w="0" w:type="auto"/>
          </w:tcPr>
          <w:p w14:paraId="6A38E259" w14:textId="77777777" w:rsidR="001F77C6" w:rsidRPr="00B970CA" w:rsidRDefault="001F77C6" w:rsidP="007429F2">
            <w:pPr>
              <w:autoSpaceDE w:val="0"/>
              <w:autoSpaceDN w:val="0"/>
              <w:adjustRightInd w:val="0"/>
              <w:spacing w:line="360" w:lineRule="auto"/>
              <w:jc w:val="both"/>
            </w:pPr>
            <w:r w:rsidRPr="00B970CA">
              <w:t>1</w:t>
            </w:r>
            <w:r w:rsidR="00950FB2" w:rsidRPr="00B970CA">
              <w:t> </w:t>
            </w:r>
            <w:r w:rsidRPr="00B970CA">
              <w:t>022</w:t>
            </w:r>
            <w:r w:rsidR="00950FB2" w:rsidRPr="00B970CA">
              <w:t>.1</w:t>
            </w:r>
            <w:r w:rsidRPr="00B970CA">
              <w:t xml:space="preserve"> </w:t>
            </w:r>
          </w:p>
        </w:tc>
        <w:tc>
          <w:tcPr>
            <w:tcW w:w="0" w:type="auto"/>
          </w:tcPr>
          <w:p w14:paraId="235071F6" w14:textId="77777777" w:rsidR="001F77C6" w:rsidRPr="00B970CA" w:rsidRDefault="001F77C6" w:rsidP="007429F2">
            <w:pPr>
              <w:autoSpaceDE w:val="0"/>
              <w:autoSpaceDN w:val="0"/>
              <w:adjustRightInd w:val="0"/>
              <w:spacing w:line="360" w:lineRule="auto"/>
              <w:jc w:val="both"/>
            </w:pPr>
            <w:r w:rsidRPr="00B970CA">
              <w:t>1</w:t>
            </w:r>
            <w:r w:rsidR="00950FB2" w:rsidRPr="00B970CA">
              <w:t> </w:t>
            </w:r>
            <w:r w:rsidRPr="00B970CA">
              <w:t>022</w:t>
            </w:r>
            <w:r w:rsidR="00950FB2" w:rsidRPr="00B970CA">
              <w:t>.2</w:t>
            </w:r>
          </w:p>
        </w:tc>
        <w:tc>
          <w:tcPr>
            <w:tcW w:w="0" w:type="auto"/>
          </w:tcPr>
          <w:p w14:paraId="6030A6FC" w14:textId="77777777" w:rsidR="001F77C6" w:rsidRPr="00B970CA" w:rsidRDefault="001F77C6" w:rsidP="007429F2">
            <w:pPr>
              <w:autoSpaceDE w:val="0"/>
              <w:autoSpaceDN w:val="0"/>
              <w:adjustRightInd w:val="0"/>
              <w:spacing w:line="360" w:lineRule="auto"/>
              <w:jc w:val="both"/>
            </w:pPr>
            <w:r w:rsidRPr="00B970CA">
              <w:t>(98)</w:t>
            </w:r>
          </w:p>
        </w:tc>
        <w:tc>
          <w:tcPr>
            <w:tcW w:w="0" w:type="auto"/>
          </w:tcPr>
          <w:p w14:paraId="4582E95D" w14:textId="77777777" w:rsidR="001F77C6" w:rsidRPr="00B970CA" w:rsidRDefault="001F77C6" w:rsidP="007429F2">
            <w:pPr>
              <w:autoSpaceDE w:val="0"/>
              <w:autoSpaceDN w:val="0"/>
              <w:adjustRightInd w:val="0"/>
              <w:spacing w:line="360" w:lineRule="auto"/>
              <w:jc w:val="both"/>
            </w:pPr>
            <w:r w:rsidRPr="00B970CA">
              <w:t>966</w:t>
            </w:r>
            <w:r w:rsidR="00950FB2" w:rsidRPr="00B970CA">
              <w:t>.1</w:t>
            </w:r>
          </w:p>
        </w:tc>
        <w:tc>
          <w:tcPr>
            <w:tcW w:w="0" w:type="auto"/>
          </w:tcPr>
          <w:p w14:paraId="4A3F6A21" w14:textId="77777777" w:rsidR="001F77C6" w:rsidRPr="00B970CA" w:rsidRDefault="001F77C6" w:rsidP="007429F2">
            <w:pPr>
              <w:autoSpaceDE w:val="0"/>
              <w:autoSpaceDN w:val="0"/>
              <w:adjustRightInd w:val="0"/>
              <w:spacing w:line="360" w:lineRule="auto"/>
              <w:jc w:val="both"/>
            </w:pPr>
            <w:r w:rsidRPr="00B970CA">
              <w:t>998</w:t>
            </w:r>
            <w:r w:rsidR="00950FB2" w:rsidRPr="00B970CA">
              <w:t>.4</w:t>
            </w:r>
          </w:p>
        </w:tc>
        <w:tc>
          <w:tcPr>
            <w:tcW w:w="0" w:type="auto"/>
          </w:tcPr>
          <w:p w14:paraId="7DD7498E" w14:textId="77777777" w:rsidR="001F77C6" w:rsidRPr="00B970CA" w:rsidRDefault="001F77C6" w:rsidP="007429F2">
            <w:pPr>
              <w:autoSpaceDE w:val="0"/>
              <w:autoSpaceDN w:val="0"/>
              <w:adjustRightInd w:val="0"/>
              <w:spacing w:line="360" w:lineRule="auto"/>
              <w:jc w:val="both"/>
            </w:pPr>
            <w:r w:rsidRPr="00B970CA">
              <w:t>(32</w:t>
            </w:r>
            <w:r w:rsidR="00950FB2" w:rsidRPr="00B970CA">
              <w:t>.3</w:t>
            </w:r>
            <w:r w:rsidRPr="00B970CA">
              <w:t>)</w:t>
            </w:r>
          </w:p>
        </w:tc>
      </w:tr>
      <w:tr w:rsidR="00A51FE5" w:rsidRPr="00845397" w14:paraId="3748FB6C" w14:textId="77777777" w:rsidTr="00026426">
        <w:tc>
          <w:tcPr>
            <w:tcW w:w="0" w:type="auto"/>
          </w:tcPr>
          <w:p w14:paraId="3FD498A2" w14:textId="77777777" w:rsidR="001F77C6" w:rsidRPr="00845397" w:rsidRDefault="001F77C6" w:rsidP="007429F2">
            <w:pPr>
              <w:autoSpaceDE w:val="0"/>
              <w:autoSpaceDN w:val="0"/>
              <w:adjustRightInd w:val="0"/>
              <w:spacing w:line="360" w:lineRule="auto"/>
              <w:jc w:val="both"/>
              <w:rPr>
                <w:b/>
              </w:rPr>
            </w:pPr>
            <w:r w:rsidRPr="00845397">
              <w:rPr>
                <w:b/>
              </w:rPr>
              <w:t>Total</w:t>
            </w:r>
          </w:p>
        </w:tc>
        <w:tc>
          <w:tcPr>
            <w:tcW w:w="0" w:type="auto"/>
          </w:tcPr>
          <w:p w14:paraId="59F0650D" w14:textId="77777777" w:rsidR="001F77C6" w:rsidRPr="00845397" w:rsidRDefault="001F77C6" w:rsidP="007429F2">
            <w:pPr>
              <w:autoSpaceDE w:val="0"/>
              <w:autoSpaceDN w:val="0"/>
              <w:adjustRightInd w:val="0"/>
              <w:spacing w:line="360" w:lineRule="auto"/>
              <w:jc w:val="both"/>
              <w:rPr>
                <w:b/>
              </w:rPr>
            </w:pPr>
            <w:r w:rsidRPr="00845397">
              <w:rPr>
                <w:b/>
              </w:rPr>
              <w:t>2</w:t>
            </w:r>
            <w:r w:rsidR="00026426" w:rsidRPr="00845397">
              <w:rPr>
                <w:b/>
              </w:rPr>
              <w:t> </w:t>
            </w:r>
            <w:r w:rsidRPr="00845397">
              <w:rPr>
                <w:b/>
              </w:rPr>
              <w:t>141</w:t>
            </w:r>
            <w:r w:rsidR="00026426" w:rsidRPr="00845397">
              <w:rPr>
                <w:b/>
              </w:rPr>
              <w:t>.</w:t>
            </w:r>
            <w:r w:rsidRPr="00845397">
              <w:rPr>
                <w:b/>
              </w:rPr>
              <w:t>8</w:t>
            </w:r>
          </w:p>
        </w:tc>
        <w:tc>
          <w:tcPr>
            <w:tcW w:w="0" w:type="auto"/>
          </w:tcPr>
          <w:p w14:paraId="76619AA1" w14:textId="77777777" w:rsidR="001F77C6" w:rsidRPr="00845397" w:rsidRDefault="001F77C6" w:rsidP="007429F2">
            <w:pPr>
              <w:autoSpaceDE w:val="0"/>
              <w:autoSpaceDN w:val="0"/>
              <w:adjustRightInd w:val="0"/>
              <w:spacing w:line="360" w:lineRule="auto"/>
              <w:jc w:val="both"/>
              <w:rPr>
                <w:b/>
              </w:rPr>
            </w:pPr>
            <w:r w:rsidRPr="00845397">
              <w:rPr>
                <w:b/>
              </w:rPr>
              <w:t>2</w:t>
            </w:r>
            <w:r w:rsidR="00026426" w:rsidRPr="00845397">
              <w:rPr>
                <w:b/>
              </w:rPr>
              <w:t> </w:t>
            </w:r>
            <w:r w:rsidRPr="00845397">
              <w:rPr>
                <w:b/>
              </w:rPr>
              <w:t>114</w:t>
            </w:r>
            <w:r w:rsidR="00026426" w:rsidRPr="00845397">
              <w:rPr>
                <w:b/>
              </w:rPr>
              <w:t>.</w:t>
            </w:r>
            <w:r w:rsidR="006D2A51" w:rsidRPr="00845397">
              <w:rPr>
                <w:b/>
              </w:rPr>
              <w:t>2</w:t>
            </w:r>
          </w:p>
        </w:tc>
        <w:tc>
          <w:tcPr>
            <w:tcW w:w="0" w:type="auto"/>
          </w:tcPr>
          <w:p w14:paraId="19761CCF" w14:textId="77777777" w:rsidR="001F77C6" w:rsidRPr="00845397" w:rsidRDefault="001F77C6" w:rsidP="007429F2">
            <w:pPr>
              <w:autoSpaceDE w:val="0"/>
              <w:autoSpaceDN w:val="0"/>
              <w:adjustRightInd w:val="0"/>
              <w:spacing w:line="360" w:lineRule="auto"/>
              <w:jc w:val="both"/>
              <w:rPr>
                <w:b/>
              </w:rPr>
            </w:pPr>
            <w:r w:rsidRPr="00845397">
              <w:rPr>
                <w:b/>
              </w:rPr>
              <w:t>27</w:t>
            </w:r>
            <w:r w:rsidR="00026426" w:rsidRPr="00845397">
              <w:rPr>
                <w:b/>
              </w:rPr>
              <w:t>.6</w:t>
            </w:r>
          </w:p>
        </w:tc>
        <w:tc>
          <w:tcPr>
            <w:tcW w:w="0" w:type="auto"/>
          </w:tcPr>
          <w:p w14:paraId="633BF0A9" w14:textId="77777777" w:rsidR="001F77C6" w:rsidRPr="00845397" w:rsidRDefault="001F77C6" w:rsidP="007429F2">
            <w:pPr>
              <w:autoSpaceDE w:val="0"/>
              <w:autoSpaceDN w:val="0"/>
              <w:adjustRightInd w:val="0"/>
              <w:spacing w:line="360" w:lineRule="auto"/>
              <w:jc w:val="both"/>
              <w:rPr>
                <w:b/>
              </w:rPr>
            </w:pPr>
            <w:r w:rsidRPr="00845397">
              <w:rPr>
                <w:b/>
              </w:rPr>
              <w:t>1</w:t>
            </w:r>
            <w:r w:rsidR="00026426" w:rsidRPr="00845397">
              <w:rPr>
                <w:b/>
              </w:rPr>
              <w:t> </w:t>
            </w:r>
            <w:r w:rsidRPr="00845397">
              <w:rPr>
                <w:b/>
              </w:rPr>
              <w:t>985</w:t>
            </w:r>
            <w:r w:rsidR="00026426" w:rsidRPr="00845397">
              <w:rPr>
                <w:b/>
              </w:rPr>
              <w:t>.4</w:t>
            </w:r>
          </w:p>
        </w:tc>
        <w:tc>
          <w:tcPr>
            <w:tcW w:w="0" w:type="auto"/>
          </w:tcPr>
          <w:p w14:paraId="0D8C7DD5" w14:textId="77777777" w:rsidR="001F77C6" w:rsidRPr="00845397" w:rsidRDefault="001F77C6" w:rsidP="007429F2">
            <w:pPr>
              <w:autoSpaceDE w:val="0"/>
              <w:autoSpaceDN w:val="0"/>
              <w:adjustRightInd w:val="0"/>
              <w:spacing w:line="360" w:lineRule="auto"/>
              <w:jc w:val="both"/>
              <w:rPr>
                <w:b/>
              </w:rPr>
            </w:pPr>
            <w:r w:rsidRPr="00845397">
              <w:rPr>
                <w:b/>
              </w:rPr>
              <w:t>1</w:t>
            </w:r>
            <w:r w:rsidR="00026426" w:rsidRPr="00845397">
              <w:rPr>
                <w:b/>
              </w:rPr>
              <w:t> </w:t>
            </w:r>
            <w:r w:rsidRPr="00845397">
              <w:rPr>
                <w:b/>
              </w:rPr>
              <w:t>995</w:t>
            </w:r>
            <w:r w:rsidR="00026426" w:rsidRPr="00845397">
              <w:rPr>
                <w:b/>
              </w:rPr>
              <w:t>.9</w:t>
            </w:r>
          </w:p>
        </w:tc>
        <w:tc>
          <w:tcPr>
            <w:tcW w:w="0" w:type="auto"/>
          </w:tcPr>
          <w:p w14:paraId="61C40036" w14:textId="77777777" w:rsidR="001F77C6" w:rsidRPr="00845397" w:rsidRDefault="001F77C6" w:rsidP="007429F2">
            <w:pPr>
              <w:autoSpaceDE w:val="0"/>
              <w:autoSpaceDN w:val="0"/>
              <w:adjustRightInd w:val="0"/>
              <w:spacing w:line="360" w:lineRule="auto"/>
              <w:jc w:val="both"/>
              <w:rPr>
                <w:b/>
              </w:rPr>
            </w:pPr>
            <w:r w:rsidRPr="00845397">
              <w:rPr>
                <w:b/>
              </w:rPr>
              <w:t>(10</w:t>
            </w:r>
            <w:r w:rsidR="00026426" w:rsidRPr="00845397">
              <w:rPr>
                <w:b/>
              </w:rPr>
              <w:t>.5</w:t>
            </w:r>
            <w:r w:rsidRPr="00845397">
              <w:rPr>
                <w:b/>
              </w:rPr>
              <w:t>)</w:t>
            </w:r>
          </w:p>
        </w:tc>
      </w:tr>
    </w:tbl>
    <w:p w14:paraId="05E235FB" w14:textId="77777777" w:rsidR="00A15FC5" w:rsidRDefault="00A15FC5" w:rsidP="007429F2">
      <w:pPr>
        <w:autoSpaceDE w:val="0"/>
        <w:autoSpaceDN w:val="0"/>
        <w:adjustRightInd w:val="0"/>
        <w:spacing w:line="360" w:lineRule="auto"/>
        <w:ind w:left="720"/>
        <w:jc w:val="both"/>
        <w:rPr>
          <w:b/>
        </w:rPr>
      </w:pPr>
    </w:p>
    <w:p w14:paraId="523D8632" w14:textId="77777777" w:rsidR="006D2A51" w:rsidRDefault="00A51FE5" w:rsidP="007429F2">
      <w:pPr>
        <w:pStyle w:val="ListParagraph"/>
        <w:numPr>
          <w:ilvl w:val="2"/>
          <w:numId w:val="23"/>
        </w:numPr>
        <w:autoSpaceDE w:val="0"/>
        <w:autoSpaceDN w:val="0"/>
        <w:adjustRightInd w:val="0"/>
        <w:spacing w:line="360" w:lineRule="auto"/>
        <w:jc w:val="both"/>
        <w:rPr>
          <w:lang w:val="en-US" w:eastAsia="en-US"/>
        </w:rPr>
      </w:pPr>
      <w:r w:rsidRPr="00730696">
        <w:rPr>
          <w:lang w:val="en-US"/>
        </w:rPr>
        <w:t>The OCJ was allocated R2.1</w:t>
      </w:r>
      <w:r w:rsidR="006D2A51" w:rsidRPr="00730696">
        <w:rPr>
          <w:lang w:val="en-US"/>
        </w:rPr>
        <w:t>4</w:t>
      </w:r>
      <w:r w:rsidRPr="00730696">
        <w:rPr>
          <w:lang w:val="en-US"/>
        </w:rPr>
        <w:t xml:space="preserve"> billion in 2018/19, compared with R1.99 billion for 2017/18. These amounts include a direct transfer for judges’ salaries.</w:t>
      </w:r>
      <w:r w:rsidRPr="00730696">
        <w:rPr>
          <w:lang w:val="en-US" w:eastAsia="en-US"/>
        </w:rPr>
        <w:t xml:space="preserve"> </w:t>
      </w:r>
    </w:p>
    <w:p w14:paraId="1D5205DB" w14:textId="77777777" w:rsidR="00730696" w:rsidRPr="00730696" w:rsidRDefault="00730696" w:rsidP="007429F2">
      <w:pPr>
        <w:pStyle w:val="ListParagraph"/>
        <w:autoSpaceDE w:val="0"/>
        <w:autoSpaceDN w:val="0"/>
        <w:adjustRightInd w:val="0"/>
        <w:spacing w:line="360" w:lineRule="auto"/>
        <w:jc w:val="both"/>
        <w:rPr>
          <w:lang w:val="en-US" w:eastAsia="en-US"/>
        </w:rPr>
      </w:pPr>
    </w:p>
    <w:p w14:paraId="6EB7664B" w14:textId="77777777" w:rsidR="00D91AC2" w:rsidRPr="00D636F0" w:rsidRDefault="00D91AC2" w:rsidP="00D91AC2">
      <w:pPr>
        <w:pStyle w:val="ListParagraph"/>
        <w:numPr>
          <w:ilvl w:val="2"/>
          <w:numId w:val="23"/>
        </w:numPr>
        <w:autoSpaceDE w:val="0"/>
        <w:autoSpaceDN w:val="0"/>
        <w:adjustRightInd w:val="0"/>
        <w:spacing w:line="360" w:lineRule="auto"/>
        <w:jc w:val="both"/>
        <w:rPr>
          <w:bCs/>
        </w:rPr>
      </w:pPr>
      <w:r>
        <w:rPr>
          <w:bCs/>
        </w:rPr>
        <w:t>In 2018/19, the OCJ reported</w:t>
      </w:r>
      <w:r w:rsidRPr="00D636F0">
        <w:rPr>
          <w:bCs/>
        </w:rPr>
        <w:t xml:space="preserve"> the following spending priorities:</w:t>
      </w:r>
    </w:p>
    <w:p w14:paraId="0CDC2CE2" w14:textId="77777777" w:rsidR="00D91AC2" w:rsidRPr="00922351" w:rsidRDefault="00D91AC2" w:rsidP="00D91AC2">
      <w:pPr>
        <w:numPr>
          <w:ilvl w:val="0"/>
          <w:numId w:val="5"/>
        </w:numPr>
        <w:autoSpaceDE w:val="0"/>
        <w:autoSpaceDN w:val="0"/>
        <w:adjustRightInd w:val="0"/>
        <w:spacing w:line="360" w:lineRule="auto"/>
        <w:ind w:left="1080" w:hanging="371"/>
        <w:jc w:val="both"/>
        <w:rPr>
          <w:lang w:val="en-US" w:eastAsia="en-US"/>
        </w:rPr>
      </w:pPr>
      <w:r w:rsidRPr="00547705">
        <w:rPr>
          <w:lang w:val="en-US" w:eastAsia="en-US"/>
        </w:rPr>
        <w:t>The</w:t>
      </w:r>
      <w:r w:rsidRPr="00922351">
        <w:rPr>
          <w:lang w:val="en-US" w:eastAsia="en-US"/>
        </w:rPr>
        <w:t xml:space="preserve"> operationalizat</w:t>
      </w:r>
      <w:r>
        <w:rPr>
          <w:lang w:val="en-US" w:eastAsia="en-US"/>
        </w:rPr>
        <w:t xml:space="preserve">ion of the Superior Courts Act is </w:t>
      </w:r>
      <w:r w:rsidRPr="00922351">
        <w:rPr>
          <w:lang w:val="en-US" w:eastAsia="en-US"/>
        </w:rPr>
        <w:t xml:space="preserve">prioritised over the medium term. </w:t>
      </w:r>
      <w:r>
        <w:rPr>
          <w:lang w:val="en-US" w:eastAsia="en-US"/>
        </w:rPr>
        <w:t xml:space="preserve">Additional amounts went to </w:t>
      </w:r>
      <w:r w:rsidRPr="00922351">
        <w:rPr>
          <w:lang w:val="en-US" w:eastAsia="en-US"/>
        </w:rPr>
        <w:t xml:space="preserve">the Judicial Support and Court Administration programme for additional capacity in the Judge Presidents’ offices to co-ordinate judicial functions and to ensure that judicial norms and standards are implemented, monitored and reported on. </w:t>
      </w:r>
    </w:p>
    <w:p w14:paraId="75B28149" w14:textId="77777777" w:rsidR="00D91AC2" w:rsidRDefault="00D91AC2" w:rsidP="00D91AC2">
      <w:pPr>
        <w:numPr>
          <w:ilvl w:val="0"/>
          <w:numId w:val="5"/>
        </w:numPr>
        <w:autoSpaceDE w:val="0"/>
        <w:autoSpaceDN w:val="0"/>
        <w:adjustRightInd w:val="0"/>
        <w:spacing w:line="360" w:lineRule="auto"/>
        <w:ind w:left="1080" w:hanging="371"/>
        <w:jc w:val="both"/>
        <w:rPr>
          <w:lang w:val="en-US"/>
        </w:rPr>
      </w:pPr>
      <w:r>
        <w:rPr>
          <w:lang w:val="en-US" w:eastAsia="en-US"/>
        </w:rPr>
        <w:t xml:space="preserve">The OCJ also received additional funding of </w:t>
      </w:r>
      <w:r w:rsidRPr="007868D0">
        <w:rPr>
          <w:lang w:val="en-US" w:eastAsia="en-US"/>
        </w:rPr>
        <w:t>R2 million in 2018/19 to facilitate</w:t>
      </w:r>
      <w:r w:rsidRPr="007868D0">
        <w:rPr>
          <w:lang w:val="en-US"/>
        </w:rPr>
        <w:t xml:space="preserve"> the appointment and training of judicial officers. </w:t>
      </w:r>
    </w:p>
    <w:p w14:paraId="5C16CDA5" w14:textId="77777777" w:rsidR="00D91AC2" w:rsidRPr="00D91AC2" w:rsidRDefault="00D91AC2" w:rsidP="00D91AC2">
      <w:pPr>
        <w:pStyle w:val="ListParagraph"/>
        <w:autoSpaceDE w:val="0"/>
        <w:autoSpaceDN w:val="0"/>
        <w:adjustRightInd w:val="0"/>
        <w:spacing w:line="360" w:lineRule="auto"/>
        <w:jc w:val="both"/>
        <w:rPr>
          <w:lang w:val="en-ZA" w:eastAsia="en-ZA"/>
        </w:rPr>
      </w:pPr>
    </w:p>
    <w:p w14:paraId="71DC2428" w14:textId="67E4C1D1" w:rsidR="00730696" w:rsidRPr="00730696" w:rsidRDefault="00730696" w:rsidP="007429F2">
      <w:pPr>
        <w:pStyle w:val="ListParagraph"/>
        <w:numPr>
          <w:ilvl w:val="2"/>
          <w:numId w:val="23"/>
        </w:numPr>
        <w:autoSpaceDE w:val="0"/>
        <w:autoSpaceDN w:val="0"/>
        <w:adjustRightInd w:val="0"/>
        <w:spacing w:line="360" w:lineRule="auto"/>
        <w:jc w:val="both"/>
        <w:rPr>
          <w:lang w:val="en-ZA" w:eastAsia="en-ZA"/>
        </w:rPr>
      </w:pPr>
      <w:r w:rsidRPr="0078546E">
        <w:t xml:space="preserve">The </w:t>
      </w:r>
      <w:r w:rsidRPr="0078546E">
        <w:rPr>
          <w:lang w:val="en-US" w:eastAsia="en-US"/>
        </w:rPr>
        <w:t>total allocation to programmes in 2018/19 was R1.</w:t>
      </w:r>
      <w:r w:rsidR="007F6B38" w:rsidRPr="0078546E">
        <w:rPr>
          <w:lang w:val="en-US" w:eastAsia="en-US"/>
        </w:rPr>
        <w:t>1</w:t>
      </w:r>
      <w:r w:rsidRPr="0078546E">
        <w:rPr>
          <w:lang w:val="en-US" w:eastAsia="en-US"/>
        </w:rPr>
        <w:t xml:space="preserve"> billion, compared with R1.0 billion in</w:t>
      </w:r>
      <w:r w:rsidRPr="00730696">
        <w:rPr>
          <w:lang w:val="en-US" w:eastAsia="en-US"/>
        </w:rPr>
        <w:t xml:space="preserve"> 2017/18. A breakdown of </w:t>
      </w:r>
      <w:r>
        <w:rPr>
          <w:lang w:val="en-US" w:eastAsia="en-US"/>
        </w:rPr>
        <w:t xml:space="preserve">the </w:t>
      </w:r>
      <w:r w:rsidRPr="00730696">
        <w:rPr>
          <w:lang w:val="en-US"/>
        </w:rPr>
        <w:t>a</w:t>
      </w:r>
      <w:r w:rsidRPr="00730696">
        <w:rPr>
          <w:lang w:val="en-ZA" w:eastAsia="en-ZA"/>
        </w:rPr>
        <w:t xml:space="preserve">llocation to programmes in 2018/19 </w:t>
      </w:r>
      <w:r w:rsidR="00845397">
        <w:rPr>
          <w:lang w:val="en-ZA" w:eastAsia="en-ZA"/>
        </w:rPr>
        <w:t>is</w:t>
      </w:r>
      <w:r w:rsidRPr="00730696">
        <w:rPr>
          <w:lang w:val="en-ZA" w:eastAsia="en-ZA"/>
        </w:rPr>
        <w:t xml:space="preserve"> as follows: </w:t>
      </w:r>
    </w:p>
    <w:p w14:paraId="2563FDFB" w14:textId="77777777" w:rsidR="00730696" w:rsidRPr="00D07F43" w:rsidRDefault="00845397" w:rsidP="007429F2">
      <w:pPr>
        <w:numPr>
          <w:ilvl w:val="0"/>
          <w:numId w:val="5"/>
        </w:numPr>
        <w:autoSpaceDE w:val="0"/>
        <w:autoSpaceDN w:val="0"/>
        <w:adjustRightInd w:val="0"/>
        <w:spacing w:line="360" w:lineRule="auto"/>
        <w:ind w:left="1080" w:hanging="371"/>
        <w:jc w:val="both"/>
        <w:rPr>
          <w:lang w:val="en-US" w:eastAsia="en-US"/>
        </w:rPr>
      </w:pPr>
      <w:r>
        <w:rPr>
          <w:lang w:val="en-US" w:eastAsia="en-US"/>
        </w:rPr>
        <w:t xml:space="preserve">Administration - </w:t>
      </w:r>
      <w:r w:rsidR="00730696" w:rsidRPr="00D07F43">
        <w:rPr>
          <w:lang w:val="en-US" w:eastAsia="en-US"/>
        </w:rPr>
        <w:t xml:space="preserve">The allocation increased </w:t>
      </w:r>
      <w:r w:rsidR="00730696">
        <w:rPr>
          <w:lang w:val="en-US" w:eastAsia="en-US"/>
        </w:rPr>
        <w:t xml:space="preserve">from </w:t>
      </w:r>
      <w:r w:rsidR="00730696" w:rsidRPr="00D07F43">
        <w:rPr>
          <w:lang w:val="en-US" w:eastAsia="en-US"/>
        </w:rPr>
        <w:t>R177</w:t>
      </w:r>
      <w:r w:rsidR="00730696">
        <w:rPr>
          <w:lang w:val="en-US" w:eastAsia="en-US"/>
        </w:rPr>
        <w:t>.4</w:t>
      </w:r>
      <w:r w:rsidR="00730696" w:rsidRPr="00D07F43">
        <w:rPr>
          <w:lang w:val="en-US" w:eastAsia="en-US"/>
        </w:rPr>
        <w:t xml:space="preserve"> million in 2017/18 to R</w:t>
      </w:r>
      <w:r>
        <w:t xml:space="preserve">223.8 million in 2018/19. The </w:t>
      </w:r>
      <w:r w:rsidR="00730696" w:rsidRPr="00D07F43">
        <w:rPr>
          <w:lang w:val="en-US" w:eastAsia="en-US"/>
        </w:rPr>
        <w:t xml:space="preserve">spending focus for this programme was on capacitating the OCJ by reducing the vacancy rate and by implementing the ICT Master Systems Plan to ensure effective support to the Judiciary and the courts. </w:t>
      </w:r>
    </w:p>
    <w:p w14:paraId="08134BF2" w14:textId="77777777" w:rsidR="00730696" w:rsidRPr="00922351" w:rsidRDefault="00730696" w:rsidP="007429F2">
      <w:pPr>
        <w:numPr>
          <w:ilvl w:val="0"/>
          <w:numId w:val="5"/>
        </w:numPr>
        <w:autoSpaceDE w:val="0"/>
        <w:autoSpaceDN w:val="0"/>
        <w:adjustRightInd w:val="0"/>
        <w:spacing w:line="360" w:lineRule="auto"/>
        <w:ind w:left="1080" w:hanging="371"/>
        <w:jc w:val="both"/>
        <w:rPr>
          <w:lang w:val="en-US" w:eastAsia="en-US"/>
        </w:rPr>
      </w:pPr>
      <w:r w:rsidRPr="00922351">
        <w:rPr>
          <w:lang w:val="en-US" w:eastAsia="en-US"/>
        </w:rPr>
        <w:t>Superior Court Services</w:t>
      </w:r>
      <w:r w:rsidR="00845397">
        <w:rPr>
          <w:lang w:val="en-US" w:eastAsia="en-US"/>
        </w:rPr>
        <w:t xml:space="preserve"> – The allocation </w:t>
      </w:r>
      <w:r w:rsidR="00845397" w:rsidRPr="00922351">
        <w:rPr>
          <w:lang w:val="en-US" w:eastAsia="en-US"/>
        </w:rPr>
        <w:t>increased</w:t>
      </w:r>
      <w:r w:rsidRPr="00922351">
        <w:rPr>
          <w:lang w:val="en-US" w:eastAsia="en-US"/>
        </w:rPr>
        <w:t xml:space="preserve"> from R760</w:t>
      </w:r>
      <w:r>
        <w:rPr>
          <w:lang w:val="en-US" w:eastAsia="en-US"/>
        </w:rPr>
        <w:t>.3</w:t>
      </w:r>
      <w:r w:rsidRPr="00922351">
        <w:rPr>
          <w:lang w:val="en-US" w:eastAsia="en-US"/>
        </w:rPr>
        <w:t xml:space="preserve"> million in 2017/18</w:t>
      </w:r>
      <w:r>
        <w:rPr>
          <w:lang w:val="en-US" w:eastAsia="en-US"/>
        </w:rPr>
        <w:t xml:space="preserve"> to R</w:t>
      </w:r>
      <w:r w:rsidRPr="00547705">
        <w:rPr>
          <w:lang w:val="en-US" w:eastAsia="en-US"/>
        </w:rPr>
        <w:t>8</w:t>
      </w:r>
      <w:r>
        <w:rPr>
          <w:lang w:val="en-US" w:eastAsia="en-US"/>
        </w:rPr>
        <w:t>24.8</w:t>
      </w:r>
      <w:r w:rsidRPr="00547705">
        <w:rPr>
          <w:lang w:val="en-US" w:eastAsia="en-US"/>
        </w:rPr>
        <w:t xml:space="preserve"> million</w:t>
      </w:r>
      <w:r>
        <w:rPr>
          <w:lang w:val="en-US" w:eastAsia="en-US"/>
        </w:rPr>
        <w:t xml:space="preserve"> in 2018/19</w:t>
      </w:r>
      <w:r w:rsidRPr="00547705">
        <w:rPr>
          <w:lang w:val="en-US" w:eastAsia="en-US"/>
        </w:rPr>
        <w:t xml:space="preserve">. </w:t>
      </w:r>
      <w:r w:rsidRPr="00922351">
        <w:rPr>
          <w:lang w:val="en-US" w:eastAsia="en-US"/>
        </w:rPr>
        <w:t xml:space="preserve">The spending focus </w:t>
      </w:r>
      <w:r>
        <w:rPr>
          <w:lang w:val="en-US" w:eastAsia="en-US"/>
        </w:rPr>
        <w:t xml:space="preserve">in 2018/19 </w:t>
      </w:r>
      <w:r w:rsidRPr="00922351">
        <w:rPr>
          <w:lang w:val="en-US" w:eastAsia="en-US"/>
        </w:rPr>
        <w:t>remain</w:t>
      </w:r>
      <w:r>
        <w:rPr>
          <w:lang w:val="en-US" w:eastAsia="en-US"/>
        </w:rPr>
        <w:t>ed</w:t>
      </w:r>
      <w:r w:rsidRPr="00922351">
        <w:rPr>
          <w:lang w:val="en-US" w:eastAsia="en-US"/>
        </w:rPr>
        <w:t xml:space="preserve"> that of improving the court system through effective and efficient case-flow management. </w:t>
      </w:r>
    </w:p>
    <w:p w14:paraId="67553A82" w14:textId="77777777" w:rsidR="00730696" w:rsidRDefault="00730696" w:rsidP="007429F2">
      <w:pPr>
        <w:numPr>
          <w:ilvl w:val="0"/>
          <w:numId w:val="5"/>
        </w:numPr>
        <w:autoSpaceDE w:val="0"/>
        <w:autoSpaceDN w:val="0"/>
        <w:adjustRightInd w:val="0"/>
        <w:spacing w:line="360" w:lineRule="auto"/>
        <w:ind w:left="1080" w:hanging="371"/>
        <w:jc w:val="both"/>
        <w:rPr>
          <w:lang w:val="en-US" w:eastAsia="en-US"/>
        </w:rPr>
      </w:pPr>
      <w:r w:rsidRPr="007868D0">
        <w:rPr>
          <w:lang w:val="en-US" w:eastAsia="en-US"/>
        </w:rPr>
        <w:t>Judicial Educatio</w:t>
      </w:r>
      <w:r>
        <w:rPr>
          <w:lang w:val="en-US" w:eastAsia="en-US"/>
        </w:rPr>
        <w:t xml:space="preserve">n and Support Services </w:t>
      </w:r>
      <w:r w:rsidR="00845397">
        <w:rPr>
          <w:lang w:val="en-US" w:eastAsia="en-US"/>
        </w:rPr>
        <w:t xml:space="preserve">– The allocation </w:t>
      </w:r>
      <w:r>
        <w:rPr>
          <w:lang w:val="en-US" w:eastAsia="en-US"/>
        </w:rPr>
        <w:t>decreased from R81.6</w:t>
      </w:r>
      <w:r w:rsidRPr="007868D0">
        <w:rPr>
          <w:lang w:val="en-US" w:eastAsia="en-US"/>
        </w:rPr>
        <w:t xml:space="preserve"> million in 2017/18</w:t>
      </w:r>
      <w:r>
        <w:rPr>
          <w:lang w:val="en-US" w:eastAsia="en-US"/>
        </w:rPr>
        <w:t xml:space="preserve"> to R</w:t>
      </w:r>
      <w:r>
        <w:t xml:space="preserve">71.2 million in 2018/19. </w:t>
      </w:r>
      <w:r>
        <w:rPr>
          <w:lang w:val="en-US" w:eastAsia="en-US"/>
        </w:rPr>
        <w:t>The spending focus for 2018/19 was</w:t>
      </w:r>
      <w:r w:rsidRPr="007868D0">
        <w:rPr>
          <w:lang w:val="en-US" w:eastAsia="en-US"/>
        </w:rPr>
        <w:t xml:space="preserve"> on capacitating the South African Judicial Education Institute in support of the NDP and </w:t>
      </w:r>
      <w:r>
        <w:rPr>
          <w:lang w:val="en-US" w:eastAsia="en-US"/>
        </w:rPr>
        <w:t xml:space="preserve">on </w:t>
      </w:r>
      <w:r w:rsidRPr="007868D0">
        <w:rPr>
          <w:lang w:val="en-US" w:eastAsia="en-US"/>
        </w:rPr>
        <w:t>ensuring that the Institute deliver</w:t>
      </w:r>
      <w:r>
        <w:rPr>
          <w:lang w:val="en-US" w:eastAsia="en-US"/>
        </w:rPr>
        <w:t>ed</w:t>
      </w:r>
      <w:r w:rsidRPr="007868D0">
        <w:rPr>
          <w:lang w:val="en-US" w:eastAsia="en-US"/>
        </w:rPr>
        <w:t xml:space="preserve"> on its mandate. </w:t>
      </w:r>
    </w:p>
    <w:p w14:paraId="4BB284E3" w14:textId="77777777" w:rsidR="00730696" w:rsidRPr="007868D0" w:rsidRDefault="00730696" w:rsidP="007429F2">
      <w:pPr>
        <w:pStyle w:val="ListParagraph"/>
        <w:autoSpaceDE w:val="0"/>
        <w:autoSpaceDN w:val="0"/>
        <w:adjustRightInd w:val="0"/>
        <w:spacing w:line="360" w:lineRule="auto"/>
        <w:jc w:val="both"/>
        <w:rPr>
          <w:lang w:val="en-US"/>
        </w:rPr>
      </w:pPr>
    </w:p>
    <w:p w14:paraId="1AA0D561" w14:textId="4DEC6BE8" w:rsidR="000356CF" w:rsidRPr="00D91AC2" w:rsidRDefault="006D2A51" w:rsidP="00D91AC2">
      <w:pPr>
        <w:pStyle w:val="ListParagraph"/>
        <w:numPr>
          <w:ilvl w:val="2"/>
          <w:numId w:val="23"/>
        </w:numPr>
        <w:autoSpaceDE w:val="0"/>
        <w:autoSpaceDN w:val="0"/>
        <w:adjustRightInd w:val="0"/>
        <w:spacing w:line="360" w:lineRule="auto"/>
        <w:jc w:val="both"/>
      </w:pPr>
      <w:r w:rsidRPr="00D91AC2">
        <w:t>In 2018/19, the OCJ spent R</w:t>
      </w:r>
      <w:r w:rsidR="000356CF" w:rsidRPr="00D91AC2">
        <w:t>2</w:t>
      </w:r>
      <w:r w:rsidR="00730696" w:rsidRPr="00D91AC2">
        <w:t>.</w:t>
      </w:r>
      <w:r w:rsidR="000356CF" w:rsidRPr="00D91AC2">
        <w:t>1</w:t>
      </w:r>
      <w:r w:rsidR="007F6B38">
        <w:t xml:space="preserve"> billion</w:t>
      </w:r>
      <w:r w:rsidR="000356CF" w:rsidRPr="00D91AC2">
        <w:t xml:space="preserve"> or 98.7% of the final allocation. </w:t>
      </w:r>
      <w:r w:rsidR="00730696" w:rsidRPr="00D91AC2">
        <w:t>Total underspending for the Vote was R27.6 million.</w:t>
      </w:r>
    </w:p>
    <w:p w14:paraId="2726A6B5" w14:textId="77777777" w:rsidR="000356CF" w:rsidRPr="00D91AC2" w:rsidRDefault="000356CF" w:rsidP="007429F2">
      <w:pPr>
        <w:pStyle w:val="ListParagraph"/>
        <w:spacing w:line="360" w:lineRule="auto"/>
      </w:pPr>
    </w:p>
    <w:p w14:paraId="10D637A3" w14:textId="01F47C3A" w:rsidR="00A51FE5" w:rsidRPr="00D91AC2" w:rsidRDefault="00730696" w:rsidP="007429F2">
      <w:pPr>
        <w:pStyle w:val="ListParagraph"/>
        <w:numPr>
          <w:ilvl w:val="2"/>
          <w:numId w:val="23"/>
        </w:numPr>
        <w:autoSpaceDE w:val="0"/>
        <w:autoSpaceDN w:val="0"/>
        <w:adjustRightInd w:val="0"/>
        <w:spacing w:line="360" w:lineRule="auto"/>
        <w:contextualSpacing/>
        <w:jc w:val="both"/>
        <w:rPr>
          <w:lang w:val="en-US" w:eastAsia="en-US"/>
        </w:rPr>
      </w:pPr>
      <w:r w:rsidRPr="00D91AC2">
        <w:t xml:space="preserve">At programme level, </w:t>
      </w:r>
      <w:r w:rsidR="000356CF" w:rsidRPr="00D91AC2">
        <w:t xml:space="preserve">in 2018/19, </w:t>
      </w:r>
      <w:r w:rsidRPr="00D91AC2">
        <w:t>the OCJ spent</w:t>
      </w:r>
      <w:r w:rsidR="000356CF" w:rsidRPr="00D91AC2">
        <w:t xml:space="preserve"> R1</w:t>
      </w:r>
      <w:r w:rsidRPr="00D91AC2">
        <w:t>.</w:t>
      </w:r>
      <w:r w:rsidR="000356CF" w:rsidRPr="00D91AC2">
        <w:t>09</w:t>
      </w:r>
      <w:r w:rsidRPr="00D91AC2">
        <w:t xml:space="preserve"> billion</w:t>
      </w:r>
      <w:r w:rsidR="000356CF" w:rsidRPr="00D91AC2">
        <w:t xml:space="preserve"> or R98.5% of the final appropriation of R1</w:t>
      </w:r>
      <w:r w:rsidRPr="00D91AC2">
        <w:t>.11</w:t>
      </w:r>
      <w:r w:rsidR="000356CF" w:rsidRPr="00D91AC2">
        <w:t xml:space="preserve"> billion</w:t>
      </w:r>
      <w:r w:rsidRPr="00D91AC2">
        <w:t>. U</w:t>
      </w:r>
      <w:r w:rsidR="006D2A51" w:rsidRPr="00D91AC2">
        <w:t xml:space="preserve">nderspending </w:t>
      </w:r>
      <w:r w:rsidRPr="00D91AC2">
        <w:t xml:space="preserve">at programme level was </w:t>
      </w:r>
      <w:r w:rsidR="006D2A51" w:rsidRPr="00D91AC2">
        <w:t>R2</w:t>
      </w:r>
      <w:r w:rsidRPr="00D91AC2">
        <w:t>7.7</w:t>
      </w:r>
      <w:r w:rsidR="006D2A51" w:rsidRPr="00D91AC2">
        <w:t xml:space="preserve"> million</w:t>
      </w:r>
      <w:r w:rsidRPr="00D91AC2">
        <w:t xml:space="preserve"> (compared with R21.8 million in 2017/18)</w:t>
      </w:r>
      <w:r w:rsidR="006D2A51" w:rsidRPr="00D91AC2">
        <w:t xml:space="preserve">. </w:t>
      </w:r>
      <w:r w:rsidR="00D91AC2">
        <w:t>Specifically</w:t>
      </w:r>
      <w:r w:rsidR="00A51FE5" w:rsidRPr="00D91AC2">
        <w:rPr>
          <w:lang w:val="en-US" w:eastAsia="en-US"/>
        </w:rPr>
        <w:t>:</w:t>
      </w:r>
    </w:p>
    <w:p w14:paraId="05211F71" w14:textId="67029CAB" w:rsidR="00A51FE5" w:rsidRPr="0078546E" w:rsidRDefault="00A51FE5" w:rsidP="007429F2">
      <w:pPr>
        <w:numPr>
          <w:ilvl w:val="0"/>
          <w:numId w:val="5"/>
        </w:numPr>
        <w:autoSpaceDE w:val="0"/>
        <w:autoSpaceDN w:val="0"/>
        <w:adjustRightInd w:val="0"/>
        <w:spacing w:line="360" w:lineRule="auto"/>
        <w:ind w:left="1080" w:hanging="371"/>
        <w:jc w:val="both"/>
        <w:rPr>
          <w:lang w:val="en-US" w:eastAsia="en-US"/>
        </w:rPr>
      </w:pPr>
      <w:r w:rsidRPr="00D91AC2">
        <w:rPr>
          <w:lang w:val="en-US" w:eastAsia="en-US"/>
        </w:rPr>
        <w:t>Administration</w:t>
      </w:r>
      <w:r>
        <w:rPr>
          <w:lang w:val="en-US" w:eastAsia="en-US"/>
        </w:rPr>
        <w:t xml:space="preserve"> spent </w:t>
      </w:r>
      <w:r w:rsidR="009B5DC2">
        <w:rPr>
          <w:lang w:val="en-US" w:eastAsia="en-US"/>
        </w:rPr>
        <w:t xml:space="preserve">R222.1 million </w:t>
      </w:r>
      <w:r>
        <w:rPr>
          <w:lang w:val="en-US" w:eastAsia="en-US"/>
        </w:rPr>
        <w:t>of a final allocation of R</w:t>
      </w:r>
      <w:r w:rsidR="009B5DC2">
        <w:rPr>
          <w:lang w:val="en-US" w:eastAsia="en-US"/>
        </w:rPr>
        <w:t>223.8</w:t>
      </w:r>
      <w:r>
        <w:rPr>
          <w:lang w:val="en-US" w:eastAsia="en-US"/>
        </w:rPr>
        <w:t xml:space="preserve"> million. There was </w:t>
      </w:r>
      <w:r w:rsidRPr="0078546E">
        <w:rPr>
          <w:lang w:val="en-US" w:eastAsia="en-US"/>
        </w:rPr>
        <w:t>R</w:t>
      </w:r>
      <w:r w:rsidR="007F6B38" w:rsidRPr="0078546E">
        <w:rPr>
          <w:lang w:val="en-US" w:eastAsia="en-US"/>
        </w:rPr>
        <w:t>1</w:t>
      </w:r>
      <w:r w:rsidRPr="0078546E">
        <w:rPr>
          <w:lang w:val="en-US" w:eastAsia="en-US"/>
        </w:rPr>
        <w:t>.7 million in underspending, which related largely to the non-filling of vacancies.</w:t>
      </w:r>
    </w:p>
    <w:p w14:paraId="62BFE081" w14:textId="5EF29C55" w:rsidR="00A51FE5" w:rsidRPr="007868D0" w:rsidRDefault="00A51FE5" w:rsidP="007429F2">
      <w:pPr>
        <w:numPr>
          <w:ilvl w:val="0"/>
          <w:numId w:val="5"/>
        </w:numPr>
        <w:autoSpaceDE w:val="0"/>
        <w:autoSpaceDN w:val="0"/>
        <w:adjustRightInd w:val="0"/>
        <w:spacing w:line="360" w:lineRule="auto"/>
        <w:ind w:left="1080" w:hanging="371"/>
        <w:jc w:val="both"/>
        <w:rPr>
          <w:lang w:val="en-US" w:eastAsia="en-US"/>
        </w:rPr>
      </w:pPr>
      <w:r>
        <w:rPr>
          <w:lang w:val="en-US" w:eastAsia="en-US"/>
        </w:rPr>
        <w:t>Superior Courts Services spent R</w:t>
      </w:r>
      <w:r w:rsidR="0078546E">
        <w:rPr>
          <w:lang w:val="en-US" w:eastAsia="en-US"/>
        </w:rPr>
        <w:t>801.5</w:t>
      </w:r>
      <w:r w:rsidRPr="007868D0">
        <w:rPr>
          <w:lang w:val="en-US" w:eastAsia="en-US"/>
        </w:rPr>
        <w:t xml:space="preserve"> million</w:t>
      </w:r>
      <w:r>
        <w:rPr>
          <w:lang w:val="en-US" w:eastAsia="en-US"/>
        </w:rPr>
        <w:t xml:space="preserve"> of a final allocation of R</w:t>
      </w:r>
      <w:r w:rsidR="009B5DC2">
        <w:rPr>
          <w:lang w:val="en-US" w:eastAsia="en-US"/>
        </w:rPr>
        <w:t>8</w:t>
      </w:r>
      <w:r w:rsidR="00040B5F">
        <w:rPr>
          <w:lang w:val="en-US" w:eastAsia="en-US"/>
        </w:rPr>
        <w:t>24.8</w:t>
      </w:r>
      <w:r w:rsidRPr="007868D0">
        <w:rPr>
          <w:lang w:val="en-US" w:eastAsia="en-US"/>
        </w:rPr>
        <w:t xml:space="preserve"> million.</w:t>
      </w:r>
      <w:r>
        <w:rPr>
          <w:lang w:val="en-US" w:eastAsia="en-US"/>
        </w:rPr>
        <w:t xml:space="preserve"> There was underspending of R</w:t>
      </w:r>
      <w:r w:rsidR="007F6B38">
        <w:rPr>
          <w:lang w:val="en-US" w:eastAsia="en-US"/>
        </w:rPr>
        <w:t xml:space="preserve">23.2 </w:t>
      </w:r>
      <w:r w:rsidRPr="007868D0">
        <w:rPr>
          <w:lang w:val="en-US" w:eastAsia="en-US"/>
        </w:rPr>
        <w:t>million</w:t>
      </w:r>
      <w:r>
        <w:rPr>
          <w:lang w:val="en-US" w:eastAsia="en-US"/>
        </w:rPr>
        <w:t>, which again related largely to the non-filling of vacancies.</w:t>
      </w:r>
    </w:p>
    <w:p w14:paraId="7614A660" w14:textId="639DAC18" w:rsidR="00A51FE5" w:rsidRPr="007868D0" w:rsidRDefault="00A51FE5" w:rsidP="007429F2">
      <w:pPr>
        <w:numPr>
          <w:ilvl w:val="0"/>
          <w:numId w:val="5"/>
        </w:numPr>
        <w:autoSpaceDE w:val="0"/>
        <w:autoSpaceDN w:val="0"/>
        <w:adjustRightInd w:val="0"/>
        <w:spacing w:line="360" w:lineRule="auto"/>
        <w:ind w:left="1080" w:hanging="371"/>
        <w:jc w:val="both"/>
        <w:rPr>
          <w:lang w:val="en-US" w:eastAsia="en-US"/>
        </w:rPr>
      </w:pPr>
      <w:r w:rsidRPr="007868D0">
        <w:rPr>
          <w:lang w:val="en-US" w:eastAsia="en-US"/>
        </w:rPr>
        <w:t>Judicial Ed</w:t>
      </w:r>
      <w:r>
        <w:rPr>
          <w:lang w:val="en-US" w:eastAsia="en-US"/>
        </w:rPr>
        <w:t>ucation and Research spent R</w:t>
      </w:r>
      <w:r w:rsidR="00040B5F">
        <w:rPr>
          <w:lang w:val="en-US" w:eastAsia="en-US"/>
        </w:rPr>
        <w:t>68.4</w:t>
      </w:r>
      <w:r w:rsidRPr="007868D0">
        <w:rPr>
          <w:lang w:val="en-US" w:eastAsia="en-US"/>
        </w:rPr>
        <w:t xml:space="preserve"> millio</w:t>
      </w:r>
      <w:r>
        <w:rPr>
          <w:lang w:val="en-US" w:eastAsia="en-US"/>
        </w:rPr>
        <w:t>n of a final allocation of R</w:t>
      </w:r>
      <w:r w:rsidR="00040B5F">
        <w:rPr>
          <w:lang w:val="en-US" w:eastAsia="en-US"/>
        </w:rPr>
        <w:t>71.2</w:t>
      </w:r>
      <w:r w:rsidRPr="007868D0">
        <w:rPr>
          <w:lang w:val="en-US" w:eastAsia="en-US"/>
        </w:rPr>
        <w:t xml:space="preserve"> million</w:t>
      </w:r>
      <w:r>
        <w:rPr>
          <w:lang w:val="en-US" w:eastAsia="en-US"/>
        </w:rPr>
        <w:t>, with R</w:t>
      </w:r>
      <w:r w:rsidR="007F6B38">
        <w:rPr>
          <w:lang w:val="en-US" w:eastAsia="en-US"/>
        </w:rPr>
        <w:t xml:space="preserve">2.8 million </w:t>
      </w:r>
      <w:r>
        <w:rPr>
          <w:lang w:val="en-US" w:eastAsia="en-US"/>
        </w:rPr>
        <w:t>unspent.</w:t>
      </w:r>
    </w:p>
    <w:p w14:paraId="113FB833" w14:textId="611A87E1" w:rsidR="00A51FE5" w:rsidRPr="007868D0" w:rsidRDefault="00A51FE5" w:rsidP="007429F2">
      <w:pPr>
        <w:numPr>
          <w:ilvl w:val="0"/>
          <w:numId w:val="5"/>
        </w:numPr>
        <w:autoSpaceDE w:val="0"/>
        <w:autoSpaceDN w:val="0"/>
        <w:adjustRightInd w:val="0"/>
        <w:spacing w:line="360" w:lineRule="auto"/>
        <w:ind w:left="1080" w:hanging="371"/>
        <w:jc w:val="both"/>
        <w:rPr>
          <w:lang w:val="en-US" w:eastAsia="en-US"/>
        </w:rPr>
      </w:pPr>
      <w:r>
        <w:rPr>
          <w:lang w:val="en-US" w:eastAsia="en-US"/>
        </w:rPr>
        <w:t>Under the Direct Charge</w:t>
      </w:r>
      <w:r w:rsidRPr="007868D0">
        <w:rPr>
          <w:lang w:val="en-US" w:eastAsia="en-US"/>
        </w:rPr>
        <w:t>,</w:t>
      </w:r>
      <w:r>
        <w:rPr>
          <w:lang w:val="en-US" w:eastAsia="en-US"/>
        </w:rPr>
        <w:t xml:space="preserve"> R</w:t>
      </w:r>
      <w:r w:rsidR="00040B5F">
        <w:rPr>
          <w:lang w:val="en-US" w:eastAsia="en-US"/>
        </w:rPr>
        <w:t>1022.2</w:t>
      </w:r>
      <w:r>
        <w:rPr>
          <w:lang w:val="en-US" w:eastAsia="en-US"/>
        </w:rPr>
        <w:t xml:space="preserve"> million (103.3%) was spent against the</w:t>
      </w:r>
      <w:r w:rsidR="00845397">
        <w:rPr>
          <w:lang w:val="en-US" w:eastAsia="en-US"/>
        </w:rPr>
        <w:t xml:space="preserve"> final allocation of </w:t>
      </w:r>
      <w:r>
        <w:rPr>
          <w:lang w:val="en-US" w:eastAsia="en-US"/>
        </w:rPr>
        <w:t>R</w:t>
      </w:r>
      <w:r w:rsidR="00040B5F">
        <w:rPr>
          <w:lang w:val="en-US" w:eastAsia="en-US"/>
        </w:rPr>
        <w:t>022.1</w:t>
      </w:r>
      <w:r>
        <w:rPr>
          <w:lang w:val="en-US" w:eastAsia="en-US"/>
        </w:rPr>
        <w:t xml:space="preserve"> million. The overspending on the statutory allocation was R</w:t>
      </w:r>
      <w:r w:rsidR="00040B5F">
        <w:rPr>
          <w:lang w:val="en-US" w:eastAsia="en-US"/>
        </w:rPr>
        <w:t>98 000,</w:t>
      </w:r>
      <w:r>
        <w:rPr>
          <w:lang w:val="en-US" w:eastAsia="en-US"/>
        </w:rPr>
        <w:t xml:space="preserve"> which was related to the 4% increase for Judges’ salaries. However, overspending on the statutory fund does not amount to unauthorized expenditure.</w:t>
      </w:r>
    </w:p>
    <w:p w14:paraId="548A31CD" w14:textId="77777777" w:rsidR="00A51FE5" w:rsidRPr="007868D0" w:rsidRDefault="00A51FE5" w:rsidP="007429F2">
      <w:pPr>
        <w:spacing w:line="360" w:lineRule="auto"/>
        <w:contextualSpacing/>
        <w:jc w:val="both"/>
        <w:rPr>
          <w:lang w:val="en-US" w:eastAsia="en-US"/>
        </w:rPr>
      </w:pPr>
    </w:p>
    <w:p w14:paraId="54A564EE" w14:textId="77777777" w:rsidR="00583548" w:rsidRPr="00D91AC2" w:rsidRDefault="00026426" w:rsidP="00D91AC2">
      <w:pPr>
        <w:numPr>
          <w:ilvl w:val="0"/>
          <w:numId w:val="1"/>
        </w:numPr>
        <w:tabs>
          <w:tab w:val="clear" w:pos="360"/>
          <w:tab w:val="num" w:pos="709"/>
        </w:tabs>
        <w:spacing w:line="360" w:lineRule="auto"/>
        <w:ind w:left="709" w:hanging="709"/>
        <w:jc w:val="both"/>
        <w:rPr>
          <w:b/>
        </w:rPr>
      </w:pPr>
      <w:r w:rsidRPr="00D91AC2">
        <w:rPr>
          <w:b/>
        </w:rPr>
        <w:t xml:space="preserve">Expenditure </w:t>
      </w:r>
      <w:r w:rsidR="00583548" w:rsidRPr="00D91AC2">
        <w:rPr>
          <w:b/>
        </w:rPr>
        <w:t>2019 MTEF</w:t>
      </w:r>
    </w:p>
    <w:p w14:paraId="681DE808" w14:textId="77777777" w:rsidR="00583548" w:rsidRPr="0005134C" w:rsidRDefault="00583548" w:rsidP="00D91AC2">
      <w:pPr>
        <w:autoSpaceDE w:val="0"/>
        <w:autoSpaceDN w:val="0"/>
        <w:adjustRightInd w:val="0"/>
        <w:spacing w:line="360" w:lineRule="auto"/>
        <w:ind w:left="851" w:hanging="851"/>
        <w:rPr>
          <w:lang w:val="en-US" w:eastAsia="en-US"/>
        </w:rPr>
      </w:pPr>
    </w:p>
    <w:p w14:paraId="5E5B787C" w14:textId="77777777" w:rsidR="00583548" w:rsidRPr="00D91AC2" w:rsidRDefault="00583548" w:rsidP="00D91AC2">
      <w:pPr>
        <w:pStyle w:val="ListParagraph"/>
        <w:numPr>
          <w:ilvl w:val="1"/>
          <w:numId w:val="1"/>
        </w:numPr>
        <w:tabs>
          <w:tab w:val="clear" w:pos="1004"/>
          <w:tab w:val="num" w:pos="709"/>
        </w:tabs>
        <w:autoSpaceDE w:val="0"/>
        <w:autoSpaceDN w:val="0"/>
        <w:adjustRightInd w:val="0"/>
        <w:spacing w:line="360" w:lineRule="auto"/>
        <w:ind w:left="709" w:hanging="709"/>
        <w:rPr>
          <w:lang w:val="en-US" w:eastAsia="en-US"/>
        </w:rPr>
      </w:pPr>
      <w:r w:rsidRPr="00D91AC2">
        <w:rPr>
          <w:lang w:val="en-US" w:eastAsia="en-US"/>
        </w:rPr>
        <w:t>The OCJ is allocated an annual budget of R2.3 billion</w:t>
      </w:r>
      <w:r w:rsidR="00D07F43" w:rsidRPr="00D91AC2">
        <w:rPr>
          <w:lang w:val="en-US" w:eastAsia="en-US"/>
        </w:rPr>
        <w:t xml:space="preserve"> in 2019/20</w:t>
      </w:r>
      <w:r w:rsidRPr="00D91AC2">
        <w:rPr>
          <w:lang w:val="en-US" w:eastAsia="en-US"/>
        </w:rPr>
        <w:t xml:space="preserve">, compared with R2.1 billion for 2018/19 and R2.0 billion in 2017/18 (adjusted appropriation). The budget is expected to increase to R2.46 billion in 2020/21 and R2.6 billion in 2021/22. </w:t>
      </w:r>
    </w:p>
    <w:p w14:paraId="762A175E" w14:textId="77777777" w:rsidR="00583548" w:rsidRPr="0005134C" w:rsidRDefault="00583548" w:rsidP="007429F2">
      <w:pPr>
        <w:autoSpaceDE w:val="0"/>
        <w:autoSpaceDN w:val="0"/>
        <w:adjustRightInd w:val="0"/>
        <w:spacing w:line="360" w:lineRule="auto"/>
        <w:ind w:left="720"/>
        <w:rPr>
          <w:lang w:val="en-US" w:eastAsia="en-US"/>
        </w:rPr>
      </w:pPr>
    </w:p>
    <w:p w14:paraId="47CF67AF" w14:textId="676204A4" w:rsidR="00583548" w:rsidRPr="0005134C" w:rsidRDefault="00583548" w:rsidP="007429F2">
      <w:pPr>
        <w:spacing w:line="360" w:lineRule="auto"/>
        <w:ind w:left="375"/>
        <w:rPr>
          <w:b/>
        </w:rPr>
      </w:pPr>
      <w:r w:rsidRPr="0005134C">
        <w:rPr>
          <w:b/>
        </w:rPr>
        <w:t>Tab</w:t>
      </w:r>
      <w:r w:rsidR="0078546E">
        <w:rPr>
          <w:b/>
        </w:rPr>
        <w:t>le 3</w:t>
      </w:r>
      <w:r w:rsidRPr="0005134C">
        <w:rPr>
          <w:b/>
        </w:rPr>
        <w:t>: Budget allocation for the Office of the Chief Justice per programme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2090"/>
        <w:gridCol w:w="1897"/>
        <w:gridCol w:w="1899"/>
        <w:gridCol w:w="1899"/>
      </w:tblGrid>
      <w:tr w:rsidR="00583548" w:rsidRPr="0005134C" w14:paraId="2F1CE8B9" w14:textId="77777777" w:rsidTr="00026426">
        <w:trPr>
          <w:tblHeader/>
        </w:trPr>
        <w:tc>
          <w:tcPr>
            <w:tcW w:w="1093" w:type="pct"/>
            <w:vMerge w:val="restart"/>
            <w:shd w:val="clear" w:color="auto" w:fill="D9D9D9"/>
          </w:tcPr>
          <w:p w14:paraId="7AC98C32" w14:textId="77777777" w:rsidR="00583548" w:rsidRPr="0005134C" w:rsidRDefault="00583548" w:rsidP="007429F2">
            <w:pPr>
              <w:pStyle w:val="NormalWeb"/>
              <w:spacing w:before="0" w:after="0" w:line="360" w:lineRule="auto"/>
              <w:jc w:val="center"/>
              <w:rPr>
                <w:lang w:val="en-US" w:eastAsia="en-US"/>
              </w:rPr>
            </w:pPr>
            <w:r w:rsidRPr="0005134C">
              <w:rPr>
                <w:b/>
                <w:bCs/>
                <w:color w:val="000000"/>
                <w:kern w:val="24"/>
              </w:rPr>
              <w:t>Programme</w:t>
            </w:r>
          </w:p>
        </w:tc>
        <w:tc>
          <w:tcPr>
            <w:tcW w:w="1049" w:type="pct"/>
            <w:vMerge w:val="restart"/>
            <w:shd w:val="clear" w:color="auto" w:fill="D9D9D9"/>
          </w:tcPr>
          <w:p w14:paraId="21146263" w14:textId="77777777" w:rsidR="00583548" w:rsidRPr="0005134C" w:rsidRDefault="00B970CA" w:rsidP="007429F2">
            <w:pPr>
              <w:spacing w:line="360" w:lineRule="auto"/>
              <w:jc w:val="center"/>
              <w:rPr>
                <w:lang w:val="en-US"/>
              </w:rPr>
            </w:pPr>
            <w:r>
              <w:rPr>
                <w:b/>
                <w:bCs/>
                <w:lang w:val="en-US"/>
              </w:rPr>
              <w:t xml:space="preserve">Final </w:t>
            </w:r>
            <w:r w:rsidR="00583548" w:rsidRPr="0005134C">
              <w:rPr>
                <w:b/>
                <w:bCs/>
                <w:lang w:val="en-US"/>
              </w:rPr>
              <w:t>Appropriation 2018/19</w:t>
            </w:r>
          </w:p>
        </w:tc>
        <w:tc>
          <w:tcPr>
            <w:tcW w:w="2858" w:type="pct"/>
            <w:gridSpan w:val="3"/>
            <w:shd w:val="clear" w:color="auto" w:fill="D9D9D9"/>
          </w:tcPr>
          <w:p w14:paraId="260F2C22" w14:textId="77777777" w:rsidR="00583548" w:rsidRPr="0005134C" w:rsidRDefault="00583548" w:rsidP="007429F2">
            <w:pPr>
              <w:spacing w:line="360" w:lineRule="auto"/>
              <w:jc w:val="center"/>
            </w:pPr>
            <w:r w:rsidRPr="0005134C">
              <w:rPr>
                <w:b/>
                <w:bCs/>
                <w:lang w:val="en-US"/>
              </w:rPr>
              <w:t>MTEF</w:t>
            </w:r>
          </w:p>
        </w:tc>
      </w:tr>
      <w:tr w:rsidR="00583548" w:rsidRPr="0005134C" w14:paraId="38294C31" w14:textId="77777777" w:rsidTr="00026426">
        <w:trPr>
          <w:tblHeader/>
        </w:trPr>
        <w:tc>
          <w:tcPr>
            <w:tcW w:w="1093" w:type="pct"/>
            <w:vMerge/>
            <w:shd w:val="clear" w:color="auto" w:fill="D9D9D9"/>
          </w:tcPr>
          <w:p w14:paraId="0318C8EB" w14:textId="77777777" w:rsidR="00583548" w:rsidRPr="0005134C" w:rsidRDefault="00583548" w:rsidP="007429F2">
            <w:pPr>
              <w:pStyle w:val="NormalWeb"/>
              <w:spacing w:before="0" w:after="0" w:line="360" w:lineRule="auto"/>
              <w:jc w:val="center"/>
              <w:rPr>
                <w:b/>
                <w:bCs/>
                <w:color w:val="000000"/>
                <w:kern w:val="24"/>
              </w:rPr>
            </w:pPr>
          </w:p>
        </w:tc>
        <w:tc>
          <w:tcPr>
            <w:tcW w:w="1049" w:type="pct"/>
            <w:vMerge/>
            <w:shd w:val="clear" w:color="auto" w:fill="D9D9D9"/>
          </w:tcPr>
          <w:p w14:paraId="68E08C53" w14:textId="77777777" w:rsidR="00583548" w:rsidRPr="0005134C" w:rsidRDefault="00583548" w:rsidP="007429F2">
            <w:pPr>
              <w:spacing w:line="360" w:lineRule="auto"/>
              <w:jc w:val="center"/>
            </w:pPr>
          </w:p>
        </w:tc>
        <w:tc>
          <w:tcPr>
            <w:tcW w:w="952" w:type="pct"/>
            <w:shd w:val="clear" w:color="auto" w:fill="D9D9D9"/>
          </w:tcPr>
          <w:p w14:paraId="09744BC3" w14:textId="77777777" w:rsidR="00583548" w:rsidRPr="0005134C" w:rsidRDefault="00583548" w:rsidP="007429F2">
            <w:pPr>
              <w:pStyle w:val="NormalWeb"/>
              <w:spacing w:before="0" w:after="0" w:line="360" w:lineRule="auto"/>
              <w:jc w:val="center"/>
              <w:rPr>
                <w:lang w:val="en-US" w:eastAsia="en-US"/>
              </w:rPr>
            </w:pPr>
            <w:r w:rsidRPr="0005134C">
              <w:rPr>
                <w:b/>
                <w:bCs/>
                <w:color w:val="000000"/>
                <w:kern w:val="24"/>
              </w:rPr>
              <w:t>2019/20</w:t>
            </w:r>
          </w:p>
        </w:tc>
        <w:tc>
          <w:tcPr>
            <w:tcW w:w="953" w:type="pct"/>
            <w:shd w:val="clear" w:color="auto" w:fill="D9D9D9"/>
          </w:tcPr>
          <w:p w14:paraId="4D8B28C4" w14:textId="77777777" w:rsidR="00583548" w:rsidRPr="0005134C" w:rsidRDefault="00583548" w:rsidP="007429F2">
            <w:pPr>
              <w:pStyle w:val="NormalWeb"/>
              <w:spacing w:before="0" w:after="0" w:line="360" w:lineRule="auto"/>
              <w:jc w:val="center"/>
            </w:pPr>
            <w:r w:rsidRPr="0005134C">
              <w:rPr>
                <w:b/>
                <w:bCs/>
                <w:color w:val="000000"/>
                <w:kern w:val="24"/>
              </w:rPr>
              <w:t>2020/21</w:t>
            </w:r>
          </w:p>
        </w:tc>
        <w:tc>
          <w:tcPr>
            <w:tcW w:w="953" w:type="pct"/>
            <w:shd w:val="clear" w:color="auto" w:fill="D9D9D9"/>
          </w:tcPr>
          <w:p w14:paraId="6EA7D87E" w14:textId="77777777" w:rsidR="00583548" w:rsidRPr="0005134C" w:rsidRDefault="00583548" w:rsidP="007429F2">
            <w:pPr>
              <w:pStyle w:val="NormalWeb"/>
              <w:spacing w:before="0" w:after="0" w:line="360" w:lineRule="auto"/>
              <w:jc w:val="center"/>
            </w:pPr>
            <w:r w:rsidRPr="0005134C">
              <w:rPr>
                <w:b/>
                <w:bCs/>
                <w:color w:val="000000"/>
                <w:kern w:val="24"/>
              </w:rPr>
              <w:t>2021/22</w:t>
            </w:r>
          </w:p>
        </w:tc>
      </w:tr>
      <w:tr w:rsidR="00583548" w:rsidRPr="0005134C" w14:paraId="09561826" w14:textId="77777777" w:rsidTr="00026426">
        <w:trPr>
          <w:tblHeader/>
        </w:trPr>
        <w:tc>
          <w:tcPr>
            <w:tcW w:w="1093" w:type="pct"/>
            <w:vMerge/>
            <w:shd w:val="clear" w:color="auto" w:fill="D9D9D9"/>
          </w:tcPr>
          <w:p w14:paraId="235CB55D" w14:textId="77777777" w:rsidR="00583548" w:rsidRPr="0005134C" w:rsidRDefault="00583548" w:rsidP="007429F2">
            <w:pPr>
              <w:pStyle w:val="NormalWeb"/>
              <w:spacing w:before="0" w:after="0" w:line="360" w:lineRule="auto"/>
              <w:jc w:val="center"/>
              <w:rPr>
                <w:b/>
                <w:bCs/>
                <w:color w:val="000000"/>
                <w:kern w:val="24"/>
              </w:rPr>
            </w:pPr>
          </w:p>
        </w:tc>
        <w:tc>
          <w:tcPr>
            <w:tcW w:w="1049" w:type="pct"/>
            <w:shd w:val="clear" w:color="auto" w:fill="D9D9D9"/>
          </w:tcPr>
          <w:p w14:paraId="36A68827" w14:textId="77777777" w:rsidR="00583548" w:rsidRPr="0005134C" w:rsidRDefault="00583548" w:rsidP="007429F2">
            <w:pPr>
              <w:spacing w:line="360" w:lineRule="auto"/>
              <w:jc w:val="center"/>
            </w:pPr>
            <w:r w:rsidRPr="0005134C">
              <w:rPr>
                <w:b/>
                <w:bCs/>
                <w:kern w:val="24"/>
              </w:rPr>
              <w:t>R ’million</w:t>
            </w:r>
          </w:p>
        </w:tc>
        <w:tc>
          <w:tcPr>
            <w:tcW w:w="952" w:type="pct"/>
            <w:shd w:val="clear" w:color="auto" w:fill="D9D9D9"/>
          </w:tcPr>
          <w:p w14:paraId="2DC21211" w14:textId="77777777" w:rsidR="00583548" w:rsidRPr="0005134C" w:rsidRDefault="00583548" w:rsidP="007429F2">
            <w:pPr>
              <w:pStyle w:val="NormalWeb"/>
              <w:spacing w:before="0" w:after="0" w:line="360" w:lineRule="auto"/>
              <w:jc w:val="center"/>
            </w:pPr>
            <w:r w:rsidRPr="0005134C">
              <w:rPr>
                <w:b/>
                <w:bCs/>
                <w:color w:val="000000"/>
                <w:kern w:val="24"/>
              </w:rPr>
              <w:t>R ’million</w:t>
            </w:r>
          </w:p>
        </w:tc>
        <w:tc>
          <w:tcPr>
            <w:tcW w:w="953" w:type="pct"/>
            <w:shd w:val="clear" w:color="auto" w:fill="D9D9D9"/>
          </w:tcPr>
          <w:p w14:paraId="093BDE1C" w14:textId="77777777" w:rsidR="00583548" w:rsidRPr="0005134C" w:rsidRDefault="00583548" w:rsidP="007429F2">
            <w:pPr>
              <w:pStyle w:val="NormalWeb"/>
              <w:spacing w:before="0" w:after="0" w:line="360" w:lineRule="auto"/>
              <w:jc w:val="center"/>
            </w:pPr>
            <w:r w:rsidRPr="0005134C">
              <w:rPr>
                <w:b/>
                <w:bCs/>
                <w:color w:val="000000"/>
                <w:kern w:val="24"/>
              </w:rPr>
              <w:t>R ’million</w:t>
            </w:r>
          </w:p>
        </w:tc>
        <w:tc>
          <w:tcPr>
            <w:tcW w:w="953" w:type="pct"/>
            <w:shd w:val="clear" w:color="auto" w:fill="D9D9D9"/>
          </w:tcPr>
          <w:p w14:paraId="58C49A08" w14:textId="77777777" w:rsidR="00583548" w:rsidRPr="0005134C" w:rsidRDefault="00583548" w:rsidP="007429F2">
            <w:pPr>
              <w:pStyle w:val="NormalWeb"/>
              <w:spacing w:before="0" w:after="0" w:line="360" w:lineRule="auto"/>
              <w:jc w:val="center"/>
            </w:pPr>
            <w:r w:rsidRPr="0005134C">
              <w:rPr>
                <w:b/>
                <w:bCs/>
                <w:color w:val="000000"/>
                <w:kern w:val="24"/>
              </w:rPr>
              <w:t>R ’million</w:t>
            </w:r>
          </w:p>
        </w:tc>
      </w:tr>
      <w:tr w:rsidR="00583548" w:rsidRPr="0005134C" w14:paraId="6C32D705" w14:textId="77777777" w:rsidTr="00026426">
        <w:tc>
          <w:tcPr>
            <w:tcW w:w="1093" w:type="pct"/>
            <w:shd w:val="clear" w:color="auto" w:fill="auto"/>
          </w:tcPr>
          <w:p w14:paraId="46E92B38" w14:textId="77777777" w:rsidR="00583548" w:rsidRPr="0005134C" w:rsidRDefault="00583548" w:rsidP="007429F2">
            <w:pPr>
              <w:pStyle w:val="NormalWeb"/>
              <w:spacing w:before="0" w:after="0" w:line="360" w:lineRule="auto"/>
              <w:rPr>
                <w:lang w:val="en-US" w:eastAsia="en-US"/>
              </w:rPr>
            </w:pPr>
            <w:r w:rsidRPr="0005134C">
              <w:rPr>
                <w:color w:val="000000"/>
                <w:kern w:val="24"/>
              </w:rPr>
              <w:t>Administration</w:t>
            </w:r>
          </w:p>
        </w:tc>
        <w:tc>
          <w:tcPr>
            <w:tcW w:w="1049" w:type="pct"/>
            <w:shd w:val="clear" w:color="auto" w:fill="auto"/>
          </w:tcPr>
          <w:p w14:paraId="7A2BCCC5" w14:textId="77777777" w:rsidR="00583548" w:rsidRPr="0005134C" w:rsidRDefault="00583548" w:rsidP="007429F2">
            <w:pPr>
              <w:pStyle w:val="NormalWeb"/>
              <w:spacing w:before="0" w:after="0" w:line="360" w:lineRule="auto"/>
              <w:jc w:val="center"/>
              <w:rPr>
                <w:lang w:val="en-US" w:eastAsia="en-US"/>
              </w:rPr>
            </w:pPr>
            <w:r w:rsidRPr="0005134C">
              <w:rPr>
                <w:lang w:val="en-US" w:eastAsia="en-US"/>
              </w:rPr>
              <w:t>201 380</w:t>
            </w:r>
          </w:p>
        </w:tc>
        <w:tc>
          <w:tcPr>
            <w:tcW w:w="952" w:type="pct"/>
            <w:shd w:val="clear" w:color="auto" w:fill="auto"/>
          </w:tcPr>
          <w:p w14:paraId="7D5BA211" w14:textId="77777777" w:rsidR="00583548" w:rsidRPr="0005134C" w:rsidRDefault="00583548" w:rsidP="007429F2">
            <w:pPr>
              <w:pStyle w:val="NormalWeb"/>
              <w:spacing w:before="0" w:after="0" w:line="360" w:lineRule="auto"/>
              <w:jc w:val="center"/>
            </w:pPr>
            <w:r w:rsidRPr="0005134C">
              <w:t>214 611</w:t>
            </w:r>
          </w:p>
        </w:tc>
        <w:tc>
          <w:tcPr>
            <w:tcW w:w="953" w:type="pct"/>
            <w:shd w:val="clear" w:color="auto" w:fill="auto"/>
          </w:tcPr>
          <w:p w14:paraId="3F6553CC" w14:textId="77777777" w:rsidR="00583548" w:rsidRPr="0005134C" w:rsidRDefault="00583548" w:rsidP="007429F2">
            <w:pPr>
              <w:pStyle w:val="NormalWeb"/>
              <w:spacing w:before="0" w:after="0" w:line="360" w:lineRule="auto"/>
              <w:jc w:val="center"/>
            </w:pPr>
            <w:r w:rsidRPr="0005134C">
              <w:t>227 852</w:t>
            </w:r>
          </w:p>
        </w:tc>
        <w:tc>
          <w:tcPr>
            <w:tcW w:w="953" w:type="pct"/>
            <w:shd w:val="clear" w:color="auto" w:fill="auto"/>
          </w:tcPr>
          <w:p w14:paraId="2D4C890F" w14:textId="77777777" w:rsidR="00583548" w:rsidRPr="0005134C" w:rsidRDefault="00583548" w:rsidP="007429F2">
            <w:pPr>
              <w:pStyle w:val="NormalWeb"/>
              <w:spacing w:before="0" w:after="0" w:line="360" w:lineRule="auto"/>
              <w:jc w:val="center"/>
            </w:pPr>
            <w:r w:rsidRPr="0005134C">
              <w:t>237 517</w:t>
            </w:r>
          </w:p>
        </w:tc>
      </w:tr>
      <w:tr w:rsidR="00583548" w:rsidRPr="0005134C" w14:paraId="6CE9360F" w14:textId="77777777" w:rsidTr="00026426">
        <w:tc>
          <w:tcPr>
            <w:tcW w:w="1093" w:type="pct"/>
            <w:shd w:val="clear" w:color="auto" w:fill="auto"/>
          </w:tcPr>
          <w:p w14:paraId="756FBB19" w14:textId="77777777" w:rsidR="00583548" w:rsidRPr="0005134C" w:rsidRDefault="00583548" w:rsidP="007429F2">
            <w:pPr>
              <w:pStyle w:val="NormalWeb"/>
              <w:spacing w:before="0" w:after="0" w:line="360" w:lineRule="auto"/>
            </w:pPr>
            <w:r w:rsidRPr="0005134C">
              <w:t>Superior Court Services</w:t>
            </w:r>
          </w:p>
        </w:tc>
        <w:tc>
          <w:tcPr>
            <w:tcW w:w="1049" w:type="pct"/>
            <w:shd w:val="clear" w:color="auto" w:fill="auto"/>
          </w:tcPr>
          <w:p w14:paraId="5A6997A8" w14:textId="77777777" w:rsidR="00583548" w:rsidRPr="0005134C" w:rsidRDefault="00583548" w:rsidP="007429F2">
            <w:pPr>
              <w:pStyle w:val="NormalWeb"/>
              <w:spacing w:before="0" w:after="0" w:line="360" w:lineRule="auto"/>
              <w:jc w:val="center"/>
            </w:pPr>
            <w:r w:rsidRPr="0005134C">
              <w:t>845 252</w:t>
            </w:r>
          </w:p>
        </w:tc>
        <w:tc>
          <w:tcPr>
            <w:tcW w:w="952" w:type="pct"/>
            <w:shd w:val="clear" w:color="auto" w:fill="auto"/>
          </w:tcPr>
          <w:p w14:paraId="1FEBDF53" w14:textId="77777777" w:rsidR="00583548" w:rsidRPr="0005134C" w:rsidRDefault="00583548" w:rsidP="007429F2">
            <w:pPr>
              <w:pStyle w:val="NormalWeb"/>
              <w:spacing w:before="0" w:after="0" w:line="360" w:lineRule="auto"/>
              <w:jc w:val="center"/>
            </w:pPr>
            <w:r w:rsidRPr="0005134C">
              <w:t>900 110</w:t>
            </w:r>
          </w:p>
        </w:tc>
        <w:tc>
          <w:tcPr>
            <w:tcW w:w="953" w:type="pct"/>
            <w:shd w:val="clear" w:color="auto" w:fill="auto"/>
          </w:tcPr>
          <w:p w14:paraId="36E33E15" w14:textId="77777777" w:rsidR="00583548" w:rsidRPr="0005134C" w:rsidRDefault="00583548" w:rsidP="007429F2">
            <w:pPr>
              <w:pStyle w:val="NormalWeb"/>
              <w:spacing w:before="0" w:after="0" w:line="360" w:lineRule="auto"/>
              <w:jc w:val="center"/>
            </w:pPr>
            <w:r w:rsidRPr="0005134C">
              <w:t>965 784</w:t>
            </w:r>
          </w:p>
        </w:tc>
        <w:tc>
          <w:tcPr>
            <w:tcW w:w="953" w:type="pct"/>
            <w:shd w:val="clear" w:color="auto" w:fill="auto"/>
          </w:tcPr>
          <w:p w14:paraId="46D177AE" w14:textId="77777777" w:rsidR="00583548" w:rsidRPr="0005134C" w:rsidRDefault="00583548" w:rsidP="007429F2">
            <w:pPr>
              <w:pStyle w:val="NormalWeb"/>
              <w:spacing w:before="0" w:after="0" w:line="360" w:lineRule="auto"/>
              <w:jc w:val="center"/>
            </w:pPr>
            <w:r w:rsidRPr="0005134C">
              <w:t>1 029 837</w:t>
            </w:r>
          </w:p>
        </w:tc>
      </w:tr>
      <w:tr w:rsidR="00583548" w:rsidRPr="0005134C" w14:paraId="58ACB5C4" w14:textId="77777777" w:rsidTr="00026426">
        <w:tc>
          <w:tcPr>
            <w:tcW w:w="1093" w:type="pct"/>
            <w:shd w:val="clear" w:color="auto" w:fill="auto"/>
          </w:tcPr>
          <w:p w14:paraId="49CBD436" w14:textId="77777777" w:rsidR="00583548" w:rsidRPr="0005134C" w:rsidRDefault="00583548" w:rsidP="007429F2">
            <w:pPr>
              <w:pStyle w:val="NormalWeb"/>
              <w:spacing w:before="0" w:after="0" w:line="360" w:lineRule="auto"/>
            </w:pPr>
            <w:r w:rsidRPr="0005134C">
              <w:rPr>
                <w:color w:val="000000"/>
                <w:kern w:val="24"/>
              </w:rPr>
              <w:t>Judicial Education and Support</w:t>
            </w:r>
          </w:p>
        </w:tc>
        <w:tc>
          <w:tcPr>
            <w:tcW w:w="1049" w:type="pct"/>
            <w:shd w:val="clear" w:color="auto" w:fill="auto"/>
          </w:tcPr>
          <w:p w14:paraId="2B98F1B6" w14:textId="77777777" w:rsidR="00583548" w:rsidRPr="0005134C" w:rsidRDefault="00583548" w:rsidP="007429F2">
            <w:pPr>
              <w:pStyle w:val="NormalWeb"/>
              <w:spacing w:before="0" w:after="0" w:line="360" w:lineRule="auto"/>
              <w:jc w:val="center"/>
            </w:pPr>
            <w:r w:rsidRPr="0005134C">
              <w:t>73 115</w:t>
            </w:r>
          </w:p>
        </w:tc>
        <w:tc>
          <w:tcPr>
            <w:tcW w:w="952" w:type="pct"/>
            <w:shd w:val="clear" w:color="auto" w:fill="auto"/>
          </w:tcPr>
          <w:p w14:paraId="257DA1A5" w14:textId="77777777" w:rsidR="00583548" w:rsidRPr="0005134C" w:rsidRDefault="00583548" w:rsidP="007429F2">
            <w:pPr>
              <w:pStyle w:val="NormalWeb"/>
              <w:spacing w:before="0" w:after="0" w:line="360" w:lineRule="auto"/>
              <w:jc w:val="center"/>
            </w:pPr>
            <w:r w:rsidRPr="0005134C">
              <w:t>82 971</w:t>
            </w:r>
          </w:p>
        </w:tc>
        <w:tc>
          <w:tcPr>
            <w:tcW w:w="953" w:type="pct"/>
            <w:shd w:val="clear" w:color="auto" w:fill="auto"/>
          </w:tcPr>
          <w:p w14:paraId="5FAEF834" w14:textId="77777777" w:rsidR="00583548" w:rsidRPr="0005134C" w:rsidRDefault="00583548" w:rsidP="007429F2">
            <w:pPr>
              <w:pStyle w:val="NormalWeb"/>
              <w:spacing w:before="0" w:after="0" w:line="360" w:lineRule="auto"/>
              <w:jc w:val="center"/>
            </w:pPr>
            <w:r w:rsidRPr="0005134C">
              <w:t>88 234</w:t>
            </w:r>
          </w:p>
        </w:tc>
        <w:tc>
          <w:tcPr>
            <w:tcW w:w="953" w:type="pct"/>
            <w:shd w:val="clear" w:color="auto" w:fill="auto"/>
          </w:tcPr>
          <w:p w14:paraId="5674C4BF" w14:textId="77777777" w:rsidR="00583548" w:rsidRPr="0005134C" w:rsidRDefault="00583548" w:rsidP="007429F2">
            <w:pPr>
              <w:pStyle w:val="NormalWeb"/>
              <w:spacing w:before="0" w:after="0" w:line="360" w:lineRule="auto"/>
              <w:jc w:val="center"/>
            </w:pPr>
            <w:r w:rsidRPr="0005134C">
              <w:t>91 776</w:t>
            </w:r>
          </w:p>
        </w:tc>
      </w:tr>
      <w:tr w:rsidR="00583548" w:rsidRPr="0005134C" w14:paraId="19643E7C" w14:textId="77777777" w:rsidTr="00026426">
        <w:tc>
          <w:tcPr>
            <w:tcW w:w="1093" w:type="pct"/>
            <w:shd w:val="clear" w:color="auto" w:fill="auto"/>
          </w:tcPr>
          <w:p w14:paraId="74C60CFF" w14:textId="77777777" w:rsidR="00583548" w:rsidRPr="0005134C" w:rsidRDefault="00583548" w:rsidP="007429F2">
            <w:pPr>
              <w:pStyle w:val="NormalWeb"/>
              <w:spacing w:before="0" w:after="0" w:line="360" w:lineRule="auto"/>
              <w:rPr>
                <w:lang w:val="en-US" w:eastAsia="en-US"/>
              </w:rPr>
            </w:pPr>
            <w:r w:rsidRPr="0005134C">
              <w:rPr>
                <w:b/>
                <w:bCs/>
                <w:color w:val="000000"/>
                <w:kern w:val="24"/>
              </w:rPr>
              <w:t>Subtotal</w:t>
            </w:r>
          </w:p>
        </w:tc>
        <w:tc>
          <w:tcPr>
            <w:tcW w:w="1049" w:type="pct"/>
            <w:shd w:val="clear" w:color="auto" w:fill="auto"/>
          </w:tcPr>
          <w:p w14:paraId="6CED88F2" w14:textId="77777777" w:rsidR="00583548" w:rsidRPr="0005134C" w:rsidRDefault="00583548" w:rsidP="007429F2">
            <w:pPr>
              <w:pStyle w:val="NormalWeb"/>
              <w:spacing w:before="0" w:after="0" w:line="360" w:lineRule="auto"/>
              <w:jc w:val="center"/>
            </w:pPr>
            <w:r w:rsidRPr="0005134C">
              <w:t>1 119 747</w:t>
            </w:r>
          </w:p>
        </w:tc>
        <w:tc>
          <w:tcPr>
            <w:tcW w:w="952" w:type="pct"/>
            <w:shd w:val="clear" w:color="auto" w:fill="auto"/>
          </w:tcPr>
          <w:p w14:paraId="6FABA4EC" w14:textId="77777777" w:rsidR="00583548" w:rsidRPr="0005134C" w:rsidRDefault="00583548" w:rsidP="007429F2">
            <w:pPr>
              <w:pStyle w:val="NormalWeb"/>
              <w:spacing w:before="0" w:after="0" w:line="360" w:lineRule="auto"/>
              <w:jc w:val="center"/>
            </w:pPr>
            <w:r w:rsidRPr="0005134C">
              <w:t>1 197 692</w:t>
            </w:r>
          </w:p>
        </w:tc>
        <w:tc>
          <w:tcPr>
            <w:tcW w:w="953" w:type="pct"/>
            <w:shd w:val="clear" w:color="auto" w:fill="auto"/>
          </w:tcPr>
          <w:p w14:paraId="26E2D910" w14:textId="77777777" w:rsidR="00583548" w:rsidRPr="0005134C" w:rsidRDefault="00583548" w:rsidP="007429F2">
            <w:pPr>
              <w:pStyle w:val="NormalWeb"/>
              <w:spacing w:before="0" w:after="0" w:line="360" w:lineRule="auto"/>
              <w:jc w:val="center"/>
            </w:pPr>
            <w:r w:rsidRPr="0005134C">
              <w:t>1 282 870</w:t>
            </w:r>
          </w:p>
        </w:tc>
        <w:tc>
          <w:tcPr>
            <w:tcW w:w="953" w:type="pct"/>
            <w:shd w:val="clear" w:color="auto" w:fill="auto"/>
          </w:tcPr>
          <w:p w14:paraId="67AE00DE" w14:textId="77777777" w:rsidR="00583548" w:rsidRPr="0005134C" w:rsidRDefault="00583548" w:rsidP="007429F2">
            <w:pPr>
              <w:pStyle w:val="NormalWeb"/>
              <w:spacing w:before="0" w:after="0" w:line="360" w:lineRule="auto"/>
              <w:jc w:val="center"/>
            </w:pPr>
            <w:r w:rsidRPr="0005134C">
              <w:t>1 359 130</w:t>
            </w:r>
          </w:p>
        </w:tc>
      </w:tr>
      <w:tr w:rsidR="00583548" w:rsidRPr="0005134C" w14:paraId="4B378EB2" w14:textId="77777777" w:rsidTr="00026426">
        <w:tc>
          <w:tcPr>
            <w:tcW w:w="1093" w:type="pct"/>
            <w:shd w:val="clear" w:color="auto" w:fill="auto"/>
          </w:tcPr>
          <w:p w14:paraId="35BDDBDC" w14:textId="77777777" w:rsidR="00583548" w:rsidRPr="0005134C" w:rsidRDefault="00583548" w:rsidP="007429F2">
            <w:pPr>
              <w:pStyle w:val="NormalWeb"/>
              <w:spacing w:before="0" w:after="0" w:line="360" w:lineRule="auto"/>
              <w:rPr>
                <w:b/>
              </w:rPr>
            </w:pPr>
            <w:r w:rsidRPr="0005134C">
              <w:rPr>
                <w:b/>
                <w:kern w:val="24"/>
              </w:rPr>
              <w:t xml:space="preserve">Direct Charge: </w:t>
            </w:r>
          </w:p>
          <w:p w14:paraId="4FA86555" w14:textId="77777777" w:rsidR="00583548" w:rsidRPr="0005134C" w:rsidRDefault="00583548" w:rsidP="007429F2">
            <w:pPr>
              <w:pStyle w:val="NormalWeb"/>
              <w:spacing w:before="0" w:after="0" w:line="360" w:lineRule="auto"/>
            </w:pPr>
            <w:r w:rsidRPr="0005134C">
              <w:rPr>
                <w:kern w:val="24"/>
              </w:rPr>
              <w:t>Judges’ Salaries</w:t>
            </w:r>
          </w:p>
        </w:tc>
        <w:tc>
          <w:tcPr>
            <w:tcW w:w="1049" w:type="pct"/>
            <w:shd w:val="clear" w:color="auto" w:fill="auto"/>
          </w:tcPr>
          <w:p w14:paraId="0A4442A0" w14:textId="77777777" w:rsidR="00583548" w:rsidRPr="0005134C" w:rsidRDefault="00583548" w:rsidP="007429F2">
            <w:pPr>
              <w:pStyle w:val="NormalWeb"/>
              <w:spacing w:before="0" w:after="0" w:line="360" w:lineRule="auto"/>
              <w:jc w:val="center"/>
            </w:pPr>
            <w:r w:rsidRPr="0005134C">
              <w:t>1 022 091</w:t>
            </w:r>
          </w:p>
        </w:tc>
        <w:tc>
          <w:tcPr>
            <w:tcW w:w="952" w:type="pct"/>
            <w:shd w:val="clear" w:color="auto" w:fill="auto"/>
          </w:tcPr>
          <w:p w14:paraId="77BCB84F" w14:textId="77777777" w:rsidR="00583548" w:rsidRPr="0005134C" w:rsidRDefault="00583548" w:rsidP="007429F2">
            <w:pPr>
              <w:pStyle w:val="NormalWeb"/>
              <w:spacing w:before="0" w:after="0" w:line="360" w:lineRule="auto"/>
              <w:jc w:val="center"/>
            </w:pPr>
            <w:r w:rsidRPr="0005134C">
              <w:t>1 098 546</w:t>
            </w:r>
          </w:p>
        </w:tc>
        <w:tc>
          <w:tcPr>
            <w:tcW w:w="953" w:type="pct"/>
            <w:shd w:val="clear" w:color="auto" w:fill="auto"/>
          </w:tcPr>
          <w:p w14:paraId="1DF793C8" w14:textId="77777777" w:rsidR="00583548" w:rsidRPr="0005134C" w:rsidRDefault="00583548" w:rsidP="007429F2">
            <w:pPr>
              <w:pStyle w:val="NormalWeb"/>
              <w:spacing w:before="0" w:after="0" w:line="360" w:lineRule="auto"/>
              <w:jc w:val="center"/>
            </w:pPr>
            <w:r w:rsidRPr="0005134C">
              <w:t>1 180 937</w:t>
            </w:r>
          </w:p>
        </w:tc>
        <w:tc>
          <w:tcPr>
            <w:tcW w:w="953" w:type="pct"/>
            <w:shd w:val="clear" w:color="auto" w:fill="auto"/>
          </w:tcPr>
          <w:p w14:paraId="3DED147B" w14:textId="77777777" w:rsidR="00583548" w:rsidRPr="0005134C" w:rsidRDefault="00583548" w:rsidP="007429F2">
            <w:pPr>
              <w:pStyle w:val="NormalWeb"/>
              <w:spacing w:before="0" w:after="0" w:line="360" w:lineRule="auto"/>
              <w:jc w:val="center"/>
            </w:pPr>
            <w:r w:rsidRPr="0005134C">
              <w:t>1 257 698</w:t>
            </w:r>
          </w:p>
        </w:tc>
      </w:tr>
      <w:tr w:rsidR="00583548" w:rsidRPr="0005134C" w14:paraId="616465CF" w14:textId="77777777" w:rsidTr="00026426">
        <w:tc>
          <w:tcPr>
            <w:tcW w:w="1093" w:type="pct"/>
            <w:shd w:val="clear" w:color="auto" w:fill="auto"/>
          </w:tcPr>
          <w:p w14:paraId="2D6A1E9A" w14:textId="77777777" w:rsidR="00583548" w:rsidRPr="0005134C" w:rsidRDefault="00583548" w:rsidP="007429F2">
            <w:pPr>
              <w:pStyle w:val="NormalWeb"/>
              <w:spacing w:before="0" w:after="0" w:line="360" w:lineRule="auto"/>
            </w:pPr>
            <w:r w:rsidRPr="0005134C">
              <w:rPr>
                <w:b/>
                <w:bCs/>
                <w:color w:val="000000"/>
                <w:kern w:val="24"/>
              </w:rPr>
              <w:t xml:space="preserve">Total </w:t>
            </w:r>
          </w:p>
        </w:tc>
        <w:tc>
          <w:tcPr>
            <w:tcW w:w="1049" w:type="pct"/>
            <w:shd w:val="clear" w:color="auto" w:fill="auto"/>
          </w:tcPr>
          <w:p w14:paraId="5B24CEEA" w14:textId="77777777" w:rsidR="00583548" w:rsidRPr="0005134C" w:rsidRDefault="00583548" w:rsidP="007429F2">
            <w:pPr>
              <w:pStyle w:val="NormalWeb"/>
              <w:spacing w:before="0" w:after="0" w:line="360" w:lineRule="auto"/>
              <w:jc w:val="center"/>
              <w:rPr>
                <w:lang w:val="en-US" w:eastAsia="en-US"/>
              </w:rPr>
            </w:pPr>
            <w:r w:rsidRPr="0005134C">
              <w:rPr>
                <w:lang w:val="en-US" w:eastAsia="en-US"/>
              </w:rPr>
              <w:t>2 141 838</w:t>
            </w:r>
          </w:p>
        </w:tc>
        <w:tc>
          <w:tcPr>
            <w:tcW w:w="952" w:type="pct"/>
            <w:shd w:val="clear" w:color="auto" w:fill="auto"/>
          </w:tcPr>
          <w:p w14:paraId="2E22C019" w14:textId="77777777" w:rsidR="00583548" w:rsidRPr="0005134C" w:rsidRDefault="00583548" w:rsidP="007429F2">
            <w:pPr>
              <w:pStyle w:val="NormalWeb"/>
              <w:spacing w:before="0" w:after="0" w:line="360" w:lineRule="auto"/>
              <w:jc w:val="center"/>
            </w:pPr>
            <w:r w:rsidRPr="0005134C">
              <w:t>2 296 238</w:t>
            </w:r>
          </w:p>
        </w:tc>
        <w:tc>
          <w:tcPr>
            <w:tcW w:w="953" w:type="pct"/>
            <w:shd w:val="clear" w:color="auto" w:fill="auto"/>
          </w:tcPr>
          <w:p w14:paraId="063057CD" w14:textId="77777777" w:rsidR="00583548" w:rsidRPr="0005134C" w:rsidRDefault="00583548" w:rsidP="007429F2">
            <w:pPr>
              <w:pStyle w:val="NormalWeb"/>
              <w:spacing w:before="0" w:after="0" w:line="360" w:lineRule="auto"/>
              <w:jc w:val="center"/>
            </w:pPr>
            <w:r w:rsidRPr="0005134C">
              <w:t>2 462 807</w:t>
            </w:r>
          </w:p>
        </w:tc>
        <w:tc>
          <w:tcPr>
            <w:tcW w:w="953" w:type="pct"/>
            <w:shd w:val="clear" w:color="auto" w:fill="auto"/>
          </w:tcPr>
          <w:p w14:paraId="07A5095A" w14:textId="77777777" w:rsidR="00583548" w:rsidRPr="0005134C" w:rsidRDefault="00583548" w:rsidP="007429F2">
            <w:pPr>
              <w:pStyle w:val="NormalWeb"/>
              <w:spacing w:before="0" w:after="0" w:line="360" w:lineRule="auto"/>
              <w:jc w:val="center"/>
            </w:pPr>
            <w:r w:rsidRPr="0005134C">
              <w:t>2 616 828</w:t>
            </w:r>
          </w:p>
        </w:tc>
      </w:tr>
    </w:tbl>
    <w:p w14:paraId="63A2A52B" w14:textId="77777777" w:rsidR="00583548" w:rsidRPr="0005134C" w:rsidRDefault="00583548" w:rsidP="007429F2">
      <w:pPr>
        <w:autoSpaceDE w:val="0"/>
        <w:autoSpaceDN w:val="0"/>
        <w:adjustRightInd w:val="0"/>
        <w:spacing w:line="360" w:lineRule="auto"/>
        <w:rPr>
          <w:b/>
        </w:rPr>
      </w:pPr>
    </w:p>
    <w:p w14:paraId="71A73CD5" w14:textId="77777777" w:rsidR="00583548" w:rsidRPr="00B970CA" w:rsidRDefault="00026426" w:rsidP="00D91AC2">
      <w:pPr>
        <w:pStyle w:val="ListParagraph"/>
        <w:numPr>
          <w:ilvl w:val="1"/>
          <w:numId w:val="1"/>
        </w:numPr>
        <w:tabs>
          <w:tab w:val="clear" w:pos="1004"/>
          <w:tab w:val="num" w:pos="709"/>
        </w:tabs>
        <w:autoSpaceDE w:val="0"/>
        <w:autoSpaceDN w:val="0"/>
        <w:adjustRightInd w:val="0"/>
        <w:spacing w:line="360" w:lineRule="auto"/>
        <w:ind w:left="709" w:hanging="709"/>
      </w:pPr>
      <w:r>
        <w:rPr>
          <w:b/>
        </w:rPr>
        <w:t>S</w:t>
      </w:r>
      <w:r w:rsidR="00792012">
        <w:rPr>
          <w:b/>
        </w:rPr>
        <w:t xml:space="preserve">pending </w:t>
      </w:r>
      <w:r w:rsidR="00583548">
        <w:rPr>
          <w:b/>
        </w:rPr>
        <w:t xml:space="preserve">priorities </w:t>
      </w:r>
      <w:r w:rsidR="00B970CA">
        <w:rPr>
          <w:b/>
        </w:rPr>
        <w:t xml:space="preserve">2019 MTEF. </w:t>
      </w:r>
      <w:r w:rsidR="00B970CA" w:rsidRPr="00B970CA">
        <w:t>The OCJ reports the following spending priorities for 2019/10:</w:t>
      </w:r>
    </w:p>
    <w:p w14:paraId="37D5ABE5" w14:textId="77777777" w:rsidR="00D91AC2" w:rsidRDefault="00D91AC2" w:rsidP="00D91AC2">
      <w:pPr>
        <w:autoSpaceDE w:val="0"/>
        <w:autoSpaceDN w:val="0"/>
        <w:adjustRightInd w:val="0"/>
        <w:spacing w:line="360" w:lineRule="auto"/>
        <w:jc w:val="both"/>
        <w:rPr>
          <w:lang w:val="en-US" w:eastAsia="en-US"/>
        </w:rPr>
      </w:pPr>
    </w:p>
    <w:p w14:paraId="1B30350E" w14:textId="77777777" w:rsidR="00583548" w:rsidRPr="0005134C" w:rsidRDefault="00E3467F" w:rsidP="00D91AC2">
      <w:pPr>
        <w:pStyle w:val="ListParagraph"/>
        <w:numPr>
          <w:ilvl w:val="2"/>
          <w:numId w:val="36"/>
        </w:numPr>
        <w:autoSpaceDE w:val="0"/>
        <w:autoSpaceDN w:val="0"/>
        <w:adjustRightInd w:val="0"/>
        <w:spacing w:line="360" w:lineRule="auto"/>
        <w:jc w:val="both"/>
      </w:pPr>
      <w:r w:rsidRPr="00D91AC2">
        <w:rPr>
          <w:lang w:val="en-US" w:eastAsia="en-US"/>
        </w:rPr>
        <w:t xml:space="preserve">As the </w:t>
      </w:r>
      <w:r w:rsidR="00583548" w:rsidRPr="0005134C">
        <w:t xml:space="preserve">High Court in Mpumalanga </w:t>
      </w:r>
      <w:r>
        <w:t xml:space="preserve">is expected to </w:t>
      </w:r>
      <w:r w:rsidR="00583548" w:rsidRPr="0005134C">
        <w:t>become fully operational in 2019/20</w:t>
      </w:r>
      <w:r>
        <w:t>, f</w:t>
      </w:r>
      <w:r w:rsidR="00583548" w:rsidRPr="0005134C">
        <w:t>unding for the court is expected to increase from R28.1 million in 2019/20 to R33.4 million in 2021/22</w:t>
      </w:r>
      <w:r>
        <w:t xml:space="preserve"> </w:t>
      </w:r>
      <w:r w:rsidR="00583548" w:rsidRPr="0005134C">
        <w:t xml:space="preserve">in the </w:t>
      </w:r>
      <w:r w:rsidR="00583548" w:rsidRPr="00D91AC2">
        <w:rPr>
          <w:i/>
          <w:iCs/>
        </w:rPr>
        <w:t>Superior Court Services</w:t>
      </w:r>
      <w:r w:rsidR="00583548" w:rsidRPr="00D91AC2">
        <w:rPr>
          <w:iCs/>
        </w:rPr>
        <w:t xml:space="preserve"> </w:t>
      </w:r>
      <w:r w:rsidR="00583548" w:rsidRPr="0005134C">
        <w:t>programme. Similarly, allocations for the operations of the Polokwane High Court, which opened in 2016/17, are expected to increase by 13.6%, from R27.2 million in 2019/20 to R30.9 million in 2021/22.</w:t>
      </w:r>
    </w:p>
    <w:p w14:paraId="23700ACB" w14:textId="77777777" w:rsidR="00583548" w:rsidRPr="0005134C" w:rsidRDefault="00583548" w:rsidP="007429F2">
      <w:pPr>
        <w:autoSpaceDE w:val="0"/>
        <w:autoSpaceDN w:val="0"/>
        <w:adjustRightInd w:val="0"/>
        <w:spacing w:line="360" w:lineRule="auto"/>
      </w:pPr>
    </w:p>
    <w:p w14:paraId="1C5AC3C6" w14:textId="77777777" w:rsidR="00583548" w:rsidRPr="00D91AC2" w:rsidRDefault="00583548" w:rsidP="00D91AC2">
      <w:pPr>
        <w:pStyle w:val="ListParagraph"/>
        <w:numPr>
          <w:ilvl w:val="2"/>
          <w:numId w:val="36"/>
        </w:numPr>
        <w:autoSpaceDE w:val="0"/>
        <w:autoSpaceDN w:val="0"/>
        <w:adjustRightInd w:val="0"/>
        <w:spacing w:line="360" w:lineRule="auto"/>
        <w:jc w:val="both"/>
        <w:rPr>
          <w:lang w:val="en-US" w:eastAsia="en-US"/>
        </w:rPr>
      </w:pPr>
      <w:r w:rsidRPr="0005134C">
        <w:rPr>
          <w:lang w:val="en-US" w:eastAsia="en-US"/>
        </w:rPr>
        <w:t>The</w:t>
      </w:r>
      <w:r w:rsidRPr="00D91AC2">
        <w:rPr>
          <w:lang w:val="en-US" w:eastAsia="en-US"/>
        </w:rPr>
        <w:t xml:space="preserve"> number of personnel is expected to increase from 2 601 in 2018/19 to 2 611 in 2021/22 with the operationalisation of the Mpumalanga High Court. Spending on compensation of employees, therefore, will increase from R1.6 billion in 2018/19 to R2 billion in 2021/22.</w:t>
      </w:r>
    </w:p>
    <w:p w14:paraId="611534FB" w14:textId="77777777" w:rsidR="00583548" w:rsidRPr="00D91AC2" w:rsidRDefault="00583548" w:rsidP="00D91AC2">
      <w:pPr>
        <w:autoSpaceDE w:val="0"/>
        <w:autoSpaceDN w:val="0"/>
        <w:adjustRightInd w:val="0"/>
        <w:spacing w:line="360" w:lineRule="auto"/>
        <w:ind w:left="1080"/>
        <w:jc w:val="both"/>
        <w:rPr>
          <w:lang w:val="en-US" w:eastAsia="en-US"/>
        </w:rPr>
      </w:pPr>
    </w:p>
    <w:p w14:paraId="059E67EA" w14:textId="77777777" w:rsidR="00583548" w:rsidRPr="00D91AC2" w:rsidRDefault="00583548" w:rsidP="00D91AC2">
      <w:pPr>
        <w:pStyle w:val="ListParagraph"/>
        <w:numPr>
          <w:ilvl w:val="2"/>
          <w:numId w:val="36"/>
        </w:numPr>
        <w:autoSpaceDE w:val="0"/>
        <w:autoSpaceDN w:val="0"/>
        <w:adjustRightInd w:val="0"/>
        <w:spacing w:line="360" w:lineRule="auto"/>
        <w:jc w:val="both"/>
        <w:rPr>
          <w:lang w:val="en-US" w:eastAsia="en-US"/>
        </w:rPr>
      </w:pPr>
      <w:r w:rsidRPr="00D91AC2">
        <w:rPr>
          <w:lang w:val="en-US" w:eastAsia="en-US"/>
        </w:rPr>
        <w:t>Over the medium term, the South African Judicial Education Institute (SAJEI) plans to provide 246 judicial education courses on case-flow management and constitutional imperatives. Other planned courses include courses on record keeping and general issues in pleadings, debt collections and debt reviews related to the National Credit Act (2005), criminal court skills, child justice skills, new legislation on domestic violence and spousal and child maintenance, immigration and other topics. Expenditure in the South African Judicial Education Institute subprogramme is expected to increase from R51.4 million in 2018/19 to R53.8 million in 2021/22.</w:t>
      </w:r>
    </w:p>
    <w:p w14:paraId="2905309C" w14:textId="77777777" w:rsidR="00583548" w:rsidRPr="00D91AC2" w:rsidRDefault="00583548" w:rsidP="00D91AC2">
      <w:pPr>
        <w:autoSpaceDE w:val="0"/>
        <w:autoSpaceDN w:val="0"/>
        <w:adjustRightInd w:val="0"/>
        <w:spacing w:line="360" w:lineRule="auto"/>
        <w:ind w:left="1080"/>
        <w:jc w:val="both"/>
        <w:rPr>
          <w:lang w:val="en-US" w:eastAsia="en-US"/>
        </w:rPr>
      </w:pPr>
    </w:p>
    <w:p w14:paraId="472697C7" w14:textId="1AA73D43" w:rsidR="00583548" w:rsidRPr="00D91AC2" w:rsidRDefault="00583548" w:rsidP="00D91AC2">
      <w:pPr>
        <w:pStyle w:val="ListParagraph"/>
        <w:numPr>
          <w:ilvl w:val="2"/>
          <w:numId w:val="36"/>
        </w:numPr>
        <w:autoSpaceDE w:val="0"/>
        <w:autoSpaceDN w:val="0"/>
        <w:adjustRightInd w:val="0"/>
        <w:spacing w:line="360" w:lineRule="auto"/>
        <w:jc w:val="both"/>
        <w:rPr>
          <w:lang w:val="en-US" w:eastAsia="en-US"/>
        </w:rPr>
      </w:pPr>
      <w:r w:rsidRPr="00D91AC2">
        <w:rPr>
          <w:lang w:val="en-US" w:eastAsia="en-US"/>
        </w:rPr>
        <w:t>The OCJ plans to modernise and digitise its systems and processes to respond to the growing need for court services and to stay abreast of technological developments</w:t>
      </w:r>
      <w:r w:rsidR="003646B2">
        <w:rPr>
          <w:lang w:val="en-US" w:eastAsia="en-US"/>
        </w:rPr>
        <w:t>.</w:t>
      </w:r>
      <w:r w:rsidRPr="00D91AC2">
        <w:rPr>
          <w:lang w:val="en-US" w:eastAsia="en-US"/>
        </w:rPr>
        <w:t xml:space="preserve"> The implementation of an electronic filing system for the Superior Courts by 2020/21 is intended to increase efficiency. The project forms part of the Integrated Justice System (IJS) programme, led by the Department of Justice and Constitutional Development, in the JCPS Cluster. An amount of R14.3 million is allocated over the medium term for the system in the Administration programme.</w:t>
      </w:r>
    </w:p>
    <w:p w14:paraId="2E999598" w14:textId="77777777" w:rsidR="00583548" w:rsidRPr="00D91AC2" w:rsidRDefault="00583548" w:rsidP="00D91AC2">
      <w:pPr>
        <w:autoSpaceDE w:val="0"/>
        <w:autoSpaceDN w:val="0"/>
        <w:adjustRightInd w:val="0"/>
        <w:spacing w:line="360" w:lineRule="auto"/>
        <w:ind w:left="1080"/>
        <w:jc w:val="both"/>
        <w:rPr>
          <w:lang w:val="en-US" w:eastAsia="en-US"/>
        </w:rPr>
      </w:pPr>
    </w:p>
    <w:p w14:paraId="550CBC10" w14:textId="77777777" w:rsidR="00583548" w:rsidRPr="00D91AC2" w:rsidRDefault="00583548" w:rsidP="00D91AC2">
      <w:pPr>
        <w:pStyle w:val="ListParagraph"/>
        <w:numPr>
          <w:ilvl w:val="2"/>
          <w:numId w:val="36"/>
        </w:numPr>
        <w:autoSpaceDE w:val="0"/>
        <w:autoSpaceDN w:val="0"/>
        <w:adjustRightInd w:val="0"/>
        <w:spacing w:line="360" w:lineRule="auto"/>
        <w:jc w:val="both"/>
        <w:rPr>
          <w:lang w:val="en-US" w:eastAsia="en-US"/>
        </w:rPr>
      </w:pPr>
      <w:r w:rsidRPr="00D91AC2">
        <w:rPr>
          <w:lang w:val="en-US" w:eastAsia="en-US"/>
        </w:rPr>
        <w:t>The judicial norms and standards were developed and gazetted in February 2014. The OCJ supports the Chief Justice in monitoring and reporting on compliance with the norms and standards, while the Judiciary reports on court performance. These activities are carried out in the Superior Court Services programme. Due to the labour-intensive nature of the work in this programme, the majority of this expenditure is on compensation of employees.</w:t>
      </w:r>
    </w:p>
    <w:p w14:paraId="64979577" w14:textId="77777777" w:rsidR="00583548" w:rsidRPr="00D91AC2" w:rsidRDefault="00583548" w:rsidP="00D91AC2">
      <w:pPr>
        <w:autoSpaceDE w:val="0"/>
        <w:autoSpaceDN w:val="0"/>
        <w:adjustRightInd w:val="0"/>
        <w:spacing w:line="360" w:lineRule="auto"/>
        <w:ind w:left="1080"/>
        <w:jc w:val="both"/>
        <w:rPr>
          <w:lang w:val="en-US" w:eastAsia="en-US"/>
        </w:rPr>
      </w:pPr>
    </w:p>
    <w:p w14:paraId="264DE666" w14:textId="77777777" w:rsidR="00583548" w:rsidRPr="0005134C" w:rsidRDefault="00583548" w:rsidP="00D91AC2">
      <w:pPr>
        <w:pStyle w:val="ListParagraph"/>
        <w:numPr>
          <w:ilvl w:val="2"/>
          <w:numId w:val="36"/>
        </w:numPr>
        <w:autoSpaceDE w:val="0"/>
        <w:autoSpaceDN w:val="0"/>
        <w:adjustRightInd w:val="0"/>
        <w:spacing w:line="360" w:lineRule="auto"/>
        <w:jc w:val="both"/>
      </w:pPr>
      <w:r w:rsidRPr="00D91AC2">
        <w:rPr>
          <w:lang w:val="en-US" w:eastAsia="en-US"/>
        </w:rPr>
        <w:t>The OCJ plans to further improve the quality of its performance information by implementing an automated system to monitor court performance, which, in addition to the electronic filing system for Superior Courts, is expected to simplify the monitoring and evaluation of norms and standards</w:t>
      </w:r>
      <w:r w:rsidRPr="0005134C">
        <w:t>.</w:t>
      </w:r>
    </w:p>
    <w:p w14:paraId="158CADAD" w14:textId="77777777" w:rsidR="00583548" w:rsidRPr="0005134C" w:rsidRDefault="00583548" w:rsidP="007429F2">
      <w:pPr>
        <w:autoSpaceDE w:val="0"/>
        <w:autoSpaceDN w:val="0"/>
        <w:adjustRightInd w:val="0"/>
        <w:spacing w:line="360" w:lineRule="auto"/>
      </w:pPr>
    </w:p>
    <w:p w14:paraId="50EF786C" w14:textId="77777777" w:rsidR="00D04FB8" w:rsidRDefault="00B970CA" w:rsidP="00D91AC2">
      <w:pPr>
        <w:pStyle w:val="ListParagraph"/>
        <w:numPr>
          <w:ilvl w:val="1"/>
          <w:numId w:val="1"/>
        </w:numPr>
        <w:tabs>
          <w:tab w:val="clear" w:pos="1004"/>
          <w:tab w:val="num" w:pos="709"/>
        </w:tabs>
        <w:autoSpaceDE w:val="0"/>
        <w:autoSpaceDN w:val="0"/>
        <w:adjustRightInd w:val="0"/>
        <w:spacing w:line="360" w:lineRule="auto"/>
        <w:ind w:left="709" w:hanging="709"/>
        <w:rPr>
          <w:b/>
        </w:rPr>
      </w:pPr>
      <w:r>
        <w:rPr>
          <w:b/>
        </w:rPr>
        <w:t xml:space="preserve">Expenditure </w:t>
      </w:r>
      <w:r w:rsidR="00D04FB8">
        <w:rPr>
          <w:b/>
        </w:rPr>
        <w:t>1</w:t>
      </w:r>
      <w:r w:rsidR="00D04FB8" w:rsidRPr="00D04FB8">
        <w:rPr>
          <w:b/>
          <w:vertAlign w:val="superscript"/>
        </w:rPr>
        <w:t>st</w:t>
      </w:r>
      <w:r w:rsidR="00D04FB8">
        <w:rPr>
          <w:b/>
        </w:rPr>
        <w:t xml:space="preserve"> Quarter 2019/20</w:t>
      </w:r>
    </w:p>
    <w:p w14:paraId="0DEBB861" w14:textId="77777777" w:rsidR="007429F2" w:rsidRDefault="007429F2" w:rsidP="007429F2">
      <w:pPr>
        <w:spacing w:line="360" w:lineRule="auto"/>
        <w:jc w:val="both"/>
      </w:pPr>
    </w:p>
    <w:p w14:paraId="270D1F5B" w14:textId="77777777" w:rsidR="000A2F98" w:rsidRDefault="00C21A37" w:rsidP="00D91AC2">
      <w:pPr>
        <w:pStyle w:val="ListParagraph"/>
        <w:numPr>
          <w:ilvl w:val="2"/>
          <w:numId w:val="37"/>
        </w:numPr>
        <w:autoSpaceDE w:val="0"/>
        <w:autoSpaceDN w:val="0"/>
        <w:adjustRightInd w:val="0"/>
        <w:spacing w:line="360" w:lineRule="auto"/>
        <w:jc w:val="both"/>
      </w:pPr>
      <w:r>
        <w:t>In the 1</w:t>
      </w:r>
      <w:r w:rsidRPr="00D91AC2">
        <w:rPr>
          <w:vertAlign w:val="superscript"/>
        </w:rPr>
        <w:t>st</w:t>
      </w:r>
      <w:r>
        <w:t xml:space="preserve"> Quarter of 2019/20, the OCJ spent R479.8 million against projected spending of R503.3 million. Underspending for the Quarter was R23.4 million. </w:t>
      </w:r>
    </w:p>
    <w:p w14:paraId="3D78AFCA" w14:textId="77777777" w:rsidR="00C21A37" w:rsidRDefault="00C21A37" w:rsidP="007429F2">
      <w:pPr>
        <w:spacing w:line="360" w:lineRule="auto"/>
        <w:jc w:val="both"/>
      </w:pPr>
    </w:p>
    <w:p w14:paraId="59FCA808" w14:textId="46B46844" w:rsidR="00C21A37" w:rsidRDefault="00C21A37" w:rsidP="00D91AC2">
      <w:pPr>
        <w:pStyle w:val="ListParagraph"/>
        <w:numPr>
          <w:ilvl w:val="2"/>
          <w:numId w:val="37"/>
        </w:numPr>
        <w:autoSpaceDE w:val="0"/>
        <w:autoSpaceDN w:val="0"/>
        <w:adjustRightInd w:val="0"/>
        <w:spacing w:line="360" w:lineRule="auto"/>
        <w:jc w:val="both"/>
      </w:pPr>
      <w:r>
        <w:t>At programme level, underspending is observed in all three programmes. Notably, the Administration programme spent R5.8 million (13.9%) and Superior Court Services R14.4 million (7.5</w:t>
      </w:r>
      <w:r w:rsidR="003646B2">
        <w:t>%</w:t>
      </w:r>
      <w:r>
        <w:t>) less than was projected for the Quarter.</w:t>
      </w:r>
    </w:p>
    <w:p w14:paraId="4CC717F7" w14:textId="77777777" w:rsidR="00C21A37" w:rsidRDefault="00C21A37" w:rsidP="007429F2">
      <w:pPr>
        <w:spacing w:line="360" w:lineRule="auto"/>
        <w:jc w:val="both"/>
      </w:pPr>
    </w:p>
    <w:p w14:paraId="0CEF4F80" w14:textId="77777777" w:rsidR="00812814" w:rsidRPr="00812814" w:rsidRDefault="00C21A37" w:rsidP="00D91AC2">
      <w:pPr>
        <w:pStyle w:val="ListParagraph"/>
        <w:numPr>
          <w:ilvl w:val="2"/>
          <w:numId w:val="37"/>
        </w:numPr>
        <w:autoSpaceDE w:val="0"/>
        <w:autoSpaceDN w:val="0"/>
        <w:adjustRightInd w:val="0"/>
        <w:spacing w:line="360" w:lineRule="auto"/>
        <w:jc w:val="both"/>
        <w:rPr>
          <w:lang w:val="en-US" w:eastAsia="en-US"/>
        </w:rPr>
      </w:pPr>
      <w:r w:rsidRPr="00D91AC2">
        <w:t>The</w:t>
      </w:r>
      <w:r w:rsidRPr="00812814">
        <w:rPr>
          <w:lang w:val="en-US" w:eastAsia="en-US"/>
        </w:rPr>
        <w:t xml:space="preserve"> </w:t>
      </w:r>
      <w:r w:rsidR="00812814" w:rsidRPr="00812814">
        <w:rPr>
          <w:lang w:val="en-US" w:eastAsia="en-US"/>
        </w:rPr>
        <w:t xml:space="preserve">explanation </w:t>
      </w:r>
      <w:r w:rsidRPr="00812814">
        <w:rPr>
          <w:lang w:val="en-US" w:eastAsia="en-US"/>
        </w:rPr>
        <w:t xml:space="preserve">for the </w:t>
      </w:r>
      <w:r w:rsidR="00812814">
        <w:rPr>
          <w:lang w:val="en-US" w:eastAsia="en-US"/>
        </w:rPr>
        <w:t xml:space="preserve">reported </w:t>
      </w:r>
      <w:r w:rsidRPr="00812814">
        <w:rPr>
          <w:lang w:val="en-US" w:eastAsia="en-US"/>
        </w:rPr>
        <w:t>deviation</w:t>
      </w:r>
      <w:r w:rsidR="00812814" w:rsidRPr="00812814">
        <w:rPr>
          <w:lang w:val="en-US" w:eastAsia="en-US"/>
        </w:rPr>
        <w:t>s</w:t>
      </w:r>
      <w:r w:rsidRPr="00812814">
        <w:rPr>
          <w:lang w:val="en-US" w:eastAsia="en-US"/>
        </w:rPr>
        <w:t xml:space="preserve"> are</w:t>
      </w:r>
      <w:r w:rsidR="00812814" w:rsidRPr="00812814">
        <w:rPr>
          <w:lang w:val="en-US" w:eastAsia="en-US"/>
        </w:rPr>
        <w:t xml:space="preserve"> as follows</w:t>
      </w:r>
      <w:r w:rsidRPr="00812814">
        <w:rPr>
          <w:lang w:val="en-US" w:eastAsia="en-US"/>
        </w:rPr>
        <w:t>:</w:t>
      </w:r>
    </w:p>
    <w:p w14:paraId="53C9A323" w14:textId="51DBBAC6" w:rsidR="00C21A37" w:rsidRPr="00812814" w:rsidRDefault="00812814" w:rsidP="007429F2">
      <w:pPr>
        <w:numPr>
          <w:ilvl w:val="0"/>
          <w:numId w:val="5"/>
        </w:numPr>
        <w:autoSpaceDE w:val="0"/>
        <w:autoSpaceDN w:val="0"/>
        <w:adjustRightInd w:val="0"/>
        <w:spacing w:line="360" w:lineRule="auto"/>
        <w:ind w:left="1080" w:hanging="371"/>
        <w:jc w:val="both"/>
        <w:rPr>
          <w:lang w:val="en-US" w:eastAsia="en-US"/>
        </w:rPr>
      </w:pPr>
      <w:r w:rsidRPr="00812814">
        <w:rPr>
          <w:lang w:val="en-US" w:eastAsia="en-US"/>
        </w:rPr>
        <w:t xml:space="preserve">Under Administration, the underspending relates to non-payment of the invoices for contracted ICT services. The March 2019 invoice was disputed and the invoices for April and May 2019 were only received late in June. Payment, however, will be reflected in the </w:t>
      </w:r>
      <w:r w:rsidR="003646B2">
        <w:rPr>
          <w:lang w:val="en-US" w:eastAsia="en-US"/>
        </w:rPr>
        <w:t>2</w:t>
      </w:r>
      <w:r w:rsidR="003646B2" w:rsidRPr="0078546E">
        <w:rPr>
          <w:vertAlign w:val="superscript"/>
          <w:lang w:val="en-US" w:eastAsia="en-US"/>
        </w:rPr>
        <w:t>nd</w:t>
      </w:r>
      <w:r w:rsidR="003646B2">
        <w:rPr>
          <w:lang w:val="en-US" w:eastAsia="en-US"/>
        </w:rPr>
        <w:t xml:space="preserve"> </w:t>
      </w:r>
      <w:r w:rsidRPr="00812814">
        <w:rPr>
          <w:lang w:val="en-US" w:eastAsia="en-US"/>
        </w:rPr>
        <w:t>Quarter expenditure report.</w:t>
      </w:r>
    </w:p>
    <w:p w14:paraId="7984540C" w14:textId="75991751" w:rsidR="00812814" w:rsidRPr="00812814" w:rsidRDefault="00812814" w:rsidP="007429F2">
      <w:pPr>
        <w:numPr>
          <w:ilvl w:val="0"/>
          <w:numId w:val="5"/>
        </w:numPr>
        <w:autoSpaceDE w:val="0"/>
        <w:autoSpaceDN w:val="0"/>
        <w:adjustRightInd w:val="0"/>
        <w:spacing w:line="360" w:lineRule="auto"/>
        <w:ind w:left="1080" w:hanging="371"/>
        <w:jc w:val="both"/>
        <w:rPr>
          <w:lang w:val="en-US" w:eastAsia="en-US"/>
        </w:rPr>
      </w:pPr>
      <w:r w:rsidRPr="00812814">
        <w:rPr>
          <w:lang w:val="en-US" w:eastAsia="en-US"/>
        </w:rPr>
        <w:t>Under Superior Court Services, the underspending relates to outstanding g-Fleet invoices for leased Judges’ vehicle. The delay is due to g-Fleet changing its billing system from Standard Bank to ABSA Bank. The billing system is reportedly now operational and the spending will reflect in the</w:t>
      </w:r>
      <w:r w:rsidR="003646B2">
        <w:rPr>
          <w:lang w:val="en-US" w:eastAsia="en-US"/>
        </w:rPr>
        <w:t xml:space="preserve"> 2</w:t>
      </w:r>
      <w:r w:rsidR="003646B2" w:rsidRPr="0078546E">
        <w:rPr>
          <w:vertAlign w:val="superscript"/>
          <w:lang w:val="en-US" w:eastAsia="en-US"/>
        </w:rPr>
        <w:t>nd</w:t>
      </w:r>
      <w:r w:rsidR="003646B2">
        <w:rPr>
          <w:lang w:val="en-US" w:eastAsia="en-US"/>
        </w:rPr>
        <w:t xml:space="preserve"> </w:t>
      </w:r>
      <w:r w:rsidRPr="00812814">
        <w:rPr>
          <w:lang w:val="en-US" w:eastAsia="en-US"/>
        </w:rPr>
        <w:t>Quarter expenditure report.</w:t>
      </w:r>
    </w:p>
    <w:p w14:paraId="6499447F" w14:textId="1840C9A3" w:rsidR="00812814" w:rsidRPr="00812814" w:rsidRDefault="00812814" w:rsidP="007429F2">
      <w:pPr>
        <w:numPr>
          <w:ilvl w:val="0"/>
          <w:numId w:val="5"/>
        </w:numPr>
        <w:autoSpaceDE w:val="0"/>
        <w:autoSpaceDN w:val="0"/>
        <w:adjustRightInd w:val="0"/>
        <w:spacing w:line="360" w:lineRule="auto"/>
        <w:ind w:left="1080" w:hanging="371"/>
        <w:jc w:val="both"/>
        <w:rPr>
          <w:lang w:val="en-US" w:eastAsia="en-US"/>
        </w:rPr>
      </w:pPr>
      <w:r w:rsidRPr="00812814">
        <w:rPr>
          <w:lang w:val="en-US" w:eastAsia="en-US"/>
        </w:rPr>
        <w:t xml:space="preserve">Under Judicial Education and Support, underspending </w:t>
      </w:r>
      <w:r w:rsidR="003646B2">
        <w:rPr>
          <w:lang w:val="en-US" w:eastAsia="en-US"/>
        </w:rPr>
        <w:t xml:space="preserve">of </w:t>
      </w:r>
      <w:r w:rsidRPr="00812814">
        <w:rPr>
          <w:lang w:val="en-US" w:eastAsia="en-US"/>
        </w:rPr>
        <w:t>R286 000 relates to non-filling of funded vacancies,</w:t>
      </w:r>
    </w:p>
    <w:p w14:paraId="66E5AAF4" w14:textId="77777777" w:rsidR="00C21A37" w:rsidRPr="00812814" w:rsidRDefault="00C21A37" w:rsidP="007429F2">
      <w:pPr>
        <w:autoSpaceDE w:val="0"/>
        <w:autoSpaceDN w:val="0"/>
        <w:adjustRightInd w:val="0"/>
        <w:spacing w:line="360" w:lineRule="auto"/>
        <w:ind w:left="1080"/>
        <w:jc w:val="both"/>
        <w:rPr>
          <w:lang w:val="en-US" w:eastAsia="en-US"/>
        </w:rPr>
      </w:pPr>
    </w:p>
    <w:p w14:paraId="13DC4549" w14:textId="77777777" w:rsidR="003D7013" w:rsidRDefault="00D91AC2" w:rsidP="00D91AC2">
      <w:pPr>
        <w:pStyle w:val="ListParagraph"/>
        <w:numPr>
          <w:ilvl w:val="0"/>
          <w:numId w:val="37"/>
        </w:numPr>
        <w:autoSpaceDE w:val="0"/>
        <w:autoSpaceDN w:val="0"/>
        <w:adjustRightInd w:val="0"/>
        <w:spacing w:line="360" w:lineRule="auto"/>
        <w:ind w:left="567" w:hanging="567"/>
        <w:contextualSpacing/>
        <w:jc w:val="both"/>
        <w:rPr>
          <w:b/>
          <w:lang w:val="en-US" w:eastAsia="en-US"/>
        </w:rPr>
      </w:pPr>
      <w:r>
        <w:rPr>
          <w:b/>
          <w:lang w:val="en-US" w:eastAsia="en-US"/>
        </w:rPr>
        <w:t>P</w:t>
      </w:r>
      <w:r w:rsidR="00FC46EE" w:rsidRPr="007868D0">
        <w:rPr>
          <w:b/>
          <w:lang w:val="en-US" w:eastAsia="en-US"/>
        </w:rPr>
        <w:t>erformance</w:t>
      </w:r>
      <w:r w:rsidR="00AA5595">
        <w:rPr>
          <w:b/>
          <w:lang w:val="en-US" w:eastAsia="en-US"/>
        </w:rPr>
        <w:t xml:space="preserve"> </w:t>
      </w:r>
    </w:p>
    <w:p w14:paraId="045AB18D" w14:textId="77777777" w:rsidR="00D04FB8" w:rsidRDefault="00D04FB8" w:rsidP="007429F2">
      <w:pPr>
        <w:pStyle w:val="ListParagraph"/>
        <w:autoSpaceDE w:val="0"/>
        <w:autoSpaceDN w:val="0"/>
        <w:adjustRightInd w:val="0"/>
        <w:spacing w:line="360" w:lineRule="auto"/>
        <w:ind w:left="567"/>
        <w:contextualSpacing/>
        <w:jc w:val="both"/>
        <w:rPr>
          <w:b/>
          <w:lang w:val="en-US" w:eastAsia="en-US"/>
        </w:rPr>
      </w:pPr>
    </w:p>
    <w:p w14:paraId="265A3242" w14:textId="0FE9E7EC" w:rsidR="0046486C" w:rsidRDefault="00D04FB8" w:rsidP="007429F2">
      <w:pPr>
        <w:tabs>
          <w:tab w:val="num" w:pos="567"/>
        </w:tabs>
        <w:autoSpaceDE w:val="0"/>
        <w:autoSpaceDN w:val="0"/>
        <w:adjustRightInd w:val="0"/>
        <w:spacing w:line="360" w:lineRule="auto"/>
        <w:contextualSpacing/>
        <w:jc w:val="both"/>
        <w:rPr>
          <w:b/>
          <w:lang w:val="en-US" w:eastAsia="en-US"/>
        </w:rPr>
      </w:pPr>
      <w:r>
        <w:rPr>
          <w:b/>
          <w:lang w:val="en-US" w:eastAsia="en-US"/>
        </w:rPr>
        <w:t>Table</w:t>
      </w:r>
      <w:r w:rsidR="00B970CA">
        <w:rPr>
          <w:b/>
          <w:lang w:val="en-US" w:eastAsia="en-US"/>
        </w:rPr>
        <w:t xml:space="preserve"> </w:t>
      </w:r>
      <w:r w:rsidR="0078546E">
        <w:rPr>
          <w:b/>
          <w:lang w:val="en-US" w:eastAsia="en-US"/>
        </w:rPr>
        <w:t>4</w:t>
      </w:r>
      <w:r>
        <w:rPr>
          <w:b/>
          <w:lang w:val="en-US" w:eastAsia="en-US"/>
        </w:rPr>
        <w:t>: Overall achievement of p</w:t>
      </w:r>
      <w:r w:rsidR="00272840">
        <w:rPr>
          <w:b/>
          <w:lang w:val="en-US" w:eastAsia="en-US"/>
        </w:rPr>
        <w:t xml:space="preserve">lanned </w:t>
      </w:r>
      <w:r>
        <w:rPr>
          <w:b/>
          <w:lang w:val="en-US" w:eastAsia="en-US"/>
        </w:rPr>
        <w:t>targets 2015/16 – 2018/19 and 1</w:t>
      </w:r>
      <w:r w:rsidRPr="00D04FB8">
        <w:rPr>
          <w:b/>
          <w:vertAlign w:val="superscript"/>
          <w:lang w:val="en-US" w:eastAsia="en-US"/>
        </w:rPr>
        <w:t>st</w:t>
      </w:r>
      <w:r>
        <w:rPr>
          <w:b/>
          <w:lang w:val="en-US" w:eastAsia="en-US"/>
        </w:rPr>
        <w:t xml:space="preserve"> Quarter 2019/20</w:t>
      </w:r>
    </w:p>
    <w:tbl>
      <w:tblPr>
        <w:tblStyle w:val="TableGrid"/>
        <w:tblW w:w="0" w:type="auto"/>
        <w:tblLook w:val="04A0" w:firstRow="1" w:lastRow="0" w:firstColumn="1" w:lastColumn="0" w:noHBand="0" w:noVBand="1"/>
      </w:tblPr>
      <w:tblGrid>
        <w:gridCol w:w="1790"/>
        <w:gridCol w:w="1656"/>
        <w:gridCol w:w="1657"/>
        <w:gridCol w:w="1657"/>
        <w:gridCol w:w="1446"/>
        <w:gridCol w:w="1446"/>
      </w:tblGrid>
      <w:tr w:rsidR="00D04FB8" w14:paraId="2E0524D6" w14:textId="77777777" w:rsidTr="0078546E">
        <w:trPr>
          <w:tblHeader/>
        </w:trPr>
        <w:tc>
          <w:tcPr>
            <w:tcW w:w="1790" w:type="dxa"/>
            <w:shd w:val="clear" w:color="auto" w:fill="D9D9D9" w:themeFill="background1" w:themeFillShade="D9"/>
          </w:tcPr>
          <w:p w14:paraId="6D46E51E" w14:textId="77777777" w:rsidR="00D04FB8" w:rsidRDefault="00D04FB8" w:rsidP="007429F2">
            <w:pPr>
              <w:tabs>
                <w:tab w:val="num" w:pos="567"/>
              </w:tabs>
              <w:autoSpaceDE w:val="0"/>
              <w:autoSpaceDN w:val="0"/>
              <w:adjustRightInd w:val="0"/>
              <w:spacing w:line="360" w:lineRule="auto"/>
              <w:contextualSpacing/>
              <w:jc w:val="both"/>
              <w:rPr>
                <w:b/>
                <w:lang w:val="en-US" w:eastAsia="en-US"/>
              </w:rPr>
            </w:pPr>
            <w:r>
              <w:rPr>
                <w:b/>
                <w:lang w:val="en-US" w:eastAsia="en-US"/>
              </w:rPr>
              <w:t>No. of Targets</w:t>
            </w:r>
          </w:p>
        </w:tc>
        <w:tc>
          <w:tcPr>
            <w:tcW w:w="1656" w:type="dxa"/>
            <w:shd w:val="clear" w:color="auto" w:fill="D9D9D9" w:themeFill="background1" w:themeFillShade="D9"/>
          </w:tcPr>
          <w:p w14:paraId="53D09341" w14:textId="77777777" w:rsidR="00D04FB8" w:rsidRDefault="00D04FB8" w:rsidP="007429F2">
            <w:pPr>
              <w:tabs>
                <w:tab w:val="num" w:pos="567"/>
              </w:tabs>
              <w:autoSpaceDE w:val="0"/>
              <w:autoSpaceDN w:val="0"/>
              <w:adjustRightInd w:val="0"/>
              <w:spacing w:line="360" w:lineRule="auto"/>
              <w:contextualSpacing/>
              <w:jc w:val="both"/>
              <w:rPr>
                <w:b/>
                <w:lang w:val="en-US" w:eastAsia="en-US"/>
              </w:rPr>
            </w:pPr>
            <w:r>
              <w:rPr>
                <w:b/>
                <w:lang w:val="en-US" w:eastAsia="en-US"/>
              </w:rPr>
              <w:t>2015/16</w:t>
            </w:r>
          </w:p>
        </w:tc>
        <w:tc>
          <w:tcPr>
            <w:tcW w:w="1657" w:type="dxa"/>
            <w:shd w:val="clear" w:color="auto" w:fill="D9D9D9" w:themeFill="background1" w:themeFillShade="D9"/>
          </w:tcPr>
          <w:p w14:paraId="03ADF910" w14:textId="77777777" w:rsidR="00D04FB8" w:rsidRDefault="00D04FB8" w:rsidP="007429F2">
            <w:pPr>
              <w:tabs>
                <w:tab w:val="num" w:pos="567"/>
              </w:tabs>
              <w:autoSpaceDE w:val="0"/>
              <w:autoSpaceDN w:val="0"/>
              <w:adjustRightInd w:val="0"/>
              <w:spacing w:line="360" w:lineRule="auto"/>
              <w:contextualSpacing/>
              <w:jc w:val="both"/>
              <w:rPr>
                <w:b/>
                <w:lang w:val="en-US" w:eastAsia="en-US"/>
              </w:rPr>
            </w:pPr>
            <w:r>
              <w:rPr>
                <w:b/>
                <w:lang w:val="en-US" w:eastAsia="en-US"/>
              </w:rPr>
              <w:t>2016/17</w:t>
            </w:r>
          </w:p>
        </w:tc>
        <w:tc>
          <w:tcPr>
            <w:tcW w:w="1657" w:type="dxa"/>
            <w:shd w:val="clear" w:color="auto" w:fill="D9D9D9" w:themeFill="background1" w:themeFillShade="D9"/>
          </w:tcPr>
          <w:p w14:paraId="44388320" w14:textId="77777777" w:rsidR="00D04FB8" w:rsidRDefault="00D04FB8" w:rsidP="007429F2">
            <w:pPr>
              <w:tabs>
                <w:tab w:val="num" w:pos="567"/>
              </w:tabs>
              <w:autoSpaceDE w:val="0"/>
              <w:autoSpaceDN w:val="0"/>
              <w:adjustRightInd w:val="0"/>
              <w:spacing w:line="360" w:lineRule="auto"/>
              <w:contextualSpacing/>
              <w:jc w:val="both"/>
              <w:rPr>
                <w:b/>
                <w:lang w:val="en-US" w:eastAsia="en-US"/>
              </w:rPr>
            </w:pPr>
            <w:r>
              <w:rPr>
                <w:b/>
                <w:lang w:val="en-US" w:eastAsia="en-US"/>
              </w:rPr>
              <w:t>2017/18</w:t>
            </w:r>
          </w:p>
        </w:tc>
        <w:tc>
          <w:tcPr>
            <w:tcW w:w="1446" w:type="dxa"/>
            <w:shd w:val="clear" w:color="auto" w:fill="D9D9D9" w:themeFill="background1" w:themeFillShade="D9"/>
          </w:tcPr>
          <w:p w14:paraId="470B31D3" w14:textId="77777777" w:rsidR="00D04FB8" w:rsidRDefault="00D04FB8" w:rsidP="007429F2">
            <w:pPr>
              <w:tabs>
                <w:tab w:val="num" w:pos="567"/>
              </w:tabs>
              <w:autoSpaceDE w:val="0"/>
              <w:autoSpaceDN w:val="0"/>
              <w:adjustRightInd w:val="0"/>
              <w:spacing w:line="360" w:lineRule="auto"/>
              <w:contextualSpacing/>
              <w:jc w:val="both"/>
              <w:rPr>
                <w:b/>
                <w:lang w:val="en-US" w:eastAsia="en-US"/>
              </w:rPr>
            </w:pPr>
            <w:r>
              <w:rPr>
                <w:b/>
                <w:lang w:val="en-US" w:eastAsia="en-US"/>
              </w:rPr>
              <w:t>2018/19</w:t>
            </w:r>
          </w:p>
        </w:tc>
        <w:tc>
          <w:tcPr>
            <w:tcW w:w="1446" w:type="dxa"/>
            <w:shd w:val="clear" w:color="auto" w:fill="D9D9D9" w:themeFill="background1" w:themeFillShade="D9"/>
          </w:tcPr>
          <w:p w14:paraId="13834545" w14:textId="77777777" w:rsidR="00D04FB8" w:rsidRPr="00812814" w:rsidRDefault="00D04FB8" w:rsidP="007429F2">
            <w:pPr>
              <w:tabs>
                <w:tab w:val="num" w:pos="567"/>
              </w:tabs>
              <w:autoSpaceDE w:val="0"/>
              <w:autoSpaceDN w:val="0"/>
              <w:adjustRightInd w:val="0"/>
              <w:spacing w:line="360" w:lineRule="auto"/>
              <w:contextualSpacing/>
              <w:jc w:val="both"/>
              <w:rPr>
                <w:b/>
                <w:lang w:val="en-US" w:eastAsia="en-US"/>
              </w:rPr>
            </w:pPr>
            <w:r w:rsidRPr="00812814">
              <w:rPr>
                <w:b/>
                <w:lang w:val="en-US" w:eastAsia="en-US"/>
              </w:rPr>
              <w:t>1</w:t>
            </w:r>
            <w:r w:rsidRPr="00812814">
              <w:rPr>
                <w:b/>
                <w:vertAlign w:val="superscript"/>
                <w:lang w:val="en-US" w:eastAsia="en-US"/>
              </w:rPr>
              <w:t>st</w:t>
            </w:r>
            <w:r w:rsidRPr="00812814">
              <w:rPr>
                <w:b/>
                <w:lang w:val="en-US" w:eastAsia="en-US"/>
              </w:rPr>
              <w:t xml:space="preserve"> Quarter 2019/20</w:t>
            </w:r>
          </w:p>
        </w:tc>
      </w:tr>
      <w:tr w:rsidR="00D04FB8" w14:paraId="17F31747" w14:textId="77777777" w:rsidTr="00730696">
        <w:tc>
          <w:tcPr>
            <w:tcW w:w="1790" w:type="dxa"/>
          </w:tcPr>
          <w:p w14:paraId="1662E522" w14:textId="77777777" w:rsidR="00D04FB8" w:rsidRDefault="00D04FB8" w:rsidP="007429F2">
            <w:pPr>
              <w:tabs>
                <w:tab w:val="num" w:pos="567"/>
              </w:tabs>
              <w:autoSpaceDE w:val="0"/>
              <w:autoSpaceDN w:val="0"/>
              <w:adjustRightInd w:val="0"/>
              <w:spacing w:line="360" w:lineRule="auto"/>
              <w:contextualSpacing/>
              <w:jc w:val="both"/>
              <w:rPr>
                <w:b/>
                <w:lang w:val="en-US" w:eastAsia="en-US"/>
              </w:rPr>
            </w:pPr>
            <w:r>
              <w:rPr>
                <w:b/>
                <w:lang w:val="en-US" w:eastAsia="en-US"/>
              </w:rPr>
              <w:t>Achieved</w:t>
            </w:r>
          </w:p>
        </w:tc>
        <w:tc>
          <w:tcPr>
            <w:tcW w:w="1656" w:type="dxa"/>
          </w:tcPr>
          <w:p w14:paraId="6AFD1673" w14:textId="77777777" w:rsidR="00D04FB8" w:rsidRPr="007107A3" w:rsidRDefault="00D04FB8" w:rsidP="007429F2">
            <w:pPr>
              <w:tabs>
                <w:tab w:val="num" w:pos="567"/>
              </w:tabs>
              <w:autoSpaceDE w:val="0"/>
              <w:autoSpaceDN w:val="0"/>
              <w:adjustRightInd w:val="0"/>
              <w:spacing w:line="360" w:lineRule="auto"/>
              <w:contextualSpacing/>
              <w:jc w:val="both"/>
              <w:rPr>
                <w:lang w:val="en-US" w:eastAsia="en-US"/>
              </w:rPr>
            </w:pPr>
            <w:r w:rsidRPr="007107A3">
              <w:rPr>
                <w:lang w:val="en-US" w:eastAsia="en-US"/>
              </w:rPr>
              <w:t>26</w:t>
            </w:r>
          </w:p>
        </w:tc>
        <w:tc>
          <w:tcPr>
            <w:tcW w:w="1657" w:type="dxa"/>
          </w:tcPr>
          <w:p w14:paraId="0A533676" w14:textId="77777777" w:rsidR="00D04FB8" w:rsidRPr="007107A3" w:rsidRDefault="00D04FB8" w:rsidP="007429F2">
            <w:pPr>
              <w:tabs>
                <w:tab w:val="num" w:pos="567"/>
              </w:tabs>
              <w:autoSpaceDE w:val="0"/>
              <w:autoSpaceDN w:val="0"/>
              <w:adjustRightInd w:val="0"/>
              <w:spacing w:line="360" w:lineRule="auto"/>
              <w:contextualSpacing/>
              <w:jc w:val="both"/>
              <w:rPr>
                <w:lang w:val="en-US" w:eastAsia="en-US"/>
              </w:rPr>
            </w:pPr>
            <w:r w:rsidRPr="007107A3">
              <w:rPr>
                <w:lang w:val="en-US" w:eastAsia="en-US"/>
              </w:rPr>
              <w:t>17</w:t>
            </w:r>
          </w:p>
        </w:tc>
        <w:tc>
          <w:tcPr>
            <w:tcW w:w="1657" w:type="dxa"/>
          </w:tcPr>
          <w:p w14:paraId="355D09EF" w14:textId="77777777" w:rsidR="00D04FB8" w:rsidRPr="007107A3" w:rsidRDefault="00D04FB8" w:rsidP="007429F2">
            <w:pPr>
              <w:tabs>
                <w:tab w:val="num" w:pos="567"/>
              </w:tabs>
              <w:autoSpaceDE w:val="0"/>
              <w:autoSpaceDN w:val="0"/>
              <w:adjustRightInd w:val="0"/>
              <w:spacing w:line="360" w:lineRule="auto"/>
              <w:contextualSpacing/>
              <w:jc w:val="both"/>
              <w:rPr>
                <w:lang w:val="en-US" w:eastAsia="en-US"/>
              </w:rPr>
            </w:pPr>
            <w:r w:rsidRPr="007107A3">
              <w:rPr>
                <w:lang w:val="en-US" w:eastAsia="en-US"/>
              </w:rPr>
              <w:t>19</w:t>
            </w:r>
          </w:p>
        </w:tc>
        <w:tc>
          <w:tcPr>
            <w:tcW w:w="1446" w:type="dxa"/>
          </w:tcPr>
          <w:p w14:paraId="4D52F116" w14:textId="77777777" w:rsidR="00D04FB8" w:rsidRPr="007107A3" w:rsidRDefault="00D04FB8" w:rsidP="007429F2">
            <w:pPr>
              <w:tabs>
                <w:tab w:val="num" w:pos="567"/>
              </w:tabs>
              <w:autoSpaceDE w:val="0"/>
              <w:autoSpaceDN w:val="0"/>
              <w:adjustRightInd w:val="0"/>
              <w:spacing w:line="360" w:lineRule="auto"/>
              <w:contextualSpacing/>
              <w:jc w:val="both"/>
              <w:rPr>
                <w:lang w:val="en-US" w:eastAsia="en-US"/>
              </w:rPr>
            </w:pPr>
            <w:r w:rsidRPr="007107A3">
              <w:rPr>
                <w:lang w:val="en-US" w:eastAsia="en-US"/>
              </w:rPr>
              <w:t>18</w:t>
            </w:r>
          </w:p>
        </w:tc>
        <w:tc>
          <w:tcPr>
            <w:tcW w:w="1446" w:type="dxa"/>
          </w:tcPr>
          <w:p w14:paraId="01F7BBFA" w14:textId="77777777" w:rsidR="00D04FB8" w:rsidRPr="00812814" w:rsidRDefault="00812814" w:rsidP="007429F2">
            <w:pPr>
              <w:tabs>
                <w:tab w:val="num" w:pos="567"/>
              </w:tabs>
              <w:autoSpaceDE w:val="0"/>
              <w:autoSpaceDN w:val="0"/>
              <w:adjustRightInd w:val="0"/>
              <w:spacing w:line="360" w:lineRule="auto"/>
              <w:contextualSpacing/>
              <w:jc w:val="both"/>
              <w:rPr>
                <w:lang w:val="en-US" w:eastAsia="en-US"/>
              </w:rPr>
            </w:pPr>
            <w:r w:rsidRPr="00812814">
              <w:rPr>
                <w:lang w:val="en-US" w:eastAsia="en-US"/>
              </w:rPr>
              <w:t>10</w:t>
            </w:r>
          </w:p>
        </w:tc>
      </w:tr>
      <w:tr w:rsidR="00D04FB8" w14:paraId="0FB073BD" w14:textId="77777777" w:rsidTr="00730696">
        <w:tc>
          <w:tcPr>
            <w:tcW w:w="1790" w:type="dxa"/>
          </w:tcPr>
          <w:p w14:paraId="63D0ADC6" w14:textId="77777777" w:rsidR="00D04FB8" w:rsidRDefault="00D04FB8" w:rsidP="007429F2">
            <w:pPr>
              <w:tabs>
                <w:tab w:val="num" w:pos="567"/>
              </w:tabs>
              <w:autoSpaceDE w:val="0"/>
              <w:autoSpaceDN w:val="0"/>
              <w:adjustRightInd w:val="0"/>
              <w:spacing w:line="360" w:lineRule="auto"/>
              <w:contextualSpacing/>
              <w:jc w:val="both"/>
              <w:rPr>
                <w:b/>
                <w:lang w:val="en-US" w:eastAsia="en-US"/>
              </w:rPr>
            </w:pPr>
            <w:r>
              <w:rPr>
                <w:b/>
                <w:lang w:val="en-US" w:eastAsia="en-US"/>
              </w:rPr>
              <w:t>Not achieved</w:t>
            </w:r>
          </w:p>
        </w:tc>
        <w:tc>
          <w:tcPr>
            <w:tcW w:w="1656" w:type="dxa"/>
          </w:tcPr>
          <w:p w14:paraId="57A77180" w14:textId="77777777" w:rsidR="00D04FB8" w:rsidRPr="007107A3" w:rsidRDefault="00D04FB8" w:rsidP="007429F2">
            <w:pPr>
              <w:tabs>
                <w:tab w:val="num" w:pos="567"/>
              </w:tabs>
              <w:autoSpaceDE w:val="0"/>
              <w:autoSpaceDN w:val="0"/>
              <w:adjustRightInd w:val="0"/>
              <w:spacing w:line="360" w:lineRule="auto"/>
              <w:contextualSpacing/>
              <w:jc w:val="both"/>
              <w:rPr>
                <w:lang w:val="en-US" w:eastAsia="en-US"/>
              </w:rPr>
            </w:pPr>
            <w:r w:rsidRPr="007107A3">
              <w:rPr>
                <w:lang w:val="en-US" w:eastAsia="en-US"/>
              </w:rPr>
              <w:t>9</w:t>
            </w:r>
          </w:p>
        </w:tc>
        <w:tc>
          <w:tcPr>
            <w:tcW w:w="1657" w:type="dxa"/>
          </w:tcPr>
          <w:p w14:paraId="4DBA1CE8" w14:textId="77777777" w:rsidR="00D04FB8" w:rsidRPr="007107A3" w:rsidRDefault="00D04FB8" w:rsidP="007429F2">
            <w:pPr>
              <w:tabs>
                <w:tab w:val="num" w:pos="567"/>
              </w:tabs>
              <w:autoSpaceDE w:val="0"/>
              <w:autoSpaceDN w:val="0"/>
              <w:adjustRightInd w:val="0"/>
              <w:spacing w:line="360" w:lineRule="auto"/>
              <w:contextualSpacing/>
              <w:jc w:val="both"/>
              <w:rPr>
                <w:lang w:val="en-US" w:eastAsia="en-US"/>
              </w:rPr>
            </w:pPr>
            <w:r w:rsidRPr="007107A3">
              <w:rPr>
                <w:lang w:val="en-US" w:eastAsia="en-US"/>
              </w:rPr>
              <w:t>3</w:t>
            </w:r>
          </w:p>
        </w:tc>
        <w:tc>
          <w:tcPr>
            <w:tcW w:w="1657" w:type="dxa"/>
          </w:tcPr>
          <w:p w14:paraId="77F3CF36" w14:textId="30E92C35" w:rsidR="00D04FB8" w:rsidRPr="007107A3" w:rsidRDefault="00040B5F" w:rsidP="00040B5F">
            <w:pPr>
              <w:tabs>
                <w:tab w:val="num" w:pos="567"/>
              </w:tabs>
              <w:autoSpaceDE w:val="0"/>
              <w:autoSpaceDN w:val="0"/>
              <w:adjustRightInd w:val="0"/>
              <w:spacing w:line="360" w:lineRule="auto"/>
              <w:contextualSpacing/>
              <w:jc w:val="both"/>
              <w:rPr>
                <w:lang w:val="en-US" w:eastAsia="en-US"/>
              </w:rPr>
            </w:pPr>
            <w:r>
              <w:rPr>
                <w:lang w:val="en-US" w:eastAsia="en-US"/>
              </w:rPr>
              <w:t>0</w:t>
            </w:r>
          </w:p>
        </w:tc>
        <w:tc>
          <w:tcPr>
            <w:tcW w:w="1446" w:type="dxa"/>
          </w:tcPr>
          <w:p w14:paraId="5F615023" w14:textId="77777777" w:rsidR="00D04FB8" w:rsidRPr="007107A3" w:rsidRDefault="00D04FB8" w:rsidP="007429F2">
            <w:pPr>
              <w:tabs>
                <w:tab w:val="num" w:pos="567"/>
              </w:tabs>
              <w:autoSpaceDE w:val="0"/>
              <w:autoSpaceDN w:val="0"/>
              <w:adjustRightInd w:val="0"/>
              <w:spacing w:line="360" w:lineRule="auto"/>
              <w:contextualSpacing/>
              <w:jc w:val="both"/>
              <w:rPr>
                <w:lang w:val="en-US" w:eastAsia="en-US"/>
              </w:rPr>
            </w:pPr>
            <w:r w:rsidRPr="007107A3">
              <w:rPr>
                <w:lang w:val="en-US" w:eastAsia="en-US"/>
              </w:rPr>
              <w:t>20</w:t>
            </w:r>
          </w:p>
        </w:tc>
        <w:tc>
          <w:tcPr>
            <w:tcW w:w="1446" w:type="dxa"/>
          </w:tcPr>
          <w:p w14:paraId="334C42EE" w14:textId="77777777" w:rsidR="00D04FB8" w:rsidRPr="00812814" w:rsidRDefault="00812814" w:rsidP="007429F2">
            <w:pPr>
              <w:tabs>
                <w:tab w:val="num" w:pos="567"/>
              </w:tabs>
              <w:autoSpaceDE w:val="0"/>
              <w:autoSpaceDN w:val="0"/>
              <w:adjustRightInd w:val="0"/>
              <w:spacing w:line="360" w:lineRule="auto"/>
              <w:contextualSpacing/>
              <w:jc w:val="both"/>
              <w:rPr>
                <w:lang w:val="en-US" w:eastAsia="en-US"/>
              </w:rPr>
            </w:pPr>
            <w:r w:rsidRPr="00812814">
              <w:rPr>
                <w:lang w:val="en-US" w:eastAsia="en-US"/>
              </w:rPr>
              <w:t>4</w:t>
            </w:r>
          </w:p>
        </w:tc>
      </w:tr>
      <w:tr w:rsidR="00D04FB8" w14:paraId="2FD7A888" w14:textId="77777777" w:rsidTr="00730696">
        <w:tc>
          <w:tcPr>
            <w:tcW w:w="1790" w:type="dxa"/>
          </w:tcPr>
          <w:p w14:paraId="7F54D3E0" w14:textId="77777777" w:rsidR="00D04FB8" w:rsidRDefault="00D04FB8" w:rsidP="007429F2">
            <w:pPr>
              <w:tabs>
                <w:tab w:val="num" w:pos="567"/>
              </w:tabs>
              <w:autoSpaceDE w:val="0"/>
              <w:autoSpaceDN w:val="0"/>
              <w:adjustRightInd w:val="0"/>
              <w:spacing w:line="360" w:lineRule="auto"/>
              <w:contextualSpacing/>
              <w:jc w:val="both"/>
              <w:rPr>
                <w:b/>
                <w:lang w:val="en-US" w:eastAsia="en-US"/>
              </w:rPr>
            </w:pPr>
            <w:r>
              <w:rPr>
                <w:b/>
                <w:lang w:val="en-US" w:eastAsia="en-US"/>
              </w:rPr>
              <w:t>Total</w:t>
            </w:r>
          </w:p>
        </w:tc>
        <w:tc>
          <w:tcPr>
            <w:tcW w:w="1656" w:type="dxa"/>
          </w:tcPr>
          <w:p w14:paraId="74513DBF" w14:textId="77777777" w:rsidR="00D04FB8" w:rsidRDefault="00D04FB8" w:rsidP="007429F2">
            <w:pPr>
              <w:tabs>
                <w:tab w:val="num" w:pos="567"/>
              </w:tabs>
              <w:autoSpaceDE w:val="0"/>
              <w:autoSpaceDN w:val="0"/>
              <w:adjustRightInd w:val="0"/>
              <w:spacing w:line="360" w:lineRule="auto"/>
              <w:contextualSpacing/>
              <w:jc w:val="both"/>
              <w:rPr>
                <w:b/>
                <w:lang w:val="en-US" w:eastAsia="en-US"/>
              </w:rPr>
            </w:pPr>
            <w:r>
              <w:rPr>
                <w:b/>
                <w:lang w:val="en-US" w:eastAsia="en-US"/>
              </w:rPr>
              <w:t>35</w:t>
            </w:r>
          </w:p>
        </w:tc>
        <w:tc>
          <w:tcPr>
            <w:tcW w:w="1657" w:type="dxa"/>
          </w:tcPr>
          <w:p w14:paraId="6BBAAE83" w14:textId="77777777" w:rsidR="00D04FB8" w:rsidRDefault="00D04FB8" w:rsidP="007429F2">
            <w:pPr>
              <w:tabs>
                <w:tab w:val="num" w:pos="567"/>
              </w:tabs>
              <w:autoSpaceDE w:val="0"/>
              <w:autoSpaceDN w:val="0"/>
              <w:adjustRightInd w:val="0"/>
              <w:spacing w:line="360" w:lineRule="auto"/>
              <w:contextualSpacing/>
              <w:jc w:val="both"/>
              <w:rPr>
                <w:b/>
                <w:lang w:val="en-US" w:eastAsia="en-US"/>
              </w:rPr>
            </w:pPr>
            <w:r>
              <w:rPr>
                <w:b/>
                <w:lang w:val="en-US" w:eastAsia="en-US"/>
              </w:rPr>
              <w:t>20</w:t>
            </w:r>
          </w:p>
        </w:tc>
        <w:tc>
          <w:tcPr>
            <w:tcW w:w="1657" w:type="dxa"/>
          </w:tcPr>
          <w:p w14:paraId="73C5C79B" w14:textId="77777777" w:rsidR="00D04FB8" w:rsidRDefault="00D04FB8" w:rsidP="007429F2">
            <w:pPr>
              <w:tabs>
                <w:tab w:val="num" w:pos="567"/>
              </w:tabs>
              <w:autoSpaceDE w:val="0"/>
              <w:autoSpaceDN w:val="0"/>
              <w:adjustRightInd w:val="0"/>
              <w:spacing w:line="360" w:lineRule="auto"/>
              <w:contextualSpacing/>
              <w:jc w:val="both"/>
              <w:rPr>
                <w:b/>
                <w:lang w:val="en-US" w:eastAsia="en-US"/>
              </w:rPr>
            </w:pPr>
            <w:r>
              <w:rPr>
                <w:b/>
                <w:lang w:val="en-US" w:eastAsia="en-US"/>
              </w:rPr>
              <w:t>19</w:t>
            </w:r>
          </w:p>
        </w:tc>
        <w:tc>
          <w:tcPr>
            <w:tcW w:w="1446" w:type="dxa"/>
          </w:tcPr>
          <w:p w14:paraId="0587746E" w14:textId="77777777" w:rsidR="00D04FB8" w:rsidRDefault="00D04FB8" w:rsidP="007429F2">
            <w:pPr>
              <w:tabs>
                <w:tab w:val="num" w:pos="567"/>
              </w:tabs>
              <w:autoSpaceDE w:val="0"/>
              <w:autoSpaceDN w:val="0"/>
              <w:adjustRightInd w:val="0"/>
              <w:spacing w:line="360" w:lineRule="auto"/>
              <w:contextualSpacing/>
              <w:jc w:val="both"/>
              <w:rPr>
                <w:b/>
                <w:lang w:val="en-US" w:eastAsia="en-US"/>
              </w:rPr>
            </w:pPr>
            <w:r>
              <w:rPr>
                <w:b/>
                <w:lang w:val="en-US" w:eastAsia="en-US"/>
              </w:rPr>
              <w:t>20</w:t>
            </w:r>
          </w:p>
        </w:tc>
        <w:tc>
          <w:tcPr>
            <w:tcW w:w="1446" w:type="dxa"/>
          </w:tcPr>
          <w:p w14:paraId="388A61D3" w14:textId="77777777" w:rsidR="00D04FB8" w:rsidRPr="00812814" w:rsidRDefault="00812814" w:rsidP="007429F2">
            <w:pPr>
              <w:tabs>
                <w:tab w:val="num" w:pos="567"/>
              </w:tabs>
              <w:autoSpaceDE w:val="0"/>
              <w:autoSpaceDN w:val="0"/>
              <w:adjustRightInd w:val="0"/>
              <w:spacing w:line="360" w:lineRule="auto"/>
              <w:contextualSpacing/>
              <w:jc w:val="both"/>
              <w:rPr>
                <w:b/>
                <w:lang w:val="en-US" w:eastAsia="en-US"/>
              </w:rPr>
            </w:pPr>
            <w:r w:rsidRPr="00812814">
              <w:rPr>
                <w:b/>
                <w:lang w:val="en-US" w:eastAsia="en-US"/>
              </w:rPr>
              <w:t>14</w:t>
            </w:r>
          </w:p>
        </w:tc>
      </w:tr>
      <w:tr w:rsidR="00D04FB8" w14:paraId="2A460533" w14:textId="77777777" w:rsidTr="00730696">
        <w:tc>
          <w:tcPr>
            <w:tcW w:w="1790" w:type="dxa"/>
          </w:tcPr>
          <w:p w14:paraId="7F692AD1" w14:textId="77777777" w:rsidR="00D04FB8" w:rsidRDefault="00D04FB8" w:rsidP="007429F2">
            <w:pPr>
              <w:tabs>
                <w:tab w:val="num" w:pos="567"/>
              </w:tabs>
              <w:autoSpaceDE w:val="0"/>
              <w:autoSpaceDN w:val="0"/>
              <w:adjustRightInd w:val="0"/>
              <w:spacing w:line="360" w:lineRule="auto"/>
              <w:contextualSpacing/>
              <w:jc w:val="both"/>
              <w:rPr>
                <w:b/>
                <w:lang w:val="en-US" w:eastAsia="en-US"/>
              </w:rPr>
            </w:pPr>
            <w:r>
              <w:rPr>
                <w:b/>
                <w:lang w:val="en-US" w:eastAsia="en-US"/>
              </w:rPr>
              <w:t>Percentage achieved</w:t>
            </w:r>
          </w:p>
        </w:tc>
        <w:tc>
          <w:tcPr>
            <w:tcW w:w="1656" w:type="dxa"/>
          </w:tcPr>
          <w:p w14:paraId="009C83B9" w14:textId="77777777" w:rsidR="00D04FB8" w:rsidRDefault="00D04FB8" w:rsidP="007429F2">
            <w:pPr>
              <w:tabs>
                <w:tab w:val="num" w:pos="567"/>
              </w:tabs>
              <w:autoSpaceDE w:val="0"/>
              <w:autoSpaceDN w:val="0"/>
              <w:adjustRightInd w:val="0"/>
              <w:spacing w:line="360" w:lineRule="auto"/>
              <w:contextualSpacing/>
              <w:jc w:val="both"/>
              <w:rPr>
                <w:b/>
                <w:lang w:val="en-US" w:eastAsia="en-US"/>
              </w:rPr>
            </w:pPr>
            <w:r>
              <w:rPr>
                <w:b/>
                <w:lang w:val="en-US" w:eastAsia="en-US"/>
              </w:rPr>
              <w:t>74.2%</w:t>
            </w:r>
          </w:p>
        </w:tc>
        <w:tc>
          <w:tcPr>
            <w:tcW w:w="1657" w:type="dxa"/>
          </w:tcPr>
          <w:p w14:paraId="0F7603FC" w14:textId="77777777" w:rsidR="00D04FB8" w:rsidRDefault="00D04FB8" w:rsidP="007429F2">
            <w:pPr>
              <w:tabs>
                <w:tab w:val="num" w:pos="567"/>
              </w:tabs>
              <w:autoSpaceDE w:val="0"/>
              <w:autoSpaceDN w:val="0"/>
              <w:adjustRightInd w:val="0"/>
              <w:spacing w:line="360" w:lineRule="auto"/>
              <w:contextualSpacing/>
              <w:jc w:val="both"/>
              <w:rPr>
                <w:b/>
                <w:lang w:val="en-US" w:eastAsia="en-US"/>
              </w:rPr>
            </w:pPr>
            <w:r>
              <w:rPr>
                <w:b/>
                <w:lang w:val="en-US" w:eastAsia="en-US"/>
              </w:rPr>
              <w:t>85%</w:t>
            </w:r>
          </w:p>
        </w:tc>
        <w:tc>
          <w:tcPr>
            <w:tcW w:w="1657" w:type="dxa"/>
          </w:tcPr>
          <w:p w14:paraId="3D83A1BB" w14:textId="77777777" w:rsidR="00D04FB8" w:rsidRDefault="00D04FB8" w:rsidP="007429F2">
            <w:pPr>
              <w:tabs>
                <w:tab w:val="num" w:pos="567"/>
              </w:tabs>
              <w:autoSpaceDE w:val="0"/>
              <w:autoSpaceDN w:val="0"/>
              <w:adjustRightInd w:val="0"/>
              <w:spacing w:line="360" w:lineRule="auto"/>
              <w:contextualSpacing/>
              <w:jc w:val="both"/>
              <w:rPr>
                <w:b/>
                <w:lang w:val="en-US" w:eastAsia="en-US"/>
              </w:rPr>
            </w:pPr>
            <w:r>
              <w:rPr>
                <w:b/>
                <w:lang w:val="en-US" w:eastAsia="en-US"/>
              </w:rPr>
              <w:t>100%</w:t>
            </w:r>
          </w:p>
        </w:tc>
        <w:tc>
          <w:tcPr>
            <w:tcW w:w="1446" w:type="dxa"/>
          </w:tcPr>
          <w:p w14:paraId="7DE05756" w14:textId="77777777" w:rsidR="00D04FB8" w:rsidRDefault="00D04FB8" w:rsidP="007429F2">
            <w:pPr>
              <w:tabs>
                <w:tab w:val="num" w:pos="567"/>
              </w:tabs>
              <w:autoSpaceDE w:val="0"/>
              <w:autoSpaceDN w:val="0"/>
              <w:adjustRightInd w:val="0"/>
              <w:spacing w:line="360" w:lineRule="auto"/>
              <w:contextualSpacing/>
              <w:jc w:val="both"/>
              <w:rPr>
                <w:b/>
                <w:lang w:val="en-US" w:eastAsia="en-US"/>
              </w:rPr>
            </w:pPr>
            <w:r>
              <w:rPr>
                <w:b/>
                <w:lang w:val="en-US" w:eastAsia="en-US"/>
              </w:rPr>
              <w:t>90</w:t>
            </w:r>
            <w:r w:rsidR="00D91AC2">
              <w:rPr>
                <w:b/>
                <w:lang w:val="en-US" w:eastAsia="en-US"/>
              </w:rPr>
              <w:t>%</w:t>
            </w:r>
          </w:p>
        </w:tc>
        <w:tc>
          <w:tcPr>
            <w:tcW w:w="1446" w:type="dxa"/>
          </w:tcPr>
          <w:p w14:paraId="22838304" w14:textId="77777777" w:rsidR="00D04FB8" w:rsidRPr="00812814" w:rsidRDefault="00812814" w:rsidP="007429F2">
            <w:pPr>
              <w:tabs>
                <w:tab w:val="num" w:pos="567"/>
              </w:tabs>
              <w:autoSpaceDE w:val="0"/>
              <w:autoSpaceDN w:val="0"/>
              <w:adjustRightInd w:val="0"/>
              <w:spacing w:line="360" w:lineRule="auto"/>
              <w:contextualSpacing/>
              <w:jc w:val="both"/>
              <w:rPr>
                <w:b/>
                <w:lang w:val="en-US" w:eastAsia="en-US"/>
              </w:rPr>
            </w:pPr>
            <w:r w:rsidRPr="00812814">
              <w:rPr>
                <w:b/>
                <w:lang w:val="en-US" w:eastAsia="en-US"/>
              </w:rPr>
              <w:t>71%</w:t>
            </w:r>
          </w:p>
        </w:tc>
      </w:tr>
    </w:tbl>
    <w:p w14:paraId="5B4239B6" w14:textId="77777777" w:rsidR="0046486C" w:rsidRPr="0046486C" w:rsidRDefault="0046486C" w:rsidP="007429F2">
      <w:pPr>
        <w:tabs>
          <w:tab w:val="num" w:pos="567"/>
        </w:tabs>
        <w:autoSpaceDE w:val="0"/>
        <w:autoSpaceDN w:val="0"/>
        <w:adjustRightInd w:val="0"/>
        <w:spacing w:line="360" w:lineRule="auto"/>
        <w:contextualSpacing/>
        <w:jc w:val="both"/>
        <w:rPr>
          <w:b/>
          <w:lang w:val="en-US" w:eastAsia="en-US"/>
        </w:rPr>
      </w:pPr>
    </w:p>
    <w:p w14:paraId="16ACE033" w14:textId="77777777" w:rsidR="00D04FB8" w:rsidRPr="00AA5595" w:rsidRDefault="00D04FB8" w:rsidP="00AA5595">
      <w:pPr>
        <w:pStyle w:val="ListParagraph"/>
        <w:numPr>
          <w:ilvl w:val="1"/>
          <w:numId w:val="38"/>
        </w:numPr>
        <w:spacing w:line="360" w:lineRule="auto"/>
        <w:ind w:left="851" w:hanging="851"/>
        <w:contextualSpacing/>
        <w:jc w:val="both"/>
        <w:rPr>
          <w:lang w:val="en-US" w:eastAsia="en-US"/>
        </w:rPr>
      </w:pPr>
      <w:r w:rsidRPr="00AA5595">
        <w:rPr>
          <w:lang w:val="en-US" w:eastAsia="en-US"/>
        </w:rPr>
        <w:t xml:space="preserve">Overall, the OCJ </w:t>
      </w:r>
      <w:r w:rsidR="00D91AC2" w:rsidRPr="00AA5595">
        <w:rPr>
          <w:lang w:val="en-US" w:eastAsia="en-US"/>
        </w:rPr>
        <w:t xml:space="preserve">has </w:t>
      </w:r>
      <w:r w:rsidRPr="00AA5595">
        <w:rPr>
          <w:lang w:val="en-US" w:eastAsia="en-US"/>
        </w:rPr>
        <w:t>steadily improved its performance against planned targets from 74% in 2015/16 to 100% in 2017/18. In 201</w:t>
      </w:r>
      <w:r w:rsidR="00D91AC2" w:rsidRPr="00AA5595">
        <w:rPr>
          <w:lang w:val="en-US" w:eastAsia="en-US"/>
        </w:rPr>
        <w:t>8</w:t>
      </w:r>
      <w:r w:rsidRPr="00AA5595">
        <w:rPr>
          <w:lang w:val="en-US" w:eastAsia="en-US"/>
        </w:rPr>
        <w:t>/</w:t>
      </w:r>
      <w:r w:rsidR="00D91AC2" w:rsidRPr="00AA5595">
        <w:rPr>
          <w:lang w:val="en-US" w:eastAsia="en-US"/>
        </w:rPr>
        <w:t>19</w:t>
      </w:r>
      <w:r w:rsidRPr="00AA5595">
        <w:rPr>
          <w:lang w:val="en-US" w:eastAsia="en-US"/>
        </w:rPr>
        <w:t>, however, overall performance declined to 90% as the OCJ missed two planned targets under the Administration programme.</w:t>
      </w:r>
    </w:p>
    <w:p w14:paraId="0121B948" w14:textId="77777777" w:rsidR="00D04FB8" w:rsidRDefault="00D04FB8" w:rsidP="007429F2">
      <w:pPr>
        <w:pStyle w:val="ListParagraph"/>
        <w:spacing w:line="360" w:lineRule="auto"/>
        <w:ind w:left="709"/>
        <w:contextualSpacing/>
        <w:jc w:val="both"/>
        <w:rPr>
          <w:lang w:val="en-US" w:eastAsia="en-US"/>
        </w:rPr>
      </w:pPr>
    </w:p>
    <w:p w14:paraId="05CDADD7" w14:textId="77777777" w:rsidR="008D0146" w:rsidRDefault="008D0146" w:rsidP="00AA5595">
      <w:pPr>
        <w:pStyle w:val="ListParagraph"/>
        <w:numPr>
          <w:ilvl w:val="1"/>
          <w:numId w:val="38"/>
        </w:numPr>
        <w:spacing w:line="360" w:lineRule="auto"/>
        <w:ind w:left="709" w:hanging="709"/>
        <w:contextualSpacing/>
        <w:jc w:val="both"/>
        <w:rPr>
          <w:lang w:val="en-US" w:eastAsia="en-US"/>
        </w:rPr>
      </w:pPr>
      <w:r>
        <w:rPr>
          <w:lang w:val="en-US" w:eastAsia="en-US"/>
        </w:rPr>
        <w:t xml:space="preserve">The OCJ reports the following </w:t>
      </w:r>
      <w:r w:rsidR="008832AC">
        <w:rPr>
          <w:lang w:val="en-US" w:eastAsia="en-US"/>
        </w:rPr>
        <w:t xml:space="preserve">key </w:t>
      </w:r>
      <w:r>
        <w:rPr>
          <w:lang w:val="en-US" w:eastAsia="en-US"/>
        </w:rPr>
        <w:t>achievements for 201</w:t>
      </w:r>
      <w:r w:rsidR="00D07F43">
        <w:rPr>
          <w:lang w:val="en-US" w:eastAsia="en-US"/>
        </w:rPr>
        <w:t>8/19</w:t>
      </w:r>
      <w:r>
        <w:rPr>
          <w:lang w:val="en-US" w:eastAsia="en-US"/>
        </w:rPr>
        <w:t>:</w:t>
      </w:r>
    </w:p>
    <w:p w14:paraId="3E92CACD" w14:textId="77777777" w:rsidR="008D0146" w:rsidRDefault="008D0146" w:rsidP="007429F2">
      <w:pPr>
        <w:numPr>
          <w:ilvl w:val="0"/>
          <w:numId w:val="5"/>
        </w:numPr>
        <w:autoSpaceDE w:val="0"/>
        <w:autoSpaceDN w:val="0"/>
        <w:adjustRightInd w:val="0"/>
        <w:spacing w:line="360" w:lineRule="auto"/>
        <w:ind w:left="1080" w:hanging="371"/>
        <w:jc w:val="both"/>
        <w:rPr>
          <w:lang w:val="en-US" w:eastAsia="en-US"/>
        </w:rPr>
      </w:pPr>
      <w:r>
        <w:rPr>
          <w:lang w:val="en-US" w:eastAsia="en-US"/>
        </w:rPr>
        <w:t>A</w:t>
      </w:r>
      <w:r w:rsidR="008832AC">
        <w:rPr>
          <w:lang w:val="en-US" w:eastAsia="en-US"/>
        </w:rPr>
        <w:t xml:space="preserve"> clean </w:t>
      </w:r>
      <w:r w:rsidR="00D07F43">
        <w:rPr>
          <w:lang w:val="en-US" w:eastAsia="en-US"/>
        </w:rPr>
        <w:t>audit outcome for 2018</w:t>
      </w:r>
      <w:r>
        <w:rPr>
          <w:lang w:val="en-US" w:eastAsia="en-US"/>
        </w:rPr>
        <w:t>/1</w:t>
      </w:r>
      <w:r w:rsidR="00D07F43">
        <w:rPr>
          <w:lang w:val="en-US" w:eastAsia="en-US"/>
        </w:rPr>
        <w:t>9</w:t>
      </w:r>
      <w:r>
        <w:rPr>
          <w:lang w:val="en-US" w:eastAsia="en-US"/>
        </w:rPr>
        <w:t>.</w:t>
      </w:r>
    </w:p>
    <w:p w14:paraId="207AFA91" w14:textId="77777777" w:rsidR="008832AC" w:rsidRDefault="008832AC" w:rsidP="007429F2">
      <w:pPr>
        <w:numPr>
          <w:ilvl w:val="0"/>
          <w:numId w:val="5"/>
        </w:numPr>
        <w:autoSpaceDE w:val="0"/>
        <w:autoSpaceDN w:val="0"/>
        <w:adjustRightInd w:val="0"/>
        <w:spacing w:line="360" w:lineRule="auto"/>
        <w:ind w:left="1080" w:hanging="371"/>
        <w:jc w:val="both"/>
        <w:rPr>
          <w:lang w:val="en-US" w:eastAsia="en-US"/>
        </w:rPr>
      </w:pPr>
      <w:r>
        <w:rPr>
          <w:lang w:val="en-US" w:eastAsia="en-US"/>
        </w:rPr>
        <w:t>A vacancy rate of 7.2%, which is below the 10% target set by DPSA.</w:t>
      </w:r>
    </w:p>
    <w:p w14:paraId="28EB49F8" w14:textId="77777777" w:rsidR="008832AC" w:rsidRDefault="008832AC" w:rsidP="007429F2">
      <w:pPr>
        <w:numPr>
          <w:ilvl w:val="0"/>
          <w:numId w:val="5"/>
        </w:numPr>
        <w:autoSpaceDE w:val="0"/>
        <w:autoSpaceDN w:val="0"/>
        <w:adjustRightInd w:val="0"/>
        <w:spacing w:line="360" w:lineRule="auto"/>
        <w:ind w:left="1080" w:hanging="371"/>
        <w:jc w:val="both"/>
        <w:rPr>
          <w:lang w:val="en-US" w:eastAsia="en-US"/>
        </w:rPr>
      </w:pPr>
      <w:r>
        <w:rPr>
          <w:lang w:val="en-US" w:eastAsia="en-US"/>
        </w:rPr>
        <w:t>The OCJ supported the Chief Justice in the planning phase for the execution of his constitutional responsibilities in the establishment of the Sixth Parliament.</w:t>
      </w:r>
    </w:p>
    <w:p w14:paraId="658178E5" w14:textId="77777777" w:rsidR="008832AC" w:rsidRDefault="008832AC" w:rsidP="007429F2">
      <w:pPr>
        <w:numPr>
          <w:ilvl w:val="0"/>
          <w:numId w:val="5"/>
        </w:numPr>
        <w:autoSpaceDE w:val="0"/>
        <w:autoSpaceDN w:val="0"/>
        <w:adjustRightInd w:val="0"/>
        <w:spacing w:line="360" w:lineRule="auto"/>
        <w:ind w:left="1080" w:hanging="371"/>
        <w:jc w:val="both"/>
        <w:rPr>
          <w:lang w:val="en-US" w:eastAsia="en-US"/>
        </w:rPr>
      </w:pPr>
      <w:r>
        <w:rPr>
          <w:lang w:val="en-US" w:eastAsia="en-US"/>
        </w:rPr>
        <w:t>The Combined Assurance Framework was reviewed in consultation with the Audit Risk Committee.</w:t>
      </w:r>
    </w:p>
    <w:p w14:paraId="3307E62C" w14:textId="77777777" w:rsidR="008832AC" w:rsidRDefault="008832AC" w:rsidP="007429F2">
      <w:pPr>
        <w:numPr>
          <w:ilvl w:val="0"/>
          <w:numId w:val="5"/>
        </w:numPr>
        <w:autoSpaceDE w:val="0"/>
        <w:autoSpaceDN w:val="0"/>
        <w:adjustRightInd w:val="0"/>
        <w:spacing w:line="360" w:lineRule="auto"/>
        <w:ind w:left="1080" w:hanging="371"/>
        <w:jc w:val="both"/>
        <w:rPr>
          <w:lang w:val="en-US" w:eastAsia="en-US"/>
        </w:rPr>
      </w:pPr>
      <w:r>
        <w:rPr>
          <w:lang w:val="en-US" w:eastAsia="en-US"/>
        </w:rPr>
        <w:t>A total of 142 skills-enhancing judicial education courses were conducted for Judicial Officers and aspiring Judicial Officers, against a target of 78.</w:t>
      </w:r>
    </w:p>
    <w:p w14:paraId="5115FEEC" w14:textId="77777777" w:rsidR="008D0146" w:rsidRDefault="008D0146" w:rsidP="007429F2">
      <w:pPr>
        <w:autoSpaceDE w:val="0"/>
        <w:autoSpaceDN w:val="0"/>
        <w:adjustRightInd w:val="0"/>
        <w:spacing w:line="360" w:lineRule="auto"/>
        <w:ind w:left="720"/>
        <w:jc w:val="both"/>
        <w:rPr>
          <w:lang w:val="en-US" w:eastAsia="en-US"/>
        </w:rPr>
      </w:pPr>
    </w:p>
    <w:p w14:paraId="53E194E0" w14:textId="77777777" w:rsidR="00930498" w:rsidRDefault="00930498" w:rsidP="00930498">
      <w:pPr>
        <w:pStyle w:val="ListParagraph"/>
        <w:numPr>
          <w:ilvl w:val="1"/>
          <w:numId w:val="38"/>
        </w:numPr>
        <w:spacing w:line="360" w:lineRule="auto"/>
        <w:ind w:left="709" w:hanging="709"/>
        <w:contextualSpacing/>
        <w:jc w:val="both"/>
        <w:rPr>
          <w:b/>
          <w:lang w:val="en-ZA"/>
        </w:rPr>
      </w:pPr>
      <w:r>
        <w:rPr>
          <w:b/>
          <w:lang w:val="en-ZA"/>
        </w:rPr>
        <w:t>Comparing performance with spending 2018/19</w:t>
      </w:r>
    </w:p>
    <w:p w14:paraId="101939DB" w14:textId="77777777" w:rsidR="00930498" w:rsidRDefault="00930498" w:rsidP="00930498">
      <w:pPr>
        <w:pStyle w:val="ListParagraph"/>
        <w:autoSpaceDE w:val="0"/>
        <w:autoSpaceDN w:val="0"/>
        <w:adjustRightInd w:val="0"/>
        <w:spacing w:line="360" w:lineRule="auto"/>
        <w:ind w:left="709"/>
        <w:contextualSpacing/>
        <w:jc w:val="both"/>
        <w:rPr>
          <w:b/>
          <w:lang w:val="en-ZA"/>
        </w:rPr>
      </w:pPr>
    </w:p>
    <w:p w14:paraId="32CD504A" w14:textId="0E56C05C" w:rsidR="00930498" w:rsidRPr="00930498" w:rsidRDefault="00930498" w:rsidP="00930498">
      <w:pPr>
        <w:autoSpaceDE w:val="0"/>
        <w:autoSpaceDN w:val="0"/>
        <w:adjustRightInd w:val="0"/>
        <w:spacing w:line="360" w:lineRule="auto"/>
        <w:contextualSpacing/>
        <w:jc w:val="both"/>
        <w:rPr>
          <w:b/>
          <w:lang w:val="en-ZA"/>
        </w:rPr>
      </w:pPr>
      <w:r w:rsidRPr="00930498">
        <w:rPr>
          <w:b/>
          <w:lang w:val="en-ZA"/>
        </w:rPr>
        <w:t xml:space="preserve">Table </w:t>
      </w:r>
      <w:r w:rsidR="0078546E">
        <w:rPr>
          <w:b/>
          <w:lang w:val="en-ZA"/>
        </w:rPr>
        <w:t>5</w:t>
      </w:r>
      <w:r>
        <w:rPr>
          <w:b/>
          <w:lang w:val="en-ZA"/>
        </w:rPr>
        <w:t>: Programme performance and spending 2018/19</w:t>
      </w:r>
    </w:p>
    <w:tbl>
      <w:tblPr>
        <w:tblStyle w:val="TableGrid"/>
        <w:tblW w:w="5000" w:type="pct"/>
        <w:tblLook w:val="04A0" w:firstRow="1" w:lastRow="0" w:firstColumn="1" w:lastColumn="0" w:noHBand="0" w:noVBand="1"/>
      </w:tblPr>
      <w:tblGrid>
        <w:gridCol w:w="3688"/>
        <w:gridCol w:w="3192"/>
        <w:gridCol w:w="3082"/>
      </w:tblGrid>
      <w:tr w:rsidR="00930498" w14:paraId="7A742BA2" w14:textId="77777777" w:rsidTr="0078546E">
        <w:trPr>
          <w:tblHeader/>
        </w:trPr>
        <w:tc>
          <w:tcPr>
            <w:tcW w:w="1851" w:type="pct"/>
            <w:shd w:val="clear" w:color="auto" w:fill="D9D9D9" w:themeFill="background1" w:themeFillShade="D9"/>
          </w:tcPr>
          <w:p w14:paraId="098DF689" w14:textId="77777777" w:rsidR="00930498" w:rsidRDefault="00930498" w:rsidP="00156569">
            <w:pPr>
              <w:pStyle w:val="ListParagraph"/>
              <w:autoSpaceDE w:val="0"/>
              <w:autoSpaceDN w:val="0"/>
              <w:adjustRightInd w:val="0"/>
              <w:spacing w:line="360" w:lineRule="auto"/>
              <w:ind w:left="0"/>
              <w:contextualSpacing/>
              <w:jc w:val="both"/>
              <w:rPr>
                <w:b/>
                <w:lang w:val="en-ZA"/>
              </w:rPr>
            </w:pPr>
            <w:r>
              <w:rPr>
                <w:b/>
                <w:lang w:val="en-ZA"/>
              </w:rPr>
              <w:t>Programme</w:t>
            </w:r>
          </w:p>
        </w:tc>
        <w:tc>
          <w:tcPr>
            <w:tcW w:w="1602" w:type="pct"/>
            <w:shd w:val="clear" w:color="auto" w:fill="D9D9D9" w:themeFill="background1" w:themeFillShade="D9"/>
          </w:tcPr>
          <w:p w14:paraId="26379C78" w14:textId="77777777" w:rsidR="00930498" w:rsidRDefault="00930498" w:rsidP="00156569">
            <w:pPr>
              <w:pStyle w:val="ListParagraph"/>
              <w:autoSpaceDE w:val="0"/>
              <w:autoSpaceDN w:val="0"/>
              <w:adjustRightInd w:val="0"/>
              <w:spacing w:line="360" w:lineRule="auto"/>
              <w:ind w:left="0"/>
              <w:contextualSpacing/>
              <w:jc w:val="both"/>
              <w:rPr>
                <w:b/>
                <w:lang w:val="en-ZA"/>
              </w:rPr>
            </w:pPr>
            <w:r>
              <w:rPr>
                <w:b/>
                <w:lang w:val="en-ZA"/>
              </w:rPr>
              <w:t>Performance</w:t>
            </w:r>
          </w:p>
        </w:tc>
        <w:tc>
          <w:tcPr>
            <w:tcW w:w="1548" w:type="pct"/>
            <w:shd w:val="clear" w:color="auto" w:fill="D9D9D9" w:themeFill="background1" w:themeFillShade="D9"/>
          </w:tcPr>
          <w:p w14:paraId="3E7A71FF" w14:textId="77777777" w:rsidR="00930498" w:rsidRDefault="00930498" w:rsidP="00156569">
            <w:pPr>
              <w:pStyle w:val="ListParagraph"/>
              <w:autoSpaceDE w:val="0"/>
              <w:autoSpaceDN w:val="0"/>
              <w:adjustRightInd w:val="0"/>
              <w:spacing w:line="360" w:lineRule="auto"/>
              <w:ind w:left="0"/>
              <w:contextualSpacing/>
              <w:jc w:val="both"/>
              <w:rPr>
                <w:b/>
                <w:lang w:val="en-ZA"/>
              </w:rPr>
            </w:pPr>
            <w:r>
              <w:rPr>
                <w:b/>
                <w:lang w:val="en-ZA"/>
              </w:rPr>
              <w:t>Expenditure</w:t>
            </w:r>
          </w:p>
        </w:tc>
      </w:tr>
      <w:tr w:rsidR="00930498" w14:paraId="0041E016" w14:textId="77777777" w:rsidTr="00156569">
        <w:tc>
          <w:tcPr>
            <w:tcW w:w="1851" w:type="pct"/>
          </w:tcPr>
          <w:p w14:paraId="55BAEA8C" w14:textId="77777777" w:rsidR="00930498" w:rsidRDefault="00930498" w:rsidP="00156569">
            <w:pPr>
              <w:pStyle w:val="ListParagraph"/>
              <w:autoSpaceDE w:val="0"/>
              <w:autoSpaceDN w:val="0"/>
              <w:adjustRightInd w:val="0"/>
              <w:spacing w:line="360" w:lineRule="auto"/>
              <w:ind w:left="0"/>
              <w:contextualSpacing/>
              <w:jc w:val="both"/>
              <w:rPr>
                <w:b/>
                <w:lang w:val="en-ZA"/>
              </w:rPr>
            </w:pPr>
            <w:r>
              <w:rPr>
                <w:b/>
                <w:lang w:val="en-ZA"/>
              </w:rPr>
              <w:t>Administration</w:t>
            </w:r>
          </w:p>
        </w:tc>
        <w:tc>
          <w:tcPr>
            <w:tcW w:w="1602" w:type="pct"/>
          </w:tcPr>
          <w:p w14:paraId="7EC4F112" w14:textId="77777777" w:rsidR="00930498" w:rsidRPr="00930498" w:rsidRDefault="00930498" w:rsidP="00156569">
            <w:pPr>
              <w:tabs>
                <w:tab w:val="num" w:pos="567"/>
              </w:tabs>
              <w:autoSpaceDE w:val="0"/>
              <w:autoSpaceDN w:val="0"/>
              <w:adjustRightInd w:val="0"/>
              <w:spacing w:line="360" w:lineRule="auto"/>
              <w:contextualSpacing/>
              <w:jc w:val="both"/>
              <w:rPr>
                <w:lang w:val="en-US" w:eastAsia="en-US"/>
              </w:rPr>
            </w:pPr>
            <w:r w:rsidRPr="00930498">
              <w:rPr>
                <w:lang w:val="en-US" w:eastAsia="en-US"/>
              </w:rPr>
              <w:t>80% (8/10)</w:t>
            </w:r>
          </w:p>
        </w:tc>
        <w:tc>
          <w:tcPr>
            <w:tcW w:w="1548" w:type="pct"/>
          </w:tcPr>
          <w:p w14:paraId="6461352D" w14:textId="77777777" w:rsidR="00930498" w:rsidRPr="00930498" w:rsidRDefault="00930498" w:rsidP="00156569">
            <w:pPr>
              <w:pStyle w:val="ListParagraph"/>
              <w:autoSpaceDE w:val="0"/>
              <w:autoSpaceDN w:val="0"/>
              <w:adjustRightInd w:val="0"/>
              <w:spacing w:line="360" w:lineRule="auto"/>
              <w:ind w:left="0"/>
              <w:contextualSpacing/>
              <w:jc w:val="both"/>
              <w:rPr>
                <w:lang w:val="en-ZA"/>
              </w:rPr>
            </w:pPr>
            <w:r w:rsidRPr="00930498">
              <w:rPr>
                <w:lang w:val="en-ZA"/>
              </w:rPr>
              <w:t>99.7%</w:t>
            </w:r>
          </w:p>
        </w:tc>
      </w:tr>
      <w:tr w:rsidR="00930498" w14:paraId="76711BDF" w14:textId="77777777" w:rsidTr="00156569">
        <w:tc>
          <w:tcPr>
            <w:tcW w:w="1851" w:type="pct"/>
          </w:tcPr>
          <w:p w14:paraId="7A3E4C35" w14:textId="77777777" w:rsidR="00930498" w:rsidRDefault="00930498" w:rsidP="00156569">
            <w:pPr>
              <w:pStyle w:val="ListParagraph"/>
              <w:autoSpaceDE w:val="0"/>
              <w:autoSpaceDN w:val="0"/>
              <w:adjustRightInd w:val="0"/>
              <w:spacing w:line="360" w:lineRule="auto"/>
              <w:ind w:left="0"/>
              <w:contextualSpacing/>
              <w:jc w:val="both"/>
              <w:rPr>
                <w:b/>
                <w:lang w:val="en-ZA"/>
              </w:rPr>
            </w:pPr>
            <w:r>
              <w:rPr>
                <w:b/>
                <w:lang w:val="en-ZA"/>
              </w:rPr>
              <w:t xml:space="preserve">Superior Court Services </w:t>
            </w:r>
          </w:p>
        </w:tc>
        <w:tc>
          <w:tcPr>
            <w:tcW w:w="1602" w:type="pct"/>
          </w:tcPr>
          <w:p w14:paraId="42FE9181" w14:textId="77777777" w:rsidR="00930498" w:rsidRPr="00930498" w:rsidRDefault="00930498" w:rsidP="00156569">
            <w:pPr>
              <w:tabs>
                <w:tab w:val="num" w:pos="567"/>
              </w:tabs>
              <w:autoSpaceDE w:val="0"/>
              <w:autoSpaceDN w:val="0"/>
              <w:adjustRightInd w:val="0"/>
              <w:spacing w:line="360" w:lineRule="auto"/>
              <w:contextualSpacing/>
              <w:jc w:val="both"/>
              <w:rPr>
                <w:lang w:val="en-US" w:eastAsia="en-US"/>
              </w:rPr>
            </w:pPr>
            <w:r w:rsidRPr="00930498">
              <w:rPr>
                <w:lang w:val="en-US" w:eastAsia="en-US"/>
              </w:rPr>
              <w:t>100% (6/6)</w:t>
            </w:r>
          </w:p>
        </w:tc>
        <w:tc>
          <w:tcPr>
            <w:tcW w:w="1548" w:type="pct"/>
          </w:tcPr>
          <w:p w14:paraId="3B20DAA7" w14:textId="4FDCA085" w:rsidR="00930498" w:rsidRPr="00930498" w:rsidRDefault="00930498" w:rsidP="00156569">
            <w:pPr>
              <w:pStyle w:val="ListParagraph"/>
              <w:autoSpaceDE w:val="0"/>
              <w:autoSpaceDN w:val="0"/>
              <w:adjustRightInd w:val="0"/>
              <w:spacing w:line="360" w:lineRule="auto"/>
              <w:ind w:left="0"/>
              <w:contextualSpacing/>
              <w:jc w:val="both"/>
              <w:rPr>
                <w:lang w:val="en-ZA"/>
              </w:rPr>
            </w:pPr>
            <w:r w:rsidRPr="00930498">
              <w:rPr>
                <w:lang w:val="en-ZA"/>
              </w:rPr>
              <w:t>97.2</w:t>
            </w:r>
            <w:r w:rsidR="003646B2">
              <w:rPr>
                <w:lang w:val="en-ZA"/>
              </w:rPr>
              <w:t>%</w:t>
            </w:r>
          </w:p>
        </w:tc>
      </w:tr>
      <w:tr w:rsidR="00930498" w14:paraId="3D292BB8" w14:textId="77777777" w:rsidTr="00156569">
        <w:tc>
          <w:tcPr>
            <w:tcW w:w="1851" w:type="pct"/>
          </w:tcPr>
          <w:p w14:paraId="6C4726BB" w14:textId="77777777" w:rsidR="00930498" w:rsidRDefault="00930498" w:rsidP="00156569">
            <w:pPr>
              <w:pStyle w:val="ListParagraph"/>
              <w:autoSpaceDE w:val="0"/>
              <w:autoSpaceDN w:val="0"/>
              <w:adjustRightInd w:val="0"/>
              <w:spacing w:line="360" w:lineRule="auto"/>
              <w:ind w:left="0"/>
              <w:contextualSpacing/>
              <w:jc w:val="both"/>
              <w:rPr>
                <w:b/>
                <w:lang w:val="en-ZA"/>
              </w:rPr>
            </w:pPr>
            <w:r w:rsidRPr="007868D0">
              <w:rPr>
                <w:b/>
                <w:lang w:val="en-US" w:eastAsia="en-US"/>
              </w:rPr>
              <w:t>Judicial Educat</w:t>
            </w:r>
            <w:r>
              <w:rPr>
                <w:b/>
                <w:lang w:val="en-US" w:eastAsia="en-US"/>
              </w:rPr>
              <w:t>ion and Support</w:t>
            </w:r>
          </w:p>
        </w:tc>
        <w:tc>
          <w:tcPr>
            <w:tcW w:w="1602" w:type="pct"/>
          </w:tcPr>
          <w:p w14:paraId="00A5C35B" w14:textId="77777777" w:rsidR="00930498" w:rsidRPr="00930498" w:rsidRDefault="00930498" w:rsidP="00156569">
            <w:pPr>
              <w:tabs>
                <w:tab w:val="num" w:pos="567"/>
              </w:tabs>
              <w:autoSpaceDE w:val="0"/>
              <w:autoSpaceDN w:val="0"/>
              <w:adjustRightInd w:val="0"/>
              <w:spacing w:line="360" w:lineRule="auto"/>
              <w:contextualSpacing/>
              <w:jc w:val="both"/>
              <w:rPr>
                <w:lang w:val="en-US" w:eastAsia="en-US"/>
              </w:rPr>
            </w:pPr>
            <w:r w:rsidRPr="00930498">
              <w:rPr>
                <w:lang w:val="en-US" w:eastAsia="en-US"/>
              </w:rPr>
              <w:t>100% (4/4)</w:t>
            </w:r>
          </w:p>
        </w:tc>
        <w:tc>
          <w:tcPr>
            <w:tcW w:w="1548" w:type="pct"/>
          </w:tcPr>
          <w:p w14:paraId="7244316E" w14:textId="77777777" w:rsidR="00930498" w:rsidRPr="00930498" w:rsidRDefault="00930498" w:rsidP="00156569">
            <w:pPr>
              <w:pStyle w:val="ListParagraph"/>
              <w:autoSpaceDE w:val="0"/>
              <w:autoSpaceDN w:val="0"/>
              <w:adjustRightInd w:val="0"/>
              <w:spacing w:line="360" w:lineRule="auto"/>
              <w:ind w:left="0"/>
              <w:contextualSpacing/>
              <w:jc w:val="both"/>
              <w:rPr>
                <w:lang w:val="en-ZA"/>
              </w:rPr>
            </w:pPr>
            <w:r w:rsidRPr="00930498">
              <w:rPr>
                <w:lang w:val="en-ZA"/>
              </w:rPr>
              <w:t>96.1%</w:t>
            </w:r>
          </w:p>
        </w:tc>
      </w:tr>
      <w:tr w:rsidR="00930498" w14:paraId="24BC4F04" w14:textId="77777777" w:rsidTr="00156569">
        <w:tc>
          <w:tcPr>
            <w:tcW w:w="1851" w:type="pct"/>
          </w:tcPr>
          <w:p w14:paraId="6F7F004B" w14:textId="77777777" w:rsidR="00930498" w:rsidRPr="007868D0" w:rsidRDefault="00930498" w:rsidP="00156569">
            <w:pPr>
              <w:pStyle w:val="ListParagraph"/>
              <w:autoSpaceDE w:val="0"/>
              <w:autoSpaceDN w:val="0"/>
              <w:adjustRightInd w:val="0"/>
              <w:spacing w:line="360" w:lineRule="auto"/>
              <w:ind w:left="0"/>
              <w:contextualSpacing/>
              <w:jc w:val="both"/>
              <w:rPr>
                <w:b/>
                <w:lang w:val="en-US" w:eastAsia="en-US"/>
              </w:rPr>
            </w:pPr>
            <w:r>
              <w:rPr>
                <w:b/>
                <w:lang w:val="en-US" w:eastAsia="en-US"/>
              </w:rPr>
              <w:t xml:space="preserve">Overall </w:t>
            </w:r>
          </w:p>
        </w:tc>
        <w:tc>
          <w:tcPr>
            <w:tcW w:w="1602" w:type="pct"/>
          </w:tcPr>
          <w:p w14:paraId="763B1DE7" w14:textId="77777777" w:rsidR="00930498" w:rsidRPr="00930498" w:rsidRDefault="00930498" w:rsidP="00156569">
            <w:pPr>
              <w:tabs>
                <w:tab w:val="num" w:pos="567"/>
              </w:tabs>
              <w:autoSpaceDE w:val="0"/>
              <w:autoSpaceDN w:val="0"/>
              <w:adjustRightInd w:val="0"/>
              <w:spacing w:line="360" w:lineRule="auto"/>
              <w:contextualSpacing/>
              <w:jc w:val="both"/>
              <w:rPr>
                <w:b/>
                <w:lang w:val="en-US" w:eastAsia="en-US"/>
              </w:rPr>
            </w:pPr>
            <w:r w:rsidRPr="00930498">
              <w:rPr>
                <w:b/>
                <w:lang w:val="en-US" w:eastAsia="en-US"/>
              </w:rPr>
              <w:t>90%</w:t>
            </w:r>
          </w:p>
        </w:tc>
        <w:tc>
          <w:tcPr>
            <w:tcW w:w="1548" w:type="pct"/>
          </w:tcPr>
          <w:p w14:paraId="54F70D0B" w14:textId="77777777" w:rsidR="00930498" w:rsidRPr="00930498" w:rsidRDefault="00930498" w:rsidP="00156569">
            <w:pPr>
              <w:pStyle w:val="ListParagraph"/>
              <w:autoSpaceDE w:val="0"/>
              <w:autoSpaceDN w:val="0"/>
              <w:adjustRightInd w:val="0"/>
              <w:spacing w:line="360" w:lineRule="auto"/>
              <w:ind w:left="0"/>
              <w:contextualSpacing/>
              <w:jc w:val="both"/>
              <w:rPr>
                <w:b/>
                <w:lang w:val="en-ZA"/>
              </w:rPr>
            </w:pPr>
            <w:r w:rsidRPr="00930498">
              <w:rPr>
                <w:b/>
                <w:lang w:val="en-ZA"/>
              </w:rPr>
              <w:t>97.5%</w:t>
            </w:r>
          </w:p>
        </w:tc>
      </w:tr>
    </w:tbl>
    <w:p w14:paraId="67301522" w14:textId="77777777" w:rsidR="00930498" w:rsidRDefault="00930498" w:rsidP="007429F2">
      <w:pPr>
        <w:autoSpaceDE w:val="0"/>
        <w:autoSpaceDN w:val="0"/>
        <w:adjustRightInd w:val="0"/>
        <w:spacing w:line="360" w:lineRule="auto"/>
        <w:ind w:left="720"/>
        <w:jc w:val="both"/>
        <w:rPr>
          <w:lang w:val="en-US" w:eastAsia="en-US"/>
        </w:rPr>
      </w:pPr>
    </w:p>
    <w:p w14:paraId="3AA79A89" w14:textId="77777777" w:rsidR="00930498" w:rsidRPr="00930498" w:rsidRDefault="00930498" w:rsidP="00930498">
      <w:pPr>
        <w:pStyle w:val="ListParagraph"/>
        <w:numPr>
          <w:ilvl w:val="2"/>
          <w:numId w:val="38"/>
        </w:numPr>
        <w:autoSpaceDE w:val="0"/>
        <w:autoSpaceDN w:val="0"/>
        <w:adjustRightInd w:val="0"/>
        <w:spacing w:line="360" w:lineRule="auto"/>
        <w:jc w:val="both"/>
        <w:rPr>
          <w:lang w:val="en-US" w:eastAsia="en-US"/>
        </w:rPr>
      </w:pPr>
      <w:r w:rsidRPr="00930498">
        <w:rPr>
          <w:lang w:val="en-US" w:eastAsia="en-US"/>
        </w:rPr>
        <w:t>In</w:t>
      </w:r>
      <w:r w:rsidRPr="00930498">
        <w:t xml:space="preserve"> 2018/19, at programme level, the OCJ met 90% of its planned targets, while spending 97.5%</w:t>
      </w:r>
      <w:r w:rsidRPr="00930498">
        <w:rPr>
          <w:lang w:val="en-US" w:eastAsia="en-US"/>
        </w:rPr>
        <w:t xml:space="preserve"> of its final budget.</w:t>
      </w:r>
    </w:p>
    <w:p w14:paraId="4AE043CC" w14:textId="77777777" w:rsidR="00930498" w:rsidRDefault="00930498" w:rsidP="007429F2">
      <w:pPr>
        <w:autoSpaceDE w:val="0"/>
        <w:autoSpaceDN w:val="0"/>
        <w:adjustRightInd w:val="0"/>
        <w:spacing w:line="360" w:lineRule="auto"/>
        <w:ind w:left="720"/>
        <w:jc w:val="both"/>
        <w:rPr>
          <w:lang w:val="en-US" w:eastAsia="en-US"/>
        </w:rPr>
      </w:pPr>
    </w:p>
    <w:p w14:paraId="1895D4A2" w14:textId="77777777" w:rsidR="008832AC" w:rsidRDefault="008832AC" w:rsidP="00AA5595">
      <w:pPr>
        <w:pStyle w:val="ListParagraph"/>
        <w:numPr>
          <w:ilvl w:val="0"/>
          <w:numId w:val="37"/>
        </w:numPr>
        <w:autoSpaceDE w:val="0"/>
        <w:autoSpaceDN w:val="0"/>
        <w:adjustRightInd w:val="0"/>
        <w:spacing w:line="360" w:lineRule="auto"/>
        <w:ind w:left="709" w:hanging="709"/>
        <w:contextualSpacing/>
        <w:jc w:val="both"/>
        <w:rPr>
          <w:b/>
          <w:lang w:val="en-US" w:eastAsia="en-US"/>
        </w:rPr>
      </w:pPr>
      <w:r>
        <w:rPr>
          <w:b/>
          <w:lang w:val="en-US" w:eastAsia="en-US"/>
        </w:rPr>
        <w:t>Programme performance</w:t>
      </w:r>
      <w:r w:rsidR="00D04FB8">
        <w:rPr>
          <w:b/>
          <w:lang w:val="en-US" w:eastAsia="en-US"/>
        </w:rPr>
        <w:t xml:space="preserve"> 2018/19</w:t>
      </w:r>
      <w:r w:rsidR="00AA5595">
        <w:rPr>
          <w:b/>
          <w:lang w:val="en-US" w:eastAsia="en-US"/>
        </w:rPr>
        <w:t xml:space="preserve"> and first Quarter 2019/20</w:t>
      </w:r>
    </w:p>
    <w:p w14:paraId="470B176E" w14:textId="77777777" w:rsidR="00D04FB8" w:rsidRDefault="00D04FB8" w:rsidP="007429F2">
      <w:pPr>
        <w:pStyle w:val="ListParagraph"/>
        <w:autoSpaceDE w:val="0"/>
        <w:autoSpaceDN w:val="0"/>
        <w:adjustRightInd w:val="0"/>
        <w:spacing w:line="360" w:lineRule="auto"/>
        <w:ind w:left="567"/>
        <w:contextualSpacing/>
        <w:jc w:val="both"/>
        <w:rPr>
          <w:b/>
          <w:lang w:val="en-US" w:eastAsia="en-US"/>
        </w:rPr>
      </w:pPr>
    </w:p>
    <w:p w14:paraId="0F8EA2DE" w14:textId="77777777" w:rsidR="003D7013" w:rsidRPr="00930498" w:rsidRDefault="003D7013" w:rsidP="00930498">
      <w:pPr>
        <w:pStyle w:val="ListParagraph"/>
        <w:numPr>
          <w:ilvl w:val="1"/>
          <w:numId w:val="45"/>
        </w:numPr>
        <w:spacing w:line="360" w:lineRule="auto"/>
        <w:ind w:left="709" w:hanging="709"/>
        <w:contextualSpacing/>
        <w:jc w:val="both"/>
        <w:rPr>
          <w:b/>
          <w:lang w:val="en-US" w:eastAsia="en-US"/>
        </w:rPr>
      </w:pPr>
      <w:r w:rsidRPr="00930498">
        <w:rPr>
          <w:b/>
          <w:lang w:val="en-US" w:eastAsia="en-US"/>
        </w:rPr>
        <w:t>Programme 1: Administration</w:t>
      </w:r>
    </w:p>
    <w:p w14:paraId="6E0AD232" w14:textId="77777777" w:rsidR="003D7013" w:rsidRPr="007868D0" w:rsidRDefault="003D7013" w:rsidP="007429F2">
      <w:pPr>
        <w:autoSpaceDE w:val="0"/>
        <w:autoSpaceDN w:val="0"/>
        <w:adjustRightInd w:val="0"/>
        <w:spacing w:line="360" w:lineRule="auto"/>
        <w:jc w:val="both"/>
        <w:rPr>
          <w:lang w:val="en-US" w:eastAsia="en-US"/>
        </w:rPr>
      </w:pPr>
    </w:p>
    <w:p w14:paraId="302EC72B" w14:textId="7C51B93A" w:rsidR="006D2386" w:rsidRPr="00930498" w:rsidRDefault="006D2386" w:rsidP="00930498">
      <w:pPr>
        <w:pStyle w:val="ListParagraph"/>
        <w:numPr>
          <w:ilvl w:val="2"/>
          <w:numId w:val="45"/>
        </w:numPr>
        <w:autoSpaceDE w:val="0"/>
        <w:autoSpaceDN w:val="0"/>
        <w:adjustRightInd w:val="0"/>
        <w:spacing w:line="360" w:lineRule="auto"/>
        <w:jc w:val="both"/>
        <w:rPr>
          <w:lang w:val="en-US" w:eastAsia="en-US"/>
        </w:rPr>
      </w:pPr>
      <w:r w:rsidRPr="00930498">
        <w:rPr>
          <w:lang w:val="en-US" w:eastAsia="en-US"/>
        </w:rPr>
        <w:t xml:space="preserve">The purpose of this programme is to provide strategic leadership, management and support services to the </w:t>
      </w:r>
      <w:r w:rsidR="003646B2">
        <w:rPr>
          <w:lang w:val="en-US" w:eastAsia="en-US"/>
        </w:rPr>
        <w:t>D</w:t>
      </w:r>
      <w:r w:rsidRPr="00930498">
        <w:rPr>
          <w:lang w:val="en-US" w:eastAsia="en-US"/>
        </w:rPr>
        <w:t xml:space="preserve">epartment. The programme consists of the following </w:t>
      </w:r>
      <w:r w:rsidRPr="00930498">
        <w:rPr>
          <w:bCs/>
          <w:lang w:val="en-US" w:eastAsia="en-US"/>
        </w:rPr>
        <w:t xml:space="preserve">sub-programmes:  </w:t>
      </w:r>
    </w:p>
    <w:p w14:paraId="0D9B91F8" w14:textId="663BED50" w:rsidR="006D2386" w:rsidRPr="007868D0" w:rsidRDefault="006D2386" w:rsidP="007429F2">
      <w:pPr>
        <w:numPr>
          <w:ilvl w:val="0"/>
          <w:numId w:val="6"/>
        </w:numPr>
        <w:autoSpaceDE w:val="0"/>
        <w:autoSpaceDN w:val="0"/>
        <w:adjustRightInd w:val="0"/>
        <w:spacing w:line="360" w:lineRule="auto"/>
        <w:jc w:val="both"/>
        <w:rPr>
          <w:lang w:val="en-US" w:eastAsia="en-US"/>
        </w:rPr>
      </w:pPr>
      <w:r w:rsidRPr="007868D0">
        <w:rPr>
          <w:bCs/>
          <w:lang w:val="en-US" w:eastAsia="en-US"/>
        </w:rPr>
        <w:t xml:space="preserve">The Management subprogramme </w:t>
      </w:r>
      <w:r w:rsidRPr="007868D0">
        <w:rPr>
          <w:lang w:val="en-US" w:eastAsia="en-US"/>
        </w:rPr>
        <w:t xml:space="preserve">provides administrative, planning, monitoring, evaluation, performance reporting and risk management functions necessary to ensure effective functioning of the </w:t>
      </w:r>
      <w:r w:rsidR="003646B2">
        <w:rPr>
          <w:lang w:val="en-US" w:eastAsia="en-US"/>
        </w:rPr>
        <w:t>D</w:t>
      </w:r>
      <w:r w:rsidRPr="007868D0">
        <w:rPr>
          <w:lang w:val="en-US" w:eastAsia="en-US"/>
        </w:rPr>
        <w:t xml:space="preserve">epartment.  </w:t>
      </w:r>
    </w:p>
    <w:p w14:paraId="243B864D" w14:textId="240C1106" w:rsidR="006D2386" w:rsidRPr="007868D0" w:rsidRDefault="006D2386" w:rsidP="007429F2">
      <w:pPr>
        <w:numPr>
          <w:ilvl w:val="0"/>
          <w:numId w:val="6"/>
        </w:numPr>
        <w:autoSpaceDE w:val="0"/>
        <w:autoSpaceDN w:val="0"/>
        <w:adjustRightInd w:val="0"/>
        <w:spacing w:line="360" w:lineRule="auto"/>
        <w:jc w:val="both"/>
        <w:rPr>
          <w:lang w:val="en-US" w:eastAsia="en-US"/>
        </w:rPr>
      </w:pPr>
      <w:r w:rsidRPr="007868D0">
        <w:rPr>
          <w:bCs/>
          <w:lang w:val="en-US" w:eastAsia="en-US"/>
        </w:rPr>
        <w:t>The Corporate Services</w:t>
      </w:r>
      <w:r w:rsidRPr="007868D0">
        <w:rPr>
          <w:lang w:val="en-US" w:eastAsia="en-US"/>
        </w:rPr>
        <w:t xml:space="preserve"> subprogramme provides integrated Human Resources Management (HRM), Information and Communication Technology (ICT) and security management support services to the </w:t>
      </w:r>
      <w:r w:rsidR="003646B2">
        <w:rPr>
          <w:lang w:val="en-US" w:eastAsia="en-US"/>
        </w:rPr>
        <w:t>D</w:t>
      </w:r>
      <w:r w:rsidRPr="007868D0">
        <w:rPr>
          <w:lang w:val="en-US" w:eastAsia="en-US"/>
        </w:rPr>
        <w:t xml:space="preserve">epartment.  </w:t>
      </w:r>
    </w:p>
    <w:p w14:paraId="1A9BFC16" w14:textId="7DF5C96D" w:rsidR="006D2386" w:rsidRPr="007868D0" w:rsidRDefault="006D2386" w:rsidP="007429F2">
      <w:pPr>
        <w:numPr>
          <w:ilvl w:val="0"/>
          <w:numId w:val="6"/>
        </w:numPr>
        <w:autoSpaceDE w:val="0"/>
        <w:autoSpaceDN w:val="0"/>
        <w:adjustRightInd w:val="0"/>
        <w:spacing w:line="360" w:lineRule="auto"/>
        <w:jc w:val="both"/>
        <w:rPr>
          <w:lang w:val="en-US" w:eastAsia="en-US"/>
        </w:rPr>
      </w:pPr>
      <w:r w:rsidRPr="007868D0">
        <w:rPr>
          <w:bCs/>
          <w:lang w:val="en-US" w:eastAsia="en-US"/>
        </w:rPr>
        <w:t xml:space="preserve">The Finance Administration </w:t>
      </w:r>
      <w:r w:rsidRPr="007868D0">
        <w:rPr>
          <w:lang w:val="en-US" w:eastAsia="en-US"/>
        </w:rPr>
        <w:t xml:space="preserve">subprogramme provides overall financial, asset and supply chain management services to the Judiciary and the </w:t>
      </w:r>
      <w:r w:rsidR="003646B2">
        <w:rPr>
          <w:lang w:val="en-US" w:eastAsia="en-US"/>
        </w:rPr>
        <w:t>D</w:t>
      </w:r>
      <w:r w:rsidRPr="007868D0">
        <w:rPr>
          <w:lang w:val="en-US" w:eastAsia="en-US"/>
        </w:rPr>
        <w:t>epartment.</w:t>
      </w:r>
    </w:p>
    <w:p w14:paraId="6D228FBD" w14:textId="65AFD441" w:rsidR="006D2386" w:rsidRPr="007868D0" w:rsidRDefault="006D2386" w:rsidP="007429F2">
      <w:pPr>
        <w:numPr>
          <w:ilvl w:val="0"/>
          <w:numId w:val="6"/>
        </w:numPr>
        <w:autoSpaceDE w:val="0"/>
        <w:autoSpaceDN w:val="0"/>
        <w:adjustRightInd w:val="0"/>
        <w:spacing w:line="360" w:lineRule="auto"/>
        <w:jc w:val="both"/>
        <w:rPr>
          <w:lang w:val="en-US" w:eastAsia="en-US"/>
        </w:rPr>
      </w:pPr>
      <w:r w:rsidRPr="007868D0">
        <w:rPr>
          <w:bCs/>
          <w:lang w:val="en-US" w:eastAsia="en-US"/>
        </w:rPr>
        <w:t xml:space="preserve">The Internal Audit </w:t>
      </w:r>
      <w:r w:rsidRPr="007868D0">
        <w:rPr>
          <w:lang w:val="en-US" w:eastAsia="en-US"/>
        </w:rPr>
        <w:t xml:space="preserve">subprogramme provides overall internal audit and risk management services to the </w:t>
      </w:r>
      <w:r w:rsidR="003646B2">
        <w:rPr>
          <w:lang w:val="en-US" w:eastAsia="en-US"/>
        </w:rPr>
        <w:t>D</w:t>
      </w:r>
      <w:r w:rsidRPr="007868D0">
        <w:rPr>
          <w:lang w:val="en-US" w:eastAsia="en-US"/>
        </w:rPr>
        <w:t xml:space="preserve">epartment and the </w:t>
      </w:r>
      <w:r w:rsidR="003646B2">
        <w:rPr>
          <w:lang w:val="en-US" w:eastAsia="en-US"/>
        </w:rPr>
        <w:t>S</w:t>
      </w:r>
      <w:r w:rsidRPr="007868D0">
        <w:rPr>
          <w:lang w:val="en-US" w:eastAsia="en-US"/>
        </w:rPr>
        <w:t xml:space="preserve">uperior </w:t>
      </w:r>
      <w:r w:rsidR="00156569">
        <w:rPr>
          <w:lang w:val="en-US" w:eastAsia="en-US"/>
        </w:rPr>
        <w:t>C</w:t>
      </w:r>
      <w:r w:rsidRPr="007868D0">
        <w:rPr>
          <w:lang w:val="en-US" w:eastAsia="en-US"/>
        </w:rPr>
        <w:t>ourts.</w:t>
      </w:r>
    </w:p>
    <w:p w14:paraId="61F124E4" w14:textId="256EA066" w:rsidR="006D2386" w:rsidRPr="007868D0" w:rsidRDefault="006D2386" w:rsidP="007429F2">
      <w:pPr>
        <w:numPr>
          <w:ilvl w:val="0"/>
          <w:numId w:val="6"/>
        </w:numPr>
        <w:autoSpaceDE w:val="0"/>
        <w:autoSpaceDN w:val="0"/>
        <w:adjustRightInd w:val="0"/>
        <w:spacing w:line="360" w:lineRule="auto"/>
        <w:jc w:val="both"/>
        <w:rPr>
          <w:lang w:val="en-US" w:eastAsia="en-US"/>
        </w:rPr>
      </w:pPr>
      <w:r w:rsidRPr="007868D0">
        <w:rPr>
          <w:bCs/>
          <w:lang w:val="en-US" w:eastAsia="en-US"/>
        </w:rPr>
        <w:t xml:space="preserve">The Office Accommodation </w:t>
      </w:r>
      <w:r w:rsidRPr="007868D0">
        <w:rPr>
          <w:lang w:val="en-US" w:eastAsia="en-US"/>
        </w:rPr>
        <w:t>subprogramme provides for</w:t>
      </w:r>
      <w:r w:rsidRPr="007868D0">
        <w:rPr>
          <w:bCs/>
          <w:lang w:val="en-US" w:eastAsia="en-US"/>
        </w:rPr>
        <w:t xml:space="preserve"> </w:t>
      </w:r>
      <w:r w:rsidRPr="007868D0">
        <w:rPr>
          <w:lang w:val="en-US" w:eastAsia="en-US"/>
        </w:rPr>
        <w:t xml:space="preserve">acquisition of office accommodation for the </w:t>
      </w:r>
      <w:r w:rsidR="003646B2">
        <w:rPr>
          <w:lang w:val="en-US" w:eastAsia="en-US"/>
        </w:rPr>
        <w:t>D</w:t>
      </w:r>
      <w:r w:rsidRPr="007868D0">
        <w:rPr>
          <w:lang w:val="en-US" w:eastAsia="en-US"/>
        </w:rPr>
        <w:t>epartment.</w:t>
      </w:r>
    </w:p>
    <w:p w14:paraId="7B2139EF" w14:textId="77777777" w:rsidR="006D2386" w:rsidRPr="007868D0" w:rsidRDefault="006D2386" w:rsidP="007429F2">
      <w:pPr>
        <w:autoSpaceDE w:val="0"/>
        <w:autoSpaceDN w:val="0"/>
        <w:adjustRightInd w:val="0"/>
        <w:spacing w:line="360" w:lineRule="auto"/>
        <w:ind w:left="1080"/>
        <w:jc w:val="both"/>
        <w:rPr>
          <w:lang w:val="en-US" w:eastAsia="en-US"/>
        </w:rPr>
      </w:pPr>
    </w:p>
    <w:p w14:paraId="44B8705F" w14:textId="77777777" w:rsidR="000A59B6" w:rsidRPr="007868D0" w:rsidRDefault="008D0146" w:rsidP="00930498">
      <w:pPr>
        <w:pStyle w:val="ListParagraph"/>
        <w:numPr>
          <w:ilvl w:val="2"/>
          <w:numId w:val="45"/>
        </w:numPr>
        <w:autoSpaceDE w:val="0"/>
        <w:autoSpaceDN w:val="0"/>
        <w:adjustRightInd w:val="0"/>
        <w:spacing w:line="360" w:lineRule="auto"/>
        <w:jc w:val="both"/>
        <w:rPr>
          <w:bCs/>
          <w:lang w:val="en-US"/>
        </w:rPr>
      </w:pPr>
      <w:r>
        <w:rPr>
          <w:lang w:val="en-US" w:eastAsia="en-US"/>
        </w:rPr>
        <w:t>The Administration</w:t>
      </w:r>
      <w:r w:rsidR="00272840">
        <w:rPr>
          <w:lang w:val="en-US" w:eastAsia="en-US"/>
        </w:rPr>
        <w:t xml:space="preserve"> programme</w:t>
      </w:r>
      <w:r>
        <w:rPr>
          <w:lang w:val="en-US" w:eastAsia="en-US"/>
        </w:rPr>
        <w:t xml:space="preserve"> met </w:t>
      </w:r>
      <w:r w:rsidR="00CD4061">
        <w:rPr>
          <w:lang w:val="en-US" w:eastAsia="en-US"/>
        </w:rPr>
        <w:t xml:space="preserve">8 of the 10 </w:t>
      </w:r>
      <w:r>
        <w:rPr>
          <w:lang w:val="en-US" w:eastAsia="en-US"/>
        </w:rPr>
        <w:t xml:space="preserve">planned </w:t>
      </w:r>
      <w:r w:rsidR="00474BD0">
        <w:rPr>
          <w:lang w:val="en-US" w:eastAsia="en-US"/>
        </w:rPr>
        <w:t>targets</w:t>
      </w:r>
      <w:r w:rsidR="00272840">
        <w:rPr>
          <w:lang w:val="en-US" w:eastAsia="en-US"/>
        </w:rPr>
        <w:t xml:space="preserve"> in 2018/19</w:t>
      </w:r>
      <w:r w:rsidR="00474BD0">
        <w:rPr>
          <w:lang w:val="en-US" w:eastAsia="en-US"/>
        </w:rPr>
        <w:t>.</w:t>
      </w:r>
      <w:r w:rsidR="00922CD1" w:rsidRPr="007868D0">
        <w:rPr>
          <w:bCs/>
          <w:lang w:val="en-US"/>
        </w:rPr>
        <w:t xml:space="preserve"> </w:t>
      </w:r>
    </w:p>
    <w:p w14:paraId="72BBD1BD" w14:textId="77777777" w:rsidR="00D3399C" w:rsidRPr="007868D0" w:rsidRDefault="00D3399C" w:rsidP="007429F2">
      <w:pPr>
        <w:pStyle w:val="ListParagraph"/>
        <w:spacing w:line="360" w:lineRule="auto"/>
        <w:ind w:left="0"/>
        <w:jc w:val="both"/>
        <w:rPr>
          <w:b/>
          <w:bCs/>
          <w:lang w:val="en-US"/>
        </w:rPr>
      </w:pPr>
    </w:p>
    <w:p w14:paraId="2A6A28B6" w14:textId="7AF3FAAA" w:rsidR="00AA5595" w:rsidRPr="007868D0" w:rsidRDefault="00AA5595" w:rsidP="00AA5595">
      <w:pPr>
        <w:pStyle w:val="ListParagraph"/>
        <w:spacing w:line="360" w:lineRule="auto"/>
        <w:ind w:left="0"/>
        <w:jc w:val="both"/>
        <w:rPr>
          <w:b/>
          <w:bCs/>
          <w:lang w:val="en-US"/>
        </w:rPr>
      </w:pPr>
      <w:r>
        <w:rPr>
          <w:b/>
          <w:bCs/>
          <w:lang w:val="en-US"/>
        </w:rPr>
        <w:t xml:space="preserve">Table </w:t>
      </w:r>
      <w:r w:rsidR="0078546E">
        <w:rPr>
          <w:b/>
          <w:bCs/>
          <w:lang w:val="en-US"/>
        </w:rPr>
        <w:t>6</w:t>
      </w:r>
      <w:r w:rsidRPr="007868D0">
        <w:rPr>
          <w:b/>
          <w:bCs/>
          <w:lang w:val="en-US"/>
        </w:rPr>
        <w:t xml:space="preserve">: Administration: </w:t>
      </w:r>
      <w:r>
        <w:rPr>
          <w:b/>
          <w:bCs/>
          <w:lang w:val="en-US"/>
        </w:rPr>
        <w:t>Selected performance 2018</w:t>
      </w:r>
      <w:r w:rsidRPr="007868D0">
        <w:rPr>
          <w:b/>
          <w:bCs/>
          <w:lang w:val="en-US"/>
        </w:rPr>
        <w:t>/1</w:t>
      </w:r>
      <w:r>
        <w:rPr>
          <w:b/>
          <w:bCs/>
          <w:lang w:val="en-US"/>
        </w:rPr>
        <w:t xml:space="preserve">9 </w:t>
      </w:r>
    </w:p>
    <w:tbl>
      <w:tblPr>
        <w:tblStyle w:val="TableGrid"/>
        <w:tblW w:w="5000" w:type="pct"/>
        <w:tblLook w:val="04A0" w:firstRow="1" w:lastRow="0" w:firstColumn="1" w:lastColumn="0" w:noHBand="0" w:noVBand="1"/>
      </w:tblPr>
      <w:tblGrid>
        <w:gridCol w:w="3322"/>
        <w:gridCol w:w="3321"/>
        <w:gridCol w:w="3319"/>
      </w:tblGrid>
      <w:tr w:rsidR="00AA5595" w14:paraId="5CEED4CD" w14:textId="77777777" w:rsidTr="0078546E">
        <w:trPr>
          <w:tblHeader/>
        </w:trPr>
        <w:tc>
          <w:tcPr>
            <w:tcW w:w="1667" w:type="pct"/>
            <w:shd w:val="clear" w:color="auto" w:fill="D9D9D9" w:themeFill="background1" w:themeFillShade="D9"/>
          </w:tcPr>
          <w:p w14:paraId="45A89B12" w14:textId="77777777" w:rsidR="00AA5595" w:rsidRPr="007868D0" w:rsidRDefault="00AA5595" w:rsidP="0078546E">
            <w:pPr>
              <w:autoSpaceDE w:val="0"/>
              <w:autoSpaceDN w:val="0"/>
              <w:adjustRightInd w:val="0"/>
              <w:spacing w:line="360" w:lineRule="auto"/>
              <w:jc w:val="center"/>
              <w:rPr>
                <w:b/>
                <w:bCs/>
                <w:lang w:val="en-ZA" w:eastAsia="en-ZA"/>
              </w:rPr>
            </w:pPr>
            <w:r w:rsidRPr="007868D0">
              <w:rPr>
                <w:b/>
                <w:bCs/>
                <w:lang w:val="en-ZA" w:eastAsia="en-ZA"/>
              </w:rPr>
              <w:t>Performance Indicator</w:t>
            </w:r>
          </w:p>
        </w:tc>
        <w:tc>
          <w:tcPr>
            <w:tcW w:w="1667" w:type="pct"/>
            <w:shd w:val="clear" w:color="auto" w:fill="D9D9D9" w:themeFill="background1" w:themeFillShade="D9"/>
          </w:tcPr>
          <w:p w14:paraId="7051C9EB" w14:textId="77777777" w:rsidR="00AA5595" w:rsidRPr="007868D0" w:rsidRDefault="00AA5595" w:rsidP="0078546E">
            <w:pPr>
              <w:autoSpaceDE w:val="0"/>
              <w:autoSpaceDN w:val="0"/>
              <w:adjustRightInd w:val="0"/>
              <w:spacing w:line="360" w:lineRule="auto"/>
              <w:jc w:val="center"/>
              <w:rPr>
                <w:b/>
                <w:bCs/>
                <w:lang w:val="en-ZA" w:eastAsia="en-ZA"/>
              </w:rPr>
            </w:pPr>
            <w:r w:rsidRPr="007868D0">
              <w:rPr>
                <w:b/>
                <w:bCs/>
                <w:lang w:val="en-ZA" w:eastAsia="en-ZA"/>
              </w:rPr>
              <w:t>Performance</w:t>
            </w:r>
          </w:p>
          <w:p w14:paraId="0CBC280C" w14:textId="77777777" w:rsidR="00AA5595" w:rsidRPr="007868D0" w:rsidRDefault="00AA5595" w:rsidP="0078546E">
            <w:pPr>
              <w:autoSpaceDE w:val="0"/>
              <w:autoSpaceDN w:val="0"/>
              <w:adjustRightInd w:val="0"/>
              <w:spacing w:line="360" w:lineRule="auto"/>
              <w:jc w:val="center"/>
              <w:rPr>
                <w:b/>
                <w:lang w:val="en-ZA" w:eastAsia="en-ZA"/>
              </w:rPr>
            </w:pPr>
            <w:r>
              <w:rPr>
                <w:b/>
                <w:lang w:val="en-ZA" w:eastAsia="en-ZA"/>
              </w:rPr>
              <w:t>201</w:t>
            </w:r>
            <w:r w:rsidRPr="007868D0">
              <w:rPr>
                <w:b/>
                <w:lang w:val="en-ZA" w:eastAsia="en-ZA"/>
              </w:rPr>
              <w:t>7</w:t>
            </w:r>
            <w:r>
              <w:rPr>
                <w:b/>
                <w:lang w:val="en-ZA" w:eastAsia="en-ZA"/>
              </w:rPr>
              <w:t>/18</w:t>
            </w:r>
          </w:p>
        </w:tc>
        <w:tc>
          <w:tcPr>
            <w:tcW w:w="1667" w:type="pct"/>
            <w:shd w:val="clear" w:color="auto" w:fill="D9D9D9" w:themeFill="background1" w:themeFillShade="D9"/>
          </w:tcPr>
          <w:p w14:paraId="29590896" w14:textId="49A55BB6" w:rsidR="00AA5595" w:rsidRPr="007868D0" w:rsidRDefault="00AA5595" w:rsidP="0078546E">
            <w:pPr>
              <w:autoSpaceDE w:val="0"/>
              <w:autoSpaceDN w:val="0"/>
              <w:adjustRightInd w:val="0"/>
              <w:spacing w:line="360" w:lineRule="auto"/>
              <w:jc w:val="center"/>
              <w:rPr>
                <w:b/>
                <w:bCs/>
                <w:lang w:val="en-ZA" w:eastAsia="en-ZA"/>
              </w:rPr>
            </w:pPr>
            <w:r w:rsidRPr="007868D0">
              <w:rPr>
                <w:b/>
                <w:bCs/>
                <w:lang w:val="en-ZA" w:eastAsia="en-ZA"/>
              </w:rPr>
              <w:t>Performance</w:t>
            </w:r>
          </w:p>
          <w:p w14:paraId="57AB2D1F" w14:textId="77777777" w:rsidR="00AA5595" w:rsidRPr="007868D0" w:rsidRDefault="00AA5595" w:rsidP="0078546E">
            <w:pPr>
              <w:autoSpaceDE w:val="0"/>
              <w:autoSpaceDN w:val="0"/>
              <w:adjustRightInd w:val="0"/>
              <w:spacing w:line="360" w:lineRule="auto"/>
              <w:jc w:val="center"/>
              <w:rPr>
                <w:b/>
                <w:lang w:val="en-ZA" w:eastAsia="en-ZA"/>
              </w:rPr>
            </w:pPr>
            <w:r>
              <w:rPr>
                <w:b/>
                <w:bCs/>
                <w:lang w:val="en-ZA" w:eastAsia="en-ZA"/>
              </w:rPr>
              <w:t>2018/19</w:t>
            </w:r>
          </w:p>
        </w:tc>
      </w:tr>
      <w:tr w:rsidR="00AA5595" w14:paraId="57459D31" w14:textId="77777777" w:rsidTr="001072DD">
        <w:tc>
          <w:tcPr>
            <w:tcW w:w="1667" w:type="pct"/>
          </w:tcPr>
          <w:p w14:paraId="5166B4CF" w14:textId="77777777" w:rsidR="00AA5595" w:rsidRPr="007868D0" w:rsidRDefault="00AA5595" w:rsidP="001072DD">
            <w:pPr>
              <w:autoSpaceDE w:val="0"/>
              <w:autoSpaceDN w:val="0"/>
              <w:adjustRightInd w:val="0"/>
              <w:spacing w:line="360" w:lineRule="auto"/>
              <w:jc w:val="both"/>
              <w:rPr>
                <w:lang w:val="en-ZA" w:eastAsia="en-ZA"/>
              </w:rPr>
            </w:pPr>
            <w:r>
              <w:rPr>
                <w:lang w:val="en-ZA" w:eastAsia="en-ZA"/>
              </w:rPr>
              <w:t xml:space="preserve">Percentage of funded vacant posts on PERSAL </w:t>
            </w:r>
          </w:p>
        </w:tc>
        <w:tc>
          <w:tcPr>
            <w:tcW w:w="1667" w:type="pct"/>
          </w:tcPr>
          <w:p w14:paraId="6C333819" w14:textId="77777777" w:rsidR="00AA5595" w:rsidRPr="007868D0" w:rsidRDefault="00AA5595" w:rsidP="001072DD">
            <w:pPr>
              <w:autoSpaceDE w:val="0"/>
              <w:autoSpaceDN w:val="0"/>
              <w:adjustRightInd w:val="0"/>
              <w:spacing w:line="360" w:lineRule="auto"/>
              <w:jc w:val="both"/>
              <w:rPr>
                <w:lang w:val="en-ZA" w:eastAsia="en-ZA"/>
              </w:rPr>
            </w:pPr>
            <w:r>
              <w:rPr>
                <w:lang w:val="en-ZA" w:eastAsia="en-ZA"/>
              </w:rPr>
              <w:t>4.6% (87 of 1898) (Baseline)</w:t>
            </w:r>
          </w:p>
        </w:tc>
        <w:tc>
          <w:tcPr>
            <w:tcW w:w="1667" w:type="pct"/>
          </w:tcPr>
          <w:p w14:paraId="22CFECCF" w14:textId="77777777" w:rsidR="00040B5F" w:rsidRDefault="00040B5F" w:rsidP="001072DD">
            <w:pPr>
              <w:autoSpaceDE w:val="0"/>
              <w:autoSpaceDN w:val="0"/>
              <w:adjustRightInd w:val="0"/>
              <w:spacing w:line="360" w:lineRule="auto"/>
              <w:jc w:val="center"/>
              <w:rPr>
                <w:bCs/>
                <w:iCs/>
                <w:lang w:val="en-ZA" w:eastAsia="en-ZA"/>
              </w:rPr>
            </w:pPr>
            <w:r>
              <w:rPr>
                <w:bCs/>
                <w:iCs/>
                <w:lang w:val="en-ZA" w:eastAsia="en-ZA"/>
              </w:rPr>
              <w:t>NOT ACHIEVED</w:t>
            </w:r>
          </w:p>
          <w:p w14:paraId="03FBFB31" w14:textId="5456D901" w:rsidR="00AA5595" w:rsidRDefault="00AA5595" w:rsidP="001072DD">
            <w:pPr>
              <w:autoSpaceDE w:val="0"/>
              <w:autoSpaceDN w:val="0"/>
              <w:adjustRightInd w:val="0"/>
              <w:spacing w:line="360" w:lineRule="auto"/>
              <w:jc w:val="center"/>
              <w:rPr>
                <w:bCs/>
                <w:iCs/>
                <w:lang w:val="en-ZA" w:eastAsia="en-ZA"/>
              </w:rPr>
            </w:pPr>
            <w:r>
              <w:rPr>
                <w:bCs/>
                <w:iCs/>
                <w:lang w:val="en-ZA" w:eastAsia="en-ZA"/>
              </w:rPr>
              <w:t>7.2% (152 of 2099)</w:t>
            </w:r>
          </w:p>
          <w:p w14:paraId="74E02DB0" w14:textId="77777777" w:rsidR="00AA5595" w:rsidRPr="0005134C" w:rsidRDefault="00AA5595" w:rsidP="001072DD">
            <w:pPr>
              <w:autoSpaceDE w:val="0"/>
              <w:autoSpaceDN w:val="0"/>
              <w:adjustRightInd w:val="0"/>
              <w:spacing w:line="360" w:lineRule="auto"/>
              <w:jc w:val="center"/>
              <w:rPr>
                <w:lang w:val="en-ZA" w:eastAsia="en-ZA"/>
              </w:rPr>
            </w:pPr>
            <w:r>
              <w:rPr>
                <w:bCs/>
                <w:iCs/>
                <w:lang w:val="en-ZA" w:eastAsia="en-ZA"/>
              </w:rPr>
              <w:t>(Target: 10%)</w:t>
            </w:r>
          </w:p>
        </w:tc>
      </w:tr>
      <w:tr w:rsidR="00AA5595" w14:paraId="627CC4EF" w14:textId="77777777" w:rsidTr="001072DD">
        <w:tc>
          <w:tcPr>
            <w:tcW w:w="1667" w:type="pct"/>
          </w:tcPr>
          <w:p w14:paraId="24AC3C24" w14:textId="77777777" w:rsidR="00AA5595" w:rsidRPr="0005134C" w:rsidRDefault="00AA5595" w:rsidP="001072DD">
            <w:pPr>
              <w:autoSpaceDE w:val="0"/>
              <w:autoSpaceDN w:val="0"/>
              <w:adjustRightInd w:val="0"/>
              <w:spacing w:line="360" w:lineRule="auto"/>
              <w:rPr>
                <w:lang w:val="en-ZA" w:eastAsia="en-ZA"/>
              </w:rPr>
            </w:pPr>
            <w:r w:rsidRPr="0005134C">
              <w:rPr>
                <w:iCs/>
                <w:lang w:val="en-ZA" w:eastAsia="en-ZA"/>
              </w:rPr>
              <w:t xml:space="preserve">Annual Performance Plan (APP) tabled within prescribed timelines </w:t>
            </w:r>
          </w:p>
        </w:tc>
        <w:tc>
          <w:tcPr>
            <w:tcW w:w="1667" w:type="pct"/>
          </w:tcPr>
          <w:p w14:paraId="7E8BF4A9" w14:textId="77777777" w:rsidR="00AA5595" w:rsidRPr="007868D0" w:rsidRDefault="00AA5595" w:rsidP="001072DD">
            <w:pPr>
              <w:autoSpaceDE w:val="0"/>
              <w:autoSpaceDN w:val="0"/>
              <w:adjustRightInd w:val="0"/>
              <w:spacing w:line="360" w:lineRule="auto"/>
              <w:jc w:val="both"/>
              <w:rPr>
                <w:lang w:val="en-ZA" w:eastAsia="en-ZA"/>
              </w:rPr>
            </w:pPr>
            <w:r>
              <w:rPr>
                <w:lang w:val="en-ZA" w:eastAsia="en-ZA"/>
              </w:rPr>
              <w:t>OCJ APP compliant</w:t>
            </w:r>
          </w:p>
        </w:tc>
        <w:tc>
          <w:tcPr>
            <w:tcW w:w="1667" w:type="pct"/>
          </w:tcPr>
          <w:p w14:paraId="47BCBDB4" w14:textId="77777777" w:rsidR="00040B5F" w:rsidRDefault="00040B5F" w:rsidP="001072DD">
            <w:pPr>
              <w:autoSpaceDE w:val="0"/>
              <w:autoSpaceDN w:val="0"/>
              <w:adjustRightInd w:val="0"/>
              <w:spacing w:line="360" w:lineRule="auto"/>
              <w:jc w:val="center"/>
              <w:rPr>
                <w:lang w:val="en-ZA" w:eastAsia="en-ZA"/>
              </w:rPr>
            </w:pPr>
            <w:r>
              <w:rPr>
                <w:lang w:val="en-ZA" w:eastAsia="en-ZA"/>
              </w:rPr>
              <w:t>NOT ACHIEVED</w:t>
            </w:r>
          </w:p>
          <w:p w14:paraId="5A35F174" w14:textId="0AFDDABA" w:rsidR="00AA5595" w:rsidRPr="0005134C" w:rsidRDefault="00AA5595" w:rsidP="001072DD">
            <w:pPr>
              <w:autoSpaceDE w:val="0"/>
              <w:autoSpaceDN w:val="0"/>
              <w:adjustRightInd w:val="0"/>
              <w:spacing w:line="360" w:lineRule="auto"/>
              <w:jc w:val="center"/>
              <w:rPr>
                <w:bCs/>
                <w:iCs/>
                <w:lang w:val="en-ZA" w:eastAsia="en-ZA"/>
              </w:rPr>
            </w:pPr>
            <w:r>
              <w:rPr>
                <w:lang w:val="en-ZA" w:eastAsia="en-ZA"/>
              </w:rPr>
              <w:t>OCJ APP compliant with prescripts but not tabled in Parliament within timeframes</w:t>
            </w:r>
          </w:p>
        </w:tc>
      </w:tr>
    </w:tbl>
    <w:p w14:paraId="679BDDD6" w14:textId="77777777" w:rsidR="007359A6" w:rsidRDefault="007359A6" w:rsidP="007429F2">
      <w:pPr>
        <w:pStyle w:val="ListParagraph"/>
        <w:autoSpaceDE w:val="0"/>
        <w:autoSpaceDN w:val="0"/>
        <w:adjustRightInd w:val="0"/>
        <w:spacing w:line="360" w:lineRule="auto"/>
        <w:jc w:val="both"/>
        <w:rPr>
          <w:lang w:val="en-US" w:eastAsia="en-US"/>
        </w:rPr>
      </w:pPr>
    </w:p>
    <w:p w14:paraId="619A52DA" w14:textId="77777777" w:rsidR="00272840" w:rsidRDefault="00272840" w:rsidP="00930498">
      <w:pPr>
        <w:pStyle w:val="ListParagraph"/>
        <w:numPr>
          <w:ilvl w:val="2"/>
          <w:numId w:val="45"/>
        </w:numPr>
        <w:autoSpaceDE w:val="0"/>
        <w:autoSpaceDN w:val="0"/>
        <w:adjustRightInd w:val="0"/>
        <w:spacing w:line="360" w:lineRule="auto"/>
        <w:jc w:val="both"/>
        <w:rPr>
          <w:lang w:val="en-US" w:eastAsia="en-US"/>
        </w:rPr>
      </w:pPr>
      <w:r w:rsidRPr="007359A6">
        <w:rPr>
          <w:lang w:val="en-US" w:eastAsia="en-US"/>
        </w:rPr>
        <w:t xml:space="preserve">In the </w:t>
      </w:r>
      <w:r w:rsidRPr="003039E2">
        <w:rPr>
          <w:lang w:val="en-US" w:eastAsia="en-US"/>
        </w:rPr>
        <w:t>1</w:t>
      </w:r>
      <w:r w:rsidRPr="003039E2">
        <w:rPr>
          <w:vertAlign w:val="superscript"/>
          <w:lang w:val="en-US" w:eastAsia="en-US"/>
        </w:rPr>
        <w:t>st</w:t>
      </w:r>
      <w:r w:rsidRPr="003039E2">
        <w:rPr>
          <w:lang w:val="en-US" w:eastAsia="en-US"/>
        </w:rPr>
        <w:t xml:space="preserve"> Quarter of 2019/2</w:t>
      </w:r>
      <w:r w:rsidR="007359A6" w:rsidRPr="003039E2">
        <w:rPr>
          <w:lang w:val="en-US" w:eastAsia="en-US"/>
        </w:rPr>
        <w:t>0,</w:t>
      </w:r>
      <w:r w:rsidR="007359A6" w:rsidRPr="007359A6">
        <w:rPr>
          <w:lang w:val="en-US" w:eastAsia="en-US"/>
        </w:rPr>
        <w:t xml:space="preserve"> the OCJ reports that it met 5 of 6</w:t>
      </w:r>
      <w:r w:rsidRPr="007359A6">
        <w:rPr>
          <w:lang w:val="en-US" w:eastAsia="en-US"/>
        </w:rPr>
        <w:t xml:space="preserve"> </w:t>
      </w:r>
      <w:r w:rsidR="007359A6">
        <w:rPr>
          <w:lang w:val="en-US" w:eastAsia="en-US"/>
        </w:rPr>
        <w:t xml:space="preserve">or 83% of </w:t>
      </w:r>
      <w:r w:rsidRPr="007359A6">
        <w:rPr>
          <w:lang w:val="en-US" w:eastAsia="en-US"/>
        </w:rPr>
        <w:t>pl</w:t>
      </w:r>
      <w:r w:rsidR="007359A6" w:rsidRPr="007359A6">
        <w:rPr>
          <w:lang w:val="en-US" w:eastAsia="en-US"/>
        </w:rPr>
        <w:t xml:space="preserve">anned targets for the programme. </w:t>
      </w:r>
      <w:r w:rsidR="007359A6">
        <w:rPr>
          <w:lang w:val="en-US" w:eastAsia="en-US"/>
        </w:rPr>
        <w:t>Under the Internal Audit subprogramme, 86% of internal audit projects were completed in line with the approved Annual Audit plan. The reason provided for the variance is that Internal Audit audited a new area in Core Business (Taxation). The execution of the audit has taken longer than planned due to the specialized nature of the function. Corrective steps have been put in place to fast track the audit to ensure that the Audit Annual Plan can be fully completed.</w:t>
      </w:r>
    </w:p>
    <w:p w14:paraId="7869558D" w14:textId="77777777" w:rsidR="007359A6" w:rsidRPr="007359A6" w:rsidRDefault="007359A6" w:rsidP="007429F2">
      <w:pPr>
        <w:pStyle w:val="ListParagraph"/>
        <w:autoSpaceDE w:val="0"/>
        <w:autoSpaceDN w:val="0"/>
        <w:adjustRightInd w:val="0"/>
        <w:spacing w:line="360" w:lineRule="auto"/>
        <w:jc w:val="both"/>
        <w:rPr>
          <w:lang w:val="en-US" w:eastAsia="en-US"/>
        </w:rPr>
      </w:pPr>
    </w:p>
    <w:p w14:paraId="7C03F2B0" w14:textId="77777777" w:rsidR="003D7013" w:rsidRPr="007868D0" w:rsidRDefault="003D7013" w:rsidP="00930498">
      <w:pPr>
        <w:pStyle w:val="ListParagraph"/>
        <w:numPr>
          <w:ilvl w:val="1"/>
          <w:numId w:val="45"/>
        </w:numPr>
        <w:spacing w:line="360" w:lineRule="auto"/>
        <w:ind w:left="709" w:hanging="709"/>
        <w:contextualSpacing/>
        <w:jc w:val="both"/>
        <w:rPr>
          <w:b/>
          <w:lang w:val="en-US" w:eastAsia="en-US"/>
        </w:rPr>
      </w:pPr>
      <w:r w:rsidRPr="007868D0">
        <w:rPr>
          <w:b/>
          <w:lang w:val="en-US" w:eastAsia="en-US"/>
        </w:rPr>
        <w:t xml:space="preserve">Programme 2: </w:t>
      </w:r>
      <w:r w:rsidR="007269DA" w:rsidRPr="007269DA">
        <w:rPr>
          <w:b/>
          <w:bCs/>
          <w:lang w:val="en-US"/>
        </w:rPr>
        <w:t>Superior Court Services</w:t>
      </w:r>
    </w:p>
    <w:p w14:paraId="3E823C81" w14:textId="77777777" w:rsidR="003D7013" w:rsidRPr="007868D0" w:rsidRDefault="003D7013" w:rsidP="007429F2">
      <w:pPr>
        <w:autoSpaceDE w:val="0"/>
        <w:autoSpaceDN w:val="0"/>
        <w:adjustRightInd w:val="0"/>
        <w:spacing w:line="360" w:lineRule="auto"/>
        <w:ind w:left="720"/>
        <w:jc w:val="both"/>
        <w:rPr>
          <w:b/>
          <w:lang w:val="en-US" w:eastAsia="en-US"/>
        </w:rPr>
      </w:pPr>
    </w:p>
    <w:p w14:paraId="2557F05D" w14:textId="77777777" w:rsidR="0062736A" w:rsidRPr="00FA66A1" w:rsidRDefault="0062736A" w:rsidP="00930498">
      <w:pPr>
        <w:pStyle w:val="ListParagraph"/>
        <w:numPr>
          <w:ilvl w:val="2"/>
          <w:numId w:val="45"/>
        </w:numPr>
        <w:autoSpaceDE w:val="0"/>
        <w:autoSpaceDN w:val="0"/>
        <w:adjustRightInd w:val="0"/>
        <w:spacing w:line="360" w:lineRule="auto"/>
        <w:jc w:val="both"/>
        <w:rPr>
          <w:bCs/>
          <w:lang w:val="en-US"/>
        </w:rPr>
      </w:pPr>
      <w:r w:rsidRPr="00FA66A1">
        <w:rPr>
          <w:bCs/>
          <w:lang w:val="en-US"/>
        </w:rPr>
        <w:t xml:space="preserve">This programme provides judicial support and court administration services to the Superior Courts. The programme consists of the following sub-programmes:  </w:t>
      </w:r>
    </w:p>
    <w:p w14:paraId="39ACEEE9" w14:textId="77777777" w:rsidR="0062736A" w:rsidRPr="00547705" w:rsidRDefault="0062736A" w:rsidP="007429F2">
      <w:pPr>
        <w:numPr>
          <w:ilvl w:val="0"/>
          <w:numId w:val="5"/>
        </w:numPr>
        <w:autoSpaceDE w:val="0"/>
        <w:autoSpaceDN w:val="0"/>
        <w:adjustRightInd w:val="0"/>
        <w:spacing w:line="360" w:lineRule="auto"/>
        <w:ind w:left="1080" w:hanging="371"/>
        <w:jc w:val="both"/>
        <w:rPr>
          <w:lang w:val="en-US" w:eastAsia="en-US"/>
        </w:rPr>
      </w:pPr>
      <w:r w:rsidRPr="00547705">
        <w:rPr>
          <w:lang w:val="en-US" w:eastAsia="en-US"/>
        </w:rPr>
        <w:t xml:space="preserve">The Administration of Superior Courts subprogramme provides administrative and technical support to the Superior Courts, monitors the overall performance of the Superior Courts, and enhances judicial stakeholder relations.   </w:t>
      </w:r>
    </w:p>
    <w:p w14:paraId="3A56334B" w14:textId="77777777" w:rsidR="0062736A" w:rsidRPr="00547705" w:rsidRDefault="0062736A" w:rsidP="007429F2">
      <w:pPr>
        <w:numPr>
          <w:ilvl w:val="0"/>
          <w:numId w:val="5"/>
        </w:numPr>
        <w:autoSpaceDE w:val="0"/>
        <w:autoSpaceDN w:val="0"/>
        <w:adjustRightInd w:val="0"/>
        <w:spacing w:line="360" w:lineRule="auto"/>
        <w:ind w:left="1080" w:hanging="371"/>
        <w:jc w:val="both"/>
        <w:rPr>
          <w:lang w:val="en-US" w:eastAsia="en-US"/>
        </w:rPr>
      </w:pPr>
      <w:r w:rsidRPr="00547705">
        <w:rPr>
          <w:lang w:val="en-US" w:eastAsia="en-US"/>
        </w:rPr>
        <w:t>The Constitutional Court subprogramme funds the activities and operations of the Constitutional Court.</w:t>
      </w:r>
    </w:p>
    <w:p w14:paraId="17FA8523" w14:textId="77777777" w:rsidR="0062736A" w:rsidRPr="00547705" w:rsidRDefault="0062736A" w:rsidP="007429F2">
      <w:pPr>
        <w:numPr>
          <w:ilvl w:val="0"/>
          <w:numId w:val="5"/>
        </w:numPr>
        <w:autoSpaceDE w:val="0"/>
        <w:autoSpaceDN w:val="0"/>
        <w:adjustRightInd w:val="0"/>
        <w:spacing w:line="360" w:lineRule="auto"/>
        <w:ind w:left="1080" w:hanging="371"/>
        <w:jc w:val="both"/>
        <w:rPr>
          <w:lang w:val="en-US" w:eastAsia="en-US"/>
        </w:rPr>
      </w:pPr>
      <w:r w:rsidRPr="00547705">
        <w:rPr>
          <w:lang w:val="en-US" w:eastAsia="en-US"/>
        </w:rPr>
        <w:t xml:space="preserve">The Supreme Court of Appeal subprogramme funds the activities and operations of the Supreme Court of Appeal. </w:t>
      </w:r>
    </w:p>
    <w:p w14:paraId="00D24EBC" w14:textId="77777777" w:rsidR="0062736A" w:rsidRPr="00547705" w:rsidRDefault="0062736A" w:rsidP="007429F2">
      <w:pPr>
        <w:numPr>
          <w:ilvl w:val="0"/>
          <w:numId w:val="5"/>
        </w:numPr>
        <w:autoSpaceDE w:val="0"/>
        <w:autoSpaceDN w:val="0"/>
        <w:adjustRightInd w:val="0"/>
        <w:spacing w:line="360" w:lineRule="auto"/>
        <w:ind w:left="1080" w:hanging="371"/>
        <w:jc w:val="both"/>
        <w:rPr>
          <w:lang w:val="en-US" w:eastAsia="en-US"/>
        </w:rPr>
      </w:pPr>
      <w:r w:rsidRPr="00547705">
        <w:rPr>
          <w:lang w:val="en-US" w:eastAsia="en-US"/>
        </w:rPr>
        <w:t xml:space="preserve">The High Courts’ subprogramme funds the activities and operations of the various high court divisions. </w:t>
      </w:r>
    </w:p>
    <w:p w14:paraId="1F232C8F" w14:textId="77777777" w:rsidR="0062736A" w:rsidRPr="007868D0" w:rsidRDefault="0062736A" w:rsidP="007429F2">
      <w:pPr>
        <w:numPr>
          <w:ilvl w:val="0"/>
          <w:numId w:val="5"/>
        </w:numPr>
        <w:autoSpaceDE w:val="0"/>
        <w:autoSpaceDN w:val="0"/>
        <w:adjustRightInd w:val="0"/>
        <w:spacing w:line="360" w:lineRule="auto"/>
        <w:ind w:left="1080" w:hanging="371"/>
        <w:jc w:val="both"/>
        <w:rPr>
          <w:bCs/>
          <w:lang w:val="en-US"/>
        </w:rPr>
      </w:pPr>
      <w:r w:rsidRPr="00547705">
        <w:rPr>
          <w:lang w:val="en-US" w:eastAsia="en-US"/>
        </w:rPr>
        <w:t>The Specialized Courts subprogramme funds the activities and operations of the labour</w:t>
      </w:r>
      <w:r w:rsidRPr="007868D0">
        <w:rPr>
          <w:bCs/>
          <w:lang w:val="en-US"/>
        </w:rPr>
        <w:t xml:space="preserve">, land, electoral and competition courts. </w:t>
      </w:r>
    </w:p>
    <w:p w14:paraId="23712E83" w14:textId="77777777" w:rsidR="0062736A" w:rsidRPr="007868D0" w:rsidRDefault="0062736A" w:rsidP="007429F2">
      <w:pPr>
        <w:pStyle w:val="ListParagraph"/>
        <w:spacing w:line="360" w:lineRule="auto"/>
        <w:ind w:left="0"/>
        <w:jc w:val="both"/>
        <w:rPr>
          <w:bCs/>
          <w:lang w:val="en-US"/>
        </w:rPr>
      </w:pPr>
    </w:p>
    <w:p w14:paraId="48121E49" w14:textId="77777777" w:rsidR="00A21AA0" w:rsidRPr="007868D0" w:rsidRDefault="00A21AA0" w:rsidP="00930498">
      <w:pPr>
        <w:pStyle w:val="ListParagraph"/>
        <w:numPr>
          <w:ilvl w:val="2"/>
          <w:numId w:val="45"/>
        </w:numPr>
        <w:autoSpaceDE w:val="0"/>
        <w:autoSpaceDN w:val="0"/>
        <w:adjustRightInd w:val="0"/>
        <w:spacing w:line="360" w:lineRule="auto"/>
        <w:jc w:val="both"/>
        <w:rPr>
          <w:bCs/>
          <w:lang w:val="en-US"/>
        </w:rPr>
      </w:pPr>
      <w:r w:rsidRPr="007868D0">
        <w:rPr>
          <w:bCs/>
          <w:lang w:val="en-US"/>
        </w:rPr>
        <w:t xml:space="preserve">The programme achieved </w:t>
      </w:r>
      <w:r w:rsidR="007269DA">
        <w:rPr>
          <w:bCs/>
          <w:lang w:val="en-US"/>
        </w:rPr>
        <w:t xml:space="preserve">all </w:t>
      </w:r>
      <w:r w:rsidR="00CD4061">
        <w:rPr>
          <w:bCs/>
          <w:lang w:val="en-US"/>
        </w:rPr>
        <w:t xml:space="preserve">of the six </w:t>
      </w:r>
      <w:r w:rsidR="007269DA">
        <w:rPr>
          <w:bCs/>
          <w:lang w:val="en-US"/>
        </w:rPr>
        <w:t>planned targets for 201</w:t>
      </w:r>
      <w:r w:rsidR="00CD4061">
        <w:rPr>
          <w:bCs/>
          <w:lang w:val="en-US"/>
        </w:rPr>
        <w:t>8/19</w:t>
      </w:r>
      <w:r w:rsidR="00A52900" w:rsidRPr="007868D0">
        <w:rPr>
          <w:bCs/>
          <w:lang w:val="en-US"/>
        </w:rPr>
        <w:t>:</w:t>
      </w:r>
    </w:p>
    <w:p w14:paraId="7A20ABAC" w14:textId="77777777" w:rsidR="000A59B6" w:rsidRPr="007868D0" w:rsidRDefault="000A59B6" w:rsidP="007429F2">
      <w:pPr>
        <w:pStyle w:val="ListParagraph"/>
        <w:spacing w:line="360" w:lineRule="auto"/>
        <w:jc w:val="both"/>
        <w:rPr>
          <w:bCs/>
          <w:lang w:val="en-US"/>
        </w:rPr>
      </w:pPr>
    </w:p>
    <w:p w14:paraId="5266E337" w14:textId="27DD9912" w:rsidR="00215FA6" w:rsidRPr="007868D0" w:rsidRDefault="00215FA6" w:rsidP="007429F2">
      <w:pPr>
        <w:autoSpaceDE w:val="0"/>
        <w:autoSpaceDN w:val="0"/>
        <w:adjustRightInd w:val="0"/>
        <w:spacing w:line="360" w:lineRule="auto"/>
        <w:jc w:val="both"/>
        <w:rPr>
          <w:b/>
          <w:bCs/>
          <w:iCs/>
          <w:lang w:val="en-ZA" w:eastAsia="en-ZA"/>
        </w:rPr>
      </w:pPr>
      <w:r w:rsidRPr="007868D0">
        <w:rPr>
          <w:b/>
          <w:bCs/>
          <w:iCs/>
          <w:lang w:val="en-ZA" w:eastAsia="en-ZA"/>
        </w:rPr>
        <w:t xml:space="preserve">Table </w:t>
      </w:r>
      <w:r w:rsidR="0078546E">
        <w:rPr>
          <w:b/>
          <w:bCs/>
          <w:iCs/>
          <w:lang w:val="en-ZA" w:eastAsia="en-ZA"/>
        </w:rPr>
        <w:t>7</w:t>
      </w:r>
      <w:r w:rsidR="009B26F9" w:rsidRPr="007868D0">
        <w:rPr>
          <w:b/>
          <w:bCs/>
          <w:iCs/>
          <w:lang w:val="en-ZA" w:eastAsia="en-ZA"/>
        </w:rPr>
        <w:t xml:space="preserve">: </w:t>
      </w:r>
      <w:r w:rsidR="007269DA">
        <w:rPr>
          <w:b/>
          <w:bCs/>
          <w:iCs/>
          <w:lang w:val="en-ZA" w:eastAsia="en-ZA"/>
        </w:rPr>
        <w:t>Superior Court Services</w:t>
      </w:r>
      <w:r w:rsidR="00931E8A">
        <w:rPr>
          <w:b/>
          <w:bCs/>
          <w:iCs/>
          <w:lang w:val="en-ZA" w:eastAsia="en-ZA"/>
        </w:rPr>
        <w:t>: Selected pe</w:t>
      </w:r>
      <w:r w:rsidR="008E1659" w:rsidRPr="007868D0">
        <w:rPr>
          <w:b/>
          <w:bCs/>
          <w:iCs/>
          <w:lang w:val="en-ZA" w:eastAsia="en-ZA"/>
        </w:rPr>
        <w:t>rformance 201</w:t>
      </w:r>
      <w:r w:rsidR="00CD4061">
        <w:rPr>
          <w:b/>
          <w:bCs/>
          <w:iCs/>
          <w:lang w:val="en-ZA" w:eastAsia="en-ZA"/>
        </w:rPr>
        <w:t xml:space="preserve">8/19 </w:t>
      </w:r>
    </w:p>
    <w:tbl>
      <w:tblPr>
        <w:tblpPr w:leftFromText="180" w:rightFromText="180" w:vertAnchor="text" w:horzAnchor="margin" w:tblpY="113"/>
        <w:tblW w:w="0" w:type="auto"/>
        <w:tblBorders>
          <w:top w:val="nil"/>
          <w:left w:val="nil"/>
          <w:bottom w:val="nil"/>
          <w:right w:val="nil"/>
        </w:tblBorders>
        <w:tblLook w:val="0000" w:firstRow="0" w:lastRow="0" w:firstColumn="0" w:lastColumn="0" w:noHBand="0" w:noVBand="0"/>
      </w:tblPr>
      <w:tblGrid>
        <w:gridCol w:w="4368"/>
        <w:gridCol w:w="2511"/>
        <w:gridCol w:w="3083"/>
      </w:tblGrid>
      <w:tr w:rsidR="00CC721F" w:rsidRPr="007868D0" w14:paraId="1A0E3727" w14:textId="77777777" w:rsidTr="000F08D5">
        <w:trPr>
          <w:trHeight w:val="585"/>
          <w:tblHeader/>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278707" w14:textId="77777777" w:rsidR="00CC721F" w:rsidRPr="007868D0" w:rsidRDefault="00CC721F" w:rsidP="007429F2">
            <w:pPr>
              <w:autoSpaceDE w:val="0"/>
              <w:autoSpaceDN w:val="0"/>
              <w:adjustRightInd w:val="0"/>
              <w:spacing w:line="360" w:lineRule="auto"/>
              <w:jc w:val="both"/>
              <w:rPr>
                <w:b/>
                <w:bCs/>
                <w:iCs/>
                <w:lang w:val="en-ZA" w:eastAsia="en-ZA"/>
              </w:rPr>
            </w:pPr>
            <w:r w:rsidRPr="007868D0">
              <w:rPr>
                <w:b/>
                <w:bCs/>
                <w:iCs/>
                <w:lang w:val="en-ZA" w:eastAsia="en-ZA"/>
              </w:rPr>
              <w:t>Performance indicators</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73ED6A" w14:textId="77777777" w:rsidR="00CC721F" w:rsidRPr="007868D0" w:rsidRDefault="00CC721F" w:rsidP="007429F2">
            <w:pPr>
              <w:autoSpaceDE w:val="0"/>
              <w:autoSpaceDN w:val="0"/>
              <w:adjustRightInd w:val="0"/>
              <w:spacing w:line="360" w:lineRule="auto"/>
              <w:jc w:val="both"/>
              <w:rPr>
                <w:b/>
                <w:lang w:val="en-ZA" w:eastAsia="en-ZA"/>
              </w:rPr>
            </w:pPr>
            <w:r w:rsidRPr="007868D0">
              <w:rPr>
                <w:b/>
                <w:lang w:val="en-ZA" w:eastAsia="en-ZA"/>
              </w:rPr>
              <w:t>Performance</w:t>
            </w:r>
          </w:p>
          <w:p w14:paraId="5567B520" w14:textId="77777777" w:rsidR="00CC721F" w:rsidRPr="007868D0" w:rsidRDefault="00CC721F" w:rsidP="007429F2">
            <w:pPr>
              <w:autoSpaceDE w:val="0"/>
              <w:autoSpaceDN w:val="0"/>
              <w:adjustRightInd w:val="0"/>
              <w:spacing w:line="360" w:lineRule="auto"/>
              <w:jc w:val="both"/>
              <w:rPr>
                <w:b/>
                <w:lang w:val="en-ZA" w:eastAsia="en-ZA"/>
              </w:rPr>
            </w:pPr>
            <w:r>
              <w:rPr>
                <w:b/>
                <w:lang w:val="en-ZA" w:eastAsia="en-ZA"/>
              </w:rPr>
              <w:t>2017/18</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9C809E" w14:textId="77777777" w:rsidR="00CC721F" w:rsidRPr="007868D0" w:rsidRDefault="00CC721F" w:rsidP="007429F2">
            <w:pPr>
              <w:autoSpaceDE w:val="0"/>
              <w:autoSpaceDN w:val="0"/>
              <w:adjustRightInd w:val="0"/>
              <w:spacing w:line="360" w:lineRule="auto"/>
              <w:jc w:val="both"/>
              <w:rPr>
                <w:b/>
                <w:lang w:val="en-ZA" w:eastAsia="en-ZA"/>
              </w:rPr>
            </w:pPr>
            <w:r w:rsidRPr="007868D0">
              <w:rPr>
                <w:b/>
                <w:lang w:val="en-ZA" w:eastAsia="en-ZA"/>
              </w:rPr>
              <w:t xml:space="preserve">Performance </w:t>
            </w:r>
          </w:p>
          <w:p w14:paraId="3CFEE7C5" w14:textId="77777777" w:rsidR="00CC721F" w:rsidRPr="007868D0" w:rsidRDefault="00CC721F" w:rsidP="007429F2">
            <w:pPr>
              <w:autoSpaceDE w:val="0"/>
              <w:autoSpaceDN w:val="0"/>
              <w:adjustRightInd w:val="0"/>
              <w:spacing w:line="360" w:lineRule="auto"/>
              <w:jc w:val="both"/>
              <w:rPr>
                <w:b/>
                <w:lang w:val="en-ZA" w:eastAsia="en-ZA"/>
              </w:rPr>
            </w:pPr>
            <w:r>
              <w:rPr>
                <w:b/>
                <w:lang w:val="en-ZA" w:eastAsia="en-ZA"/>
              </w:rPr>
              <w:t>2018/19</w:t>
            </w:r>
          </w:p>
        </w:tc>
      </w:tr>
      <w:tr w:rsidR="00CC721F" w:rsidRPr="007868D0" w14:paraId="4BDFE4B5" w14:textId="77777777" w:rsidTr="000F08D5">
        <w:trPr>
          <w:trHeight w:val="585"/>
        </w:trPr>
        <w:tc>
          <w:tcPr>
            <w:tcW w:w="0" w:type="auto"/>
            <w:tcBorders>
              <w:top w:val="single" w:sz="4" w:space="0" w:color="auto"/>
              <w:left w:val="single" w:sz="4" w:space="0" w:color="auto"/>
              <w:bottom w:val="single" w:sz="4" w:space="0" w:color="auto"/>
              <w:right w:val="single" w:sz="4" w:space="0" w:color="auto"/>
            </w:tcBorders>
          </w:tcPr>
          <w:p w14:paraId="2E668AB1" w14:textId="77777777" w:rsidR="00CC721F" w:rsidRDefault="00CC721F" w:rsidP="007429F2">
            <w:pPr>
              <w:autoSpaceDE w:val="0"/>
              <w:autoSpaceDN w:val="0"/>
              <w:adjustRightInd w:val="0"/>
              <w:spacing w:line="360" w:lineRule="auto"/>
              <w:jc w:val="both"/>
              <w:rPr>
                <w:lang w:val="en-ZA" w:eastAsia="en-ZA"/>
              </w:rPr>
            </w:pPr>
            <w:r>
              <w:rPr>
                <w:lang w:val="en-ZA" w:eastAsia="en-ZA"/>
              </w:rPr>
              <w:t>Percentage achievement of quasi-judicial targets</w:t>
            </w:r>
          </w:p>
          <w:p w14:paraId="2EE372A2" w14:textId="77777777" w:rsidR="00CC721F" w:rsidRPr="007868D0" w:rsidRDefault="00CC721F" w:rsidP="007429F2">
            <w:pPr>
              <w:autoSpaceDE w:val="0"/>
              <w:autoSpaceDN w:val="0"/>
              <w:adjustRightInd w:val="0"/>
              <w:spacing w:line="360" w:lineRule="auto"/>
              <w:jc w:val="both"/>
              <w:rPr>
                <w:lang w:val="en-ZA" w:eastAsia="en-ZA"/>
              </w:rPr>
            </w:pPr>
            <w:r>
              <w:rPr>
                <w:lang w:val="en-ZA" w:eastAsia="en-ZA"/>
              </w:rPr>
              <w:t>(Objective indicator)</w:t>
            </w:r>
          </w:p>
        </w:tc>
        <w:tc>
          <w:tcPr>
            <w:tcW w:w="0" w:type="auto"/>
            <w:tcBorders>
              <w:top w:val="single" w:sz="4" w:space="0" w:color="auto"/>
              <w:left w:val="single" w:sz="4" w:space="0" w:color="auto"/>
              <w:bottom w:val="single" w:sz="4" w:space="0" w:color="auto"/>
              <w:right w:val="single" w:sz="4" w:space="0" w:color="auto"/>
            </w:tcBorders>
          </w:tcPr>
          <w:p w14:paraId="66B16B85" w14:textId="77777777" w:rsidR="00CC721F" w:rsidRPr="0078546E" w:rsidRDefault="00CC721F" w:rsidP="007429F2">
            <w:pPr>
              <w:autoSpaceDE w:val="0"/>
              <w:autoSpaceDN w:val="0"/>
              <w:adjustRightInd w:val="0"/>
              <w:spacing w:line="360" w:lineRule="auto"/>
              <w:jc w:val="both"/>
              <w:rPr>
                <w:lang w:val="en-ZA" w:eastAsia="en-ZA"/>
              </w:rPr>
            </w:pPr>
            <w:r w:rsidRPr="0078546E">
              <w:rPr>
                <w:lang w:val="en-ZA" w:eastAsia="en-ZA"/>
              </w:rPr>
              <w:t>92% (82 579 of 89 935 (Baseline)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6AFC6" w14:textId="77777777" w:rsidR="00CC721F" w:rsidRPr="00156569" w:rsidRDefault="00CC721F" w:rsidP="007429F2">
            <w:pPr>
              <w:autoSpaceDE w:val="0"/>
              <w:autoSpaceDN w:val="0"/>
              <w:adjustRightInd w:val="0"/>
              <w:spacing w:line="360" w:lineRule="auto"/>
              <w:jc w:val="both"/>
              <w:rPr>
                <w:lang w:val="en-ZA" w:eastAsia="en-ZA"/>
              </w:rPr>
            </w:pPr>
            <w:r w:rsidRPr="00156569">
              <w:rPr>
                <w:lang w:val="en-ZA" w:eastAsia="en-ZA"/>
              </w:rPr>
              <w:t>EXCEEDED</w:t>
            </w:r>
          </w:p>
          <w:p w14:paraId="47420C55" w14:textId="77777777" w:rsidR="00CC721F" w:rsidRPr="00156569" w:rsidRDefault="00CC721F" w:rsidP="007429F2">
            <w:pPr>
              <w:autoSpaceDE w:val="0"/>
              <w:autoSpaceDN w:val="0"/>
              <w:adjustRightInd w:val="0"/>
              <w:spacing w:line="360" w:lineRule="auto"/>
              <w:jc w:val="both"/>
              <w:rPr>
                <w:lang w:val="en-ZA" w:eastAsia="en-ZA"/>
              </w:rPr>
            </w:pPr>
            <w:r w:rsidRPr="00156569">
              <w:rPr>
                <w:lang w:val="en-ZA" w:eastAsia="en-ZA"/>
              </w:rPr>
              <w:t>97% (98 122 of 101 342) against a target of 90%</w:t>
            </w:r>
          </w:p>
        </w:tc>
      </w:tr>
      <w:tr w:rsidR="00CC721F" w:rsidRPr="007868D0" w14:paraId="5B56DF54" w14:textId="77777777" w:rsidTr="000F08D5">
        <w:trPr>
          <w:trHeight w:val="585"/>
        </w:trPr>
        <w:tc>
          <w:tcPr>
            <w:tcW w:w="0" w:type="auto"/>
            <w:tcBorders>
              <w:top w:val="single" w:sz="4" w:space="0" w:color="auto"/>
              <w:left w:val="single" w:sz="4" w:space="0" w:color="auto"/>
              <w:bottom w:val="single" w:sz="4" w:space="0" w:color="auto"/>
              <w:right w:val="single" w:sz="4" w:space="0" w:color="auto"/>
            </w:tcBorders>
          </w:tcPr>
          <w:p w14:paraId="6755C6B3" w14:textId="77777777" w:rsidR="00CC721F" w:rsidRPr="007868D0" w:rsidRDefault="00CC721F" w:rsidP="007429F2">
            <w:pPr>
              <w:autoSpaceDE w:val="0"/>
              <w:autoSpaceDN w:val="0"/>
              <w:adjustRightInd w:val="0"/>
              <w:spacing w:line="360" w:lineRule="auto"/>
              <w:jc w:val="both"/>
              <w:rPr>
                <w:lang w:val="en-ZA" w:eastAsia="en-ZA"/>
              </w:rPr>
            </w:pPr>
            <w:r w:rsidRPr="007868D0">
              <w:rPr>
                <w:lang w:val="en-ZA" w:eastAsia="en-ZA"/>
              </w:rPr>
              <w:t xml:space="preserve">Number of monitoring reports </w:t>
            </w:r>
            <w:r>
              <w:rPr>
                <w:lang w:val="en-ZA" w:eastAsia="en-ZA"/>
              </w:rPr>
              <w:t>on Court Integrity Project produced</w:t>
            </w:r>
          </w:p>
        </w:tc>
        <w:tc>
          <w:tcPr>
            <w:tcW w:w="0" w:type="auto"/>
            <w:tcBorders>
              <w:top w:val="single" w:sz="4" w:space="0" w:color="auto"/>
              <w:left w:val="single" w:sz="4" w:space="0" w:color="auto"/>
              <w:bottom w:val="single" w:sz="4" w:space="0" w:color="auto"/>
              <w:right w:val="single" w:sz="4" w:space="0" w:color="auto"/>
            </w:tcBorders>
          </w:tcPr>
          <w:p w14:paraId="60B49DC9" w14:textId="77777777" w:rsidR="00CC721F" w:rsidRPr="0078546E" w:rsidRDefault="00CC721F" w:rsidP="007429F2">
            <w:pPr>
              <w:autoSpaceDE w:val="0"/>
              <w:autoSpaceDN w:val="0"/>
              <w:adjustRightInd w:val="0"/>
              <w:spacing w:line="360" w:lineRule="auto"/>
              <w:jc w:val="both"/>
              <w:rPr>
                <w:lang w:val="en-ZA" w:eastAsia="en-ZA"/>
              </w:rPr>
            </w:pPr>
            <w:r w:rsidRPr="0078546E">
              <w:rPr>
                <w:lang w:val="en-ZA" w:eastAsia="en-ZA"/>
              </w:rPr>
              <w:t>ACHIEVED</w:t>
            </w:r>
          </w:p>
          <w:p w14:paraId="0C162348" w14:textId="77777777" w:rsidR="00CC721F" w:rsidRPr="00156569" w:rsidRDefault="00CC721F" w:rsidP="007429F2">
            <w:pPr>
              <w:autoSpaceDE w:val="0"/>
              <w:autoSpaceDN w:val="0"/>
              <w:adjustRightInd w:val="0"/>
              <w:spacing w:line="360" w:lineRule="auto"/>
              <w:jc w:val="both"/>
              <w:rPr>
                <w:lang w:val="en-ZA" w:eastAsia="en-ZA"/>
              </w:rPr>
            </w:pPr>
            <w:r w:rsidRPr="00156569">
              <w:rPr>
                <w:lang w:val="en-ZA" w:eastAsia="en-ZA"/>
              </w:rPr>
              <w:t>5 against a target of 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542CEA" w14:textId="77777777" w:rsidR="00CC721F" w:rsidRPr="00156569" w:rsidRDefault="00CC721F" w:rsidP="007429F2">
            <w:pPr>
              <w:autoSpaceDE w:val="0"/>
              <w:autoSpaceDN w:val="0"/>
              <w:adjustRightInd w:val="0"/>
              <w:spacing w:line="360" w:lineRule="auto"/>
              <w:jc w:val="both"/>
              <w:rPr>
                <w:lang w:val="en-ZA" w:eastAsia="en-ZA"/>
              </w:rPr>
            </w:pPr>
            <w:r w:rsidRPr="00156569">
              <w:rPr>
                <w:lang w:val="en-ZA" w:eastAsia="en-ZA"/>
              </w:rPr>
              <w:t>ACHIEVED</w:t>
            </w:r>
          </w:p>
          <w:p w14:paraId="604BE9D8" w14:textId="77777777" w:rsidR="00CC721F" w:rsidRPr="00156569" w:rsidRDefault="00CC721F" w:rsidP="007429F2">
            <w:pPr>
              <w:autoSpaceDE w:val="0"/>
              <w:autoSpaceDN w:val="0"/>
              <w:adjustRightInd w:val="0"/>
              <w:spacing w:line="360" w:lineRule="auto"/>
              <w:jc w:val="both"/>
              <w:rPr>
                <w:lang w:val="en-ZA" w:eastAsia="en-ZA"/>
              </w:rPr>
            </w:pPr>
            <w:r w:rsidRPr="00156569">
              <w:rPr>
                <w:lang w:val="en-ZA" w:eastAsia="en-ZA"/>
              </w:rPr>
              <w:t>4 against a target of 4</w:t>
            </w:r>
          </w:p>
        </w:tc>
      </w:tr>
      <w:tr w:rsidR="00CC721F" w:rsidRPr="007868D0" w14:paraId="5115ACE7" w14:textId="77777777" w:rsidTr="000F08D5">
        <w:trPr>
          <w:trHeight w:val="647"/>
        </w:trPr>
        <w:tc>
          <w:tcPr>
            <w:tcW w:w="0" w:type="auto"/>
            <w:tcBorders>
              <w:top w:val="single" w:sz="4" w:space="0" w:color="auto"/>
              <w:left w:val="single" w:sz="4" w:space="0" w:color="auto"/>
              <w:bottom w:val="single" w:sz="4" w:space="0" w:color="auto"/>
              <w:right w:val="single" w:sz="4" w:space="0" w:color="auto"/>
            </w:tcBorders>
          </w:tcPr>
          <w:p w14:paraId="2EC28DE1" w14:textId="200C3A47" w:rsidR="00CC721F" w:rsidRPr="007868D0" w:rsidRDefault="00156569" w:rsidP="007429F2">
            <w:pPr>
              <w:autoSpaceDE w:val="0"/>
              <w:autoSpaceDN w:val="0"/>
              <w:adjustRightInd w:val="0"/>
              <w:spacing w:line="360" w:lineRule="auto"/>
              <w:jc w:val="both"/>
              <w:rPr>
                <w:lang w:val="en-ZA" w:eastAsia="en-ZA"/>
              </w:rPr>
            </w:pPr>
            <w:r>
              <w:rPr>
                <w:lang w:val="en-ZA" w:eastAsia="en-ZA"/>
              </w:rPr>
              <w:t xml:space="preserve">Percentage </w:t>
            </w:r>
            <w:r w:rsidR="00CC721F">
              <w:rPr>
                <w:lang w:val="en-ZA" w:eastAsia="en-ZA"/>
              </w:rPr>
              <w:t>of default judgements finalised by Registrars</w:t>
            </w:r>
          </w:p>
        </w:tc>
        <w:tc>
          <w:tcPr>
            <w:tcW w:w="0" w:type="auto"/>
            <w:tcBorders>
              <w:top w:val="single" w:sz="4" w:space="0" w:color="auto"/>
              <w:left w:val="single" w:sz="4" w:space="0" w:color="auto"/>
              <w:bottom w:val="single" w:sz="4" w:space="0" w:color="auto"/>
              <w:right w:val="single" w:sz="4" w:space="0" w:color="auto"/>
            </w:tcBorders>
          </w:tcPr>
          <w:p w14:paraId="78C9CDF2" w14:textId="77777777" w:rsidR="00CC721F" w:rsidRPr="0078546E" w:rsidRDefault="00CC721F" w:rsidP="007429F2">
            <w:pPr>
              <w:autoSpaceDE w:val="0"/>
              <w:autoSpaceDN w:val="0"/>
              <w:adjustRightInd w:val="0"/>
              <w:spacing w:line="360" w:lineRule="auto"/>
              <w:jc w:val="both"/>
              <w:rPr>
                <w:lang w:val="en-ZA" w:eastAsia="en-ZA"/>
              </w:rPr>
            </w:pPr>
            <w:r w:rsidRPr="0078546E">
              <w:rPr>
                <w:lang w:val="en-ZA" w:eastAsia="en-ZA"/>
              </w:rPr>
              <w:t>EXCEEDED</w:t>
            </w:r>
          </w:p>
          <w:p w14:paraId="70EEBB9D" w14:textId="77777777" w:rsidR="00CC721F" w:rsidRPr="00156569" w:rsidRDefault="00CC721F" w:rsidP="007429F2">
            <w:pPr>
              <w:autoSpaceDE w:val="0"/>
              <w:autoSpaceDN w:val="0"/>
              <w:adjustRightInd w:val="0"/>
              <w:spacing w:line="360" w:lineRule="auto"/>
              <w:jc w:val="both"/>
              <w:rPr>
                <w:lang w:val="en-ZA" w:eastAsia="en-ZA"/>
              </w:rPr>
            </w:pPr>
            <w:r w:rsidRPr="00156569">
              <w:rPr>
                <w:lang w:val="en-ZA" w:eastAsia="en-ZA"/>
              </w:rPr>
              <w:t>89% against a target of 80%</w:t>
            </w:r>
          </w:p>
          <w:p w14:paraId="11A07C3C" w14:textId="77777777" w:rsidR="00CC721F" w:rsidRPr="0078546E" w:rsidRDefault="00CC721F" w:rsidP="007429F2">
            <w:pPr>
              <w:autoSpaceDE w:val="0"/>
              <w:autoSpaceDN w:val="0"/>
              <w:adjustRightInd w:val="0"/>
              <w:spacing w:line="360" w:lineRule="auto"/>
              <w:jc w:val="both"/>
              <w:rPr>
                <w:lang w:val="en-ZA" w:eastAsia="en-ZA"/>
              </w:rPr>
            </w:pPr>
            <w:r w:rsidRPr="00156569">
              <w:rPr>
                <w:lang w:val="en-ZA" w:eastAsia="en-ZA"/>
              </w:rPr>
              <w:t>(48 508/54 563 default judgements)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CAC98F" w14:textId="77777777" w:rsidR="00CC721F" w:rsidRPr="0078546E" w:rsidRDefault="00CC721F" w:rsidP="007429F2">
            <w:pPr>
              <w:autoSpaceDE w:val="0"/>
              <w:autoSpaceDN w:val="0"/>
              <w:adjustRightInd w:val="0"/>
              <w:spacing w:line="360" w:lineRule="auto"/>
              <w:jc w:val="both"/>
              <w:rPr>
                <w:lang w:val="en-ZA" w:eastAsia="en-ZA"/>
              </w:rPr>
            </w:pPr>
            <w:r w:rsidRPr="0078546E">
              <w:rPr>
                <w:lang w:val="en-ZA" w:eastAsia="en-ZA"/>
              </w:rPr>
              <w:t>ACHIEVED</w:t>
            </w:r>
          </w:p>
          <w:p w14:paraId="02A362E5" w14:textId="77777777" w:rsidR="00CC721F" w:rsidRPr="0078546E" w:rsidRDefault="00CC721F" w:rsidP="007429F2">
            <w:pPr>
              <w:autoSpaceDE w:val="0"/>
              <w:autoSpaceDN w:val="0"/>
              <w:adjustRightInd w:val="0"/>
              <w:spacing w:line="360" w:lineRule="auto"/>
              <w:jc w:val="both"/>
              <w:rPr>
                <w:lang w:val="en-ZA" w:eastAsia="en-ZA"/>
              </w:rPr>
            </w:pPr>
            <w:r w:rsidRPr="0078546E">
              <w:rPr>
                <w:lang w:val="en-ZA" w:eastAsia="en-ZA"/>
              </w:rPr>
              <w:t>96% (52 508 of 54 872) against a target of 90%</w:t>
            </w:r>
          </w:p>
        </w:tc>
      </w:tr>
      <w:tr w:rsidR="00CC721F" w:rsidRPr="007868D0" w14:paraId="428943C9" w14:textId="77777777" w:rsidTr="000F08D5">
        <w:trPr>
          <w:trHeight w:val="647"/>
        </w:trPr>
        <w:tc>
          <w:tcPr>
            <w:tcW w:w="0" w:type="auto"/>
            <w:tcBorders>
              <w:top w:val="single" w:sz="4" w:space="0" w:color="auto"/>
              <w:left w:val="single" w:sz="4" w:space="0" w:color="auto"/>
              <w:bottom w:val="single" w:sz="4" w:space="0" w:color="auto"/>
              <w:right w:val="single" w:sz="4" w:space="0" w:color="auto"/>
            </w:tcBorders>
          </w:tcPr>
          <w:p w14:paraId="4796FF39" w14:textId="77777777" w:rsidR="00CC721F" w:rsidRPr="007868D0" w:rsidRDefault="00CC721F" w:rsidP="007429F2">
            <w:pPr>
              <w:autoSpaceDE w:val="0"/>
              <w:autoSpaceDN w:val="0"/>
              <w:adjustRightInd w:val="0"/>
              <w:spacing w:line="360" w:lineRule="auto"/>
              <w:jc w:val="both"/>
              <w:rPr>
                <w:lang w:val="en-ZA" w:eastAsia="en-ZA"/>
              </w:rPr>
            </w:pPr>
            <w:r>
              <w:rPr>
                <w:lang w:val="en-ZA" w:eastAsia="en-ZA"/>
              </w:rPr>
              <w:t>Percentage of taxations of legal costs finalised each year</w:t>
            </w:r>
          </w:p>
        </w:tc>
        <w:tc>
          <w:tcPr>
            <w:tcW w:w="0" w:type="auto"/>
            <w:tcBorders>
              <w:top w:val="single" w:sz="4" w:space="0" w:color="auto"/>
              <w:left w:val="single" w:sz="4" w:space="0" w:color="auto"/>
              <w:bottom w:val="single" w:sz="4" w:space="0" w:color="auto"/>
              <w:right w:val="single" w:sz="4" w:space="0" w:color="auto"/>
            </w:tcBorders>
          </w:tcPr>
          <w:p w14:paraId="06CA0E5E" w14:textId="77777777" w:rsidR="00CC721F" w:rsidRPr="0078546E" w:rsidRDefault="00CC721F" w:rsidP="007429F2">
            <w:pPr>
              <w:autoSpaceDE w:val="0"/>
              <w:autoSpaceDN w:val="0"/>
              <w:adjustRightInd w:val="0"/>
              <w:spacing w:line="360" w:lineRule="auto"/>
              <w:jc w:val="both"/>
              <w:rPr>
                <w:lang w:val="en-ZA" w:eastAsia="en-ZA"/>
              </w:rPr>
            </w:pPr>
            <w:r w:rsidRPr="0078546E">
              <w:rPr>
                <w:lang w:val="en-ZA" w:eastAsia="en-ZA"/>
              </w:rPr>
              <w:t>96% (33 961 of 35 261)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95EBC4" w14:textId="77777777" w:rsidR="00CC721F" w:rsidRDefault="00CC721F" w:rsidP="007429F2">
            <w:pPr>
              <w:autoSpaceDE w:val="0"/>
              <w:autoSpaceDN w:val="0"/>
              <w:adjustRightInd w:val="0"/>
              <w:spacing w:line="360" w:lineRule="auto"/>
              <w:jc w:val="both"/>
              <w:rPr>
                <w:lang w:val="en-ZA" w:eastAsia="en-ZA"/>
              </w:rPr>
            </w:pPr>
            <w:r>
              <w:rPr>
                <w:lang w:val="en-ZA" w:eastAsia="en-ZA"/>
              </w:rPr>
              <w:t>EXCEEDED</w:t>
            </w:r>
          </w:p>
          <w:p w14:paraId="628279D8" w14:textId="77777777" w:rsidR="00CC721F" w:rsidRPr="007868D0" w:rsidRDefault="00CC721F" w:rsidP="007429F2">
            <w:pPr>
              <w:autoSpaceDE w:val="0"/>
              <w:autoSpaceDN w:val="0"/>
              <w:adjustRightInd w:val="0"/>
              <w:spacing w:line="360" w:lineRule="auto"/>
              <w:jc w:val="both"/>
              <w:rPr>
                <w:lang w:val="en-ZA" w:eastAsia="en-ZA"/>
              </w:rPr>
            </w:pPr>
            <w:r>
              <w:rPr>
                <w:lang w:val="en-ZA" w:eastAsia="en-ZA"/>
              </w:rPr>
              <w:t>98% (45 535 of 46 389) against a target of 90%</w:t>
            </w:r>
          </w:p>
        </w:tc>
      </w:tr>
      <w:tr w:rsidR="00CC721F" w:rsidRPr="007868D0" w14:paraId="5A64D34C" w14:textId="77777777" w:rsidTr="000F08D5">
        <w:trPr>
          <w:trHeight w:val="647"/>
        </w:trPr>
        <w:tc>
          <w:tcPr>
            <w:tcW w:w="0" w:type="auto"/>
            <w:tcBorders>
              <w:top w:val="single" w:sz="4" w:space="0" w:color="auto"/>
              <w:left w:val="single" w:sz="4" w:space="0" w:color="auto"/>
              <w:bottom w:val="single" w:sz="4" w:space="0" w:color="auto"/>
              <w:right w:val="single" w:sz="4" w:space="0" w:color="auto"/>
            </w:tcBorders>
          </w:tcPr>
          <w:p w14:paraId="26FA5A93" w14:textId="10248BBD" w:rsidR="00CC721F" w:rsidRPr="007868D0" w:rsidRDefault="00156569" w:rsidP="007429F2">
            <w:pPr>
              <w:autoSpaceDE w:val="0"/>
              <w:autoSpaceDN w:val="0"/>
              <w:adjustRightInd w:val="0"/>
              <w:spacing w:line="360" w:lineRule="auto"/>
              <w:jc w:val="both"/>
              <w:rPr>
                <w:lang w:val="en-ZA" w:eastAsia="en-ZA"/>
              </w:rPr>
            </w:pPr>
            <w:r>
              <w:rPr>
                <w:lang w:val="en-ZA" w:eastAsia="en-ZA"/>
              </w:rPr>
              <w:t>Percentage</w:t>
            </w:r>
            <w:r w:rsidRPr="007868D0">
              <w:rPr>
                <w:lang w:val="en-ZA" w:eastAsia="en-ZA"/>
              </w:rPr>
              <w:t xml:space="preserve"> </w:t>
            </w:r>
            <w:r w:rsidR="00CC721F" w:rsidRPr="007868D0">
              <w:rPr>
                <w:lang w:val="en-ZA" w:eastAsia="en-ZA"/>
              </w:rPr>
              <w:t>of warrants of release delivered within a day of the release granted</w:t>
            </w:r>
          </w:p>
        </w:tc>
        <w:tc>
          <w:tcPr>
            <w:tcW w:w="0" w:type="auto"/>
            <w:tcBorders>
              <w:top w:val="single" w:sz="4" w:space="0" w:color="auto"/>
              <w:left w:val="single" w:sz="4" w:space="0" w:color="auto"/>
              <w:bottom w:val="single" w:sz="4" w:space="0" w:color="auto"/>
              <w:right w:val="single" w:sz="4" w:space="0" w:color="auto"/>
            </w:tcBorders>
          </w:tcPr>
          <w:p w14:paraId="6D718A19" w14:textId="77777777" w:rsidR="00CC721F" w:rsidRPr="0078546E" w:rsidRDefault="00CC721F" w:rsidP="007429F2">
            <w:pPr>
              <w:autoSpaceDE w:val="0"/>
              <w:autoSpaceDN w:val="0"/>
              <w:adjustRightInd w:val="0"/>
              <w:spacing w:line="360" w:lineRule="auto"/>
              <w:jc w:val="both"/>
              <w:rPr>
                <w:lang w:val="en-ZA" w:eastAsia="en-ZA"/>
              </w:rPr>
            </w:pPr>
            <w:r w:rsidRPr="0078546E">
              <w:rPr>
                <w:lang w:val="en-ZA" w:eastAsia="en-ZA"/>
              </w:rPr>
              <w:t>EXCEEDED</w:t>
            </w:r>
          </w:p>
          <w:p w14:paraId="37CBD2F9" w14:textId="77777777" w:rsidR="00CC721F" w:rsidRPr="00156569" w:rsidRDefault="00CC721F" w:rsidP="007429F2">
            <w:pPr>
              <w:autoSpaceDE w:val="0"/>
              <w:autoSpaceDN w:val="0"/>
              <w:adjustRightInd w:val="0"/>
              <w:spacing w:line="360" w:lineRule="auto"/>
              <w:jc w:val="both"/>
              <w:rPr>
                <w:lang w:val="en-ZA" w:eastAsia="en-ZA"/>
              </w:rPr>
            </w:pPr>
            <w:r w:rsidRPr="00156569">
              <w:rPr>
                <w:lang w:val="en-ZA" w:eastAsia="en-ZA"/>
              </w:rPr>
              <w:t>98% (109 of 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6977E5" w14:textId="77777777" w:rsidR="00CC721F" w:rsidRDefault="00CC721F" w:rsidP="007429F2">
            <w:pPr>
              <w:autoSpaceDE w:val="0"/>
              <w:autoSpaceDN w:val="0"/>
              <w:adjustRightInd w:val="0"/>
              <w:spacing w:line="360" w:lineRule="auto"/>
              <w:jc w:val="both"/>
              <w:rPr>
                <w:lang w:val="en-ZA" w:eastAsia="en-ZA"/>
              </w:rPr>
            </w:pPr>
            <w:r>
              <w:rPr>
                <w:lang w:val="en-ZA" w:eastAsia="en-ZA"/>
              </w:rPr>
              <w:t>ACHIEVED</w:t>
            </w:r>
          </w:p>
          <w:p w14:paraId="66295312" w14:textId="77777777" w:rsidR="00CC721F" w:rsidRPr="007868D0" w:rsidRDefault="00CC721F" w:rsidP="007429F2">
            <w:pPr>
              <w:autoSpaceDE w:val="0"/>
              <w:autoSpaceDN w:val="0"/>
              <w:adjustRightInd w:val="0"/>
              <w:spacing w:line="360" w:lineRule="auto"/>
              <w:jc w:val="both"/>
              <w:rPr>
                <w:lang w:val="en-ZA" w:eastAsia="en-ZA"/>
              </w:rPr>
            </w:pPr>
            <w:r>
              <w:rPr>
                <w:lang w:val="en-ZA" w:eastAsia="en-ZA"/>
              </w:rPr>
              <w:t>98% (79 of 81) against a target of 98%</w:t>
            </w:r>
          </w:p>
        </w:tc>
      </w:tr>
      <w:tr w:rsidR="00CC721F" w:rsidRPr="007868D0" w14:paraId="1F541E85" w14:textId="77777777" w:rsidTr="000F08D5">
        <w:trPr>
          <w:trHeight w:val="244"/>
        </w:trPr>
        <w:tc>
          <w:tcPr>
            <w:tcW w:w="0" w:type="auto"/>
            <w:tcBorders>
              <w:top w:val="single" w:sz="4" w:space="0" w:color="auto"/>
              <w:left w:val="single" w:sz="4" w:space="0" w:color="auto"/>
              <w:bottom w:val="single" w:sz="4" w:space="0" w:color="auto"/>
              <w:right w:val="single" w:sz="4" w:space="0" w:color="auto"/>
            </w:tcBorders>
          </w:tcPr>
          <w:p w14:paraId="690AEAD1" w14:textId="77777777" w:rsidR="00CC721F" w:rsidRPr="007868D0" w:rsidRDefault="00CC721F" w:rsidP="007429F2">
            <w:pPr>
              <w:autoSpaceDE w:val="0"/>
              <w:autoSpaceDN w:val="0"/>
              <w:adjustRightInd w:val="0"/>
              <w:spacing w:line="360" w:lineRule="auto"/>
              <w:jc w:val="both"/>
              <w:rPr>
                <w:lang w:val="en-ZA" w:eastAsia="en-ZA"/>
              </w:rPr>
            </w:pPr>
            <w:r w:rsidRPr="007868D0">
              <w:rPr>
                <w:lang w:val="en-ZA" w:eastAsia="en-ZA"/>
              </w:rPr>
              <w:t xml:space="preserve">Number of </w:t>
            </w:r>
            <w:r>
              <w:rPr>
                <w:lang w:val="en-ZA" w:eastAsia="en-ZA"/>
              </w:rPr>
              <w:t>case management workshops</w:t>
            </w:r>
            <w:r w:rsidRPr="007868D0">
              <w:rPr>
                <w:lang w:val="en-ZA" w:eastAsia="en-ZA"/>
              </w:rPr>
              <w:t xml:space="preserve"> </w:t>
            </w:r>
          </w:p>
        </w:tc>
        <w:tc>
          <w:tcPr>
            <w:tcW w:w="0" w:type="auto"/>
            <w:tcBorders>
              <w:top w:val="single" w:sz="4" w:space="0" w:color="auto"/>
              <w:left w:val="single" w:sz="4" w:space="0" w:color="auto"/>
              <w:bottom w:val="single" w:sz="4" w:space="0" w:color="auto"/>
              <w:right w:val="single" w:sz="4" w:space="0" w:color="auto"/>
            </w:tcBorders>
          </w:tcPr>
          <w:p w14:paraId="62DF3674" w14:textId="77777777" w:rsidR="00CC721F" w:rsidRPr="0078546E" w:rsidRDefault="00CC721F" w:rsidP="007429F2">
            <w:pPr>
              <w:autoSpaceDE w:val="0"/>
              <w:autoSpaceDN w:val="0"/>
              <w:adjustRightInd w:val="0"/>
              <w:spacing w:line="360" w:lineRule="auto"/>
              <w:jc w:val="both"/>
              <w:rPr>
                <w:lang w:val="en-ZA" w:eastAsia="en-ZA"/>
              </w:rPr>
            </w:pPr>
            <w:r w:rsidRPr="0078546E">
              <w:rPr>
                <w:lang w:val="en-ZA" w:eastAsia="en-ZA"/>
              </w:rPr>
              <w:t xml:space="preserve">EXCEEDED </w:t>
            </w:r>
          </w:p>
          <w:p w14:paraId="2838FAE0" w14:textId="77777777" w:rsidR="00CC721F" w:rsidRPr="007868D0" w:rsidRDefault="00CC721F" w:rsidP="007429F2">
            <w:pPr>
              <w:autoSpaceDE w:val="0"/>
              <w:autoSpaceDN w:val="0"/>
              <w:adjustRightInd w:val="0"/>
              <w:spacing w:line="360" w:lineRule="auto"/>
              <w:jc w:val="both"/>
              <w:rPr>
                <w:lang w:val="en-ZA" w:eastAsia="en-ZA"/>
              </w:rPr>
            </w:pPr>
            <w:r>
              <w:rPr>
                <w:lang w:val="en-ZA" w:eastAsia="en-ZA"/>
              </w:rPr>
              <w:t>8</w:t>
            </w:r>
            <w:r w:rsidRPr="007868D0">
              <w:rPr>
                <w:lang w:val="en-ZA" w:eastAsia="en-ZA"/>
              </w:rPr>
              <w:t xml:space="preserve"> against a target of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FD2B15" w14:textId="77777777" w:rsidR="00CC721F" w:rsidRDefault="00CC721F" w:rsidP="007429F2">
            <w:pPr>
              <w:autoSpaceDE w:val="0"/>
              <w:autoSpaceDN w:val="0"/>
              <w:adjustRightInd w:val="0"/>
              <w:spacing w:line="360" w:lineRule="auto"/>
              <w:jc w:val="both"/>
              <w:rPr>
                <w:lang w:val="en-ZA" w:eastAsia="en-ZA"/>
              </w:rPr>
            </w:pPr>
            <w:r>
              <w:rPr>
                <w:lang w:val="en-ZA" w:eastAsia="en-ZA"/>
              </w:rPr>
              <w:t>ACHIEVED</w:t>
            </w:r>
          </w:p>
          <w:p w14:paraId="076A97F4" w14:textId="77777777" w:rsidR="00CC721F" w:rsidRPr="007868D0" w:rsidRDefault="00CC721F" w:rsidP="007429F2">
            <w:pPr>
              <w:autoSpaceDE w:val="0"/>
              <w:autoSpaceDN w:val="0"/>
              <w:adjustRightInd w:val="0"/>
              <w:spacing w:line="360" w:lineRule="auto"/>
              <w:jc w:val="both"/>
              <w:rPr>
                <w:lang w:val="en-ZA" w:eastAsia="en-ZA"/>
              </w:rPr>
            </w:pPr>
            <w:r>
              <w:rPr>
                <w:lang w:val="en-ZA" w:eastAsia="en-ZA"/>
              </w:rPr>
              <w:t>2 against a target of 2</w:t>
            </w:r>
          </w:p>
        </w:tc>
      </w:tr>
    </w:tbl>
    <w:p w14:paraId="7923949A" w14:textId="77777777" w:rsidR="007429F2" w:rsidRDefault="007429F2" w:rsidP="007429F2">
      <w:pPr>
        <w:pStyle w:val="ListParagraph"/>
        <w:spacing w:line="360" w:lineRule="auto"/>
        <w:jc w:val="both"/>
        <w:rPr>
          <w:bCs/>
          <w:lang w:val="en-US"/>
        </w:rPr>
      </w:pPr>
    </w:p>
    <w:p w14:paraId="6508D24D" w14:textId="77777777" w:rsidR="003D7013" w:rsidRPr="00CC721F" w:rsidRDefault="00CC721F" w:rsidP="00930498">
      <w:pPr>
        <w:pStyle w:val="ListParagraph"/>
        <w:numPr>
          <w:ilvl w:val="2"/>
          <w:numId w:val="45"/>
        </w:numPr>
        <w:autoSpaceDE w:val="0"/>
        <w:autoSpaceDN w:val="0"/>
        <w:adjustRightInd w:val="0"/>
        <w:spacing w:line="360" w:lineRule="auto"/>
        <w:jc w:val="both"/>
        <w:rPr>
          <w:bCs/>
          <w:lang w:val="en-US"/>
        </w:rPr>
      </w:pPr>
      <w:r w:rsidRPr="00CC721F">
        <w:rPr>
          <w:bCs/>
          <w:lang w:val="en-US"/>
        </w:rPr>
        <w:t>In</w:t>
      </w:r>
      <w:r w:rsidRPr="007359A6">
        <w:rPr>
          <w:lang w:val="en-US" w:eastAsia="en-US"/>
        </w:rPr>
        <w:t xml:space="preserve"> the 1</w:t>
      </w:r>
      <w:r w:rsidRPr="007359A6">
        <w:rPr>
          <w:vertAlign w:val="superscript"/>
          <w:lang w:val="en-US" w:eastAsia="en-US"/>
        </w:rPr>
        <w:t>st</w:t>
      </w:r>
      <w:r w:rsidRPr="007359A6">
        <w:rPr>
          <w:lang w:val="en-US" w:eastAsia="en-US"/>
        </w:rPr>
        <w:t xml:space="preserve"> Quarter of 2019/20, the OCJ reports that it met </w:t>
      </w:r>
      <w:r>
        <w:rPr>
          <w:lang w:val="en-US" w:eastAsia="en-US"/>
        </w:rPr>
        <w:t>2 of 5</w:t>
      </w:r>
      <w:r w:rsidRPr="007359A6">
        <w:rPr>
          <w:lang w:val="en-US" w:eastAsia="en-US"/>
        </w:rPr>
        <w:t xml:space="preserve"> </w:t>
      </w:r>
      <w:r>
        <w:rPr>
          <w:lang w:val="en-US" w:eastAsia="en-US"/>
        </w:rPr>
        <w:t xml:space="preserve">or 40% of </w:t>
      </w:r>
      <w:r w:rsidRPr="007359A6">
        <w:rPr>
          <w:lang w:val="en-US" w:eastAsia="en-US"/>
        </w:rPr>
        <w:t xml:space="preserve">planned targets for the programme. </w:t>
      </w:r>
      <w:r>
        <w:rPr>
          <w:lang w:val="en-US" w:eastAsia="en-US"/>
        </w:rPr>
        <w:t>Under the Administration of Superior Courts subprogramme, 96% of quasi-judicial targets were achieved, 95% of default judgements and 98% of taxations of legal costs were finalized against a target of 100%. The reasons provided for the underperformance was that a number of applications were queried by Registrars.</w:t>
      </w:r>
    </w:p>
    <w:p w14:paraId="1E78C5A4" w14:textId="77777777" w:rsidR="00CC721F" w:rsidRPr="007868D0" w:rsidRDefault="00CC721F" w:rsidP="007429F2">
      <w:pPr>
        <w:pStyle w:val="ListParagraph"/>
        <w:spacing w:line="360" w:lineRule="auto"/>
        <w:jc w:val="both"/>
        <w:rPr>
          <w:bCs/>
          <w:lang w:val="en-US"/>
        </w:rPr>
      </w:pPr>
    </w:p>
    <w:p w14:paraId="1A42ED1D" w14:textId="77777777" w:rsidR="003D7013" w:rsidRPr="007868D0" w:rsidRDefault="003D7013" w:rsidP="00930498">
      <w:pPr>
        <w:pStyle w:val="ListParagraph"/>
        <w:numPr>
          <w:ilvl w:val="1"/>
          <w:numId w:val="45"/>
        </w:numPr>
        <w:spacing w:line="360" w:lineRule="auto"/>
        <w:ind w:left="709" w:hanging="709"/>
        <w:contextualSpacing/>
        <w:jc w:val="both"/>
        <w:rPr>
          <w:b/>
          <w:lang w:val="en-US" w:eastAsia="en-US"/>
        </w:rPr>
      </w:pPr>
      <w:r w:rsidRPr="007868D0">
        <w:rPr>
          <w:b/>
          <w:lang w:val="en-US" w:eastAsia="en-US"/>
        </w:rPr>
        <w:t>Programme 3: Judicial Educat</w:t>
      </w:r>
      <w:r w:rsidR="00474BD0">
        <w:rPr>
          <w:b/>
          <w:lang w:val="en-US" w:eastAsia="en-US"/>
        </w:rPr>
        <w:t>ion and Support</w:t>
      </w:r>
    </w:p>
    <w:p w14:paraId="148F1E6C" w14:textId="77777777" w:rsidR="003D7013" w:rsidRPr="007868D0" w:rsidRDefault="003D7013" w:rsidP="007429F2">
      <w:pPr>
        <w:autoSpaceDE w:val="0"/>
        <w:autoSpaceDN w:val="0"/>
        <w:adjustRightInd w:val="0"/>
        <w:spacing w:line="360" w:lineRule="auto"/>
        <w:ind w:left="720"/>
        <w:jc w:val="both"/>
        <w:rPr>
          <w:b/>
          <w:lang w:val="en-US" w:eastAsia="en-US"/>
        </w:rPr>
      </w:pPr>
    </w:p>
    <w:p w14:paraId="518EC124" w14:textId="77777777" w:rsidR="00203287" w:rsidRPr="00FA66A1" w:rsidRDefault="00203287" w:rsidP="00930498">
      <w:pPr>
        <w:pStyle w:val="ListParagraph"/>
        <w:numPr>
          <w:ilvl w:val="2"/>
          <w:numId w:val="45"/>
        </w:numPr>
        <w:autoSpaceDE w:val="0"/>
        <w:autoSpaceDN w:val="0"/>
        <w:adjustRightInd w:val="0"/>
        <w:spacing w:line="360" w:lineRule="auto"/>
        <w:jc w:val="both"/>
        <w:rPr>
          <w:bCs/>
          <w:lang w:val="en-US"/>
        </w:rPr>
      </w:pPr>
      <w:r w:rsidRPr="00FA66A1">
        <w:rPr>
          <w:bCs/>
          <w:lang w:val="en-US"/>
        </w:rPr>
        <w:t xml:space="preserve">Judicial Education and Support provides education programmes to Judicial Officers, including policy development and research services for the optimal administration of justice. </w:t>
      </w:r>
    </w:p>
    <w:p w14:paraId="6C946CD9" w14:textId="77777777" w:rsidR="00203287" w:rsidRPr="007868D0" w:rsidRDefault="00203287" w:rsidP="007429F2">
      <w:pPr>
        <w:spacing w:line="360" w:lineRule="auto"/>
        <w:ind w:left="720"/>
        <w:jc w:val="both"/>
        <w:rPr>
          <w:bCs/>
          <w:lang w:val="en-US"/>
        </w:rPr>
      </w:pPr>
    </w:p>
    <w:p w14:paraId="1520BAD1" w14:textId="77777777" w:rsidR="00203287" w:rsidRPr="007868D0" w:rsidRDefault="00203287" w:rsidP="00930498">
      <w:pPr>
        <w:pStyle w:val="ListParagraph"/>
        <w:numPr>
          <w:ilvl w:val="2"/>
          <w:numId w:val="45"/>
        </w:numPr>
        <w:autoSpaceDE w:val="0"/>
        <w:autoSpaceDN w:val="0"/>
        <w:adjustRightInd w:val="0"/>
        <w:spacing w:line="360" w:lineRule="auto"/>
        <w:jc w:val="both"/>
        <w:rPr>
          <w:bCs/>
          <w:lang w:val="en-US"/>
        </w:rPr>
      </w:pPr>
      <w:r w:rsidRPr="007868D0">
        <w:rPr>
          <w:bCs/>
          <w:lang w:val="en-US"/>
        </w:rPr>
        <w:t xml:space="preserve">The programme has the following sub-programmes:  </w:t>
      </w:r>
    </w:p>
    <w:p w14:paraId="23ABB2AD" w14:textId="77777777" w:rsidR="00203287" w:rsidRPr="007868D0" w:rsidRDefault="00203287" w:rsidP="007429F2">
      <w:pPr>
        <w:numPr>
          <w:ilvl w:val="0"/>
          <w:numId w:val="7"/>
        </w:numPr>
        <w:spacing w:line="360" w:lineRule="auto"/>
        <w:jc w:val="both"/>
        <w:rPr>
          <w:bCs/>
          <w:lang w:val="en-US"/>
        </w:rPr>
      </w:pPr>
      <w:r w:rsidRPr="007868D0">
        <w:rPr>
          <w:bCs/>
        </w:rPr>
        <w:t xml:space="preserve">The </w:t>
      </w:r>
      <w:r w:rsidRPr="0078546E">
        <w:rPr>
          <w:bCs/>
        </w:rPr>
        <w:t>South African Judicial Education Institute</w:t>
      </w:r>
      <w:r w:rsidRPr="007868D0">
        <w:rPr>
          <w:bCs/>
        </w:rPr>
        <w:t xml:space="preserve"> subprogramme funds the activities of the SAJEI to provide training for Judicial Officers.</w:t>
      </w:r>
    </w:p>
    <w:p w14:paraId="0CF26D05" w14:textId="77777777" w:rsidR="00203287" w:rsidRPr="007868D0" w:rsidRDefault="00203287" w:rsidP="007429F2">
      <w:pPr>
        <w:numPr>
          <w:ilvl w:val="0"/>
          <w:numId w:val="7"/>
        </w:numPr>
        <w:spacing w:line="360" w:lineRule="auto"/>
        <w:jc w:val="both"/>
        <w:rPr>
          <w:bCs/>
          <w:lang w:val="en-US"/>
        </w:rPr>
      </w:pPr>
      <w:r w:rsidRPr="007868D0">
        <w:rPr>
          <w:bCs/>
        </w:rPr>
        <w:t xml:space="preserve">The </w:t>
      </w:r>
      <w:r w:rsidRPr="0078546E">
        <w:rPr>
          <w:bCs/>
        </w:rPr>
        <w:t>Judicial Policy, Research and Support</w:t>
      </w:r>
      <w:r w:rsidRPr="007868D0">
        <w:rPr>
          <w:bCs/>
        </w:rPr>
        <w:t xml:space="preserve"> subprogramme funds the provision of advisory opinions on policy development and regulatory services to the Judiciary and the Department.</w:t>
      </w:r>
    </w:p>
    <w:p w14:paraId="4B4D07F2" w14:textId="77777777" w:rsidR="00203287" w:rsidRPr="007868D0" w:rsidRDefault="00203287" w:rsidP="007429F2">
      <w:pPr>
        <w:numPr>
          <w:ilvl w:val="0"/>
          <w:numId w:val="7"/>
        </w:numPr>
        <w:spacing w:line="360" w:lineRule="auto"/>
        <w:jc w:val="both"/>
        <w:rPr>
          <w:bCs/>
          <w:lang w:val="en-US"/>
        </w:rPr>
      </w:pPr>
      <w:r w:rsidRPr="007868D0">
        <w:rPr>
          <w:bCs/>
        </w:rPr>
        <w:t xml:space="preserve">The </w:t>
      </w:r>
      <w:r w:rsidRPr="0078546E">
        <w:rPr>
          <w:bCs/>
        </w:rPr>
        <w:t>Judicial Service Commission</w:t>
      </w:r>
      <w:r w:rsidRPr="00156569">
        <w:rPr>
          <w:bCs/>
        </w:rPr>
        <w:t xml:space="preserve"> subprogramme</w:t>
      </w:r>
      <w:r w:rsidRPr="007868D0">
        <w:rPr>
          <w:bCs/>
        </w:rPr>
        <w:t xml:space="preserve"> provides </w:t>
      </w:r>
      <w:r w:rsidRPr="007868D0">
        <w:rPr>
          <w:bCs/>
          <w:lang w:val="en-US"/>
        </w:rPr>
        <w:t>secretariat and administrative support services to the Judicial Service Commission to perform its constitutional and legislative mandates</w:t>
      </w:r>
      <w:r w:rsidR="00D326EB" w:rsidRPr="007868D0">
        <w:rPr>
          <w:bCs/>
          <w:lang w:val="en-US"/>
        </w:rPr>
        <w:t xml:space="preserve"> effectively</w:t>
      </w:r>
      <w:r w:rsidRPr="007868D0">
        <w:rPr>
          <w:bCs/>
          <w:lang w:val="en-US"/>
        </w:rPr>
        <w:t>.</w:t>
      </w:r>
    </w:p>
    <w:p w14:paraId="6536B26B" w14:textId="77777777" w:rsidR="003D7013" w:rsidRPr="007868D0" w:rsidRDefault="003D7013" w:rsidP="007429F2">
      <w:pPr>
        <w:spacing w:line="360" w:lineRule="auto"/>
        <w:ind w:left="720"/>
        <w:jc w:val="both"/>
        <w:rPr>
          <w:b/>
          <w:bCs/>
          <w:lang w:val="en-US"/>
        </w:rPr>
      </w:pPr>
    </w:p>
    <w:p w14:paraId="7E679519" w14:textId="77777777" w:rsidR="003D7013" w:rsidRPr="007868D0" w:rsidRDefault="00474BD0" w:rsidP="00930498">
      <w:pPr>
        <w:pStyle w:val="ListParagraph"/>
        <w:numPr>
          <w:ilvl w:val="2"/>
          <w:numId w:val="45"/>
        </w:numPr>
        <w:autoSpaceDE w:val="0"/>
        <w:autoSpaceDN w:val="0"/>
        <w:adjustRightInd w:val="0"/>
        <w:spacing w:line="360" w:lineRule="auto"/>
        <w:jc w:val="both"/>
        <w:rPr>
          <w:bCs/>
          <w:lang w:val="en-US"/>
        </w:rPr>
      </w:pPr>
      <w:r>
        <w:rPr>
          <w:bCs/>
          <w:lang w:val="en-US"/>
        </w:rPr>
        <w:t>T</w:t>
      </w:r>
      <w:r w:rsidR="008E1659" w:rsidRPr="007868D0">
        <w:rPr>
          <w:bCs/>
          <w:lang w:val="en-US"/>
        </w:rPr>
        <w:t xml:space="preserve">he programme met </w:t>
      </w:r>
      <w:r w:rsidR="00CB19F6" w:rsidRPr="007868D0">
        <w:rPr>
          <w:bCs/>
          <w:lang w:val="en-US"/>
        </w:rPr>
        <w:t xml:space="preserve">all </w:t>
      </w:r>
      <w:r w:rsidR="00CD4061">
        <w:rPr>
          <w:bCs/>
          <w:lang w:val="en-US"/>
        </w:rPr>
        <w:t>of the four planned targets for 2018/19</w:t>
      </w:r>
      <w:r w:rsidR="00CB19F6" w:rsidRPr="007868D0">
        <w:rPr>
          <w:bCs/>
          <w:lang w:val="en-US"/>
        </w:rPr>
        <w:t>.</w:t>
      </w:r>
    </w:p>
    <w:p w14:paraId="66CFE54D" w14:textId="77777777" w:rsidR="00CB19F6" w:rsidRPr="007868D0" w:rsidRDefault="00CB19F6" w:rsidP="007429F2">
      <w:pPr>
        <w:pStyle w:val="ListParagraph"/>
        <w:autoSpaceDE w:val="0"/>
        <w:autoSpaceDN w:val="0"/>
        <w:adjustRightInd w:val="0"/>
        <w:spacing w:line="360" w:lineRule="auto"/>
        <w:jc w:val="both"/>
        <w:rPr>
          <w:bCs/>
          <w:lang w:val="en-US"/>
        </w:rPr>
      </w:pPr>
    </w:p>
    <w:p w14:paraId="509CB9AD" w14:textId="0E793113" w:rsidR="003D7013" w:rsidRPr="007868D0" w:rsidRDefault="003D7013" w:rsidP="007429F2">
      <w:pPr>
        <w:pStyle w:val="ListParagraph"/>
        <w:spacing w:line="360" w:lineRule="auto"/>
        <w:ind w:left="0"/>
        <w:jc w:val="both"/>
        <w:rPr>
          <w:b/>
          <w:bCs/>
          <w:iCs/>
          <w:lang w:val="en-ZA" w:eastAsia="en-ZA"/>
        </w:rPr>
      </w:pPr>
      <w:r w:rsidRPr="007868D0">
        <w:rPr>
          <w:b/>
          <w:bCs/>
          <w:lang w:val="en-ZA"/>
        </w:rPr>
        <w:t xml:space="preserve">Table </w:t>
      </w:r>
      <w:r w:rsidR="0078546E">
        <w:rPr>
          <w:b/>
          <w:bCs/>
          <w:lang w:val="en-ZA"/>
        </w:rPr>
        <w:t>8</w:t>
      </w:r>
      <w:r w:rsidRPr="007868D0">
        <w:rPr>
          <w:b/>
          <w:bCs/>
          <w:lang w:val="en-ZA"/>
        </w:rPr>
        <w:t>:</w:t>
      </w:r>
      <w:r w:rsidRPr="007868D0">
        <w:rPr>
          <w:bCs/>
          <w:lang w:val="en-ZA"/>
        </w:rPr>
        <w:t xml:space="preserve"> </w:t>
      </w:r>
      <w:r w:rsidRPr="007868D0">
        <w:rPr>
          <w:b/>
          <w:lang w:val="en-US" w:eastAsia="en-US"/>
        </w:rPr>
        <w:t>Judicial Education</w:t>
      </w:r>
      <w:r w:rsidR="00474BD0">
        <w:rPr>
          <w:b/>
          <w:lang w:val="en-US" w:eastAsia="en-US"/>
        </w:rPr>
        <w:t xml:space="preserve"> </w:t>
      </w:r>
      <w:r w:rsidR="008B698F" w:rsidRPr="007868D0">
        <w:rPr>
          <w:b/>
          <w:lang w:val="en-US" w:eastAsia="en-US"/>
        </w:rPr>
        <w:t>–</w:t>
      </w:r>
      <w:r w:rsidRPr="007868D0">
        <w:rPr>
          <w:b/>
          <w:lang w:val="en-US" w:eastAsia="en-US"/>
        </w:rPr>
        <w:t xml:space="preserve"> </w:t>
      </w:r>
      <w:r w:rsidR="008B698F" w:rsidRPr="007868D0">
        <w:rPr>
          <w:b/>
          <w:lang w:val="en-US" w:eastAsia="en-US"/>
        </w:rPr>
        <w:t>Selected p</w:t>
      </w:r>
      <w:r w:rsidRPr="007868D0">
        <w:rPr>
          <w:b/>
          <w:bCs/>
          <w:iCs/>
          <w:lang w:val="en-ZA" w:eastAsia="en-ZA"/>
        </w:rPr>
        <w:t xml:space="preserve">erformance </w:t>
      </w:r>
      <w:r w:rsidR="00AA5595">
        <w:rPr>
          <w:b/>
          <w:bCs/>
          <w:iCs/>
          <w:lang w:val="en-ZA" w:eastAsia="en-ZA"/>
        </w:rPr>
        <w:t>2018/19</w:t>
      </w:r>
    </w:p>
    <w:tbl>
      <w:tblPr>
        <w:tblpPr w:leftFromText="180" w:rightFromText="180" w:vertAnchor="text" w:horzAnchor="margin" w:tblpY="113"/>
        <w:tblW w:w="5000" w:type="pct"/>
        <w:tblBorders>
          <w:top w:val="nil"/>
          <w:left w:val="nil"/>
          <w:bottom w:val="nil"/>
          <w:right w:val="nil"/>
        </w:tblBorders>
        <w:tblLook w:val="0000" w:firstRow="0" w:lastRow="0" w:firstColumn="0" w:lastColumn="0" w:noHBand="0" w:noVBand="0"/>
      </w:tblPr>
      <w:tblGrid>
        <w:gridCol w:w="5644"/>
        <w:gridCol w:w="2160"/>
        <w:gridCol w:w="2158"/>
      </w:tblGrid>
      <w:tr w:rsidR="00CC721F" w:rsidRPr="007868D0" w14:paraId="5FFABC6C" w14:textId="77777777" w:rsidTr="00CC721F">
        <w:trPr>
          <w:trHeight w:val="585"/>
        </w:trPr>
        <w:tc>
          <w:tcPr>
            <w:tcW w:w="28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8C019C" w14:textId="77777777" w:rsidR="00CC721F" w:rsidRPr="007868D0" w:rsidRDefault="00CC721F" w:rsidP="007429F2">
            <w:pPr>
              <w:autoSpaceDE w:val="0"/>
              <w:autoSpaceDN w:val="0"/>
              <w:adjustRightInd w:val="0"/>
              <w:spacing w:line="360" w:lineRule="auto"/>
              <w:jc w:val="both"/>
              <w:rPr>
                <w:b/>
                <w:lang w:val="en-ZA" w:eastAsia="en-ZA"/>
              </w:rPr>
            </w:pPr>
            <w:r w:rsidRPr="007868D0">
              <w:rPr>
                <w:b/>
                <w:lang w:val="en-ZA" w:eastAsia="en-ZA"/>
              </w:rPr>
              <w:t>Performance indicators</w:t>
            </w:r>
          </w:p>
        </w:tc>
        <w:tc>
          <w:tcPr>
            <w:tcW w:w="108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1267665" w14:textId="77777777" w:rsidR="00CC721F" w:rsidRPr="007868D0" w:rsidRDefault="00CC721F" w:rsidP="007429F2">
            <w:pPr>
              <w:autoSpaceDE w:val="0"/>
              <w:autoSpaceDN w:val="0"/>
              <w:adjustRightInd w:val="0"/>
              <w:spacing w:line="360" w:lineRule="auto"/>
              <w:jc w:val="both"/>
              <w:rPr>
                <w:b/>
                <w:lang w:val="en-ZA" w:eastAsia="en-ZA"/>
              </w:rPr>
            </w:pPr>
            <w:r w:rsidRPr="007868D0">
              <w:rPr>
                <w:b/>
                <w:lang w:val="en-ZA" w:eastAsia="en-ZA"/>
              </w:rPr>
              <w:t xml:space="preserve">Performance </w:t>
            </w:r>
          </w:p>
          <w:p w14:paraId="7B98C76C" w14:textId="77777777" w:rsidR="00CC721F" w:rsidRPr="007868D0" w:rsidRDefault="00CC721F" w:rsidP="007429F2">
            <w:pPr>
              <w:autoSpaceDE w:val="0"/>
              <w:autoSpaceDN w:val="0"/>
              <w:adjustRightInd w:val="0"/>
              <w:spacing w:line="360" w:lineRule="auto"/>
              <w:jc w:val="both"/>
              <w:rPr>
                <w:b/>
                <w:lang w:val="en-ZA" w:eastAsia="en-ZA"/>
              </w:rPr>
            </w:pPr>
            <w:r w:rsidRPr="007868D0">
              <w:rPr>
                <w:b/>
                <w:lang w:val="en-ZA" w:eastAsia="en-ZA"/>
              </w:rPr>
              <w:t>2017/18</w:t>
            </w:r>
          </w:p>
        </w:tc>
        <w:tc>
          <w:tcPr>
            <w:tcW w:w="108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27660F" w14:textId="77777777" w:rsidR="00CC721F" w:rsidRPr="007868D0" w:rsidRDefault="00CC721F" w:rsidP="007429F2">
            <w:pPr>
              <w:autoSpaceDE w:val="0"/>
              <w:autoSpaceDN w:val="0"/>
              <w:adjustRightInd w:val="0"/>
              <w:spacing w:line="360" w:lineRule="auto"/>
              <w:jc w:val="both"/>
              <w:rPr>
                <w:b/>
                <w:lang w:val="en-ZA" w:eastAsia="en-ZA"/>
              </w:rPr>
            </w:pPr>
            <w:r w:rsidRPr="007868D0">
              <w:rPr>
                <w:b/>
                <w:lang w:val="en-ZA" w:eastAsia="en-ZA"/>
              </w:rPr>
              <w:t>Performance</w:t>
            </w:r>
          </w:p>
          <w:p w14:paraId="15830F9D" w14:textId="77777777" w:rsidR="00CC721F" w:rsidRPr="007868D0" w:rsidRDefault="00CC721F" w:rsidP="007429F2">
            <w:pPr>
              <w:autoSpaceDE w:val="0"/>
              <w:autoSpaceDN w:val="0"/>
              <w:adjustRightInd w:val="0"/>
              <w:spacing w:line="360" w:lineRule="auto"/>
              <w:jc w:val="both"/>
              <w:rPr>
                <w:b/>
                <w:lang w:val="en-ZA" w:eastAsia="en-ZA"/>
              </w:rPr>
            </w:pPr>
            <w:r>
              <w:rPr>
                <w:b/>
                <w:lang w:val="en-ZA" w:eastAsia="en-ZA"/>
              </w:rPr>
              <w:t>2018/19</w:t>
            </w:r>
          </w:p>
        </w:tc>
      </w:tr>
      <w:tr w:rsidR="00CC721F" w:rsidRPr="007868D0" w14:paraId="70A0AFF1" w14:textId="77777777" w:rsidTr="00CC721F">
        <w:trPr>
          <w:trHeight w:val="647"/>
        </w:trPr>
        <w:tc>
          <w:tcPr>
            <w:tcW w:w="2833" w:type="pct"/>
            <w:tcBorders>
              <w:top w:val="single" w:sz="4" w:space="0" w:color="auto"/>
              <w:left w:val="single" w:sz="4" w:space="0" w:color="auto"/>
              <w:bottom w:val="single" w:sz="4" w:space="0" w:color="auto"/>
              <w:right w:val="single" w:sz="4" w:space="0" w:color="auto"/>
            </w:tcBorders>
          </w:tcPr>
          <w:p w14:paraId="311B5287" w14:textId="2EE4B64E" w:rsidR="00CC721F" w:rsidRPr="007868D0" w:rsidRDefault="00CC721F" w:rsidP="007429F2">
            <w:pPr>
              <w:pStyle w:val="Default"/>
              <w:spacing w:line="360" w:lineRule="auto"/>
              <w:jc w:val="both"/>
              <w:rPr>
                <w:rFonts w:ascii="Times New Roman" w:hAnsi="Times New Roman" w:cs="Times New Roman"/>
              </w:rPr>
            </w:pPr>
            <w:r>
              <w:rPr>
                <w:rFonts w:ascii="Times New Roman" w:hAnsi="Times New Roman" w:cs="Times New Roman"/>
              </w:rPr>
              <w:t>No. of judicial education courses conducted per year</w:t>
            </w:r>
          </w:p>
        </w:tc>
        <w:tc>
          <w:tcPr>
            <w:tcW w:w="1084" w:type="pct"/>
            <w:tcBorders>
              <w:top w:val="single" w:sz="4" w:space="0" w:color="auto"/>
              <w:left w:val="single" w:sz="4" w:space="0" w:color="auto"/>
              <w:bottom w:val="single" w:sz="4" w:space="0" w:color="auto"/>
              <w:right w:val="single" w:sz="4" w:space="0" w:color="auto"/>
            </w:tcBorders>
          </w:tcPr>
          <w:p w14:paraId="0039CFFA" w14:textId="77777777" w:rsidR="00CC721F" w:rsidRPr="0078546E" w:rsidRDefault="00CC721F" w:rsidP="007429F2">
            <w:pPr>
              <w:autoSpaceDE w:val="0"/>
              <w:autoSpaceDN w:val="0"/>
              <w:adjustRightInd w:val="0"/>
              <w:spacing w:line="360" w:lineRule="auto"/>
              <w:jc w:val="both"/>
              <w:rPr>
                <w:lang w:val="en-ZA" w:eastAsia="en-ZA"/>
              </w:rPr>
            </w:pPr>
            <w:r w:rsidRPr="0078546E">
              <w:rPr>
                <w:lang w:val="en-ZA" w:eastAsia="en-ZA"/>
              </w:rPr>
              <w:t>ACHIEVED</w:t>
            </w:r>
          </w:p>
          <w:p w14:paraId="44EC4F82" w14:textId="77777777" w:rsidR="00CC721F" w:rsidRPr="0078546E" w:rsidRDefault="00CC721F" w:rsidP="007429F2">
            <w:pPr>
              <w:autoSpaceDE w:val="0"/>
              <w:autoSpaceDN w:val="0"/>
              <w:adjustRightInd w:val="0"/>
              <w:spacing w:line="360" w:lineRule="auto"/>
              <w:jc w:val="both"/>
              <w:rPr>
                <w:lang w:val="en-ZA" w:eastAsia="en-ZA"/>
              </w:rPr>
            </w:pPr>
            <w:r w:rsidRPr="0078546E">
              <w:rPr>
                <w:lang w:val="en-ZA" w:eastAsia="en-ZA"/>
              </w:rPr>
              <w:t>91 (Baseline)</w:t>
            </w:r>
          </w:p>
        </w:tc>
        <w:tc>
          <w:tcPr>
            <w:tcW w:w="1083" w:type="pct"/>
            <w:tcBorders>
              <w:top w:val="single" w:sz="4" w:space="0" w:color="auto"/>
              <w:left w:val="single" w:sz="4" w:space="0" w:color="auto"/>
              <w:bottom w:val="single" w:sz="4" w:space="0" w:color="auto"/>
              <w:right w:val="single" w:sz="4" w:space="0" w:color="auto"/>
            </w:tcBorders>
          </w:tcPr>
          <w:p w14:paraId="38B31614" w14:textId="77777777" w:rsidR="00CC721F" w:rsidRPr="0078546E" w:rsidRDefault="00CC721F" w:rsidP="007429F2">
            <w:pPr>
              <w:autoSpaceDE w:val="0"/>
              <w:autoSpaceDN w:val="0"/>
              <w:adjustRightInd w:val="0"/>
              <w:spacing w:line="360" w:lineRule="auto"/>
              <w:jc w:val="both"/>
              <w:rPr>
                <w:lang w:val="en-ZA" w:eastAsia="en-ZA"/>
              </w:rPr>
            </w:pPr>
            <w:r w:rsidRPr="0078546E">
              <w:rPr>
                <w:lang w:val="en-ZA" w:eastAsia="en-ZA"/>
              </w:rPr>
              <w:t>EXCEEDED</w:t>
            </w:r>
          </w:p>
          <w:p w14:paraId="4962DC0D" w14:textId="77777777" w:rsidR="00CC721F" w:rsidRPr="00156569" w:rsidRDefault="00CC721F" w:rsidP="007429F2">
            <w:pPr>
              <w:autoSpaceDE w:val="0"/>
              <w:autoSpaceDN w:val="0"/>
              <w:adjustRightInd w:val="0"/>
              <w:spacing w:line="360" w:lineRule="auto"/>
              <w:jc w:val="both"/>
              <w:rPr>
                <w:lang w:val="en-ZA" w:eastAsia="en-ZA"/>
              </w:rPr>
            </w:pPr>
            <w:r w:rsidRPr="00156569">
              <w:rPr>
                <w:lang w:val="en-ZA" w:eastAsia="en-ZA"/>
              </w:rPr>
              <w:t>142 against a target of 78</w:t>
            </w:r>
          </w:p>
        </w:tc>
      </w:tr>
      <w:tr w:rsidR="00CC721F" w:rsidRPr="007868D0" w14:paraId="209B73CA" w14:textId="77777777" w:rsidTr="00CC721F">
        <w:trPr>
          <w:trHeight w:val="647"/>
        </w:trPr>
        <w:tc>
          <w:tcPr>
            <w:tcW w:w="2833" w:type="pct"/>
            <w:tcBorders>
              <w:top w:val="single" w:sz="4" w:space="0" w:color="auto"/>
              <w:left w:val="single" w:sz="4" w:space="0" w:color="auto"/>
              <w:bottom w:val="single" w:sz="4" w:space="0" w:color="auto"/>
              <w:right w:val="single" w:sz="4" w:space="0" w:color="auto"/>
            </w:tcBorders>
          </w:tcPr>
          <w:p w14:paraId="5F8AACDB" w14:textId="77777777" w:rsidR="00CC721F" w:rsidRPr="007868D0" w:rsidRDefault="00CC721F" w:rsidP="007429F2">
            <w:pPr>
              <w:pStyle w:val="Default"/>
              <w:spacing w:line="360" w:lineRule="auto"/>
              <w:jc w:val="both"/>
              <w:rPr>
                <w:rFonts w:ascii="Times New Roman" w:hAnsi="Times New Roman" w:cs="Times New Roman"/>
              </w:rPr>
            </w:pPr>
            <w:r>
              <w:rPr>
                <w:rFonts w:ascii="Times New Roman" w:hAnsi="Times New Roman" w:cs="Times New Roman"/>
              </w:rPr>
              <w:t>No. of research monographs on judicial education produced per year</w:t>
            </w:r>
          </w:p>
        </w:tc>
        <w:tc>
          <w:tcPr>
            <w:tcW w:w="1084" w:type="pct"/>
            <w:tcBorders>
              <w:top w:val="single" w:sz="4" w:space="0" w:color="auto"/>
              <w:left w:val="single" w:sz="4" w:space="0" w:color="auto"/>
              <w:bottom w:val="single" w:sz="4" w:space="0" w:color="auto"/>
              <w:right w:val="single" w:sz="4" w:space="0" w:color="auto"/>
            </w:tcBorders>
          </w:tcPr>
          <w:p w14:paraId="66163495" w14:textId="77777777" w:rsidR="00CC721F" w:rsidRPr="00156569" w:rsidRDefault="00CC721F" w:rsidP="007429F2">
            <w:pPr>
              <w:autoSpaceDE w:val="0"/>
              <w:autoSpaceDN w:val="0"/>
              <w:adjustRightInd w:val="0"/>
              <w:spacing w:line="360" w:lineRule="auto"/>
              <w:jc w:val="both"/>
              <w:rPr>
                <w:lang w:val="en-ZA" w:eastAsia="en-ZA"/>
              </w:rPr>
            </w:pPr>
            <w:r w:rsidRPr="00156569">
              <w:rPr>
                <w:lang w:val="en-ZA" w:eastAsia="en-ZA"/>
              </w:rPr>
              <w:t>-</w:t>
            </w:r>
          </w:p>
        </w:tc>
        <w:tc>
          <w:tcPr>
            <w:tcW w:w="1083" w:type="pct"/>
            <w:tcBorders>
              <w:top w:val="single" w:sz="4" w:space="0" w:color="auto"/>
              <w:left w:val="single" w:sz="4" w:space="0" w:color="auto"/>
              <w:bottom w:val="single" w:sz="4" w:space="0" w:color="auto"/>
              <w:right w:val="single" w:sz="4" w:space="0" w:color="auto"/>
            </w:tcBorders>
          </w:tcPr>
          <w:p w14:paraId="7CEC2EF6" w14:textId="77777777" w:rsidR="00CC721F" w:rsidRPr="0078546E" w:rsidRDefault="00CC721F" w:rsidP="007429F2">
            <w:pPr>
              <w:autoSpaceDE w:val="0"/>
              <w:autoSpaceDN w:val="0"/>
              <w:adjustRightInd w:val="0"/>
              <w:spacing w:line="360" w:lineRule="auto"/>
              <w:jc w:val="both"/>
              <w:rPr>
                <w:lang w:val="en-ZA" w:eastAsia="en-ZA"/>
              </w:rPr>
            </w:pPr>
            <w:r w:rsidRPr="0078546E">
              <w:rPr>
                <w:lang w:val="en-ZA" w:eastAsia="en-ZA"/>
              </w:rPr>
              <w:t>ACHIEVED</w:t>
            </w:r>
          </w:p>
          <w:p w14:paraId="0BD296B8" w14:textId="77777777" w:rsidR="00CC721F" w:rsidRPr="00156569" w:rsidRDefault="00CC721F" w:rsidP="007429F2">
            <w:pPr>
              <w:autoSpaceDE w:val="0"/>
              <w:autoSpaceDN w:val="0"/>
              <w:adjustRightInd w:val="0"/>
              <w:spacing w:line="360" w:lineRule="auto"/>
              <w:jc w:val="both"/>
              <w:rPr>
                <w:lang w:val="en-ZA" w:eastAsia="en-ZA"/>
              </w:rPr>
            </w:pPr>
            <w:r w:rsidRPr="00156569">
              <w:rPr>
                <w:lang w:val="en-ZA" w:eastAsia="en-ZA"/>
              </w:rPr>
              <w:t xml:space="preserve">2 against a target of 2 </w:t>
            </w:r>
          </w:p>
          <w:p w14:paraId="28ECD45B" w14:textId="77777777" w:rsidR="00CC721F" w:rsidRPr="00AC364C" w:rsidRDefault="00CC721F" w:rsidP="007429F2">
            <w:pPr>
              <w:autoSpaceDE w:val="0"/>
              <w:autoSpaceDN w:val="0"/>
              <w:adjustRightInd w:val="0"/>
              <w:spacing w:line="360" w:lineRule="auto"/>
              <w:jc w:val="both"/>
              <w:rPr>
                <w:lang w:val="en-ZA" w:eastAsia="en-ZA"/>
              </w:rPr>
            </w:pPr>
            <w:r w:rsidRPr="00AC364C">
              <w:rPr>
                <w:lang w:val="en-ZA" w:eastAsia="en-ZA"/>
              </w:rPr>
              <w:t>(Baseline)</w:t>
            </w:r>
          </w:p>
        </w:tc>
      </w:tr>
      <w:tr w:rsidR="00CC721F" w:rsidRPr="007868D0" w14:paraId="500C23AD" w14:textId="77777777" w:rsidTr="00CC721F">
        <w:trPr>
          <w:trHeight w:val="647"/>
        </w:trPr>
        <w:tc>
          <w:tcPr>
            <w:tcW w:w="2833" w:type="pct"/>
            <w:tcBorders>
              <w:top w:val="single" w:sz="4" w:space="0" w:color="auto"/>
              <w:left w:val="single" w:sz="4" w:space="0" w:color="auto"/>
              <w:bottom w:val="single" w:sz="4" w:space="0" w:color="auto"/>
              <w:right w:val="single" w:sz="4" w:space="0" w:color="auto"/>
            </w:tcBorders>
          </w:tcPr>
          <w:p w14:paraId="06B5BFDD" w14:textId="77777777" w:rsidR="00CC721F" w:rsidRPr="007868D0" w:rsidRDefault="00CC721F" w:rsidP="007429F2">
            <w:pPr>
              <w:pStyle w:val="Default"/>
              <w:spacing w:line="360" w:lineRule="auto"/>
              <w:jc w:val="both"/>
              <w:rPr>
                <w:rFonts w:ascii="Times New Roman" w:hAnsi="Times New Roman" w:cs="Times New Roman"/>
              </w:rPr>
            </w:pPr>
            <w:r>
              <w:rPr>
                <w:rFonts w:ascii="Times New Roman" w:hAnsi="Times New Roman" w:cs="Times New Roman"/>
              </w:rPr>
              <w:t>%</w:t>
            </w:r>
            <w:r w:rsidRPr="007868D0">
              <w:rPr>
                <w:rFonts w:ascii="Times New Roman" w:hAnsi="Times New Roman" w:cs="Times New Roman"/>
              </w:rPr>
              <w:t xml:space="preserve"> of legal advisory opinions on policy development and regulatory services provided (Revised 2016/17: within 15 days of receipt)</w:t>
            </w:r>
          </w:p>
        </w:tc>
        <w:tc>
          <w:tcPr>
            <w:tcW w:w="1084" w:type="pct"/>
            <w:tcBorders>
              <w:top w:val="single" w:sz="4" w:space="0" w:color="auto"/>
              <w:left w:val="single" w:sz="4" w:space="0" w:color="auto"/>
              <w:bottom w:val="single" w:sz="4" w:space="0" w:color="auto"/>
              <w:right w:val="single" w:sz="4" w:space="0" w:color="auto"/>
            </w:tcBorders>
          </w:tcPr>
          <w:p w14:paraId="058E2C99" w14:textId="77777777" w:rsidR="00CC721F" w:rsidRPr="0078546E" w:rsidRDefault="00CC721F" w:rsidP="007429F2">
            <w:pPr>
              <w:autoSpaceDE w:val="0"/>
              <w:autoSpaceDN w:val="0"/>
              <w:adjustRightInd w:val="0"/>
              <w:spacing w:line="360" w:lineRule="auto"/>
              <w:jc w:val="both"/>
              <w:rPr>
                <w:lang w:val="en-ZA" w:eastAsia="en-ZA"/>
              </w:rPr>
            </w:pPr>
            <w:r w:rsidRPr="0078546E">
              <w:rPr>
                <w:lang w:val="en-ZA" w:eastAsia="en-ZA"/>
              </w:rPr>
              <w:t>EXCEEDED</w:t>
            </w:r>
          </w:p>
          <w:p w14:paraId="3A519C9C" w14:textId="77777777" w:rsidR="00CC721F" w:rsidRPr="00AC364C" w:rsidRDefault="00CC721F" w:rsidP="007429F2">
            <w:pPr>
              <w:autoSpaceDE w:val="0"/>
              <w:autoSpaceDN w:val="0"/>
              <w:adjustRightInd w:val="0"/>
              <w:spacing w:line="360" w:lineRule="auto"/>
              <w:jc w:val="both"/>
              <w:rPr>
                <w:lang w:val="en-ZA" w:eastAsia="en-ZA"/>
              </w:rPr>
            </w:pPr>
            <w:r w:rsidRPr="00156569">
              <w:rPr>
                <w:lang w:val="en-ZA" w:eastAsia="en-ZA"/>
              </w:rPr>
              <w:t xml:space="preserve">100% or 8/8 against </w:t>
            </w:r>
            <w:r w:rsidRPr="00AC364C">
              <w:rPr>
                <w:lang w:val="en-ZA" w:eastAsia="en-ZA"/>
              </w:rPr>
              <w:t>a target of 85%</w:t>
            </w:r>
          </w:p>
        </w:tc>
        <w:tc>
          <w:tcPr>
            <w:tcW w:w="1083" w:type="pct"/>
            <w:tcBorders>
              <w:top w:val="single" w:sz="4" w:space="0" w:color="auto"/>
              <w:left w:val="single" w:sz="4" w:space="0" w:color="auto"/>
              <w:bottom w:val="single" w:sz="4" w:space="0" w:color="auto"/>
              <w:right w:val="single" w:sz="4" w:space="0" w:color="auto"/>
            </w:tcBorders>
          </w:tcPr>
          <w:p w14:paraId="67F1DAE5" w14:textId="77777777" w:rsidR="00CC721F" w:rsidRPr="0078546E" w:rsidRDefault="00CC721F" w:rsidP="007429F2">
            <w:pPr>
              <w:autoSpaceDE w:val="0"/>
              <w:autoSpaceDN w:val="0"/>
              <w:adjustRightInd w:val="0"/>
              <w:spacing w:line="360" w:lineRule="auto"/>
              <w:jc w:val="both"/>
              <w:rPr>
                <w:lang w:val="en-ZA" w:eastAsia="en-ZA"/>
              </w:rPr>
            </w:pPr>
            <w:r w:rsidRPr="0078546E">
              <w:rPr>
                <w:lang w:val="en-ZA" w:eastAsia="en-ZA"/>
              </w:rPr>
              <w:t>ACHIEVED</w:t>
            </w:r>
          </w:p>
          <w:p w14:paraId="4467754F" w14:textId="77777777" w:rsidR="00CC721F" w:rsidRPr="00AC364C" w:rsidRDefault="00CC721F" w:rsidP="007429F2">
            <w:pPr>
              <w:autoSpaceDE w:val="0"/>
              <w:autoSpaceDN w:val="0"/>
              <w:adjustRightInd w:val="0"/>
              <w:spacing w:line="360" w:lineRule="auto"/>
              <w:jc w:val="both"/>
              <w:rPr>
                <w:lang w:val="en-ZA" w:eastAsia="en-ZA"/>
              </w:rPr>
            </w:pPr>
            <w:r w:rsidRPr="00156569">
              <w:rPr>
                <w:lang w:val="en-ZA" w:eastAsia="en-ZA"/>
              </w:rPr>
              <w:t xml:space="preserve">100% or 7/7 against </w:t>
            </w:r>
            <w:r w:rsidRPr="00AC364C">
              <w:rPr>
                <w:lang w:val="en-ZA" w:eastAsia="en-ZA"/>
              </w:rPr>
              <w:t>a target of 100%</w:t>
            </w:r>
          </w:p>
        </w:tc>
      </w:tr>
      <w:tr w:rsidR="00CC721F" w:rsidRPr="007868D0" w14:paraId="27F72239" w14:textId="77777777" w:rsidTr="00CC721F">
        <w:trPr>
          <w:trHeight w:val="647"/>
        </w:trPr>
        <w:tc>
          <w:tcPr>
            <w:tcW w:w="2833" w:type="pct"/>
            <w:tcBorders>
              <w:top w:val="single" w:sz="4" w:space="0" w:color="auto"/>
              <w:left w:val="single" w:sz="4" w:space="0" w:color="auto"/>
              <w:bottom w:val="single" w:sz="4" w:space="0" w:color="auto"/>
              <w:right w:val="single" w:sz="4" w:space="0" w:color="auto"/>
            </w:tcBorders>
          </w:tcPr>
          <w:p w14:paraId="7CC184BA" w14:textId="77777777" w:rsidR="00CC721F" w:rsidRPr="007868D0" w:rsidRDefault="00CC721F" w:rsidP="007429F2">
            <w:pPr>
              <w:pStyle w:val="Default"/>
              <w:spacing w:line="360" w:lineRule="auto"/>
              <w:jc w:val="both"/>
              <w:rPr>
                <w:rFonts w:ascii="Times New Roman" w:hAnsi="Times New Roman" w:cs="Times New Roman"/>
              </w:rPr>
            </w:pPr>
            <w:r w:rsidRPr="007868D0">
              <w:rPr>
                <w:rFonts w:ascii="Times New Roman" w:hAnsi="Times New Roman" w:cs="Times New Roman"/>
              </w:rPr>
              <w:t xml:space="preserve">No. of reports on judicial appointments and complaints produced </w:t>
            </w:r>
          </w:p>
        </w:tc>
        <w:tc>
          <w:tcPr>
            <w:tcW w:w="1084" w:type="pct"/>
            <w:tcBorders>
              <w:top w:val="single" w:sz="4" w:space="0" w:color="auto"/>
              <w:left w:val="single" w:sz="4" w:space="0" w:color="auto"/>
              <w:bottom w:val="single" w:sz="4" w:space="0" w:color="auto"/>
              <w:right w:val="single" w:sz="4" w:space="0" w:color="auto"/>
            </w:tcBorders>
          </w:tcPr>
          <w:p w14:paraId="270DCE74" w14:textId="77777777" w:rsidR="00CC721F" w:rsidRPr="0078546E" w:rsidRDefault="00CC721F" w:rsidP="007429F2">
            <w:pPr>
              <w:autoSpaceDE w:val="0"/>
              <w:autoSpaceDN w:val="0"/>
              <w:adjustRightInd w:val="0"/>
              <w:spacing w:line="360" w:lineRule="auto"/>
              <w:jc w:val="both"/>
              <w:rPr>
                <w:lang w:val="en-ZA" w:eastAsia="en-ZA"/>
              </w:rPr>
            </w:pPr>
            <w:r w:rsidRPr="0078546E">
              <w:rPr>
                <w:lang w:val="en-ZA" w:eastAsia="en-ZA"/>
              </w:rPr>
              <w:t>ACHIEVED</w:t>
            </w:r>
          </w:p>
          <w:p w14:paraId="57B60DC8" w14:textId="77777777" w:rsidR="00CC721F" w:rsidRPr="0078546E" w:rsidRDefault="00CC721F" w:rsidP="007429F2">
            <w:pPr>
              <w:autoSpaceDE w:val="0"/>
              <w:autoSpaceDN w:val="0"/>
              <w:adjustRightInd w:val="0"/>
              <w:spacing w:line="360" w:lineRule="auto"/>
              <w:jc w:val="both"/>
              <w:rPr>
                <w:lang w:val="en-ZA" w:eastAsia="en-ZA"/>
              </w:rPr>
            </w:pPr>
            <w:r w:rsidRPr="00156569">
              <w:rPr>
                <w:lang w:val="en-ZA" w:eastAsia="en-ZA"/>
              </w:rPr>
              <w:t>3 against a target of 3</w:t>
            </w:r>
          </w:p>
        </w:tc>
        <w:tc>
          <w:tcPr>
            <w:tcW w:w="1083" w:type="pct"/>
            <w:tcBorders>
              <w:top w:val="single" w:sz="4" w:space="0" w:color="auto"/>
              <w:left w:val="single" w:sz="4" w:space="0" w:color="auto"/>
              <w:bottom w:val="single" w:sz="4" w:space="0" w:color="auto"/>
              <w:right w:val="single" w:sz="4" w:space="0" w:color="auto"/>
            </w:tcBorders>
          </w:tcPr>
          <w:p w14:paraId="7E3BA318" w14:textId="77777777" w:rsidR="00CC721F" w:rsidRPr="0078546E" w:rsidRDefault="00CC721F" w:rsidP="007429F2">
            <w:pPr>
              <w:autoSpaceDE w:val="0"/>
              <w:autoSpaceDN w:val="0"/>
              <w:adjustRightInd w:val="0"/>
              <w:spacing w:line="360" w:lineRule="auto"/>
              <w:jc w:val="both"/>
              <w:rPr>
                <w:lang w:val="en-ZA" w:eastAsia="en-ZA"/>
              </w:rPr>
            </w:pPr>
            <w:r w:rsidRPr="0078546E">
              <w:rPr>
                <w:lang w:val="en-ZA" w:eastAsia="en-ZA"/>
              </w:rPr>
              <w:t>ACHIEVED</w:t>
            </w:r>
          </w:p>
          <w:p w14:paraId="50ECD012" w14:textId="77777777" w:rsidR="00CC721F" w:rsidRPr="0078546E" w:rsidRDefault="00CC721F" w:rsidP="007429F2">
            <w:pPr>
              <w:autoSpaceDE w:val="0"/>
              <w:autoSpaceDN w:val="0"/>
              <w:adjustRightInd w:val="0"/>
              <w:spacing w:line="360" w:lineRule="auto"/>
              <w:jc w:val="both"/>
              <w:rPr>
                <w:lang w:val="en-ZA" w:eastAsia="en-ZA"/>
              </w:rPr>
            </w:pPr>
            <w:r w:rsidRPr="00156569">
              <w:rPr>
                <w:lang w:val="en-ZA" w:eastAsia="en-ZA"/>
              </w:rPr>
              <w:t>3 against a target of 3</w:t>
            </w:r>
          </w:p>
        </w:tc>
      </w:tr>
    </w:tbl>
    <w:p w14:paraId="4EE8BCD2" w14:textId="77777777" w:rsidR="00702F3C" w:rsidRDefault="00702F3C" w:rsidP="007429F2">
      <w:pPr>
        <w:pStyle w:val="ListParagraph"/>
        <w:spacing w:line="360" w:lineRule="auto"/>
        <w:jc w:val="both"/>
      </w:pPr>
    </w:p>
    <w:p w14:paraId="51A0B581" w14:textId="77777777" w:rsidR="00CC721F" w:rsidRPr="00AA5595" w:rsidRDefault="00CC721F" w:rsidP="00930498">
      <w:pPr>
        <w:pStyle w:val="ListParagraph"/>
        <w:numPr>
          <w:ilvl w:val="2"/>
          <w:numId w:val="45"/>
        </w:numPr>
        <w:autoSpaceDE w:val="0"/>
        <w:autoSpaceDN w:val="0"/>
        <w:adjustRightInd w:val="0"/>
        <w:spacing w:line="360" w:lineRule="auto"/>
        <w:jc w:val="both"/>
        <w:rPr>
          <w:b/>
          <w:lang w:val="en-ZA"/>
        </w:rPr>
      </w:pPr>
      <w:r w:rsidRPr="00AA5595">
        <w:rPr>
          <w:bCs/>
          <w:lang w:val="en-US"/>
        </w:rPr>
        <w:t>In</w:t>
      </w:r>
      <w:r w:rsidRPr="00AA5595">
        <w:rPr>
          <w:lang w:val="en-US" w:eastAsia="en-US"/>
        </w:rPr>
        <w:t xml:space="preserve"> the 1</w:t>
      </w:r>
      <w:r w:rsidRPr="00AA5595">
        <w:rPr>
          <w:vertAlign w:val="superscript"/>
          <w:lang w:val="en-US" w:eastAsia="en-US"/>
        </w:rPr>
        <w:t>st</w:t>
      </w:r>
      <w:r w:rsidRPr="00AA5595">
        <w:rPr>
          <w:lang w:val="en-US" w:eastAsia="en-US"/>
        </w:rPr>
        <w:t xml:space="preserve"> Quarter of 2019/20, the OCJ reports that it met 1 of 1 or 100% of planned targets for the programme.</w:t>
      </w:r>
    </w:p>
    <w:p w14:paraId="1D600150" w14:textId="77777777" w:rsidR="00CC721F" w:rsidRPr="00AA5595" w:rsidRDefault="00CC721F" w:rsidP="007429F2">
      <w:pPr>
        <w:spacing w:line="360" w:lineRule="auto"/>
        <w:jc w:val="both"/>
        <w:rPr>
          <w:b/>
          <w:lang w:val="en-ZA"/>
        </w:rPr>
      </w:pPr>
    </w:p>
    <w:p w14:paraId="071F1FAD" w14:textId="77777777" w:rsidR="00C05C71" w:rsidRPr="00AA5595" w:rsidRDefault="00C05C71" w:rsidP="00930498">
      <w:pPr>
        <w:pStyle w:val="ListParagraph"/>
        <w:numPr>
          <w:ilvl w:val="0"/>
          <w:numId w:val="45"/>
        </w:numPr>
        <w:autoSpaceDE w:val="0"/>
        <w:autoSpaceDN w:val="0"/>
        <w:adjustRightInd w:val="0"/>
        <w:spacing w:line="360" w:lineRule="auto"/>
        <w:ind w:left="709" w:hanging="709"/>
        <w:contextualSpacing/>
        <w:jc w:val="both"/>
        <w:rPr>
          <w:b/>
          <w:lang w:val="en-ZA"/>
        </w:rPr>
      </w:pPr>
      <w:r w:rsidRPr="00AA5595">
        <w:rPr>
          <w:b/>
          <w:lang w:val="en-ZA"/>
        </w:rPr>
        <w:t>Committee’s observations</w:t>
      </w:r>
    </w:p>
    <w:p w14:paraId="500ED982" w14:textId="77777777" w:rsidR="00C05C71" w:rsidRPr="007868D0" w:rsidRDefault="00C05C71" w:rsidP="007429F2">
      <w:pPr>
        <w:spacing w:line="360" w:lineRule="auto"/>
        <w:jc w:val="both"/>
      </w:pPr>
    </w:p>
    <w:p w14:paraId="64BB29C4" w14:textId="77777777" w:rsidR="00083AC0" w:rsidRDefault="006460DE" w:rsidP="007429F2">
      <w:pPr>
        <w:pStyle w:val="BodySingle"/>
        <w:spacing w:line="360" w:lineRule="auto"/>
        <w:ind w:left="0"/>
        <w:rPr>
          <w:rFonts w:ascii="Times New Roman" w:hAnsi="Times New Roman"/>
          <w:i w:val="0"/>
          <w:sz w:val="24"/>
          <w:szCs w:val="24"/>
        </w:rPr>
      </w:pPr>
      <w:r w:rsidRPr="007868D0">
        <w:rPr>
          <w:rFonts w:ascii="Times New Roman" w:hAnsi="Times New Roman"/>
          <w:i w:val="0"/>
          <w:sz w:val="24"/>
          <w:szCs w:val="24"/>
        </w:rPr>
        <w:t>T</w:t>
      </w:r>
      <w:r w:rsidR="0043520A" w:rsidRPr="007868D0">
        <w:rPr>
          <w:rFonts w:ascii="Times New Roman" w:hAnsi="Times New Roman"/>
          <w:i w:val="0"/>
          <w:sz w:val="24"/>
          <w:szCs w:val="24"/>
        </w:rPr>
        <w:t xml:space="preserve">he Committee makes the following observations: </w:t>
      </w:r>
    </w:p>
    <w:p w14:paraId="7B3E205D" w14:textId="77777777" w:rsidR="00083AC0" w:rsidRPr="007868D0" w:rsidRDefault="00083AC0" w:rsidP="007429F2">
      <w:pPr>
        <w:pStyle w:val="BodySingle"/>
        <w:spacing w:line="360" w:lineRule="auto"/>
        <w:ind w:left="0"/>
        <w:rPr>
          <w:rFonts w:ascii="Times New Roman" w:hAnsi="Times New Roman"/>
          <w:i w:val="0"/>
          <w:sz w:val="24"/>
          <w:szCs w:val="24"/>
        </w:rPr>
      </w:pPr>
    </w:p>
    <w:p w14:paraId="196C79A9" w14:textId="77777777" w:rsidR="00415667" w:rsidRPr="0005134C" w:rsidRDefault="00415667" w:rsidP="00040B5F">
      <w:pPr>
        <w:pStyle w:val="ListParagraph"/>
        <w:numPr>
          <w:ilvl w:val="1"/>
          <w:numId w:val="44"/>
        </w:numPr>
        <w:spacing w:line="360" w:lineRule="auto"/>
        <w:ind w:left="709" w:hanging="709"/>
        <w:contextualSpacing/>
        <w:jc w:val="both"/>
      </w:pPr>
      <w:r w:rsidRPr="00930498">
        <w:rPr>
          <w:b/>
          <w:i/>
        </w:rPr>
        <w:t>Information regarding court performance for more effective oversight of the court administration</w:t>
      </w:r>
    </w:p>
    <w:p w14:paraId="71841531" w14:textId="65E50A29" w:rsidR="00415667" w:rsidRDefault="00415667" w:rsidP="0078546E">
      <w:pPr>
        <w:autoSpaceDE w:val="0"/>
        <w:autoSpaceDN w:val="0"/>
        <w:adjustRightInd w:val="0"/>
        <w:spacing w:line="360" w:lineRule="auto"/>
        <w:ind w:left="720"/>
        <w:jc w:val="both"/>
      </w:pPr>
      <w:r w:rsidRPr="0005134C">
        <w:t xml:space="preserve">The Committee </w:t>
      </w:r>
      <w:r w:rsidR="001072DD">
        <w:t xml:space="preserve">has already </w:t>
      </w:r>
      <w:r>
        <w:t xml:space="preserve">expressed its unhappiness about </w:t>
      </w:r>
      <w:r w:rsidR="001072DD">
        <w:t xml:space="preserve">how difficult it is for it to </w:t>
      </w:r>
      <w:r w:rsidRPr="0005134C">
        <w:t>properly gaug</w:t>
      </w:r>
      <w:r w:rsidR="001072DD">
        <w:t>e</w:t>
      </w:r>
      <w:r w:rsidRPr="0005134C">
        <w:t xml:space="preserve"> </w:t>
      </w:r>
      <w:r>
        <w:t xml:space="preserve">how well </w:t>
      </w:r>
      <w:r w:rsidRPr="0005134C">
        <w:t xml:space="preserve">the </w:t>
      </w:r>
      <w:r w:rsidR="001072DD">
        <w:t>justice system is working</w:t>
      </w:r>
      <w:r w:rsidRPr="0005134C">
        <w:t xml:space="preserve">, as </w:t>
      </w:r>
      <w:r>
        <w:t xml:space="preserve">much of the information related to court performance is located within the Judiciary. </w:t>
      </w:r>
      <w:r w:rsidRPr="0005134C">
        <w:t xml:space="preserve">The Committee </w:t>
      </w:r>
      <w:r w:rsidR="005D13B4">
        <w:t xml:space="preserve">notes </w:t>
      </w:r>
      <w:r w:rsidR="001072DD">
        <w:t xml:space="preserve">that, in the absence of any legislative guidance, </w:t>
      </w:r>
      <w:r>
        <w:t xml:space="preserve">the Judiciary has </w:t>
      </w:r>
      <w:r w:rsidR="001072DD">
        <w:t xml:space="preserve">taken the initiative </w:t>
      </w:r>
      <w:r>
        <w:t xml:space="preserve">to ‘account directly to the nation, </w:t>
      </w:r>
      <w:r w:rsidRPr="00471935">
        <w:t>as is the case with jurisdictions like Kenya, Singapore and many other comparable and progressive constitutional democracies’</w:t>
      </w:r>
      <w:r w:rsidRPr="00344D8A">
        <w:t>. The South African Judiciary Annual Report 201</w:t>
      </w:r>
      <w:r w:rsidR="00937A8A" w:rsidRPr="00344D8A">
        <w:t>8/19</w:t>
      </w:r>
      <w:r w:rsidRPr="00344D8A">
        <w:t xml:space="preserve">, which the Chief Justice presented to the Nation provides extremely valuable insight </w:t>
      </w:r>
      <w:r w:rsidR="00937A8A" w:rsidRPr="00344D8A">
        <w:t>in</w:t>
      </w:r>
      <w:r w:rsidRPr="00344D8A">
        <w:t>to developments within the Judiciary and</w:t>
      </w:r>
      <w:r w:rsidR="00344D8A" w:rsidRPr="00344D8A">
        <w:t xml:space="preserve">, among others, </w:t>
      </w:r>
      <w:r w:rsidRPr="00344D8A">
        <w:t>contains some statistics relating to the Superior Courts.</w:t>
      </w:r>
      <w:r>
        <w:t xml:space="preserve"> </w:t>
      </w:r>
    </w:p>
    <w:p w14:paraId="732DFFF8" w14:textId="77777777" w:rsidR="00415667" w:rsidRDefault="00415667" w:rsidP="0078546E">
      <w:pPr>
        <w:autoSpaceDE w:val="0"/>
        <w:autoSpaceDN w:val="0"/>
        <w:adjustRightInd w:val="0"/>
        <w:spacing w:line="360" w:lineRule="auto"/>
        <w:ind w:left="720"/>
        <w:jc w:val="both"/>
      </w:pPr>
    </w:p>
    <w:p w14:paraId="46C1C102" w14:textId="77777777" w:rsidR="00415667" w:rsidRDefault="00415667" w:rsidP="0078546E">
      <w:pPr>
        <w:autoSpaceDE w:val="0"/>
        <w:autoSpaceDN w:val="0"/>
        <w:adjustRightInd w:val="0"/>
        <w:spacing w:line="360" w:lineRule="auto"/>
        <w:ind w:left="720"/>
        <w:jc w:val="both"/>
      </w:pPr>
      <w:r>
        <w:t>Nonetheless, there are gaps – while the Judiciary has begun to collect data regarding the performance of the magistrates’ courts – for some years now</w:t>
      </w:r>
      <w:r w:rsidR="00937A8A">
        <w:t xml:space="preserve">, </w:t>
      </w:r>
      <w:r w:rsidR="00B53F86">
        <w:t xml:space="preserve">very little </w:t>
      </w:r>
      <w:r>
        <w:t xml:space="preserve">information </w:t>
      </w:r>
      <w:r w:rsidR="00B53F86">
        <w:t xml:space="preserve">to do </w:t>
      </w:r>
      <w:r w:rsidR="00B53F86" w:rsidRPr="00344D8A">
        <w:t xml:space="preserve">with </w:t>
      </w:r>
      <w:r w:rsidR="001072DD" w:rsidRPr="00344D8A">
        <w:t>cases in the lower courts</w:t>
      </w:r>
      <w:r w:rsidR="001072DD">
        <w:t xml:space="preserve"> </w:t>
      </w:r>
      <w:r w:rsidR="00B53F86">
        <w:t xml:space="preserve">has been </w:t>
      </w:r>
      <w:r>
        <w:t>available. As these courts</w:t>
      </w:r>
      <w:r w:rsidR="001072DD">
        <w:t xml:space="preserve"> hear the majority of the cases</w:t>
      </w:r>
      <w:r>
        <w:t>, the lack of information regarding their functioning is concerning.</w:t>
      </w:r>
      <w:r w:rsidR="0026782A">
        <w:t xml:space="preserve"> </w:t>
      </w:r>
    </w:p>
    <w:p w14:paraId="12164392" w14:textId="77777777" w:rsidR="00415667" w:rsidRDefault="00415667" w:rsidP="0078546E">
      <w:pPr>
        <w:autoSpaceDE w:val="0"/>
        <w:autoSpaceDN w:val="0"/>
        <w:adjustRightInd w:val="0"/>
        <w:spacing w:line="360" w:lineRule="auto"/>
        <w:ind w:left="720"/>
        <w:jc w:val="both"/>
      </w:pPr>
    </w:p>
    <w:p w14:paraId="7B2AE358" w14:textId="77777777" w:rsidR="00415667" w:rsidRDefault="00415667" w:rsidP="0078546E">
      <w:pPr>
        <w:autoSpaceDE w:val="0"/>
        <w:autoSpaceDN w:val="0"/>
        <w:adjustRightInd w:val="0"/>
        <w:spacing w:line="360" w:lineRule="auto"/>
        <w:ind w:left="720"/>
        <w:jc w:val="both"/>
        <w:rPr>
          <w:rFonts w:ascii="Raleway" w:hAnsi="Raleway" w:cs="Raleway"/>
          <w:color w:val="4D4D4D"/>
          <w:sz w:val="20"/>
          <w:szCs w:val="20"/>
          <w:lang w:val="en-ZA" w:eastAsia="en-ZA"/>
        </w:rPr>
      </w:pPr>
      <w:r>
        <w:t xml:space="preserve">The Committee </w:t>
      </w:r>
      <w:r w:rsidR="00B53F86">
        <w:t xml:space="preserve">feels </w:t>
      </w:r>
      <w:r>
        <w:t>that the court administration and performance functions are so closely related that it is impossible for it to consider the one without the other.</w:t>
      </w:r>
      <w:r w:rsidR="00B53F86">
        <w:t xml:space="preserve"> It repeats its view that i</w:t>
      </w:r>
      <w:r>
        <w:t xml:space="preserve">n order to exercise oversight towards ensuring that the correct intervention occurs at an administrative level, the Committee </w:t>
      </w:r>
      <w:r w:rsidR="00B53F86">
        <w:t>requires an</w:t>
      </w:r>
      <w:r>
        <w:t xml:space="preserve"> understanding of the systemic challenges that undermine delivery of</w:t>
      </w:r>
      <w:r w:rsidR="0026782A">
        <w:t xml:space="preserve"> justice services in our courts</w:t>
      </w:r>
      <w:r>
        <w:t xml:space="preserve">. </w:t>
      </w:r>
    </w:p>
    <w:p w14:paraId="3760A6B9" w14:textId="77777777" w:rsidR="00415667" w:rsidRPr="0005134C" w:rsidRDefault="00415667" w:rsidP="0078546E">
      <w:pPr>
        <w:pStyle w:val="ListParagraph"/>
        <w:spacing w:line="360" w:lineRule="auto"/>
        <w:ind w:left="1440"/>
        <w:contextualSpacing/>
        <w:jc w:val="both"/>
      </w:pPr>
    </w:p>
    <w:p w14:paraId="11E8D583" w14:textId="0DD911E4" w:rsidR="0026782A" w:rsidRDefault="00415667" w:rsidP="0078546E">
      <w:pPr>
        <w:pStyle w:val="ListParagraph"/>
        <w:spacing w:line="360" w:lineRule="auto"/>
        <w:contextualSpacing/>
        <w:jc w:val="both"/>
      </w:pPr>
      <w:r w:rsidRPr="0005134C">
        <w:t xml:space="preserve">The Committee is aware that the solution lies </w:t>
      </w:r>
      <w:r>
        <w:t xml:space="preserve">partly </w:t>
      </w:r>
      <w:r w:rsidRPr="0005134C">
        <w:t xml:space="preserve">in the finalisation of </w:t>
      </w:r>
      <w:r>
        <w:t>the long overdue</w:t>
      </w:r>
      <w:r w:rsidRPr="0005134C">
        <w:t xml:space="preserve"> court administration model</w:t>
      </w:r>
      <w:r w:rsidR="0026782A">
        <w:t xml:space="preserve"> </w:t>
      </w:r>
      <w:r w:rsidR="005D13B4">
        <w:t xml:space="preserve">and is concerned </w:t>
      </w:r>
      <w:r w:rsidR="00B53F86">
        <w:t xml:space="preserve">at the lack of progress in finalising </w:t>
      </w:r>
      <w:r w:rsidR="005D13B4">
        <w:t>this policy</w:t>
      </w:r>
      <w:r w:rsidR="00B53F86">
        <w:t xml:space="preserve">. </w:t>
      </w:r>
    </w:p>
    <w:p w14:paraId="3086C19C" w14:textId="77777777" w:rsidR="00415667" w:rsidRPr="0005134C" w:rsidRDefault="00415667" w:rsidP="0078546E">
      <w:pPr>
        <w:spacing w:line="360" w:lineRule="auto"/>
        <w:jc w:val="both"/>
      </w:pPr>
    </w:p>
    <w:p w14:paraId="3CBE4EAB" w14:textId="77777777" w:rsidR="00415667" w:rsidRPr="0005134C" w:rsidRDefault="00415667" w:rsidP="00040B5F">
      <w:pPr>
        <w:pStyle w:val="ListParagraph"/>
        <w:numPr>
          <w:ilvl w:val="1"/>
          <w:numId w:val="44"/>
        </w:numPr>
        <w:spacing w:line="360" w:lineRule="auto"/>
        <w:ind w:left="709" w:hanging="709"/>
        <w:contextualSpacing/>
        <w:jc w:val="both"/>
      </w:pPr>
      <w:r w:rsidRPr="00E722FF">
        <w:rPr>
          <w:b/>
          <w:i/>
        </w:rPr>
        <w:t>Progress towards a single judiciary and transfer of functions to the OCJ</w:t>
      </w:r>
      <w:r w:rsidR="00344D8A" w:rsidRPr="00E722FF">
        <w:rPr>
          <w:b/>
          <w:i/>
        </w:rPr>
        <w:t xml:space="preserve">. </w:t>
      </w:r>
      <w:r w:rsidRPr="00E722FF">
        <w:t>The Committee</w:t>
      </w:r>
      <w:r w:rsidRPr="0005134C">
        <w:t xml:space="preserve"> </w:t>
      </w:r>
      <w:r>
        <w:t>understands that a Lower Courts Bill is at a very advanced stage and</w:t>
      </w:r>
      <w:r w:rsidR="0026782A">
        <w:t xml:space="preserve"> asks that it be finalised as a matter of priority. </w:t>
      </w:r>
    </w:p>
    <w:p w14:paraId="6BDCDD85" w14:textId="77777777" w:rsidR="00415667" w:rsidRPr="0005134C" w:rsidRDefault="00415667" w:rsidP="0078546E">
      <w:pPr>
        <w:spacing w:line="360" w:lineRule="auto"/>
        <w:jc w:val="both"/>
      </w:pPr>
    </w:p>
    <w:p w14:paraId="132B2AA2" w14:textId="06204F39" w:rsidR="00415667" w:rsidRPr="00312F29" w:rsidRDefault="0026782A" w:rsidP="00040B5F">
      <w:pPr>
        <w:pStyle w:val="ListParagraph"/>
        <w:numPr>
          <w:ilvl w:val="1"/>
          <w:numId w:val="44"/>
        </w:numPr>
        <w:spacing w:line="360" w:lineRule="auto"/>
        <w:ind w:left="709" w:hanging="709"/>
        <w:contextualSpacing/>
        <w:jc w:val="both"/>
      </w:pPr>
      <w:r w:rsidRPr="00312F29">
        <w:rPr>
          <w:b/>
          <w:i/>
        </w:rPr>
        <w:t>Court modernisation</w:t>
      </w:r>
      <w:r w:rsidRPr="00312F29">
        <w:t xml:space="preserve">. </w:t>
      </w:r>
      <w:r w:rsidR="00344D8A" w:rsidRPr="00312F29">
        <w:t xml:space="preserve">The Committee supports the </w:t>
      </w:r>
      <w:r w:rsidR="00C34B81" w:rsidRPr="00312F29">
        <w:t xml:space="preserve">various </w:t>
      </w:r>
      <w:r w:rsidR="00344D8A" w:rsidRPr="00312F29">
        <w:t>initiative</w:t>
      </w:r>
      <w:r w:rsidR="00C34B81" w:rsidRPr="00312F29">
        <w:t>s</w:t>
      </w:r>
      <w:r w:rsidR="00344D8A" w:rsidRPr="00312F29">
        <w:t xml:space="preserve"> to modernise</w:t>
      </w:r>
      <w:r w:rsidR="00C34B81" w:rsidRPr="00312F29">
        <w:t xml:space="preserve"> our courts. </w:t>
      </w:r>
      <w:r w:rsidR="00415667" w:rsidRPr="00312F29">
        <w:t>In order to keep abreast of the demand, there is</w:t>
      </w:r>
      <w:r w:rsidR="00C34B81" w:rsidRPr="00312F29">
        <w:t xml:space="preserve"> urgent </w:t>
      </w:r>
      <w:r w:rsidR="00415667" w:rsidRPr="00312F29">
        <w:t>need for more capacity</w:t>
      </w:r>
      <w:r w:rsidR="00C34B81" w:rsidRPr="00312F29">
        <w:t xml:space="preserve">. However, in an environment where </w:t>
      </w:r>
      <w:r w:rsidR="00156569">
        <w:t>resources</w:t>
      </w:r>
      <w:r w:rsidR="00156569" w:rsidRPr="00312F29">
        <w:t xml:space="preserve"> </w:t>
      </w:r>
      <w:r w:rsidR="00C34B81" w:rsidRPr="00312F29">
        <w:t xml:space="preserve">are extremely limited, </w:t>
      </w:r>
      <w:r w:rsidR="00415667" w:rsidRPr="00312F29">
        <w:t xml:space="preserve">systems must be made more efficient by way of modernisation and digitisation. The </w:t>
      </w:r>
      <w:r w:rsidR="00344D8A" w:rsidRPr="00312F29">
        <w:t xml:space="preserve">Committee notes that the </w:t>
      </w:r>
      <w:r w:rsidR="00C34B81" w:rsidRPr="00312F29">
        <w:t xml:space="preserve">e-filing project, which forms part of the </w:t>
      </w:r>
      <w:r w:rsidR="00415667" w:rsidRPr="00312F29">
        <w:t>ICT Master Systems Plan</w:t>
      </w:r>
      <w:r w:rsidR="00344D8A" w:rsidRPr="00312F29">
        <w:t xml:space="preserve">, </w:t>
      </w:r>
      <w:r w:rsidR="00C34B81" w:rsidRPr="00312F29">
        <w:t xml:space="preserve">could not be </w:t>
      </w:r>
      <w:r w:rsidR="00344D8A" w:rsidRPr="00312F29">
        <w:t xml:space="preserve">piloted in </w:t>
      </w:r>
      <w:r w:rsidR="00C34B81" w:rsidRPr="00312F29">
        <w:t>2018/19. The State Information and Technology Agency (SITA), who is the appointed service provider, has since provided the Department with a revised project plan. T</w:t>
      </w:r>
      <w:r w:rsidR="00415667" w:rsidRPr="00312F29">
        <w:t>he C</w:t>
      </w:r>
      <w:r w:rsidR="00C34B81" w:rsidRPr="00312F29">
        <w:t xml:space="preserve">ommittee </w:t>
      </w:r>
      <w:r w:rsidR="00312F29" w:rsidRPr="00312F29">
        <w:t xml:space="preserve">understands that, as part of the e-filing project, </w:t>
      </w:r>
      <w:r w:rsidR="00991A4A" w:rsidRPr="00312F29">
        <w:t>caselines are being piloted at the High Courts in Gauteng</w:t>
      </w:r>
      <w:r w:rsidR="00312F29" w:rsidRPr="00312F29">
        <w:t xml:space="preserve"> and will engage with the OC</w:t>
      </w:r>
      <w:r w:rsidR="00156569">
        <w:t>J</w:t>
      </w:r>
      <w:r w:rsidR="00312F29" w:rsidRPr="00312F29">
        <w:t xml:space="preserve"> in order to arrange a visit to see the pilot for itself </w:t>
      </w:r>
      <w:r w:rsidR="00415667" w:rsidRPr="00312F29">
        <w:t>as soon as its programme permits.</w:t>
      </w:r>
    </w:p>
    <w:p w14:paraId="7A0F514E" w14:textId="77777777" w:rsidR="00415667" w:rsidRDefault="00415667" w:rsidP="0078546E">
      <w:pPr>
        <w:pStyle w:val="ListParagraph"/>
        <w:spacing w:line="360" w:lineRule="auto"/>
        <w:jc w:val="both"/>
        <w:rPr>
          <w:b/>
          <w:i/>
        </w:rPr>
      </w:pPr>
    </w:p>
    <w:p w14:paraId="38AF0FFA" w14:textId="4E24F2C1" w:rsidR="00415667" w:rsidRPr="0005134C" w:rsidRDefault="00415667" w:rsidP="00040B5F">
      <w:pPr>
        <w:pStyle w:val="ListParagraph"/>
        <w:numPr>
          <w:ilvl w:val="1"/>
          <w:numId w:val="44"/>
        </w:numPr>
        <w:spacing w:line="360" w:lineRule="auto"/>
        <w:ind w:left="709" w:hanging="709"/>
        <w:contextualSpacing/>
        <w:jc w:val="both"/>
      </w:pPr>
      <w:r w:rsidRPr="0005134C">
        <w:rPr>
          <w:b/>
          <w:i/>
        </w:rPr>
        <w:t xml:space="preserve">Security. </w:t>
      </w:r>
      <w:r w:rsidRPr="0005134C">
        <w:t>The Committee is concerned</w:t>
      </w:r>
      <w:r>
        <w:t xml:space="preserve"> about reports of inadequate security at courts</w:t>
      </w:r>
      <w:r w:rsidR="0026782A">
        <w:t>. The Committee understands that this is a shared function</w:t>
      </w:r>
      <w:r w:rsidR="00312F29">
        <w:t xml:space="preserve"> with the Department of Justice and Constitutional </w:t>
      </w:r>
      <w:r w:rsidR="00156569">
        <w:t>D</w:t>
      </w:r>
      <w:r w:rsidR="00312F29">
        <w:t>evelopment</w:t>
      </w:r>
      <w:r w:rsidR="0026782A">
        <w:t xml:space="preserve"> and, therefore, </w:t>
      </w:r>
      <w:r>
        <w:t>requests that the OCJ</w:t>
      </w:r>
      <w:r w:rsidR="00040B5F">
        <w:t xml:space="preserve"> engage with the Department of Justice and Constitutional Development to </w:t>
      </w:r>
      <w:r>
        <w:t xml:space="preserve">provide a full report </w:t>
      </w:r>
      <w:r w:rsidR="00863F43">
        <w:t xml:space="preserve">relating to the provision of </w:t>
      </w:r>
      <w:r w:rsidR="00040B5F">
        <w:t>security at courts</w:t>
      </w:r>
      <w:r w:rsidR="00863F43">
        <w:t xml:space="preserve">, including details of the funding for this, </w:t>
      </w:r>
      <w:r w:rsidR="0026782A">
        <w:t>by</w:t>
      </w:r>
      <w:r w:rsidR="005D13B4">
        <w:t xml:space="preserve"> 29</w:t>
      </w:r>
      <w:r w:rsidR="0026782A">
        <w:t xml:space="preserve"> November 2019</w:t>
      </w:r>
      <w:r>
        <w:t>.</w:t>
      </w:r>
    </w:p>
    <w:p w14:paraId="2F04C05D" w14:textId="77777777" w:rsidR="00267EF1" w:rsidRPr="007868D0" w:rsidRDefault="00267EF1" w:rsidP="00863F43">
      <w:pPr>
        <w:pStyle w:val="BodySingle"/>
        <w:spacing w:line="360" w:lineRule="auto"/>
        <w:ind w:left="0"/>
        <w:rPr>
          <w:rFonts w:ascii="Times New Roman" w:hAnsi="Times New Roman"/>
          <w:i w:val="0"/>
          <w:sz w:val="24"/>
          <w:szCs w:val="24"/>
        </w:rPr>
      </w:pPr>
    </w:p>
    <w:p w14:paraId="645481C1" w14:textId="77777777" w:rsidR="00A04F9D" w:rsidRPr="007868D0" w:rsidRDefault="00FA66A1" w:rsidP="00863F43">
      <w:pPr>
        <w:pStyle w:val="ListParagraph"/>
        <w:numPr>
          <w:ilvl w:val="1"/>
          <w:numId w:val="44"/>
        </w:numPr>
        <w:spacing w:line="360" w:lineRule="auto"/>
        <w:ind w:left="709" w:hanging="709"/>
        <w:contextualSpacing/>
        <w:jc w:val="both"/>
        <w:rPr>
          <w:noProof/>
        </w:rPr>
      </w:pPr>
      <w:r w:rsidRPr="00E722FF">
        <w:rPr>
          <w:b/>
          <w:i/>
          <w:lang w:eastAsia="en-ZA"/>
        </w:rPr>
        <w:t>Audit outcome</w:t>
      </w:r>
      <w:r w:rsidRPr="00E722FF">
        <w:rPr>
          <w:lang w:eastAsia="en-ZA"/>
        </w:rPr>
        <w:t xml:space="preserve">. </w:t>
      </w:r>
      <w:r w:rsidR="00FF3DAB" w:rsidRPr="00E722FF">
        <w:rPr>
          <w:lang w:eastAsia="en-ZA"/>
        </w:rPr>
        <w:t>T</w:t>
      </w:r>
      <w:r w:rsidR="009B06C3" w:rsidRPr="00E722FF">
        <w:rPr>
          <w:lang w:eastAsia="en-ZA"/>
        </w:rPr>
        <w:t xml:space="preserve">he Committee </w:t>
      </w:r>
      <w:r w:rsidR="0066394F" w:rsidRPr="00E722FF">
        <w:rPr>
          <w:lang w:eastAsia="en-ZA"/>
        </w:rPr>
        <w:t xml:space="preserve">acknowledges </w:t>
      </w:r>
      <w:r w:rsidR="009B06C3" w:rsidRPr="00E722FF">
        <w:rPr>
          <w:lang w:eastAsia="en-ZA"/>
        </w:rPr>
        <w:t>the OCJ</w:t>
      </w:r>
      <w:r w:rsidR="0066394F" w:rsidRPr="00E722FF">
        <w:rPr>
          <w:lang w:eastAsia="en-ZA"/>
        </w:rPr>
        <w:t xml:space="preserve">’s good work in </w:t>
      </w:r>
      <w:r w:rsidR="0026782A" w:rsidRPr="00E722FF">
        <w:rPr>
          <w:lang w:eastAsia="en-ZA"/>
        </w:rPr>
        <w:t xml:space="preserve">maintaining </w:t>
      </w:r>
      <w:r w:rsidR="00991A4A" w:rsidRPr="00E722FF">
        <w:rPr>
          <w:lang w:eastAsia="en-ZA"/>
        </w:rPr>
        <w:t>a</w:t>
      </w:r>
      <w:r w:rsidR="0026782A" w:rsidRPr="00E722FF">
        <w:rPr>
          <w:lang w:eastAsia="en-ZA"/>
        </w:rPr>
        <w:t xml:space="preserve"> </w:t>
      </w:r>
      <w:r w:rsidR="009B06C3" w:rsidRPr="00E722FF">
        <w:rPr>
          <w:lang w:eastAsia="en-ZA"/>
        </w:rPr>
        <w:t>clean</w:t>
      </w:r>
      <w:r w:rsidR="009B06C3">
        <w:rPr>
          <w:lang w:eastAsia="en-ZA"/>
        </w:rPr>
        <w:t xml:space="preserve"> audit </w:t>
      </w:r>
      <w:r w:rsidR="00FF3DAB">
        <w:rPr>
          <w:lang w:eastAsia="en-ZA"/>
        </w:rPr>
        <w:t>outcome</w:t>
      </w:r>
      <w:r w:rsidR="0066394F">
        <w:rPr>
          <w:lang w:eastAsia="en-ZA"/>
        </w:rPr>
        <w:t xml:space="preserve"> for the </w:t>
      </w:r>
      <w:r w:rsidR="00E722FF">
        <w:rPr>
          <w:lang w:eastAsia="en-ZA"/>
        </w:rPr>
        <w:t xml:space="preserve">second consecutive </w:t>
      </w:r>
      <w:r w:rsidR="0066394F">
        <w:rPr>
          <w:lang w:eastAsia="en-ZA"/>
        </w:rPr>
        <w:t>year</w:t>
      </w:r>
      <w:r w:rsidR="00A04F9D">
        <w:rPr>
          <w:noProof/>
        </w:rPr>
        <w:t>.</w:t>
      </w:r>
      <w:r w:rsidR="00A04F9D" w:rsidRPr="007868D0">
        <w:rPr>
          <w:noProof/>
        </w:rPr>
        <w:t xml:space="preserve"> </w:t>
      </w:r>
    </w:p>
    <w:p w14:paraId="1902BE61" w14:textId="77777777" w:rsidR="00A04F9D" w:rsidRPr="007868D0" w:rsidRDefault="00A04F9D" w:rsidP="00863F43">
      <w:pPr>
        <w:pStyle w:val="ListParagraph"/>
        <w:spacing w:line="360" w:lineRule="auto"/>
        <w:jc w:val="both"/>
        <w:rPr>
          <w:noProof/>
        </w:rPr>
      </w:pPr>
    </w:p>
    <w:p w14:paraId="194E4CFB" w14:textId="77777777" w:rsidR="00A04F9D" w:rsidRDefault="00FA66A1" w:rsidP="00863F43">
      <w:pPr>
        <w:pStyle w:val="ListParagraph"/>
        <w:numPr>
          <w:ilvl w:val="1"/>
          <w:numId w:val="44"/>
        </w:numPr>
        <w:spacing w:line="360" w:lineRule="auto"/>
        <w:ind w:left="709" w:hanging="709"/>
        <w:contextualSpacing/>
        <w:jc w:val="both"/>
      </w:pPr>
      <w:r w:rsidRPr="00E722FF">
        <w:rPr>
          <w:b/>
          <w:i/>
          <w:lang w:eastAsia="en-ZA"/>
        </w:rPr>
        <w:t>Judicial</w:t>
      </w:r>
      <w:r w:rsidRPr="00E722FF">
        <w:rPr>
          <w:b/>
          <w:i/>
        </w:rPr>
        <w:t xml:space="preserve"> Services Commission report.</w:t>
      </w:r>
      <w:r w:rsidRPr="00E722FF">
        <w:t xml:space="preserve"> </w:t>
      </w:r>
      <w:r w:rsidR="001D4939" w:rsidRPr="00E722FF">
        <w:t xml:space="preserve">The Committee </w:t>
      </w:r>
      <w:r w:rsidR="00F71021" w:rsidRPr="00E722FF">
        <w:t xml:space="preserve">looks forward to the tabling of </w:t>
      </w:r>
      <w:r w:rsidR="007107A3" w:rsidRPr="00E722FF">
        <w:t>the</w:t>
      </w:r>
      <w:r w:rsidR="007107A3">
        <w:t xml:space="preserve"> </w:t>
      </w:r>
      <w:r w:rsidR="001D4939" w:rsidRPr="001E2E49">
        <w:t>Judicial Services Commission</w:t>
      </w:r>
      <w:r w:rsidR="00F71021">
        <w:t>’s</w:t>
      </w:r>
      <w:r w:rsidR="001D4939" w:rsidRPr="001E2E49">
        <w:t xml:space="preserve"> report of its activities </w:t>
      </w:r>
      <w:r w:rsidR="00F71021">
        <w:t>for 2018</w:t>
      </w:r>
      <w:r w:rsidR="007107A3">
        <w:t>/1</w:t>
      </w:r>
      <w:r w:rsidR="00F71021">
        <w:t>9</w:t>
      </w:r>
      <w:r w:rsidR="007107A3">
        <w:t xml:space="preserve"> </w:t>
      </w:r>
      <w:r w:rsidR="00F71021">
        <w:t>in the near future</w:t>
      </w:r>
      <w:r w:rsidR="007107A3">
        <w:t>.</w:t>
      </w:r>
    </w:p>
    <w:p w14:paraId="6BEC066F" w14:textId="77777777" w:rsidR="001D4939" w:rsidRPr="0078546E" w:rsidRDefault="001D4939" w:rsidP="00863F43">
      <w:pPr>
        <w:autoSpaceDE w:val="0"/>
        <w:autoSpaceDN w:val="0"/>
        <w:adjustRightInd w:val="0"/>
        <w:spacing w:line="360" w:lineRule="auto"/>
        <w:ind w:left="720"/>
        <w:jc w:val="both"/>
        <w:rPr>
          <w:i/>
        </w:rPr>
      </w:pPr>
      <w:r w:rsidRPr="001E2E49">
        <w:t xml:space="preserve"> </w:t>
      </w:r>
    </w:p>
    <w:p w14:paraId="58BFB494" w14:textId="4FBDC5D5" w:rsidR="00F71021" w:rsidRDefault="00F71021" w:rsidP="00863F43">
      <w:pPr>
        <w:pStyle w:val="ListParagraph"/>
        <w:numPr>
          <w:ilvl w:val="1"/>
          <w:numId w:val="44"/>
        </w:numPr>
        <w:spacing w:line="360" w:lineRule="auto"/>
        <w:ind w:left="709" w:hanging="709"/>
        <w:contextualSpacing/>
        <w:jc w:val="both"/>
      </w:pPr>
      <w:r w:rsidRPr="0078546E">
        <w:rPr>
          <w:b/>
          <w:i/>
          <w:lang w:eastAsia="en-ZA"/>
        </w:rPr>
        <w:t>Judicial</w:t>
      </w:r>
      <w:r w:rsidRPr="0078546E">
        <w:rPr>
          <w:b/>
          <w:i/>
        </w:rPr>
        <w:t xml:space="preserve"> Wellness programme</w:t>
      </w:r>
      <w:r w:rsidR="00156569">
        <w:t>.</w:t>
      </w:r>
      <w:r w:rsidR="00312F29" w:rsidRPr="00E722FF">
        <w:t xml:space="preserve"> The Committee notes the Judiciary’s concern about the lack of</w:t>
      </w:r>
      <w:r w:rsidR="00312F29">
        <w:t xml:space="preserve"> </w:t>
      </w:r>
      <w:r w:rsidR="007C5EB4">
        <w:t xml:space="preserve">wellness </w:t>
      </w:r>
      <w:r w:rsidR="00312F29">
        <w:t>support offered to judicial officers, many of whom suffer extreme stress as a result of their pr</w:t>
      </w:r>
      <w:r w:rsidR="007C5EB4">
        <w:t>esiding over traumatising cases</w:t>
      </w:r>
      <w:r w:rsidR="00312F29">
        <w:t xml:space="preserve">. </w:t>
      </w:r>
      <w:r w:rsidR="007C5EB4">
        <w:t xml:space="preserve">The Committee agrees with the Judiciary that this is a work-related challenge and, therefore, requires an institutional response in the form of a judicial wellness or stress management programme. The Committee notes that the Judiciary is developing a programme or system to address this, which will be implemented under the auspices of the Judiciary or OCJ, funding permitting. </w:t>
      </w:r>
    </w:p>
    <w:p w14:paraId="4D7F6D1A" w14:textId="77777777" w:rsidR="007C5EB4" w:rsidRDefault="007C5EB4" w:rsidP="0078546E">
      <w:pPr>
        <w:pStyle w:val="ListParagraph"/>
        <w:jc w:val="both"/>
      </w:pPr>
    </w:p>
    <w:p w14:paraId="2C896865" w14:textId="2F706815" w:rsidR="00E722FF" w:rsidRPr="00E722FF" w:rsidRDefault="00F71021" w:rsidP="00040B5F">
      <w:pPr>
        <w:pStyle w:val="ListParagraph"/>
        <w:numPr>
          <w:ilvl w:val="1"/>
          <w:numId w:val="44"/>
        </w:numPr>
        <w:spacing w:line="360" w:lineRule="auto"/>
        <w:ind w:left="709" w:hanging="709"/>
        <w:contextualSpacing/>
        <w:jc w:val="both"/>
      </w:pPr>
      <w:r w:rsidRPr="00E722FF">
        <w:rPr>
          <w:b/>
          <w:i/>
          <w:lang w:eastAsia="en-ZA"/>
        </w:rPr>
        <w:t>G</w:t>
      </w:r>
      <w:r w:rsidR="00E722FF" w:rsidRPr="00E722FF">
        <w:rPr>
          <w:b/>
          <w:i/>
          <w:lang w:eastAsia="en-ZA"/>
        </w:rPr>
        <w:t>ender-based Violence</w:t>
      </w:r>
      <w:r w:rsidR="00B9452F" w:rsidRPr="00E722FF">
        <w:rPr>
          <w:b/>
          <w:i/>
          <w:lang w:eastAsia="en-ZA"/>
        </w:rPr>
        <w:t xml:space="preserve">. </w:t>
      </w:r>
      <w:r w:rsidR="00B9452F" w:rsidRPr="00E722FF">
        <w:rPr>
          <w:lang w:eastAsia="en-ZA"/>
        </w:rPr>
        <w:t xml:space="preserve">The Committee </w:t>
      </w:r>
      <w:r w:rsidR="007C5CE8" w:rsidRPr="00E722FF">
        <w:rPr>
          <w:lang w:eastAsia="en-ZA"/>
        </w:rPr>
        <w:t>agrees with the Judiciary that addressing cases of</w:t>
      </w:r>
      <w:r w:rsidR="00E722FF">
        <w:rPr>
          <w:lang w:eastAsia="en-ZA"/>
        </w:rPr>
        <w:t xml:space="preserve"> gender-</w:t>
      </w:r>
      <w:r w:rsidR="007C5CE8" w:rsidRPr="00E722FF">
        <w:rPr>
          <w:lang w:eastAsia="en-ZA"/>
        </w:rPr>
        <w:t xml:space="preserve">based violence requires an integrated approach from all key stakeholders. </w:t>
      </w:r>
    </w:p>
    <w:p w14:paraId="05581854" w14:textId="750A672D" w:rsidR="0093365C" w:rsidRDefault="0093365C" w:rsidP="007429F2">
      <w:pPr>
        <w:spacing w:line="360" w:lineRule="auto"/>
        <w:jc w:val="both"/>
      </w:pPr>
    </w:p>
    <w:p w14:paraId="2B2512D9" w14:textId="77777777" w:rsidR="005D13B4" w:rsidRDefault="005D13B4" w:rsidP="007429F2">
      <w:pPr>
        <w:spacing w:line="360" w:lineRule="auto"/>
        <w:jc w:val="both"/>
      </w:pPr>
    </w:p>
    <w:p w14:paraId="1FAA00A5" w14:textId="77777777" w:rsidR="0093365C" w:rsidRPr="00931E8A" w:rsidRDefault="00931E8A" w:rsidP="00930498">
      <w:pPr>
        <w:pStyle w:val="ListParagraph"/>
        <w:numPr>
          <w:ilvl w:val="0"/>
          <w:numId w:val="43"/>
        </w:numPr>
        <w:tabs>
          <w:tab w:val="num" w:pos="709"/>
        </w:tabs>
        <w:autoSpaceDE w:val="0"/>
        <w:autoSpaceDN w:val="0"/>
        <w:adjustRightInd w:val="0"/>
        <w:spacing w:line="360" w:lineRule="auto"/>
        <w:ind w:left="709" w:hanging="709"/>
        <w:contextualSpacing/>
        <w:jc w:val="both"/>
        <w:rPr>
          <w:b/>
        </w:rPr>
      </w:pPr>
      <w:r w:rsidRPr="00931E8A">
        <w:rPr>
          <w:b/>
        </w:rPr>
        <w:t>Appreciation</w:t>
      </w:r>
    </w:p>
    <w:p w14:paraId="57E78146" w14:textId="77777777" w:rsidR="00931E8A" w:rsidRDefault="00931E8A" w:rsidP="00931E8A">
      <w:pPr>
        <w:autoSpaceDE w:val="0"/>
        <w:autoSpaceDN w:val="0"/>
        <w:adjustRightInd w:val="0"/>
        <w:spacing w:line="360" w:lineRule="auto"/>
        <w:jc w:val="both"/>
      </w:pPr>
    </w:p>
    <w:p w14:paraId="67573145" w14:textId="1EA0C025" w:rsidR="007949CD" w:rsidRDefault="00931E8A" w:rsidP="005D13B4">
      <w:pPr>
        <w:pStyle w:val="ListParagraph"/>
        <w:numPr>
          <w:ilvl w:val="1"/>
          <w:numId w:val="43"/>
        </w:numPr>
        <w:autoSpaceDE w:val="0"/>
        <w:autoSpaceDN w:val="0"/>
        <w:adjustRightInd w:val="0"/>
        <w:spacing w:line="360" w:lineRule="auto"/>
        <w:ind w:left="709" w:hanging="709"/>
        <w:jc w:val="both"/>
      </w:pPr>
      <w:r>
        <w:t xml:space="preserve">The Committee wishes to thank the Secretary-General and </w:t>
      </w:r>
      <w:r w:rsidR="0078546E">
        <w:t xml:space="preserve">the </w:t>
      </w:r>
      <w:r>
        <w:t xml:space="preserve">staff </w:t>
      </w:r>
      <w:r w:rsidR="0078546E">
        <w:t xml:space="preserve">of the OCJ </w:t>
      </w:r>
      <w:r>
        <w:t xml:space="preserve">for their assistance in this process. </w:t>
      </w:r>
    </w:p>
    <w:p w14:paraId="170A11EA" w14:textId="77777777" w:rsidR="00931E8A" w:rsidRPr="007868D0" w:rsidRDefault="00931E8A" w:rsidP="00931E8A">
      <w:pPr>
        <w:pStyle w:val="ListParagraph"/>
        <w:spacing w:line="360" w:lineRule="auto"/>
        <w:ind w:left="709"/>
        <w:contextualSpacing/>
        <w:jc w:val="both"/>
      </w:pPr>
    </w:p>
    <w:p w14:paraId="785DFC6C" w14:textId="77777777" w:rsidR="00C05C71" w:rsidRPr="007868D0" w:rsidRDefault="00C05C71" w:rsidP="007429F2">
      <w:pPr>
        <w:autoSpaceDE w:val="0"/>
        <w:autoSpaceDN w:val="0"/>
        <w:adjustRightInd w:val="0"/>
        <w:spacing w:line="360" w:lineRule="auto"/>
        <w:jc w:val="both"/>
        <w:rPr>
          <w:b/>
        </w:rPr>
      </w:pPr>
      <w:r w:rsidRPr="007868D0">
        <w:rPr>
          <w:b/>
        </w:rPr>
        <w:t>Report to be considered</w:t>
      </w:r>
    </w:p>
    <w:sectPr w:rsidR="00C05C71" w:rsidRPr="007868D0" w:rsidSect="005D13B4">
      <w:footerReference w:type="even"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E58964" w14:textId="77777777" w:rsidR="00AA2B7D" w:rsidRDefault="00AA2B7D">
      <w:r>
        <w:separator/>
      </w:r>
    </w:p>
  </w:endnote>
  <w:endnote w:type="continuationSeparator" w:id="0">
    <w:p w14:paraId="581DD49F" w14:textId="77777777" w:rsidR="00AA2B7D" w:rsidRDefault="00AA2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aleway">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DEC13" w14:textId="77777777" w:rsidR="00040B5F" w:rsidRDefault="00040B5F" w:rsidP="00F804CA">
    <w:pPr>
      <w:pStyle w:val="Footer"/>
      <w:framePr w:wrap="around" w:vAnchor="text" w:hAnchor="margin" w:xAlign="right" w:y="1"/>
      <w:rPr>
        <w:rStyle w:val="PageNumber"/>
        <w:rFonts w:eastAsia="Batang"/>
      </w:rPr>
    </w:pPr>
    <w:r>
      <w:rPr>
        <w:rStyle w:val="PageNumber"/>
        <w:rFonts w:eastAsia="Batang"/>
      </w:rPr>
      <w:fldChar w:fldCharType="begin"/>
    </w:r>
    <w:r>
      <w:rPr>
        <w:rStyle w:val="PageNumber"/>
        <w:rFonts w:eastAsia="Batang"/>
      </w:rPr>
      <w:instrText xml:space="preserve">PAGE  </w:instrText>
    </w:r>
    <w:r>
      <w:rPr>
        <w:rStyle w:val="PageNumber"/>
        <w:rFonts w:eastAsia="Batang"/>
      </w:rPr>
      <w:fldChar w:fldCharType="end"/>
    </w:r>
  </w:p>
  <w:p w14:paraId="2EF69867" w14:textId="77777777" w:rsidR="00040B5F" w:rsidRDefault="00040B5F" w:rsidP="00F804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05498"/>
      <w:docPartObj>
        <w:docPartGallery w:val="Page Numbers (Bottom of Page)"/>
        <w:docPartUnique/>
      </w:docPartObj>
    </w:sdtPr>
    <w:sdtEndPr>
      <w:rPr>
        <w:rFonts w:ascii="Arial" w:hAnsi="Arial" w:cs="Arial"/>
        <w:sz w:val="18"/>
        <w:szCs w:val="18"/>
      </w:rPr>
    </w:sdtEndPr>
    <w:sdtContent>
      <w:p w14:paraId="7BC6A121" w14:textId="12E2ABE0" w:rsidR="00040B5F" w:rsidRPr="00CF233F" w:rsidRDefault="00040B5F">
        <w:pPr>
          <w:pStyle w:val="Footer"/>
          <w:jc w:val="right"/>
          <w:rPr>
            <w:rFonts w:ascii="Arial" w:hAnsi="Arial" w:cs="Arial"/>
            <w:sz w:val="18"/>
            <w:szCs w:val="18"/>
          </w:rPr>
        </w:pPr>
        <w:r w:rsidRPr="00CF233F">
          <w:rPr>
            <w:rFonts w:ascii="Arial" w:hAnsi="Arial" w:cs="Arial"/>
            <w:sz w:val="18"/>
            <w:szCs w:val="18"/>
          </w:rPr>
          <w:fldChar w:fldCharType="begin"/>
        </w:r>
        <w:r w:rsidRPr="00CF233F">
          <w:rPr>
            <w:rFonts w:ascii="Arial" w:hAnsi="Arial" w:cs="Arial"/>
            <w:sz w:val="18"/>
            <w:szCs w:val="18"/>
          </w:rPr>
          <w:instrText xml:space="preserve"> PAGE   \* MERGEFORMAT </w:instrText>
        </w:r>
        <w:r w:rsidRPr="00CF233F">
          <w:rPr>
            <w:rFonts w:ascii="Arial" w:hAnsi="Arial" w:cs="Arial"/>
            <w:sz w:val="18"/>
            <w:szCs w:val="18"/>
          </w:rPr>
          <w:fldChar w:fldCharType="separate"/>
        </w:r>
        <w:r w:rsidR="00AA2B7D">
          <w:rPr>
            <w:rFonts w:ascii="Arial" w:hAnsi="Arial" w:cs="Arial"/>
            <w:noProof/>
            <w:sz w:val="18"/>
            <w:szCs w:val="18"/>
          </w:rPr>
          <w:t>1</w:t>
        </w:r>
        <w:r w:rsidRPr="00CF233F">
          <w:rPr>
            <w:rFonts w:ascii="Arial" w:hAnsi="Arial" w:cs="Arial"/>
            <w:sz w:val="18"/>
            <w:szCs w:val="18"/>
          </w:rPr>
          <w:fldChar w:fldCharType="end"/>
        </w:r>
      </w:p>
    </w:sdtContent>
  </w:sdt>
  <w:p w14:paraId="0E206FF1" w14:textId="77777777" w:rsidR="00040B5F" w:rsidRDefault="00040B5F" w:rsidP="00F804C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5D1DD" w14:textId="77777777" w:rsidR="00AA2B7D" w:rsidRDefault="00AA2B7D">
      <w:r>
        <w:separator/>
      </w:r>
    </w:p>
  </w:footnote>
  <w:footnote w:type="continuationSeparator" w:id="0">
    <w:p w14:paraId="637FBEAA" w14:textId="77777777" w:rsidR="00AA2B7D" w:rsidRDefault="00AA2B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B764C20"/>
    <w:lvl w:ilvl="0">
      <w:start w:val="1"/>
      <w:numFmt w:val="decimal"/>
      <w:pStyle w:val="Heading1"/>
      <w:lvlText w:val="%1"/>
      <w:legacy w:legacy="1" w:legacySpace="0" w:legacyIndent="1021"/>
      <w:lvlJc w:val="left"/>
      <w:pPr>
        <w:ind w:left="1021" w:hanging="1021"/>
      </w:pPr>
      <w:rPr>
        <w:u w:val="none"/>
      </w:rPr>
    </w:lvl>
    <w:lvl w:ilvl="1">
      <w:start w:val="1"/>
      <w:numFmt w:val="decimal"/>
      <w:pStyle w:val="Heading2"/>
      <w:lvlText w:val="%1.%2"/>
      <w:legacy w:legacy="1" w:legacySpace="0" w:legacyIndent="1021"/>
      <w:lvlJc w:val="left"/>
      <w:pPr>
        <w:ind w:left="1021" w:hanging="1021"/>
      </w:pPr>
      <w:rPr>
        <w:u w:val="none"/>
      </w:rPr>
    </w:lvl>
    <w:lvl w:ilvl="2">
      <w:start w:val="1"/>
      <w:numFmt w:val="decimal"/>
      <w:pStyle w:val="Heading3"/>
      <w:lvlText w:val="%1.%2.%3"/>
      <w:legacy w:legacy="1" w:legacySpace="0" w:legacyIndent="1021"/>
      <w:lvlJc w:val="left"/>
      <w:pPr>
        <w:ind w:left="1021" w:hanging="1021"/>
      </w:pPr>
      <w:rPr>
        <w:u w:val="none"/>
      </w:rPr>
    </w:lvl>
    <w:lvl w:ilvl="3">
      <w:start w:val="1"/>
      <w:numFmt w:val="none"/>
      <w:pStyle w:val="Heading4"/>
      <w:suff w:val="nothing"/>
      <w:lvlText w:val=""/>
      <w:lvlJc w:val="left"/>
    </w:lvl>
    <w:lvl w:ilvl="4">
      <w:start w:val="1"/>
      <w:numFmt w:val="decimal"/>
      <w:pStyle w:val="Heading5"/>
      <w:lvlText w:val=".%5"/>
      <w:legacy w:legacy="1" w:legacySpace="144" w:legacyIndent="0"/>
      <w:lvlJc w:val="left"/>
    </w:lvl>
    <w:lvl w:ilvl="5">
      <w:start w:val="1"/>
      <w:numFmt w:val="decimal"/>
      <w:pStyle w:val="Heading6"/>
      <w:lvlText w:val=".%5.%6"/>
      <w:legacy w:legacy="1" w:legacySpace="144" w:legacyIndent="0"/>
      <w:lvlJc w:val="left"/>
    </w:lvl>
    <w:lvl w:ilvl="6">
      <w:start w:val="1"/>
      <w:numFmt w:val="decimal"/>
      <w:pStyle w:val="Heading7"/>
      <w:lvlText w:val=".%5.%6.%7"/>
      <w:legacy w:legacy="1" w:legacySpace="144" w:legacyIndent="0"/>
      <w:lvlJc w:val="left"/>
    </w:lvl>
    <w:lvl w:ilvl="7">
      <w:start w:val="1"/>
      <w:numFmt w:val="decimal"/>
      <w:pStyle w:val="Heading8"/>
      <w:lvlText w:val=".%5.%6.%7.%8"/>
      <w:legacy w:legacy="1" w:legacySpace="144" w:legacyIndent="0"/>
      <w:lvlJc w:val="left"/>
    </w:lvl>
    <w:lvl w:ilvl="8">
      <w:start w:val="1"/>
      <w:numFmt w:val="decimal"/>
      <w:pStyle w:val="Heading9"/>
      <w:lvlText w:val=".%5.%6.%7.%8.%9"/>
      <w:legacy w:legacy="1" w:legacySpace="144" w:legacyIndent="0"/>
      <w:lvlJc w:val="left"/>
    </w:lvl>
  </w:abstractNum>
  <w:abstractNum w:abstractNumId="1">
    <w:nsid w:val="0005613B"/>
    <w:multiLevelType w:val="multilevel"/>
    <w:tmpl w:val="C9EAB0A6"/>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0347665"/>
    <w:multiLevelType w:val="hybridMultilevel"/>
    <w:tmpl w:val="02BAD13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070501CE"/>
    <w:multiLevelType w:val="multilevel"/>
    <w:tmpl w:val="CF2AF7D6"/>
    <w:lvl w:ilvl="0">
      <w:start w:val="11"/>
      <w:numFmt w:val="decimal"/>
      <w:lvlText w:val="%1."/>
      <w:lvlJc w:val="left"/>
      <w:pPr>
        <w:ind w:left="480" w:hanging="480"/>
      </w:pPr>
      <w:rPr>
        <w:rFonts w:hint="default"/>
        <w:b w:val="0"/>
        <w:i w:val="0"/>
      </w:rPr>
    </w:lvl>
    <w:lvl w:ilvl="1">
      <w:start w:val="1"/>
      <w:numFmt w:val="decimal"/>
      <w:lvlText w:val="%1.%2."/>
      <w:lvlJc w:val="left"/>
      <w:pPr>
        <w:ind w:left="480" w:hanging="480"/>
      </w:pPr>
      <w:rPr>
        <w:rFonts w:hint="default"/>
        <w:b w:val="0"/>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4">
    <w:nsid w:val="08060511"/>
    <w:multiLevelType w:val="multilevel"/>
    <w:tmpl w:val="2F588CAA"/>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BD32B1"/>
    <w:multiLevelType w:val="multilevel"/>
    <w:tmpl w:val="F5DC9604"/>
    <w:lvl w:ilvl="0">
      <w:start w:val="1"/>
      <w:numFmt w:val="decimal"/>
      <w:lvlText w:val="%1."/>
      <w:lvlJc w:val="left"/>
      <w:pPr>
        <w:tabs>
          <w:tab w:val="num" w:pos="375"/>
        </w:tabs>
        <w:ind w:left="375" w:hanging="375"/>
      </w:pPr>
      <w:rPr>
        <w:rFonts w:hint="default"/>
        <w:b w:val="0"/>
      </w:rPr>
    </w:lvl>
    <w:lvl w:ilvl="1">
      <w:start w:val="1"/>
      <w:numFmt w:val="decimal"/>
      <w:lvlText w:val="%1.%2."/>
      <w:lvlJc w:val="left"/>
      <w:pPr>
        <w:tabs>
          <w:tab w:val="num" w:pos="720"/>
        </w:tabs>
        <w:ind w:left="720" w:hanging="720"/>
      </w:pPr>
      <w:rPr>
        <w:rFonts w:ascii="Times New Roman" w:hAnsi="Times New Roman" w:cs="Times New Roman" w:hint="default"/>
        <w:b w:val="0"/>
        <w:i w:val="0"/>
        <w:sz w:val="22"/>
        <w:szCs w:val="22"/>
      </w:rPr>
    </w:lvl>
    <w:lvl w:ilvl="2">
      <w:start w:val="1"/>
      <w:numFmt w:val="decimal"/>
      <w:lvlText w:val="%1.%2.%3."/>
      <w:lvlJc w:val="left"/>
      <w:pPr>
        <w:tabs>
          <w:tab w:val="num" w:pos="720"/>
        </w:tabs>
        <w:ind w:left="720" w:hanging="720"/>
      </w:pPr>
      <w:rPr>
        <w:rFonts w:hint="default"/>
        <w:b w:val="0"/>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1341DA7"/>
    <w:multiLevelType w:val="multilevel"/>
    <w:tmpl w:val="F4224C1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1004"/>
        </w:tabs>
        <w:ind w:left="1004" w:hanging="720"/>
      </w:pPr>
      <w:rPr>
        <w:rFonts w:ascii="Times New Roman" w:hAnsi="Times New Roman" w:cs="Times New Roman" w:hint="default"/>
        <w:b w:val="0"/>
        <w:i w:val="0"/>
      </w:rPr>
    </w:lvl>
    <w:lvl w:ilvl="2">
      <w:start w:val="1"/>
      <w:numFmt w:val="bullet"/>
      <w:lvlText w:val=""/>
      <w:lvlJc w:val="left"/>
      <w:pPr>
        <w:tabs>
          <w:tab w:val="num" w:pos="720"/>
        </w:tabs>
        <w:ind w:left="720" w:hanging="720"/>
      </w:pPr>
      <w:rPr>
        <w:rFonts w:ascii="Symbol" w:hAnsi="Symbol" w:hint="default"/>
        <w:b w:val="0"/>
        <w:bCs w:val="0"/>
        <w:i w:val="0"/>
        <w:iCs w:val="0"/>
        <w:caps w:val="0"/>
        <w:smallCaps w:val="0"/>
        <w:strike w:val="0"/>
        <w:dstrike w:val="0"/>
        <w:color w:val="000000"/>
        <w:spacing w:val="0"/>
        <w:w w:val="100"/>
        <w:kern w:val="0"/>
        <w:position w:val="0"/>
        <w:sz w:val="22"/>
        <w:u w:val="none"/>
        <w:effect w:val="none"/>
        <w:bdr w:val="none" w:sz="0" w:space="0" w:color="auto"/>
        <w:shd w:val="clear" w:color="auto" w:fill="auto"/>
        <w:em w:val="none"/>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15D601B"/>
    <w:multiLevelType w:val="hybridMultilevel"/>
    <w:tmpl w:val="52FC083A"/>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nsid w:val="17682637"/>
    <w:multiLevelType w:val="multilevel"/>
    <w:tmpl w:val="064C0984"/>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7CC112E"/>
    <w:multiLevelType w:val="multilevel"/>
    <w:tmpl w:val="75F8216C"/>
    <w:lvl w:ilvl="0">
      <w:start w:val="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9366DC5"/>
    <w:multiLevelType w:val="multilevel"/>
    <w:tmpl w:val="F92222C4"/>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A8770B3"/>
    <w:multiLevelType w:val="multilevel"/>
    <w:tmpl w:val="9F0C322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25F3EA3"/>
    <w:multiLevelType w:val="multilevel"/>
    <w:tmpl w:val="6E2AA6EE"/>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4063E39"/>
    <w:multiLevelType w:val="multilevel"/>
    <w:tmpl w:val="AE96417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6C16EDA"/>
    <w:multiLevelType w:val="multilevel"/>
    <w:tmpl w:val="F0B03A2A"/>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CEE734A"/>
    <w:multiLevelType w:val="multilevel"/>
    <w:tmpl w:val="98FA411A"/>
    <w:lvl w:ilvl="0">
      <w:start w:val="7"/>
      <w:numFmt w:val="decimal"/>
      <w:lvlText w:val="%1."/>
      <w:lvlJc w:val="left"/>
      <w:pPr>
        <w:ind w:left="540" w:hanging="540"/>
      </w:pPr>
      <w:rPr>
        <w:rFonts w:hint="default"/>
        <w:b w:val="0"/>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F4A69EB"/>
    <w:multiLevelType w:val="multilevel"/>
    <w:tmpl w:val="44A86A46"/>
    <w:lvl w:ilvl="0">
      <w:start w:val="9"/>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FCA0A2A"/>
    <w:multiLevelType w:val="multilevel"/>
    <w:tmpl w:val="2A9AAF74"/>
    <w:lvl w:ilvl="0">
      <w:start w:val="7"/>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11C3579"/>
    <w:multiLevelType w:val="multilevel"/>
    <w:tmpl w:val="41F4B02A"/>
    <w:lvl w:ilvl="0">
      <w:start w:val="5"/>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5F41E34"/>
    <w:multiLevelType w:val="multilevel"/>
    <w:tmpl w:val="FBC2DF2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6687BD9"/>
    <w:multiLevelType w:val="multilevel"/>
    <w:tmpl w:val="33AA833E"/>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7A73E97"/>
    <w:multiLevelType w:val="multilevel"/>
    <w:tmpl w:val="D4A0A2A8"/>
    <w:lvl w:ilvl="0">
      <w:start w:val="7"/>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8D44B89"/>
    <w:multiLevelType w:val="multilevel"/>
    <w:tmpl w:val="D1006CDE"/>
    <w:lvl w:ilvl="0">
      <w:start w:val="7"/>
      <w:numFmt w:val="decimal"/>
      <w:lvlText w:val="%1."/>
      <w:lvlJc w:val="left"/>
      <w:pPr>
        <w:ind w:left="540" w:hanging="540"/>
      </w:pPr>
      <w:rPr>
        <w:rFonts w:hint="default"/>
        <w:b w:val="0"/>
      </w:rPr>
    </w:lvl>
    <w:lvl w:ilvl="1">
      <w:start w:val="1"/>
      <w:numFmt w:val="decimal"/>
      <w:lvlText w:val="%1.%2."/>
      <w:lvlJc w:val="left"/>
      <w:pPr>
        <w:ind w:left="720" w:hanging="720"/>
      </w:pPr>
      <w:rPr>
        <w:rFonts w:hint="default"/>
        <w:b w:val="0"/>
        <w:i w:val="0"/>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3B8356DE"/>
    <w:multiLevelType w:val="multilevel"/>
    <w:tmpl w:val="B414F244"/>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EEB6C18"/>
    <w:multiLevelType w:val="multilevel"/>
    <w:tmpl w:val="643CE8F6"/>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0733392"/>
    <w:multiLevelType w:val="multilevel"/>
    <w:tmpl w:val="A2B0CA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3DF02E5"/>
    <w:multiLevelType w:val="multilevel"/>
    <w:tmpl w:val="A0542266"/>
    <w:lvl w:ilvl="0">
      <w:start w:val="10"/>
      <w:numFmt w:val="decimal"/>
      <w:lvlText w:val="%1."/>
      <w:lvlJc w:val="left"/>
      <w:pPr>
        <w:ind w:left="480" w:hanging="480"/>
      </w:pPr>
      <w:rPr>
        <w:rFonts w:hint="default"/>
        <w:b/>
        <w:i/>
      </w:rPr>
    </w:lvl>
    <w:lvl w:ilvl="1">
      <w:start w:val="1"/>
      <w:numFmt w:val="decimal"/>
      <w:lvlText w:val="%1.%2."/>
      <w:lvlJc w:val="left"/>
      <w:pPr>
        <w:ind w:left="480" w:hanging="480"/>
      </w:pPr>
      <w:rPr>
        <w:rFonts w:hint="default"/>
        <w:b w:val="0"/>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27">
    <w:nsid w:val="489E11D7"/>
    <w:multiLevelType w:val="multilevel"/>
    <w:tmpl w:val="7F94F1EA"/>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5FD121D"/>
    <w:multiLevelType w:val="multilevel"/>
    <w:tmpl w:val="085AA5A2"/>
    <w:lvl w:ilvl="0">
      <w:start w:val="7"/>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70A62C5"/>
    <w:multiLevelType w:val="multilevel"/>
    <w:tmpl w:val="B9AA28CA"/>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CCB24A6"/>
    <w:multiLevelType w:val="multilevel"/>
    <w:tmpl w:val="551EE1B0"/>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2C852C9"/>
    <w:multiLevelType w:val="hybridMultilevel"/>
    <w:tmpl w:val="5C6616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4391D12"/>
    <w:multiLevelType w:val="multilevel"/>
    <w:tmpl w:val="03AC2096"/>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5D31477"/>
    <w:multiLevelType w:val="multilevel"/>
    <w:tmpl w:val="ABDEDB8E"/>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4F0C57"/>
    <w:multiLevelType w:val="multilevel"/>
    <w:tmpl w:val="1C78761E"/>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BF742CD"/>
    <w:multiLevelType w:val="hybridMultilevel"/>
    <w:tmpl w:val="F7C4A9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03D2400"/>
    <w:multiLevelType w:val="multilevel"/>
    <w:tmpl w:val="BFF84480"/>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1256922"/>
    <w:multiLevelType w:val="multilevel"/>
    <w:tmpl w:val="2CD8D03A"/>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13C66AE"/>
    <w:multiLevelType w:val="hybridMultilevel"/>
    <w:tmpl w:val="00504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0E1DB9"/>
    <w:multiLevelType w:val="multilevel"/>
    <w:tmpl w:val="F7E6E644"/>
    <w:lvl w:ilvl="0">
      <w:start w:val="7"/>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8261B5A"/>
    <w:multiLevelType w:val="hybridMultilevel"/>
    <w:tmpl w:val="F138703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1">
    <w:nsid w:val="78941AD8"/>
    <w:multiLevelType w:val="multilevel"/>
    <w:tmpl w:val="2D080684"/>
    <w:lvl w:ilvl="0">
      <w:start w:val="10"/>
      <w:numFmt w:val="decimal"/>
      <w:lvlText w:val="%1."/>
      <w:lvlJc w:val="left"/>
      <w:pPr>
        <w:ind w:left="480" w:hanging="480"/>
      </w:pPr>
      <w:rPr>
        <w:rFonts w:hint="default"/>
        <w:b/>
        <w:i/>
      </w:rPr>
    </w:lvl>
    <w:lvl w:ilvl="1">
      <w:start w:val="1"/>
      <w:numFmt w:val="decimal"/>
      <w:lvlText w:val="%1.%2."/>
      <w:lvlJc w:val="left"/>
      <w:pPr>
        <w:ind w:left="480" w:hanging="48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42">
    <w:nsid w:val="78D55B3A"/>
    <w:multiLevelType w:val="multilevel"/>
    <w:tmpl w:val="2C2E38D8"/>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9C96600"/>
    <w:multiLevelType w:val="hybridMultilevel"/>
    <w:tmpl w:val="D7463B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FC62BD0"/>
    <w:multiLevelType w:val="multilevel"/>
    <w:tmpl w:val="EC0C3566"/>
    <w:lvl w:ilvl="0">
      <w:start w:val="5"/>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0"/>
  </w:num>
  <w:num w:numId="3">
    <w:abstractNumId w:val="7"/>
  </w:num>
  <w:num w:numId="4">
    <w:abstractNumId w:val="35"/>
  </w:num>
  <w:num w:numId="5">
    <w:abstractNumId w:val="38"/>
  </w:num>
  <w:num w:numId="6">
    <w:abstractNumId w:val="31"/>
  </w:num>
  <w:num w:numId="7">
    <w:abstractNumId w:val="43"/>
  </w:num>
  <w:num w:numId="8">
    <w:abstractNumId w:val="2"/>
  </w:num>
  <w:num w:numId="9">
    <w:abstractNumId w:val="22"/>
  </w:num>
  <w:num w:numId="10">
    <w:abstractNumId w:val="30"/>
  </w:num>
  <w:num w:numId="11">
    <w:abstractNumId w:val="37"/>
  </w:num>
  <w:num w:numId="12">
    <w:abstractNumId w:val="24"/>
  </w:num>
  <w:num w:numId="13">
    <w:abstractNumId w:val="10"/>
  </w:num>
  <w:num w:numId="14">
    <w:abstractNumId w:val="14"/>
  </w:num>
  <w:num w:numId="15">
    <w:abstractNumId w:val="34"/>
  </w:num>
  <w:num w:numId="16">
    <w:abstractNumId w:val="33"/>
  </w:num>
  <w:num w:numId="17">
    <w:abstractNumId w:val="5"/>
  </w:num>
  <w:num w:numId="18">
    <w:abstractNumId w:val="11"/>
  </w:num>
  <w:num w:numId="19">
    <w:abstractNumId w:val="29"/>
  </w:num>
  <w:num w:numId="20">
    <w:abstractNumId w:val="18"/>
  </w:num>
  <w:num w:numId="21">
    <w:abstractNumId w:val="44"/>
  </w:num>
  <w:num w:numId="22">
    <w:abstractNumId w:val="23"/>
  </w:num>
  <w:num w:numId="23">
    <w:abstractNumId w:val="4"/>
  </w:num>
  <w:num w:numId="24">
    <w:abstractNumId w:val="12"/>
  </w:num>
  <w:num w:numId="25">
    <w:abstractNumId w:val="42"/>
  </w:num>
  <w:num w:numId="26">
    <w:abstractNumId w:val="39"/>
  </w:num>
  <w:num w:numId="27">
    <w:abstractNumId w:val="28"/>
  </w:num>
  <w:num w:numId="28">
    <w:abstractNumId w:val="36"/>
  </w:num>
  <w:num w:numId="29">
    <w:abstractNumId w:val="40"/>
  </w:num>
  <w:num w:numId="30">
    <w:abstractNumId w:val="20"/>
  </w:num>
  <w:num w:numId="31">
    <w:abstractNumId w:val="16"/>
  </w:num>
  <w:num w:numId="32">
    <w:abstractNumId w:val="21"/>
  </w:num>
  <w:num w:numId="33">
    <w:abstractNumId w:val="32"/>
  </w:num>
  <w:num w:numId="34">
    <w:abstractNumId w:val="17"/>
  </w:num>
  <w:num w:numId="35">
    <w:abstractNumId w:val="27"/>
  </w:num>
  <w:num w:numId="36">
    <w:abstractNumId w:val="9"/>
  </w:num>
  <w:num w:numId="37">
    <w:abstractNumId w:val="15"/>
  </w:num>
  <w:num w:numId="38">
    <w:abstractNumId w:val="25"/>
  </w:num>
  <w:num w:numId="39">
    <w:abstractNumId w:val="19"/>
  </w:num>
  <w:num w:numId="40">
    <w:abstractNumId w:val="41"/>
  </w:num>
  <w:num w:numId="41">
    <w:abstractNumId w:val="13"/>
  </w:num>
  <w:num w:numId="42">
    <w:abstractNumId w:val="1"/>
  </w:num>
  <w:num w:numId="43">
    <w:abstractNumId w:val="3"/>
  </w:num>
  <w:num w:numId="44">
    <w:abstractNumId w:val="26"/>
  </w:num>
  <w:num w:numId="45">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C71"/>
    <w:rsid w:val="000009F6"/>
    <w:rsid w:val="000021CE"/>
    <w:rsid w:val="0000224A"/>
    <w:rsid w:val="000062EA"/>
    <w:rsid w:val="000069DC"/>
    <w:rsid w:val="0001400E"/>
    <w:rsid w:val="00014448"/>
    <w:rsid w:val="00016E73"/>
    <w:rsid w:val="000202BA"/>
    <w:rsid w:val="00020B91"/>
    <w:rsid w:val="00023EED"/>
    <w:rsid w:val="00024E4D"/>
    <w:rsid w:val="00026426"/>
    <w:rsid w:val="000269DB"/>
    <w:rsid w:val="000317BB"/>
    <w:rsid w:val="0003426D"/>
    <w:rsid w:val="000356CF"/>
    <w:rsid w:val="000373FF"/>
    <w:rsid w:val="00040B5F"/>
    <w:rsid w:val="0004144D"/>
    <w:rsid w:val="00042CCC"/>
    <w:rsid w:val="00043395"/>
    <w:rsid w:val="00044246"/>
    <w:rsid w:val="000447CB"/>
    <w:rsid w:val="000447D4"/>
    <w:rsid w:val="00045AB7"/>
    <w:rsid w:val="00047B13"/>
    <w:rsid w:val="000538C8"/>
    <w:rsid w:val="0006122A"/>
    <w:rsid w:val="00063587"/>
    <w:rsid w:val="00065233"/>
    <w:rsid w:val="000662D4"/>
    <w:rsid w:val="0007265D"/>
    <w:rsid w:val="0007296B"/>
    <w:rsid w:val="00076002"/>
    <w:rsid w:val="00076247"/>
    <w:rsid w:val="00080295"/>
    <w:rsid w:val="00083A3D"/>
    <w:rsid w:val="00083AC0"/>
    <w:rsid w:val="00083BFB"/>
    <w:rsid w:val="000864C9"/>
    <w:rsid w:val="0008733A"/>
    <w:rsid w:val="00087419"/>
    <w:rsid w:val="00096E1F"/>
    <w:rsid w:val="000A0DC8"/>
    <w:rsid w:val="000A2F98"/>
    <w:rsid w:val="000A42F6"/>
    <w:rsid w:val="000A59B6"/>
    <w:rsid w:val="000A6DDC"/>
    <w:rsid w:val="000B5EE4"/>
    <w:rsid w:val="000B6426"/>
    <w:rsid w:val="000B6969"/>
    <w:rsid w:val="000C2387"/>
    <w:rsid w:val="000D1AFC"/>
    <w:rsid w:val="000D4D23"/>
    <w:rsid w:val="000D562C"/>
    <w:rsid w:val="000D6C91"/>
    <w:rsid w:val="000E3CAF"/>
    <w:rsid w:val="000E486B"/>
    <w:rsid w:val="000E79AC"/>
    <w:rsid w:val="000E7C2C"/>
    <w:rsid w:val="000F08D5"/>
    <w:rsid w:val="000F1A95"/>
    <w:rsid w:val="000F3FE7"/>
    <w:rsid w:val="000F6D33"/>
    <w:rsid w:val="000F733B"/>
    <w:rsid w:val="000F73CD"/>
    <w:rsid w:val="000F73FD"/>
    <w:rsid w:val="000F77F3"/>
    <w:rsid w:val="00100AF7"/>
    <w:rsid w:val="0010190B"/>
    <w:rsid w:val="00103D64"/>
    <w:rsid w:val="00104AC8"/>
    <w:rsid w:val="0010609A"/>
    <w:rsid w:val="00106623"/>
    <w:rsid w:val="00106BD2"/>
    <w:rsid w:val="001072DD"/>
    <w:rsid w:val="00113A34"/>
    <w:rsid w:val="00114870"/>
    <w:rsid w:val="00115036"/>
    <w:rsid w:val="00116062"/>
    <w:rsid w:val="00116ED2"/>
    <w:rsid w:val="00117BD6"/>
    <w:rsid w:val="00122583"/>
    <w:rsid w:val="00124DA2"/>
    <w:rsid w:val="00125D48"/>
    <w:rsid w:val="00126EC6"/>
    <w:rsid w:val="001276C6"/>
    <w:rsid w:val="001322B5"/>
    <w:rsid w:val="00136612"/>
    <w:rsid w:val="00137125"/>
    <w:rsid w:val="0014066F"/>
    <w:rsid w:val="00144F8B"/>
    <w:rsid w:val="00145084"/>
    <w:rsid w:val="00146846"/>
    <w:rsid w:val="00147AC6"/>
    <w:rsid w:val="00150156"/>
    <w:rsid w:val="0015553B"/>
    <w:rsid w:val="00156569"/>
    <w:rsid w:val="00157E9A"/>
    <w:rsid w:val="00160ABF"/>
    <w:rsid w:val="00160D5E"/>
    <w:rsid w:val="00163DE4"/>
    <w:rsid w:val="001653DF"/>
    <w:rsid w:val="00166193"/>
    <w:rsid w:val="00166572"/>
    <w:rsid w:val="0017020C"/>
    <w:rsid w:val="001704AF"/>
    <w:rsid w:val="00171A0F"/>
    <w:rsid w:val="00173B82"/>
    <w:rsid w:val="00175927"/>
    <w:rsid w:val="00176904"/>
    <w:rsid w:val="001801F9"/>
    <w:rsid w:val="00180630"/>
    <w:rsid w:val="00180B7F"/>
    <w:rsid w:val="001901CC"/>
    <w:rsid w:val="00191722"/>
    <w:rsid w:val="0019321F"/>
    <w:rsid w:val="00197254"/>
    <w:rsid w:val="001A33E1"/>
    <w:rsid w:val="001A4337"/>
    <w:rsid w:val="001A6055"/>
    <w:rsid w:val="001A6DD9"/>
    <w:rsid w:val="001B20FF"/>
    <w:rsid w:val="001B2524"/>
    <w:rsid w:val="001B2EA8"/>
    <w:rsid w:val="001B2EBA"/>
    <w:rsid w:val="001B4F22"/>
    <w:rsid w:val="001C0AA1"/>
    <w:rsid w:val="001C6D01"/>
    <w:rsid w:val="001D014C"/>
    <w:rsid w:val="001D4939"/>
    <w:rsid w:val="001E3083"/>
    <w:rsid w:val="001E3C8D"/>
    <w:rsid w:val="001E49B2"/>
    <w:rsid w:val="001E5117"/>
    <w:rsid w:val="001F00BC"/>
    <w:rsid w:val="001F14AD"/>
    <w:rsid w:val="001F2922"/>
    <w:rsid w:val="001F2D44"/>
    <w:rsid w:val="001F77C6"/>
    <w:rsid w:val="00200335"/>
    <w:rsid w:val="00202928"/>
    <w:rsid w:val="00203287"/>
    <w:rsid w:val="002051D6"/>
    <w:rsid w:val="00206707"/>
    <w:rsid w:val="00207842"/>
    <w:rsid w:val="002111BE"/>
    <w:rsid w:val="00215FA6"/>
    <w:rsid w:val="00220480"/>
    <w:rsid w:val="002204C4"/>
    <w:rsid w:val="00220762"/>
    <w:rsid w:val="00223A07"/>
    <w:rsid w:val="00224CFC"/>
    <w:rsid w:val="00227332"/>
    <w:rsid w:val="00230F95"/>
    <w:rsid w:val="002311B4"/>
    <w:rsid w:val="00233C8D"/>
    <w:rsid w:val="00236552"/>
    <w:rsid w:val="002420D8"/>
    <w:rsid w:val="00245C90"/>
    <w:rsid w:val="0025115C"/>
    <w:rsid w:val="00251D68"/>
    <w:rsid w:val="00253004"/>
    <w:rsid w:val="00255C31"/>
    <w:rsid w:val="0025679E"/>
    <w:rsid w:val="00260B56"/>
    <w:rsid w:val="00264BA3"/>
    <w:rsid w:val="00264DA2"/>
    <w:rsid w:val="002652AE"/>
    <w:rsid w:val="0026782A"/>
    <w:rsid w:val="00267EF1"/>
    <w:rsid w:val="00272840"/>
    <w:rsid w:val="002730BD"/>
    <w:rsid w:val="00274EF9"/>
    <w:rsid w:val="00276510"/>
    <w:rsid w:val="002819AF"/>
    <w:rsid w:val="00282EC8"/>
    <w:rsid w:val="002952D5"/>
    <w:rsid w:val="002970A8"/>
    <w:rsid w:val="00297919"/>
    <w:rsid w:val="002A15B3"/>
    <w:rsid w:val="002A7375"/>
    <w:rsid w:val="002B04F8"/>
    <w:rsid w:val="002B3E59"/>
    <w:rsid w:val="002B4D7B"/>
    <w:rsid w:val="002B4E95"/>
    <w:rsid w:val="002B578D"/>
    <w:rsid w:val="002B57E9"/>
    <w:rsid w:val="002B6E4D"/>
    <w:rsid w:val="002C1874"/>
    <w:rsid w:val="002C28F2"/>
    <w:rsid w:val="002C490B"/>
    <w:rsid w:val="002C5EE8"/>
    <w:rsid w:val="002C5FD1"/>
    <w:rsid w:val="002C64E9"/>
    <w:rsid w:val="002C7DA7"/>
    <w:rsid w:val="002D3155"/>
    <w:rsid w:val="002D583D"/>
    <w:rsid w:val="002E0B56"/>
    <w:rsid w:val="002E1B03"/>
    <w:rsid w:val="002E2277"/>
    <w:rsid w:val="002E2471"/>
    <w:rsid w:val="002E4375"/>
    <w:rsid w:val="002E4768"/>
    <w:rsid w:val="002E58EB"/>
    <w:rsid w:val="002E6F78"/>
    <w:rsid w:val="002F3AE7"/>
    <w:rsid w:val="002F4BD6"/>
    <w:rsid w:val="002F6065"/>
    <w:rsid w:val="002F76D8"/>
    <w:rsid w:val="00300C69"/>
    <w:rsid w:val="003039E2"/>
    <w:rsid w:val="00304C54"/>
    <w:rsid w:val="0031044F"/>
    <w:rsid w:val="00310646"/>
    <w:rsid w:val="00312DF0"/>
    <w:rsid w:val="00312F29"/>
    <w:rsid w:val="003148D2"/>
    <w:rsid w:val="00314DF9"/>
    <w:rsid w:val="003177D0"/>
    <w:rsid w:val="00321AE1"/>
    <w:rsid w:val="00323373"/>
    <w:rsid w:val="00324A09"/>
    <w:rsid w:val="003273E6"/>
    <w:rsid w:val="00332A81"/>
    <w:rsid w:val="00337E36"/>
    <w:rsid w:val="00340137"/>
    <w:rsid w:val="00340429"/>
    <w:rsid w:val="00340956"/>
    <w:rsid w:val="003422BD"/>
    <w:rsid w:val="00343415"/>
    <w:rsid w:val="00344D8A"/>
    <w:rsid w:val="00345C75"/>
    <w:rsid w:val="00351F6E"/>
    <w:rsid w:val="00352524"/>
    <w:rsid w:val="003554EB"/>
    <w:rsid w:val="003646B2"/>
    <w:rsid w:val="00367BFE"/>
    <w:rsid w:val="003729D5"/>
    <w:rsid w:val="003744FC"/>
    <w:rsid w:val="003753AD"/>
    <w:rsid w:val="00376223"/>
    <w:rsid w:val="00383916"/>
    <w:rsid w:val="00386511"/>
    <w:rsid w:val="00390AF5"/>
    <w:rsid w:val="003912E1"/>
    <w:rsid w:val="00392F4E"/>
    <w:rsid w:val="00393ECF"/>
    <w:rsid w:val="00395219"/>
    <w:rsid w:val="003A2545"/>
    <w:rsid w:val="003A25B6"/>
    <w:rsid w:val="003A398D"/>
    <w:rsid w:val="003A407B"/>
    <w:rsid w:val="003A5D83"/>
    <w:rsid w:val="003B1667"/>
    <w:rsid w:val="003B20E8"/>
    <w:rsid w:val="003B442D"/>
    <w:rsid w:val="003B5DC1"/>
    <w:rsid w:val="003B62E2"/>
    <w:rsid w:val="003C34C6"/>
    <w:rsid w:val="003C6F12"/>
    <w:rsid w:val="003D0900"/>
    <w:rsid w:val="003D0C40"/>
    <w:rsid w:val="003D4122"/>
    <w:rsid w:val="003D5B84"/>
    <w:rsid w:val="003D7013"/>
    <w:rsid w:val="003E252A"/>
    <w:rsid w:val="003E330E"/>
    <w:rsid w:val="003E502B"/>
    <w:rsid w:val="003E5715"/>
    <w:rsid w:val="003F366F"/>
    <w:rsid w:val="003F59F5"/>
    <w:rsid w:val="00401E19"/>
    <w:rsid w:val="004064DB"/>
    <w:rsid w:val="00415667"/>
    <w:rsid w:val="00416035"/>
    <w:rsid w:val="004234D4"/>
    <w:rsid w:val="00423A9D"/>
    <w:rsid w:val="00425763"/>
    <w:rsid w:val="00430134"/>
    <w:rsid w:val="0043115B"/>
    <w:rsid w:val="0043520A"/>
    <w:rsid w:val="0044061A"/>
    <w:rsid w:val="00440F98"/>
    <w:rsid w:val="00441F83"/>
    <w:rsid w:val="004428E2"/>
    <w:rsid w:val="00442F5F"/>
    <w:rsid w:val="00443432"/>
    <w:rsid w:val="00443561"/>
    <w:rsid w:val="0044498D"/>
    <w:rsid w:val="00446CFF"/>
    <w:rsid w:val="00447B4B"/>
    <w:rsid w:val="00452038"/>
    <w:rsid w:val="00456599"/>
    <w:rsid w:val="00464726"/>
    <w:rsid w:val="0046486C"/>
    <w:rsid w:val="00464AED"/>
    <w:rsid w:val="00465426"/>
    <w:rsid w:val="00467307"/>
    <w:rsid w:val="004674F9"/>
    <w:rsid w:val="0046751C"/>
    <w:rsid w:val="00471434"/>
    <w:rsid w:val="00472EC2"/>
    <w:rsid w:val="004735D3"/>
    <w:rsid w:val="004739DA"/>
    <w:rsid w:val="00474BD0"/>
    <w:rsid w:val="00476F8A"/>
    <w:rsid w:val="00481447"/>
    <w:rsid w:val="00483CB8"/>
    <w:rsid w:val="00485CF7"/>
    <w:rsid w:val="00486F1A"/>
    <w:rsid w:val="0048742D"/>
    <w:rsid w:val="0049091A"/>
    <w:rsid w:val="004909D8"/>
    <w:rsid w:val="004961AC"/>
    <w:rsid w:val="004964DA"/>
    <w:rsid w:val="004A063B"/>
    <w:rsid w:val="004A507F"/>
    <w:rsid w:val="004B0E92"/>
    <w:rsid w:val="004B11D1"/>
    <w:rsid w:val="004B3649"/>
    <w:rsid w:val="004B498B"/>
    <w:rsid w:val="004B5240"/>
    <w:rsid w:val="004C2EE6"/>
    <w:rsid w:val="004C37FD"/>
    <w:rsid w:val="004C613B"/>
    <w:rsid w:val="004C6D89"/>
    <w:rsid w:val="004D2AFC"/>
    <w:rsid w:val="004D68F7"/>
    <w:rsid w:val="004D7E1B"/>
    <w:rsid w:val="004E15FF"/>
    <w:rsid w:val="004E1F9A"/>
    <w:rsid w:val="004E3042"/>
    <w:rsid w:val="004E401F"/>
    <w:rsid w:val="004F0ACC"/>
    <w:rsid w:val="004F0BEB"/>
    <w:rsid w:val="004F1DA7"/>
    <w:rsid w:val="004F2BA0"/>
    <w:rsid w:val="004F3588"/>
    <w:rsid w:val="00501292"/>
    <w:rsid w:val="00504252"/>
    <w:rsid w:val="005058FF"/>
    <w:rsid w:val="005113B9"/>
    <w:rsid w:val="00511404"/>
    <w:rsid w:val="00511825"/>
    <w:rsid w:val="0051228E"/>
    <w:rsid w:val="00513BD0"/>
    <w:rsid w:val="00522182"/>
    <w:rsid w:val="005346A3"/>
    <w:rsid w:val="00540648"/>
    <w:rsid w:val="00547705"/>
    <w:rsid w:val="005534B8"/>
    <w:rsid w:val="00553A9E"/>
    <w:rsid w:val="00556F01"/>
    <w:rsid w:val="00561735"/>
    <w:rsid w:val="00562FA2"/>
    <w:rsid w:val="00570286"/>
    <w:rsid w:val="00571B8B"/>
    <w:rsid w:val="00573D0B"/>
    <w:rsid w:val="005761BD"/>
    <w:rsid w:val="00577F71"/>
    <w:rsid w:val="00581E76"/>
    <w:rsid w:val="00582B81"/>
    <w:rsid w:val="00583548"/>
    <w:rsid w:val="005864FF"/>
    <w:rsid w:val="00590C05"/>
    <w:rsid w:val="00591B66"/>
    <w:rsid w:val="0059245E"/>
    <w:rsid w:val="005A1879"/>
    <w:rsid w:val="005A200B"/>
    <w:rsid w:val="005A2DDE"/>
    <w:rsid w:val="005A3D4B"/>
    <w:rsid w:val="005A3E41"/>
    <w:rsid w:val="005A5717"/>
    <w:rsid w:val="005A5F2A"/>
    <w:rsid w:val="005A7CB6"/>
    <w:rsid w:val="005B364A"/>
    <w:rsid w:val="005B3B35"/>
    <w:rsid w:val="005B4827"/>
    <w:rsid w:val="005B5540"/>
    <w:rsid w:val="005B7CF5"/>
    <w:rsid w:val="005C1396"/>
    <w:rsid w:val="005C6769"/>
    <w:rsid w:val="005D13B4"/>
    <w:rsid w:val="005D2795"/>
    <w:rsid w:val="005D2D6A"/>
    <w:rsid w:val="005D3359"/>
    <w:rsid w:val="005D3CC8"/>
    <w:rsid w:val="005D639D"/>
    <w:rsid w:val="005D7105"/>
    <w:rsid w:val="005D77AA"/>
    <w:rsid w:val="005D7EE7"/>
    <w:rsid w:val="005E1374"/>
    <w:rsid w:val="005E1E64"/>
    <w:rsid w:val="005E59AC"/>
    <w:rsid w:val="005F4742"/>
    <w:rsid w:val="005F4764"/>
    <w:rsid w:val="005F4BAB"/>
    <w:rsid w:val="005F4D24"/>
    <w:rsid w:val="005F582C"/>
    <w:rsid w:val="005F6CF7"/>
    <w:rsid w:val="006060DD"/>
    <w:rsid w:val="006144D7"/>
    <w:rsid w:val="00616009"/>
    <w:rsid w:val="0062146A"/>
    <w:rsid w:val="0062183E"/>
    <w:rsid w:val="006232B5"/>
    <w:rsid w:val="00623314"/>
    <w:rsid w:val="006272F1"/>
    <w:rsid w:val="0062736A"/>
    <w:rsid w:val="00630BBE"/>
    <w:rsid w:val="0063129A"/>
    <w:rsid w:val="00631839"/>
    <w:rsid w:val="00632573"/>
    <w:rsid w:val="00632E98"/>
    <w:rsid w:val="00633356"/>
    <w:rsid w:val="00634F8A"/>
    <w:rsid w:val="00636CC2"/>
    <w:rsid w:val="00641865"/>
    <w:rsid w:val="00642745"/>
    <w:rsid w:val="00643EA6"/>
    <w:rsid w:val="00645E94"/>
    <w:rsid w:val="006460DE"/>
    <w:rsid w:val="006501ED"/>
    <w:rsid w:val="006513EC"/>
    <w:rsid w:val="00656D93"/>
    <w:rsid w:val="00656F52"/>
    <w:rsid w:val="00660D8E"/>
    <w:rsid w:val="0066394F"/>
    <w:rsid w:val="00665046"/>
    <w:rsid w:val="006652CA"/>
    <w:rsid w:val="006722D4"/>
    <w:rsid w:val="006724FD"/>
    <w:rsid w:val="00674759"/>
    <w:rsid w:val="0067720C"/>
    <w:rsid w:val="006777AB"/>
    <w:rsid w:val="00683A03"/>
    <w:rsid w:val="006935FB"/>
    <w:rsid w:val="006948CA"/>
    <w:rsid w:val="006A1670"/>
    <w:rsid w:val="006A170A"/>
    <w:rsid w:val="006A5BB5"/>
    <w:rsid w:val="006B27BA"/>
    <w:rsid w:val="006B2D6A"/>
    <w:rsid w:val="006B2FFA"/>
    <w:rsid w:val="006B4500"/>
    <w:rsid w:val="006B5CCE"/>
    <w:rsid w:val="006B7C71"/>
    <w:rsid w:val="006C250D"/>
    <w:rsid w:val="006C4D70"/>
    <w:rsid w:val="006D08A6"/>
    <w:rsid w:val="006D175F"/>
    <w:rsid w:val="006D2386"/>
    <w:rsid w:val="006D2A51"/>
    <w:rsid w:val="006D2E53"/>
    <w:rsid w:val="006E0F7E"/>
    <w:rsid w:val="006E12E7"/>
    <w:rsid w:val="006E1359"/>
    <w:rsid w:val="006E26C5"/>
    <w:rsid w:val="006E4D4F"/>
    <w:rsid w:val="006E6580"/>
    <w:rsid w:val="006F3E34"/>
    <w:rsid w:val="006F3EB2"/>
    <w:rsid w:val="006F4CF8"/>
    <w:rsid w:val="006F6147"/>
    <w:rsid w:val="006F6A75"/>
    <w:rsid w:val="006F7343"/>
    <w:rsid w:val="00700AF3"/>
    <w:rsid w:val="00702290"/>
    <w:rsid w:val="00702F3C"/>
    <w:rsid w:val="00705009"/>
    <w:rsid w:val="00705CD0"/>
    <w:rsid w:val="0070786E"/>
    <w:rsid w:val="00707D3F"/>
    <w:rsid w:val="007107A3"/>
    <w:rsid w:val="0071237C"/>
    <w:rsid w:val="007216BD"/>
    <w:rsid w:val="0072176B"/>
    <w:rsid w:val="00722F7F"/>
    <w:rsid w:val="00726398"/>
    <w:rsid w:val="00726662"/>
    <w:rsid w:val="007269DA"/>
    <w:rsid w:val="00730696"/>
    <w:rsid w:val="00730DFC"/>
    <w:rsid w:val="007314BB"/>
    <w:rsid w:val="00732407"/>
    <w:rsid w:val="00733286"/>
    <w:rsid w:val="00733CC3"/>
    <w:rsid w:val="00735505"/>
    <w:rsid w:val="007359A6"/>
    <w:rsid w:val="00736C5D"/>
    <w:rsid w:val="00740361"/>
    <w:rsid w:val="007403E9"/>
    <w:rsid w:val="00740BA4"/>
    <w:rsid w:val="00740D8A"/>
    <w:rsid w:val="007425AF"/>
    <w:rsid w:val="007429F2"/>
    <w:rsid w:val="00743F9A"/>
    <w:rsid w:val="0074504D"/>
    <w:rsid w:val="007468E6"/>
    <w:rsid w:val="007517B2"/>
    <w:rsid w:val="00755AC6"/>
    <w:rsid w:val="00755B3F"/>
    <w:rsid w:val="007578F0"/>
    <w:rsid w:val="00763F28"/>
    <w:rsid w:val="007641EA"/>
    <w:rsid w:val="00773E0E"/>
    <w:rsid w:val="007745B1"/>
    <w:rsid w:val="007767AF"/>
    <w:rsid w:val="007767EB"/>
    <w:rsid w:val="00776BF0"/>
    <w:rsid w:val="00780EE9"/>
    <w:rsid w:val="00781192"/>
    <w:rsid w:val="0078211F"/>
    <w:rsid w:val="007842FF"/>
    <w:rsid w:val="007844DA"/>
    <w:rsid w:val="0078546E"/>
    <w:rsid w:val="007868D0"/>
    <w:rsid w:val="00792012"/>
    <w:rsid w:val="007949CD"/>
    <w:rsid w:val="007A5125"/>
    <w:rsid w:val="007A69DA"/>
    <w:rsid w:val="007A77E9"/>
    <w:rsid w:val="007B48A0"/>
    <w:rsid w:val="007B48A3"/>
    <w:rsid w:val="007B79A3"/>
    <w:rsid w:val="007C33DE"/>
    <w:rsid w:val="007C3C9A"/>
    <w:rsid w:val="007C4959"/>
    <w:rsid w:val="007C5CE8"/>
    <w:rsid w:val="007C5EB4"/>
    <w:rsid w:val="007D4EF0"/>
    <w:rsid w:val="007D6B21"/>
    <w:rsid w:val="007E2CD2"/>
    <w:rsid w:val="007E551F"/>
    <w:rsid w:val="007E60BB"/>
    <w:rsid w:val="007F0043"/>
    <w:rsid w:val="007F1C5A"/>
    <w:rsid w:val="007F25E5"/>
    <w:rsid w:val="007F6B38"/>
    <w:rsid w:val="007F6F99"/>
    <w:rsid w:val="00801B78"/>
    <w:rsid w:val="00801EB5"/>
    <w:rsid w:val="008049A3"/>
    <w:rsid w:val="00805313"/>
    <w:rsid w:val="00806FBE"/>
    <w:rsid w:val="008077D9"/>
    <w:rsid w:val="00810CE5"/>
    <w:rsid w:val="008125D0"/>
    <w:rsid w:val="00812814"/>
    <w:rsid w:val="00814DAA"/>
    <w:rsid w:val="008156EC"/>
    <w:rsid w:val="00820627"/>
    <w:rsid w:val="00820DEA"/>
    <w:rsid w:val="0082323B"/>
    <w:rsid w:val="008241B0"/>
    <w:rsid w:val="00826194"/>
    <w:rsid w:val="00826D44"/>
    <w:rsid w:val="00831484"/>
    <w:rsid w:val="00832A0E"/>
    <w:rsid w:val="00832AE3"/>
    <w:rsid w:val="00834C12"/>
    <w:rsid w:val="008404F9"/>
    <w:rsid w:val="00840A93"/>
    <w:rsid w:val="00843988"/>
    <w:rsid w:val="00845397"/>
    <w:rsid w:val="008519EB"/>
    <w:rsid w:val="0085259D"/>
    <w:rsid w:val="00856216"/>
    <w:rsid w:val="008566CF"/>
    <w:rsid w:val="00856A87"/>
    <w:rsid w:val="00857A94"/>
    <w:rsid w:val="008606D9"/>
    <w:rsid w:val="00863F43"/>
    <w:rsid w:val="00867A0B"/>
    <w:rsid w:val="008769AE"/>
    <w:rsid w:val="00880E12"/>
    <w:rsid w:val="00881510"/>
    <w:rsid w:val="008832AC"/>
    <w:rsid w:val="00883782"/>
    <w:rsid w:val="00885F8F"/>
    <w:rsid w:val="00890C6B"/>
    <w:rsid w:val="008A38E0"/>
    <w:rsid w:val="008A4A40"/>
    <w:rsid w:val="008A4AB0"/>
    <w:rsid w:val="008A7957"/>
    <w:rsid w:val="008B315F"/>
    <w:rsid w:val="008B698F"/>
    <w:rsid w:val="008C357A"/>
    <w:rsid w:val="008C3A53"/>
    <w:rsid w:val="008C3FE6"/>
    <w:rsid w:val="008C53FA"/>
    <w:rsid w:val="008C6F52"/>
    <w:rsid w:val="008D0146"/>
    <w:rsid w:val="008D062B"/>
    <w:rsid w:val="008D3BDE"/>
    <w:rsid w:val="008D4132"/>
    <w:rsid w:val="008D4D60"/>
    <w:rsid w:val="008D6BE1"/>
    <w:rsid w:val="008E1659"/>
    <w:rsid w:val="008E24A4"/>
    <w:rsid w:val="008E474D"/>
    <w:rsid w:val="008E5737"/>
    <w:rsid w:val="008E75B2"/>
    <w:rsid w:val="008F075E"/>
    <w:rsid w:val="008F2B79"/>
    <w:rsid w:val="008F348E"/>
    <w:rsid w:val="008F4DDC"/>
    <w:rsid w:val="009002AB"/>
    <w:rsid w:val="00900311"/>
    <w:rsid w:val="009007EC"/>
    <w:rsid w:val="009031B6"/>
    <w:rsid w:val="00907AC3"/>
    <w:rsid w:val="00911255"/>
    <w:rsid w:val="00913ACC"/>
    <w:rsid w:val="00914574"/>
    <w:rsid w:val="009162C5"/>
    <w:rsid w:val="0091713E"/>
    <w:rsid w:val="009202F6"/>
    <w:rsid w:val="00920D25"/>
    <w:rsid w:val="00922351"/>
    <w:rsid w:val="00922CD1"/>
    <w:rsid w:val="00930498"/>
    <w:rsid w:val="00930511"/>
    <w:rsid w:val="00931E8A"/>
    <w:rsid w:val="0093365C"/>
    <w:rsid w:val="00935BE8"/>
    <w:rsid w:val="0093665D"/>
    <w:rsid w:val="00937A8A"/>
    <w:rsid w:val="00940FCE"/>
    <w:rsid w:val="009411AA"/>
    <w:rsid w:val="00943035"/>
    <w:rsid w:val="00946978"/>
    <w:rsid w:val="00947C30"/>
    <w:rsid w:val="00950725"/>
    <w:rsid w:val="00950FB2"/>
    <w:rsid w:val="00951AB2"/>
    <w:rsid w:val="00954765"/>
    <w:rsid w:val="00960867"/>
    <w:rsid w:val="0096353C"/>
    <w:rsid w:val="009635F9"/>
    <w:rsid w:val="009661CF"/>
    <w:rsid w:val="0096641F"/>
    <w:rsid w:val="00967E68"/>
    <w:rsid w:val="00971605"/>
    <w:rsid w:val="00973183"/>
    <w:rsid w:val="009761B2"/>
    <w:rsid w:val="00982F18"/>
    <w:rsid w:val="00985A38"/>
    <w:rsid w:val="00991A4A"/>
    <w:rsid w:val="00992DDA"/>
    <w:rsid w:val="00994394"/>
    <w:rsid w:val="0099679C"/>
    <w:rsid w:val="00996EFB"/>
    <w:rsid w:val="009A5552"/>
    <w:rsid w:val="009A6E84"/>
    <w:rsid w:val="009B06C3"/>
    <w:rsid w:val="009B26F9"/>
    <w:rsid w:val="009B277E"/>
    <w:rsid w:val="009B2893"/>
    <w:rsid w:val="009B5DC2"/>
    <w:rsid w:val="009B7198"/>
    <w:rsid w:val="009B7BD7"/>
    <w:rsid w:val="009C09E7"/>
    <w:rsid w:val="009C1744"/>
    <w:rsid w:val="009C311F"/>
    <w:rsid w:val="009C3969"/>
    <w:rsid w:val="009C5A75"/>
    <w:rsid w:val="009C66AB"/>
    <w:rsid w:val="009C6A6B"/>
    <w:rsid w:val="009C7FD3"/>
    <w:rsid w:val="009D0E68"/>
    <w:rsid w:val="009D44D0"/>
    <w:rsid w:val="009D4CA4"/>
    <w:rsid w:val="009E1F45"/>
    <w:rsid w:val="009E2EB9"/>
    <w:rsid w:val="009E3E1F"/>
    <w:rsid w:val="009E6625"/>
    <w:rsid w:val="009E687D"/>
    <w:rsid w:val="009F2366"/>
    <w:rsid w:val="009F2387"/>
    <w:rsid w:val="009F2435"/>
    <w:rsid w:val="009F380D"/>
    <w:rsid w:val="009F48A3"/>
    <w:rsid w:val="009F4D21"/>
    <w:rsid w:val="009F592E"/>
    <w:rsid w:val="009F6A4A"/>
    <w:rsid w:val="009F6B0C"/>
    <w:rsid w:val="00A018D3"/>
    <w:rsid w:val="00A01E85"/>
    <w:rsid w:val="00A039E3"/>
    <w:rsid w:val="00A04F9D"/>
    <w:rsid w:val="00A05873"/>
    <w:rsid w:val="00A064F7"/>
    <w:rsid w:val="00A1077A"/>
    <w:rsid w:val="00A10D99"/>
    <w:rsid w:val="00A126C8"/>
    <w:rsid w:val="00A14460"/>
    <w:rsid w:val="00A15FC5"/>
    <w:rsid w:val="00A2009B"/>
    <w:rsid w:val="00A208FD"/>
    <w:rsid w:val="00A21AA0"/>
    <w:rsid w:val="00A2242E"/>
    <w:rsid w:val="00A3360D"/>
    <w:rsid w:val="00A4030B"/>
    <w:rsid w:val="00A41CE8"/>
    <w:rsid w:val="00A426CF"/>
    <w:rsid w:val="00A45352"/>
    <w:rsid w:val="00A45C19"/>
    <w:rsid w:val="00A468EE"/>
    <w:rsid w:val="00A509B3"/>
    <w:rsid w:val="00A51FE5"/>
    <w:rsid w:val="00A52900"/>
    <w:rsid w:val="00A55D58"/>
    <w:rsid w:val="00A56EA1"/>
    <w:rsid w:val="00A57FEF"/>
    <w:rsid w:val="00A60AB7"/>
    <w:rsid w:val="00A620E4"/>
    <w:rsid w:val="00A6230A"/>
    <w:rsid w:val="00A65D42"/>
    <w:rsid w:val="00A670ED"/>
    <w:rsid w:val="00A734E6"/>
    <w:rsid w:val="00A83A85"/>
    <w:rsid w:val="00A84BB5"/>
    <w:rsid w:val="00A87E7E"/>
    <w:rsid w:val="00A921CD"/>
    <w:rsid w:val="00A932A0"/>
    <w:rsid w:val="00A9386F"/>
    <w:rsid w:val="00A950EB"/>
    <w:rsid w:val="00A96599"/>
    <w:rsid w:val="00A974CC"/>
    <w:rsid w:val="00A97A36"/>
    <w:rsid w:val="00AA2B7D"/>
    <w:rsid w:val="00AA3926"/>
    <w:rsid w:val="00AA5595"/>
    <w:rsid w:val="00AA6148"/>
    <w:rsid w:val="00AA6FFF"/>
    <w:rsid w:val="00AB116D"/>
    <w:rsid w:val="00AC12D1"/>
    <w:rsid w:val="00AC1EBB"/>
    <w:rsid w:val="00AC364C"/>
    <w:rsid w:val="00AC5A08"/>
    <w:rsid w:val="00AC5C38"/>
    <w:rsid w:val="00AC6854"/>
    <w:rsid w:val="00AC6AC5"/>
    <w:rsid w:val="00AC7E22"/>
    <w:rsid w:val="00AD21C1"/>
    <w:rsid w:val="00AD29FA"/>
    <w:rsid w:val="00AD51F8"/>
    <w:rsid w:val="00AD6BBA"/>
    <w:rsid w:val="00AE16F9"/>
    <w:rsid w:val="00AE724D"/>
    <w:rsid w:val="00AF51BB"/>
    <w:rsid w:val="00AF785B"/>
    <w:rsid w:val="00B04212"/>
    <w:rsid w:val="00B04F14"/>
    <w:rsid w:val="00B10333"/>
    <w:rsid w:val="00B10CA1"/>
    <w:rsid w:val="00B11541"/>
    <w:rsid w:val="00B13107"/>
    <w:rsid w:val="00B13618"/>
    <w:rsid w:val="00B20295"/>
    <w:rsid w:val="00B21278"/>
    <w:rsid w:val="00B23900"/>
    <w:rsid w:val="00B25013"/>
    <w:rsid w:val="00B253BF"/>
    <w:rsid w:val="00B30286"/>
    <w:rsid w:val="00B34D8C"/>
    <w:rsid w:val="00B35FC1"/>
    <w:rsid w:val="00B36368"/>
    <w:rsid w:val="00B403D6"/>
    <w:rsid w:val="00B41828"/>
    <w:rsid w:val="00B44BF3"/>
    <w:rsid w:val="00B4555B"/>
    <w:rsid w:val="00B45D51"/>
    <w:rsid w:val="00B47317"/>
    <w:rsid w:val="00B53F86"/>
    <w:rsid w:val="00B54D37"/>
    <w:rsid w:val="00B612AC"/>
    <w:rsid w:val="00B61AD7"/>
    <w:rsid w:val="00B61C4F"/>
    <w:rsid w:val="00B63B53"/>
    <w:rsid w:val="00B64ED8"/>
    <w:rsid w:val="00B6621A"/>
    <w:rsid w:val="00B66668"/>
    <w:rsid w:val="00B6674B"/>
    <w:rsid w:val="00B7033A"/>
    <w:rsid w:val="00B747C3"/>
    <w:rsid w:val="00B75A02"/>
    <w:rsid w:val="00B75D83"/>
    <w:rsid w:val="00B77AC9"/>
    <w:rsid w:val="00B81312"/>
    <w:rsid w:val="00B8154F"/>
    <w:rsid w:val="00B81C0D"/>
    <w:rsid w:val="00B85262"/>
    <w:rsid w:val="00B8600F"/>
    <w:rsid w:val="00B867F3"/>
    <w:rsid w:val="00B9452F"/>
    <w:rsid w:val="00B96B40"/>
    <w:rsid w:val="00B970CA"/>
    <w:rsid w:val="00B97830"/>
    <w:rsid w:val="00B97F89"/>
    <w:rsid w:val="00B97FE2"/>
    <w:rsid w:val="00BA11EA"/>
    <w:rsid w:val="00BA5761"/>
    <w:rsid w:val="00BA728B"/>
    <w:rsid w:val="00BB1B31"/>
    <w:rsid w:val="00BB7876"/>
    <w:rsid w:val="00BC00B9"/>
    <w:rsid w:val="00BC029A"/>
    <w:rsid w:val="00BC1E23"/>
    <w:rsid w:val="00BC2CF9"/>
    <w:rsid w:val="00BC3932"/>
    <w:rsid w:val="00BC51E5"/>
    <w:rsid w:val="00BD01AA"/>
    <w:rsid w:val="00BD13A2"/>
    <w:rsid w:val="00BD5CC2"/>
    <w:rsid w:val="00BE09E5"/>
    <w:rsid w:val="00BE136F"/>
    <w:rsid w:val="00BE31E2"/>
    <w:rsid w:val="00BE558A"/>
    <w:rsid w:val="00BE563B"/>
    <w:rsid w:val="00BE5ED6"/>
    <w:rsid w:val="00BE631D"/>
    <w:rsid w:val="00BE7A23"/>
    <w:rsid w:val="00BF1872"/>
    <w:rsid w:val="00BF263A"/>
    <w:rsid w:val="00BF4747"/>
    <w:rsid w:val="00BF48A1"/>
    <w:rsid w:val="00BF5603"/>
    <w:rsid w:val="00C0031F"/>
    <w:rsid w:val="00C009D3"/>
    <w:rsid w:val="00C03013"/>
    <w:rsid w:val="00C04F56"/>
    <w:rsid w:val="00C05C71"/>
    <w:rsid w:val="00C06213"/>
    <w:rsid w:val="00C070AA"/>
    <w:rsid w:val="00C11F64"/>
    <w:rsid w:val="00C13496"/>
    <w:rsid w:val="00C141E9"/>
    <w:rsid w:val="00C1696D"/>
    <w:rsid w:val="00C179B3"/>
    <w:rsid w:val="00C2000A"/>
    <w:rsid w:val="00C20FA3"/>
    <w:rsid w:val="00C21387"/>
    <w:rsid w:val="00C21A37"/>
    <w:rsid w:val="00C22C28"/>
    <w:rsid w:val="00C235DB"/>
    <w:rsid w:val="00C2402E"/>
    <w:rsid w:val="00C24C11"/>
    <w:rsid w:val="00C30632"/>
    <w:rsid w:val="00C326DA"/>
    <w:rsid w:val="00C34B81"/>
    <w:rsid w:val="00C35356"/>
    <w:rsid w:val="00C35666"/>
    <w:rsid w:val="00C35AE9"/>
    <w:rsid w:val="00C36758"/>
    <w:rsid w:val="00C37AD6"/>
    <w:rsid w:val="00C4009A"/>
    <w:rsid w:val="00C40365"/>
    <w:rsid w:val="00C42ABF"/>
    <w:rsid w:val="00C46376"/>
    <w:rsid w:val="00C466B5"/>
    <w:rsid w:val="00C57963"/>
    <w:rsid w:val="00C62195"/>
    <w:rsid w:val="00C6246D"/>
    <w:rsid w:val="00C642CF"/>
    <w:rsid w:val="00C65427"/>
    <w:rsid w:val="00C661A1"/>
    <w:rsid w:val="00C66544"/>
    <w:rsid w:val="00C70AC1"/>
    <w:rsid w:val="00C7413B"/>
    <w:rsid w:val="00C76973"/>
    <w:rsid w:val="00C8028A"/>
    <w:rsid w:val="00C824F1"/>
    <w:rsid w:val="00C82500"/>
    <w:rsid w:val="00C841AB"/>
    <w:rsid w:val="00C92579"/>
    <w:rsid w:val="00C96D7C"/>
    <w:rsid w:val="00CA00DF"/>
    <w:rsid w:val="00CA20DD"/>
    <w:rsid w:val="00CA3F72"/>
    <w:rsid w:val="00CA7BBC"/>
    <w:rsid w:val="00CB13B1"/>
    <w:rsid w:val="00CB19F6"/>
    <w:rsid w:val="00CB2F9E"/>
    <w:rsid w:val="00CB4CB2"/>
    <w:rsid w:val="00CB4E97"/>
    <w:rsid w:val="00CB6077"/>
    <w:rsid w:val="00CC2018"/>
    <w:rsid w:val="00CC2595"/>
    <w:rsid w:val="00CC3F51"/>
    <w:rsid w:val="00CC721F"/>
    <w:rsid w:val="00CC7880"/>
    <w:rsid w:val="00CC7A0F"/>
    <w:rsid w:val="00CD1A37"/>
    <w:rsid w:val="00CD35CC"/>
    <w:rsid w:val="00CD3C4A"/>
    <w:rsid w:val="00CD4061"/>
    <w:rsid w:val="00CD6BB4"/>
    <w:rsid w:val="00CD6E5B"/>
    <w:rsid w:val="00CD7B56"/>
    <w:rsid w:val="00CE31DF"/>
    <w:rsid w:val="00CE5BE2"/>
    <w:rsid w:val="00CE6B2B"/>
    <w:rsid w:val="00CF228C"/>
    <w:rsid w:val="00CF2CE3"/>
    <w:rsid w:val="00CF54C1"/>
    <w:rsid w:val="00CF6572"/>
    <w:rsid w:val="00CF7126"/>
    <w:rsid w:val="00CF799F"/>
    <w:rsid w:val="00CF7D13"/>
    <w:rsid w:val="00D0035E"/>
    <w:rsid w:val="00D0291D"/>
    <w:rsid w:val="00D04FB8"/>
    <w:rsid w:val="00D050EE"/>
    <w:rsid w:val="00D05C36"/>
    <w:rsid w:val="00D07F43"/>
    <w:rsid w:val="00D1106B"/>
    <w:rsid w:val="00D111EA"/>
    <w:rsid w:val="00D11899"/>
    <w:rsid w:val="00D12B5F"/>
    <w:rsid w:val="00D12F58"/>
    <w:rsid w:val="00D13393"/>
    <w:rsid w:val="00D13C4C"/>
    <w:rsid w:val="00D1496E"/>
    <w:rsid w:val="00D14AC5"/>
    <w:rsid w:val="00D14C2F"/>
    <w:rsid w:val="00D20DE0"/>
    <w:rsid w:val="00D21F39"/>
    <w:rsid w:val="00D229FC"/>
    <w:rsid w:val="00D23350"/>
    <w:rsid w:val="00D23728"/>
    <w:rsid w:val="00D30288"/>
    <w:rsid w:val="00D30EDD"/>
    <w:rsid w:val="00D326EB"/>
    <w:rsid w:val="00D3399C"/>
    <w:rsid w:val="00D3469F"/>
    <w:rsid w:val="00D406A6"/>
    <w:rsid w:val="00D42E7D"/>
    <w:rsid w:val="00D50823"/>
    <w:rsid w:val="00D51030"/>
    <w:rsid w:val="00D5269A"/>
    <w:rsid w:val="00D52F30"/>
    <w:rsid w:val="00D533A8"/>
    <w:rsid w:val="00D557F6"/>
    <w:rsid w:val="00D62432"/>
    <w:rsid w:val="00D62D1D"/>
    <w:rsid w:val="00D634FC"/>
    <w:rsid w:val="00D636D2"/>
    <w:rsid w:val="00D636F0"/>
    <w:rsid w:val="00D63D78"/>
    <w:rsid w:val="00D64B5F"/>
    <w:rsid w:val="00D664ED"/>
    <w:rsid w:val="00D667DE"/>
    <w:rsid w:val="00D67EB6"/>
    <w:rsid w:val="00D714C6"/>
    <w:rsid w:val="00D71E20"/>
    <w:rsid w:val="00D806D4"/>
    <w:rsid w:val="00D81829"/>
    <w:rsid w:val="00D83973"/>
    <w:rsid w:val="00D87916"/>
    <w:rsid w:val="00D91AC2"/>
    <w:rsid w:val="00D927CF"/>
    <w:rsid w:val="00D94C35"/>
    <w:rsid w:val="00D9519E"/>
    <w:rsid w:val="00D96B89"/>
    <w:rsid w:val="00D96EA3"/>
    <w:rsid w:val="00D96F25"/>
    <w:rsid w:val="00DA00A6"/>
    <w:rsid w:val="00DA0F3F"/>
    <w:rsid w:val="00DA425D"/>
    <w:rsid w:val="00DA6BC2"/>
    <w:rsid w:val="00DA6D94"/>
    <w:rsid w:val="00DA72EC"/>
    <w:rsid w:val="00DA7AA1"/>
    <w:rsid w:val="00DA7AAC"/>
    <w:rsid w:val="00DA7C64"/>
    <w:rsid w:val="00DB0E00"/>
    <w:rsid w:val="00DB61AD"/>
    <w:rsid w:val="00DB655D"/>
    <w:rsid w:val="00DB6DED"/>
    <w:rsid w:val="00DB6FE2"/>
    <w:rsid w:val="00DB75B0"/>
    <w:rsid w:val="00DB766D"/>
    <w:rsid w:val="00DD1DA0"/>
    <w:rsid w:val="00DD618F"/>
    <w:rsid w:val="00DD7128"/>
    <w:rsid w:val="00DE27D7"/>
    <w:rsid w:val="00DE34BE"/>
    <w:rsid w:val="00DE5BD8"/>
    <w:rsid w:val="00DE5C97"/>
    <w:rsid w:val="00DE6A07"/>
    <w:rsid w:val="00DF14FF"/>
    <w:rsid w:val="00DF1A75"/>
    <w:rsid w:val="00DF3D9C"/>
    <w:rsid w:val="00DF47ED"/>
    <w:rsid w:val="00DF5614"/>
    <w:rsid w:val="00E00438"/>
    <w:rsid w:val="00E00987"/>
    <w:rsid w:val="00E00FDC"/>
    <w:rsid w:val="00E01CCE"/>
    <w:rsid w:val="00E0214A"/>
    <w:rsid w:val="00E0655E"/>
    <w:rsid w:val="00E07FCC"/>
    <w:rsid w:val="00E16DB8"/>
    <w:rsid w:val="00E16EBE"/>
    <w:rsid w:val="00E207BD"/>
    <w:rsid w:val="00E21336"/>
    <w:rsid w:val="00E22044"/>
    <w:rsid w:val="00E23112"/>
    <w:rsid w:val="00E23B56"/>
    <w:rsid w:val="00E25D35"/>
    <w:rsid w:val="00E26E6A"/>
    <w:rsid w:val="00E3035E"/>
    <w:rsid w:val="00E321B1"/>
    <w:rsid w:val="00E32702"/>
    <w:rsid w:val="00E34482"/>
    <w:rsid w:val="00E3467F"/>
    <w:rsid w:val="00E35F84"/>
    <w:rsid w:val="00E4083C"/>
    <w:rsid w:val="00E4126E"/>
    <w:rsid w:val="00E46F3D"/>
    <w:rsid w:val="00E5309B"/>
    <w:rsid w:val="00E5322D"/>
    <w:rsid w:val="00E54BB9"/>
    <w:rsid w:val="00E56289"/>
    <w:rsid w:val="00E577E9"/>
    <w:rsid w:val="00E63F01"/>
    <w:rsid w:val="00E64096"/>
    <w:rsid w:val="00E71D18"/>
    <w:rsid w:val="00E722FF"/>
    <w:rsid w:val="00E728DE"/>
    <w:rsid w:val="00E748AE"/>
    <w:rsid w:val="00E74D74"/>
    <w:rsid w:val="00E84A6A"/>
    <w:rsid w:val="00E96973"/>
    <w:rsid w:val="00EA36C4"/>
    <w:rsid w:val="00EA3D25"/>
    <w:rsid w:val="00EA629A"/>
    <w:rsid w:val="00EB2E78"/>
    <w:rsid w:val="00EB6B7C"/>
    <w:rsid w:val="00EC15BE"/>
    <w:rsid w:val="00EC482C"/>
    <w:rsid w:val="00EC51E9"/>
    <w:rsid w:val="00EC5658"/>
    <w:rsid w:val="00EC6E95"/>
    <w:rsid w:val="00EC7185"/>
    <w:rsid w:val="00EC795B"/>
    <w:rsid w:val="00ED0E63"/>
    <w:rsid w:val="00ED2629"/>
    <w:rsid w:val="00ED2F1E"/>
    <w:rsid w:val="00ED3651"/>
    <w:rsid w:val="00ED46EE"/>
    <w:rsid w:val="00ED5744"/>
    <w:rsid w:val="00ED5979"/>
    <w:rsid w:val="00ED66BB"/>
    <w:rsid w:val="00EE0EFA"/>
    <w:rsid w:val="00EE5F47"/>
    <w:rsid w:val="00EE6696"/>
    <w:rsid w:val="00EE6DBE"/>
    <w:rsid w:val="00EF0DD6"/>
    <w:rsid w:val="00EF3B17"/>
    <w:rsid w:val="00EF3E9B"/>
    <w:rsid w:val="00EF4891"/>
    <w:rsid w:val="00EF4AD0"/>
    <w:rsid w:val="00F01966"/>
    <w:rsid w:val="00F03591"/>
    <w:rsid w:val="00F03910"/>
    <w:rsid w:val="00F045F1"/>
    <w:rsid w:val="00F072B0"/>
    <w:rsid w:val="00F10CB3"/>
    <w:rsid w:val="00F10FBC"/>
    <w:rsid w:val="00F1102A"/>
    <w:rsid w:val="00F14949"/>
    <w:rsid w:val="00F21995"/>
    <w:rsid w:val="00F22EE3"/>
    <w:rsid w:val="00F30C24"/>
    <w:rsid w:val="00F31601"/>
    <w:rsid w:val="00F33B0C"/>
    <w:rsid w:val="00F34197"/>
    <w:rsid w:val="00F41478"/>
    <w:rsid w:val="00F42813"/>
    <w:rsid w:val="00F441E0"/>
    <w:rsid w:val="00F465CD"/>
    <w:rsid w:val="00F50F37"/>
    <w:rsid w:val="00F55FBB"/>
    <w:rsid w:val="00F56200"/>
    <w:rsid w:val="00F61721"/>
    <w:rsid w:val="00F6226E"/>
    <w:rsid w:val="00F627F8"/>
    <w:rsid w:val="00F66251"/>
    <w:rsid w:val="00F71021"/>
    <w:rsid w:val="00F72087"/>
    <w:rsid w:val="00F7217D"/>
    <w:rsid w:val="00F7559A"/>
    <w:rsid w:val="00F76C03"/>
    <w:rsid w:val="00F77E9D"/>
    <w:rsid w:val="00F804CA"/>
    <w:rsid w:val="00F83CCA"/>
    <w:rsid w:val="00F84A24"/>
    <w:rsid w:val="00F871F1"/>
    <w:rsid w:val="00F91552"/>
    <w:rsid w:val="00F91D08"/>
    <w:rsid w:val="00F952E5"/>
    <w:rsid w:val="00F97B69"/>
    <w:rsid w:val="00FA08A3"/>
    <w:rsid w:val="00FA20EC"/>
    <w:rsid w:val="00FA2472"/>
    <w:rsid w:val="00FA2AC3"/>
    <w:rsid w:val="00FA2D79"/>
    <w:rsid w:val="00FA3374"/>
    <w:rsid w:val="00FA3C41"/>
    <w:rsid w:val="00FA5455"/>
    <w:rsid w:val="00FA66A1"/>
    <w:rsid w:val="00FA70E1"/>
    <w:rsid w:val="00FB0090"/>
    <w:rsid w:val="00FB1E1C"/>
    <w:rsid w:val="00FB22D6"/>
    <w:rsid w:val="00FB25EE"/>
    <w:rsid w:val="00FB3185"/>
    <w:rsid w:val="00FB323D"/>
    <w:rsid w:val="00FB4F10"/>
    <w:rsid w:val="00FB5E9B"/>
    <w:rsid w:val="00FB79AF"/>
    <w:rsid w:val="00FC0D7D"/>
    <w:rsid w:val="00FC0EE2"/>
    <w:rsid w:val="00FC4482"/>
    <w:rsid w:val="00FC46EE"/>
    <w:rsid w:val="00FC69B7"/>
    <w:rsid w:val="00FD6878"/>
    <w:rsid w:val="00FD76AA"/>
    <w:rsid w:val="00FE0238"/>
    <w:rsid w:val="00FE09AD"/>
    <w:rsid w:val="00FE1BE4"/>
    <w:rsid w:val="00FE24A8"/>
    <w:rsid w:val="00FE2B67"/>
    <w:rsid w:val="00FE36AE"/>
    <w:rsid w:val="00FE5F8C"/>
    <w:rsid w:val="00FF000E"/>
    <w:rsid w:val="00FF3DAB"/>
    <w:rsid w:val="00FF6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08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C71"/>
    <w:pPr>
      <w:spacing w:after="0" w:line="240" w:lineRule="auto"/>
    </w:pPr>
    <w:rPr>
      <w:rFonts w:ascii="Times New Roman" w:eastAsia="Times New Roman" w:hAnsi="Times New Roman" w:cs="Times New Roman"/>
      <w:sz w:val="24"/>
      <w:szCs w:val="24"/>
      <w:lang w:val="en-GB" w:eastAsia="en-GB"/>
    </w:rPr>
  </w:style>
  <w:style w:type="paragraph" w:styleId="Heading1">
    <w:name w:val="heading 1"/>
    <w:aliases w:val="Heading 11"/>
    <w:basedOn w:val="Normal"/>
    <w:next w:val="Heading2"/>
    <w:link w:val="Heading1Char"/>
    <w:qFormat/>
    <w:rsid w:val="00C05C71"/>
    <w:pPr>
      <w:keepNext/>
      <w:keepLines/>
      <w:numPr>
        <w:numId w:val="2"/>
      </w:numPr>
      <w:spacing w:after="240"/>
      <w:jc w:val="both"/>
      <w:outlineLvl w:val="0"/>
    </w:pPr>
    <w:rPr>
      <w:rFonts w:ascii="Arial" w:eastAsia="Batang" w:hAnsi="Arial"/>
      <w:b/>
      <w:caps/>
      <w:spacing w:val="20"/>
      <w:sz w:val="26"/>
      <w:szCs w:val="20"/>
      <w:u w:val="single"/>
      <w:lang w:val="en-ZA" w:eastAsia="en-US"/>
    </w:rPr>
  </w:style>
  <w:style w:type="paragraph" w:styleId="Heading2">
    <w:name w:val="heading 2"/>
    <w:aliases w:val="Heading 21"/>
    <w:basedOn w:val="Normal"/>
    <w:next w:val="Normal"/>
    <w:link w:val="Heading2Char"/>
    <w:qFormat/>
    <w:rsid w:val="00C05C71"/>
    <w:pPr>
      <w:keepNext/>
      <w:keepLines/>
      <w:numPr>
        <w:ilvl w:val="1"/>
        <w:numId w:val="2"/>
      </w:numPr>
      <w:spacing w:after="240"/>
      <w:jc w:val="both"/>
      <w:outlineLvl w:val="1"/>
    </w:pPr>
    <w:rPr>
      <w:rFonts w:ascii="Arial" w:eastAsia="Batang" w:hAnsi="Arial"/>
      <w:b/>
      <w:caps/>
      <w:szCs w:val="20"/>
      <w:lang w:val="en-ZA" w:eastAsia="en-US"/>
    </w:rPr>
  </w:style>
  <w:style w:type="paragraph" w:styleId="Heading3">
    <w:name w:val="heading 3"/>
    <w:basedOn w:val="Normal"/>
    <w:next w:val="Normal"/>
    <w:link w:val="Heading3Char"/>
    <w:qFormat/>
    <w:rsid w:val="00C05C71"/>
    <w:pPr>
      <w:keepNext/>
      <w:keepLines/>
      <w:numPr>
        <w:ilvl w:val="2"/>
        <w:numId w:val="2"/>
      </w:numPr>
      <w:spacing w:after="240"/>
      <w:jc w:val="both"/>
      <w:outlineLvl w:val="2"/>
    </w:pPr>
    <w:rPr>
      <w:rFonts w:ascii="Arial" w:eastAsia="Batang" w:hAnsi="Arial"/>
      <w:b/>
      <w:szCs w:val="20"/>
      <w:u w:val="single"/>
      <w:lang w:val="en-ZA" w:eastAsia="en-US"/>
    </w:rPr>
  </w:style>
  <w:style w:type="paragraph" w:styleId="Heading4">
    <w:name w:val="heading 4"/>
    <w:basedOn w:val="Normal"/>
    <w:next w:val="Normal"/>
    <w:link w:val="Heading4Char"/>
    <w:qFormat/>
    <w:rsid w:val="00C05C71"/>
    <w:pPr>
      <w:keepNext/>
      <w:numPr>
        <w:ilvl w:val="3"/>
        <w:numId w:val="2"/>
      </w:numPr>
      <w:spacing w:before="240" w:after="60"/>
      <w:jc w:val="both"/>
      <w:outlineLvl w:val="3"/>
    </w:pPr>
    <w:rPr>
      <w:rFonts w:eastAsia="Batang"/>
      <w:b/>
      <w:i/>
      <w:szCs w:val="20"/>
      <w:lang w:val="en-ZA" w:eastAsia="en-US"/>
    </w:rPr>
  </w:style>
  <w:style w:type="paragraph" w:styleId="Heading5">
    <w:name w:val="heading 5"/>
    <w:basedOn w:val="Normal"/>
    <w:next w:val="Normal"/>
    <w:link w:val="Heading5Char"/>
    <w:qFormat/>
    <w:rsid w:val="00C05C71"/>
    <w:pPr>
      <w:numPr>
        <w:ilvl w:val="4"/>
        <w:numId w:val="2"/>
      </w:numPr>
      <w:spacing w:before="240" w:after="60"/>
      <w:jc w:val="both"/>
      <w:outlineLvl w:val="4"/>
    </w:pPr>
    <w:rPr>
      <w:rFonts w:ascii="Arial" w:eastAsia="Batang" w:hAnsi="Arial"/>
      <w:sz w:val="22"/>
      <w:szCs w:val="20"/>
      <w:lang w:val="en-ZA" w:eastAsia="en-US"/>
    </w:rPr>
  </w:style>
  <w:style w:type="paragraph" w:styleId="Heading6">
    <w:name w:val="heading 6"/>
    <w:basedOn w:val="Normal"/>
    <w:next w:val="Normal"/>
    <w:link w:val="Heading6Char"/>
    <w:qFormat/>
    <w:rsid w:val="00C05C71"/>
    <w:pPr>
      <w:numPr>
        <w:ilvl w:val="5"/>
        <w:numId w:val="2"/>
      </w:numPr>
      <w:spacing w:before="240" w:after="60"/>
      <w:jc w:val="both"/>
      <w:outlineLvl w:val="5"/>
    </w:pPr>
    <w:rPr>
      <w:rFonts w:ascii="Arial" w:eastAsia="Batang" w:hAnsi="Arial"/>
      <w:i/>
      <w:sz w:val="22"/>
      <w:szCs w:val="20"/>
      <w:lang w:val="en-ZA" w:eastAsia="en-US"/>
    </w:rPr>
  </w:style>
  <w:style w:type="paragraph" w:styleId="Heading7">
    <w:name w:val="heading 7"/>
    <w:basedOn w:val="Normal"/>
    <w:next w:val="Normal"/>
    <w:link w:val="Heading7Char"/>
    <w:qFormat/>
    <w:rsid w:val="00C05C71"/>
    <w:pPr>
      <w:numPr>
        <w:ilvl w:val="6"/>
        <w:numId w:val="2"/>
      </w:numPr>
      <w:spacing w:before="240" w:after="60"/>
      <w:jc w:val="both"/>
      <w:outlineLvl w:val="6"/>
    </w:pPr>
    <w:rPr>
      <w:rFonts w:ascii="Arial" w:eastAsia="Batang" w:hAnsi="Arial"/>
      <w:sz w:val="20"/>
      <w:szCs w:val="20"/>
      <w:lang w:val="en-ZA" w:eastAsia="en-US"/>
    </w:rPr>
  </w:style>
  <w:style w:type="paragraph" w:styleId="Heading8">
    <w:name w:val="heading 8"/>
    <w:basedOn w:val="Normal"/>
    <w:next w:val="Normal"/>
    <w:link w:val="Heading8Char"/>
    <w:qFormat/>
    <w:rsid w:val="00C05C71"/>
    <w:pPr>
      <w:numPr>
        <w:ilvl w:val="7"/>
        <w:numId w:val="2"/>
      </w:numPr>
      <w:spacing w:before="240" w:after="60"/>
      <w:jc w:val="both"/>
      <w:outlineLvl w:val="7"/>
    </w:pPr>
    <w:rPr>
      <w:rFonts w:ascii="Arial" w:eastAsia="Batang" w:hAnsi="Arial"/>
      <w:i/>
      <w:sz w:val="20"/>
      <w:szCs w:val="20"/>
      <w:lang w:val="en-ZA" w:eastAsia="en-US"/>
    </w:rPr>
  </w:style>
  <w:style w:type="paragraph" w:styleId="Heading9">
    <w:name w:val="heading 9"/>
    <w:basedOn w:val="Normal"/>
    <w:next w:val="Normal"/>
    <w:link w:val="Heading9Char"/>
    <w:qFormat/>
    <w:rsid w:val="00C05C71"/>
    <w:pPr>
      <w:numPr>
        <w:ilvl w:val="8"/>
        <w:numId w:val="2"/>
      </w:numPr>
      <w:spacing w:before="240" w:after="60"/>
      <w:jc w:val="both"/>
      <w:outlineLvl w:val="8"/>
    </w:pPr>
    <w:rPr>
      <w:rFonts w:ascii="Arial" w:eastAsia="Batang" w:hAnsi="Arial"/>
      <w:i/>
      <w:sz w:val="18"/>
      <w:szCs w:val="20"/>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1 Char"/>
    <w:basedOn w:val="DefaultParagraphFont"/>
    <w:link w:val="Heading1"/>
    <w:rsid w:val="00C05C71"/>
    <w:rPr>
      <w:rFonts w:ascii="Arial" w:eastAsia="Batang" w:hAnsi="Arial" w:cs="Times New Roman"/>
      <w:b/>
      <w:caps/>
      <w:spacing w:val="20"/>
      <w:sz w:val="26"/>
      <w:szCs w:val="20"/>
      <w:u w:val="single"/>
    </w:rPr>
  </w:style>
  <w:style w:type="character" w:customStyle="1" w:styleId="Heading2Char">
    <w:name w:val="Heading 2 Char"/>
    <w:aliases w:val="Heading 21 Char"/>
    <w:basedOn w:val="DefaultParagraphFont"/>
    <w:link w:val="Heading2"/>
    <w:rsid w:val="00C05C71"/>
    <w:rPr>
      <w:rFonts w:ascii="Arial" w:eastAsia="Batang" w:hAnsi="Arial" w:cs="Times New Roman"/>
      <w:b/>
      <w:caps/>
      <w:sz w:val="24"/>
      <w:szCs w:val="20"/>
    </w:rPr>
  </w:style>
  <w:style w:type="character" w:customStyle="1" w:styleId="Heading3Char">
    <w:name w:val="Heading 3 Char"/>
    <w:basedOn w:val="DefaultParagraphFont"/>
    <w:link w:val="Heading3"/>
    <w:rsid w:val="00C05C71"/>
    <w:rPr>
      <w:rFonts w:ascii="Arial" w:eastAsia="Batang" w:hAnsi="Arial" w:cs="Times New Roman"/>
      <w:b/>
      <w:sz w:val="24"/>
      <w:szCs w:val="20"/>
      <w:u w:val="single"/>
    </w:rPr>
  </w:style>
  <w:style w:type="character" w:customStyle="1" w:styleId="Heading4Char">
    <w:name w:val="Heading 4 Char"/>
    <w:basedOn w:val="DefaultParagraphFont"/>
    <w:link w:val="Heading4"/>
    <w:rsid w:val="00C05C71"/>
    <w:rPr>
      <w:rFonts w:ascii="Times New Roman" w:eastAsia="Batang" w:hAnsi="Times New Roman" w:cs="Times New Roman"/>
      <w:b/>
      <w:i/>
      <w:sz w:val="24"/>
      <w:szCs w:val="20"/>
    </w:rPr>
  </w:style>
  <w:style w:type="character" w:customStyle="1" w:styleId="Heading5Char">
    <w:name w:val="Heading 5 Char"/>
    <w:basedOn w:val="DefaultParagraphFont"/>
    <w:link w:val="Heading5"/>
    <w:rsid w:val="00C05C71"/>
    <w:rPr>
      <w:rFonts w:ascii="Arial" w:eastAsia="Batang" w:hAnsi="Arial" w:cs="Times New Roman"/>
      <w:szCs w:val="20"/>
    </w:rPr>
  </w:style>
  <w:style w:type="character" w:customStyle="1" w:styleId="Heading6Char">
    <w:name w:val="Heading 6 Char"/>
    <w:basedOn w:val="DefaultParagraphFont"/>
    <w:link w:val="Heading6"/>
    <w:rsid w:val="00C05C71"/>
    <w:rPr>
      <w:rFonts w:ascii="Arial" w:eastAsia="Batang" w:hAnsi="Arial" w:cs="Times New Roman"/>
      <w:i/>
      <w:szCs w:val="20"/>
    </w:rPr>
  </w:style>
  <w:style w:type="character" w:customStyle="1" w:styleId="Heading7Char">
    <w:name w:val="Heading 7 Char"/>
    <w:basedOn w:val="DefaultParagraphFont"/>
    <w:link w:val="Heading7"/>
    <w:rsid w:val="00C05C71"/>
    <w:rPr>
      <w:rFonts w:ascii="Arial" w:eastAsia="Batang" w:hAnsi="Arial" w:cs="Times New Roman"/>
      <w:sz w:val="20"/>
      <w:szCs w:val="20"/>
    </w:rPr>
  </w:style>
  <w:style w:type="character" w:customStyle="1" w:styleId="Heading8Char">
    <w:name w:val="Heading 8 Char"/>
    <w:basedOn w:val="DefaultParagraphFont"/>
    <w:link w:val="Heading8"/>
    <w:rsid w:val="00C05C71"/>
    <w:rPr>
      <w:rFonts w:ascii="Arial" w:eastAsia="Batang" w:hAnsi="Arial" w:cs="Times New Roman"/>
      <w:i/>
      <w:sz w:val="20"/>
      <w:szCs w:val="20"/>
    </w:rPr>
  </w:style>
  <w:style w:type="character" w:customStyle="1" w:styleId="Heading9Char">
    <w:name w:val="Heading 9 Char"/>
    <w:basedOn w:val="DefaultParagraphFont"/>
    <w:link w:val="Heading9"/>
    <w:rsid w:val="00C05C71"/>
    <w:rPr>
      <w:rFonts w:ascii="Arial" w:eastAsia="Batang" w:hAnsi="Arial" w:cs="Times New Roman"/>
      <w:i/>
      <w:sz w:val="18"/>
      <w:szCs w:val="20"/>
    </w:rPr>
  </w:style>
  <w:style w:type="paragraph" w:customStyle="1" w:styleId="NumberedListing">
    <w:name w:val="Numbered Listing"/>
    <w:basedOn w:val="Normal"/>
    <w:autoRedefine/>
    <w:rsid w:val="00C05C71"/>
    <w:pPr>
      <w:spacing w:line="280" w:lineRule="exact"/>
      <w:jc w:val="both"/>
    </w:pPr>
    <w:rPr>
      <w:rFonts w:ascii="Arial" w:hAnsi="Arial" w:cs="Arial"/>
      <w:b/>
      <w:sz w:val="22"/>
      <w:szCs w:val="22"/>
      <w:lang w:val="en-ZA"/>
    </w:rPr>
  </w:style>
  <w:style w:type="paragraph" w:customStyle="1" w:styleId="BodySingle">
    <w:name w:val="Body Single"/>
    <w:rsid w:val="00C05C71"/>
    <w:pPr>
      <w:spacing w:after="0" w:line="240" w:lineRule="auto"/>
      <w:ind w:left="720"/>
      <w:jc w:val="both"/>
    </w:pPr>
    <w:rPr>
      <w:rFonts w:ascii="Arial" w:eastAsia="Times New Roman" w:hAnsi="Arial" w:cs="Times New Roman"/>
      <w:i/>
      <w:noProof/>
      <w:sz w:val="20"/>
      <w:szCs w:val="20"/>
      <w:lang w:val="en-US"/>
    </w:rPr>
  </w:style>
  <w:style w:type="paragraph" w:customStyle="1" w:styleId="AGHeading1blue">
    <w:name w:val="AG Heading 1 blue"/>
    <w:basedOn w:val="Normal"/>
    <w:link w:val="AGHeading1blueCharChar"/>
    <w:rsid w:val="00C05C71"/>
    <w:pPr>
      <w:spacing w:after="400"/>
    </w:pPr>
    <w:rPr>
      <w:rFonts w:ascii="Arial Black" w:hAnsi="Arial Black"/>
      <w:caps/>
      <w:color w:val="022B69"/>
      <w:sz w:val="30"/>
      <w:szCs w:val="30"/>
      <w:lang w:val="en-ZA"/>
    </w:rPr>
  </w:style>
  <w:style w:type="character" w:customStyle="1" w:styleId="AGHeading1blueCharChar">
    <w:name w:val="AG Heading 1 blue Char Char"/>
    <w:basedOn w:val="DefaultParagraphFont"/>
    <w:link w:val="AGHeading1blue"/>
    <w:rsid w:val="00C05C71"/>
    <w:rPr>
      <w:rFonts w:ascii="Arial Black" w:eastAsia="Times New Roman" w:hAnsi="Arial Black" w:cs="Times New Roman"/>
      <w:caps/>
      <w:color w:val="022B69"/>
      <w:sz w:val="30"/>
      <w:szCs w:val="30"/>
      <w:lang w:eastAsia="en-GB"/>
    </w:rPr>
  </w:style>
  <w:style w:type="table" w:styleId="TableGrid">
    <w:name w:val="Table Grid"/>
    <w:basedOn w:val="TableNormal"/>
    <w:uiPriority w:val="39"/>
    <w:rsid w:val="00C05C7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05C71"/>
    <w:pPr>
      <w:tabs>
        <w:tab w:val="center" w:pos="4153"/>
        <w:tab w:val="right" w:pos="8306"/>
      </w:tabs>
    </w:pPr>
  </w:style>
  <w:style w:type="character" w:customStyle="1" w:styleId="FooterChar">
    <w:name w:val="Footer Char"/>
    <w:basedOn w:val="DefaultParagraphFont"/>
    <w:link w:val="Footer"/>
    <w:uiPriority w:val="99"/>
    <w:rsid w:val="00C05C71"/>
    <w:rPr>
      <w:rFonts w:ascii="Times New Roman" w:eastAsia="Times New Roman" w:hAnsi="Times New Roman" w:cs="Times New Roman"/>
      <w:sz w:val="24"/>
      <w:szCs w:val="24"/>
      <w:lang w:val="en-GB" w:eastAsia="en-GB"/>
    </w:rPr>
  </w:style>
  <w:style w:type="character" w:styleId="PageNumber">
    <w:name w:val="page number"/>
    <w:basedOn w:val="DefaultParagraphFont"/>
    <w:rsid w:val="00C05C71"/>
  </w:style>
  <w:style w:type="paragraph" w:styleId="Header">
    <w:name w:val="header"/>
    <w:basedOn w:val="Normal"/>
    <w:link w:val="HeaderChar"/>
    <w:rsid w:val="00C05C71"/>
    <w:pPr>
      <w:tabs>
        <w:tab w:val="center" w:pos="4153"/>
        <w:tab w:val="right" w:pos="8306"/>
      </w:tabs>
    </w:pPr>
  </w:style>
  <w:style w:type="character" w:customStyle="1" w:styleId="HeaderChar">
    <w:name w:val="Header Char"/>
    <w:basedOn w:val="DefaultParagraphFont"/>
    <w:link w:val="Header"/>
    <w:rsid w:val="00C05C71"/>
    <w:rPr>
      <w:rFonts w:ascii="Times New Roman" w:eastAsia="Times New Roman" w:hAnsi="Times New Roman" w:cs="Times New Roman"/>
      <w:sz w:val="24"/>
      <w:szCs w:val="24"/>
      <w:lang w:val="en-GB" w:eastAsia="en-GB"/>
    </w:rPr>
  </w:style>
  <w:style w:type="paragraph" w:styleId="ListParagraph">
    <w:name w:val="List Paragraph"/>
    <w:aliases w:val="List Paragraph 1,Bullets"/>
    <w:basedOn w:val="Normal"/>
    <w:link w:val="ListParagraphChar"/>
    <w:uiPriority w:val="34"/>
    <w:qFormat/>
    <w:rsid w:val="00C05C71"/>
    <w:pPr>
      <w:ind w:left="720"/>
    </w:pPr>
  </w:style>
  <w:style w:type="character" w:customStyle="1" w:styleId="ListParagraphChar">
    <w:name w:val="List Paragraph Char"/>
    <w:aliases w:val="List Paragraph 1 Char,Bullets Char"/>
    <w:basedOn w:val="DefaultParagraphFont"/>
    <w:link w:val="ListParagraph"/>
    <w:uiPriority w:val="34"/>
    <w:locked/>
    <w:rsid w:val="00C05C71"/>
    <w:rPr>
      <w:rFonts w:ascii="Times New Roman" w:eastAsia="Times New Roman" w:hAnsi="Times New Roman" w:cs="Times New Roman"/>
      <w:sz w:val="24"/>
      <w:szCs w:val="24"/>
      <w:lang w:val="en-GB" w:eastAsia="en-GB"/>
    </w:rPr>
  </w:style>
  <w:style w:type="character" w:styleId="Hyperlink">
    <w:name w:val="Hyperlink"/>
    <w:basedOn w:val="DefaultParagraphFont"/>
    <w:rsid w:val="00C05C71"/>
    <w:rPr>
      <w:rFonts w:cs="Times New Roman"/>
      <w:color w:val="0000FF"/>
      <w:u w:val="single"/>
    </w:rPr>
  </w:style>
  <w:style w:type="paragraph" w:styleId="FootnoteText">
    <w:name w:val="footnote text"/>
    <w:aliases w:val="Footnote Text Char1,Footnote Text Char Char,fn Char,ft"/>
    <w:basedOn w:val="Normal"/>
    <w:link w:val="FootnoteTextChar"/>
    <w:uiPriority w:val="99"/>
    <w:rsid w:val="00C05C71"/>
    <w:rPr>
      <w:rFonts w:ascii="Arial" w:eastAsia="Calibri" w:hAnsi="Arial"/>
      <w:color w:val="000000"/>
      <w:spacing w:val="6"/>
      <w:sz w:val="20"/>
      <w:szCs w:val="20"/>
    </w:rPr>
  </w:style>
  <w:style w:type="character" w:customStyle="1" w:styleId="FootnoteTextChar">
    <w:name w:val="Footnote Text Char"/>
    <w:aliases w:val="Footnote Text Char1 Char,Footnote Text Char Char Char,fn Char Char,ft Char"/>
    <w:basedOn w:val="DefaultParagraphFont"/>
    <w:link w:val="FootnoteText"/>
    <w:uiPriority w:val="99"/>
    <w:rsid w:val="00C05C71"/>
    <w:rPr>
      <w:rFonts w:ascii="Arial" w:eastAsia="Calibri" w:hAnsi="Arial" w:cs="Times New Roman"/>
      <w:color w:val="000000"/>
      <w:spacing w:val="6"/>
      <w:sz w:val="20"/>
      <w:szCs w:val="20"/>
      <w:lang w:val="en-GB" w:eastAsia="en-GB"/>
    </w:rPr>
  </w:style>
  <w:style w:type="character" w:styleId="FootnoteReference">
    <w:name w:val="footnote reference"/>
    <w:aliases w:val="ftref"/>
    <w:basedOn w:val="DefaultParagraphFont"/>
    <w:uiPriority w:val="99"/>
    <w:rsid w:val="00C05C71"/>
    <w:rPr>
      <w:rFonts w:cs="Times New Roman"/>
      <w:vertAlign w:val="superscript"/>
    </w:rPr>
  </w:style>
  <w:style w:type="paragraph" w:customStyle="1" w:styleId="Default">
    <w:name w:val="Default"/>
    <w:rsid w:val="00C05C71"/>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BodyText">
    <w:name w:val="Body Text"/>
    <w:basedOn w:val="Normal"/>
    <w:link w:val="BodyTextChar"/>
    <w:rsid w:val="00C05C71"/>
    <w:pPr>
      <w:jc w:val="both"/>
    </w:pPr>
    <w:rPr>
      <w:rFonts w:ascii="Arial" w:hAnsi="Arial" w:cs="Arial"/>
      <w:lang w:val="en-ZA" w:eastAsia="en-US"/>
    </w:rPr>
  </w:style>
  <w:style w:type="character" w:customStyle="1" w:styleId="BodyTextChar">
    <w:name w:val="Body Text Char"/>
    <w:basedOn w:val="DefaultParagraphFont"/>
    <w:link w:val="BodyText"/>
    <w:rsid w:val="00C05C71"/>
    <w:rPr>
      <w:rFonts w:ascii="Arial" w:eastAsia="Times New Roman" w:hAnsi="Arial" w:cs="Arial"/>
      <w:sz w:val="24"/>
      <w:szCs w:val="24"/>
    </w:rPr>
  </w:style>
  <w:style w:type="paragraph" w:styleId="NormalWeb">
    <w:name w:val="Normal (Web)"/>
    <w:basedOn w:val="Normal"/>
    <w:uiPriority w:val="99"/>
    <w:rsid w:val="00C05C71"/>
    <w:pPr>
      <w:spacing w:before="120" w:after="216"/>
    </w:pPr>
  </w:style>
  <w:style w:type="character" w:styleId="Strong">
    <w:name w:val="Strong"/>
    <w:basedOn w:val="DefaultParagraphFont"/>
    <w:qFormat/>
    <w:rsid w:val="00C05C71"/>
    <w:rPr>
      <w:b/>
      <w:bCs/>
    </w:rPr>
  </w:style>
  <w:style w:type="paragraph" w:customStyle="1" w:styleId="ColorfulList-Accent11">
    <w:name w:val="Colorful List - Accent 11"/>
    <w:basedOn w:val="Normal"/>
    <w:qFormat/>
    <w:rsid w:val="00C05C71"/>
    <w:pPr>
      <w:spacing w:after="200" w:line="276" w:lineRule="auto"/>
      <w:ind w:left="720"/>
      <w:contextualSpacing/>
    </w:pPr>
    <w:rPr>
      <w:rFonts w:ascii="Calibri" w:eastAsia="Calibri" w:hAnsi="Calibri"/>
      <w:sz w:val="22"/>
      <w:szCs w:val="22"/>
      <w:lang w:val="en-ZA" w:eastAsia="en-US"/>
    </w:rPr>
  </w:style>
  <w:style w:type="paragraph" w:customStyle="1" w:styleId="Style0">
    <w:name w:val="Style0"/>
    <w:rsid w:val="00C05C71"/>
    <w:pPr>
      <w:autoSpaceDE w:val="0"/>
      <w:autoSpaceDN w:val="0"/>
      <w:adjustRightInd w:val="0"/>
      <w:spacing w:after="0" w:line="240" w:lineRule="auto"/>
    </w:pPr>
    <w:rPr>
      <w:rFonts w:ascii="Arial" w:eastAsia="Times New Roman" w:hAnsi="Arial" w:cs="Times New Roman"/>
      <w:sz w:val="24"/>
      <w:szCs w:val="24"/>
      <w:lang w:val="en-GB" w:eastAsia="en-GB"/>
    </w:rPr>
  </w:style>
  <w:style w:type="character" w:customStyle="1" w:styleId="st">
    <w:name w:val="st"/>
    <w:basedOn w:val="DefaultParagraphFont"/>
    <w:rsid w:val="00C05C71"/>
  </w:style>
  <w:style w:type="character" w:styleId="Emphasis">
    <w:name w:val="Emphasis"/>
    <w:basedOn w:val="DefaultParagraphFont"/>
    <w:qFormat/>
    <w:rsid w:val="00C05C71"/>
    <w:rPr>
      <w:i/>
      <w:iCs/>
    </w:rPr>
  </w:style>
  <w:style w:type="character" w:customStyle="1" w:styleId="apple-converted-space">
    <w:name w:val="apple-converted-space"/>
    <w:basedOn w:val="DefaultParagraphFont"/>
    <w:rsid w:val="00C05C71"/>
  </w:style>
  <w:style w:type="paragraph" w:styleId="BalloonText">
    <w:name w:val="Balloon Text"/>
    <w:basedOn w:val="Normal"/>
    <w:link w:val="BalloonTextChar"/>
    <w:rsid w:val="00C05C71"/>
    <w:rPr>
      <w:rFonts w:ascii="Tahoma" w:hAnsi="Tahoma" w:cs="Tahoma"/>
      <w:sz w:val="16"/>
      <w:szCs w:val="16"/>
    </w:rPr>
  </w:style>
  <w:style w:type="character" w:customStyle="1" w:styleId="BalloonTextChar">
    <w:name w:val="Balloon Text Char"/>
    <w:basedOn w:val="DefaultParagraphFont"/>
    <w:link w:val="BalloonText"/>
    <w:rsid w:val="00C05C71"/>
    <w:rPr>
      <w:rFonts w:ascii="Tahoma" w:eastAsia="Times New Roman" w:hAnsi="Tahoma" w:cs="Tahoma"/>
      <w:sz w:val="16"/>
      <w:szCs w:val="16"/>
      <w:lang w:val="en-GB" w:eastAsia="en-GB"/>
    </w:rPr>
  </w:style>
  <w:style w:type="character" w:styleId="CommentReference">
    <w:name w:val="annotation reference"/>
    <w:basedOn w:val="DefaultParagraphFont"/>
    <w:semiHidden/>
    <w:unhideWhenUsed/>
    <w:rsid w:val="00202928"/>
    <w:rPr>
      <w:sz w:val="16"/>
      <w:szCs w:val="16"/>
    </w:rPr>
  </w:style>
  <w:style w:type="paragraph" w:styleId="CommentText">
    <w:name w:val="annotation text"/>
    <w:basedOn w:val="Normal"/>
    <w:link w:val="CommentTextChar"/>
    <w:uiPriority w:val="99"/>
    <w:semiHidden/>
    <w:unhideWhenUsed/>
    <w:rsid w:val="003422BD"/>
    <w:pPr>
      <w:spacing w:after="160"/>
    </w:pPr>
    <w:rPr>
      <w:rFonts w:asciiTheme="minorHAnsi" w:eastAsiaTheme="minorHAnsi" w:hAnsiTheme="minorHAnsi" w:cstheme="minorBidi"/>
      <w:sz w:val="20"/>
      <w:szCs w:val="20"/>
      <w:lang w:val="en-ZA" w:eastAsia="en-US"/>
    </w:rPr>
  </w:style>
  <w:style w:type="character" w:customStyle="1" w:styleId="CommentTextChar">
    <w:name w:val="Comment Text Char"/>
    <w:basedOn w:val="DefaultParagraphFont"/>
    <w:link w:val="CommentText"/>
    <w:uiPriority w:val="99"/>
    <w:semiHidden/>
    <w:rsid w:val="003422BD"/>
    <w:rPr>
      <w:sz w:val="20"/>
      <w:szCs w:val="20"/>
    </w:rPr>
  </w:style>
  <w:style w:type="table" w:customStyle="1" w:styleId="TableGrid2">
    <w:name w:val="Table Grid2"/>
    <w:basedOn w:val="TableNormal"/>
    <w:next w:val="TableGrid"/>
    <w:uiPriority w:val="39"/>
    <w:rsid w:val="008C6F52"/>
    <w:pPr>
      <w:spacing w:after="0" w:line="240" w:lineRule="auto"/>
    </w:pPr>
    <w:rPr>
      <w:rFonts w:ascii="Times New Roman" w:eastAsia="Times New Roman"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39"/>
    <w:rsid w:val="00E71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F6B38"/>
    <w:pPr>
      <w:spacing w:after="0"/>
    </w:pPr>
    <w:rPr>
      <w:rFonts w:ascii="Times New Roman" w:eastAsia="Times New Roman" w:hAnsi="Times New Roman" w:cs="Times New Roman"/>
      <w:b/>
      <w:bCs/>
      <w:lang w:val="en-GB" w:eastAsia="en-GB"/>
    </w:rPr>
  </w:style>
  <w:style w:type="character" w:customStyle="1" w:styleId="CommentSubjectChar">
    <w:name w:val="Comment Subject Char"/>
    <w:basedOn w:val="CommentTextChar"/>
    <w:link w:val="CommentSubject"/>
    <w:uiPriority w:val="99"/>
    <w:semiHidden/>
    <w:rsid w:val="007F6B38"/>
    <w:rPr>
      <w:rFonts w:ascii="Times New Roman" w:eastAsia="Times New Roman" w:hAnsi="Times New Roman" w:cs="Times New Roman"/>
      <w:b/>
      <w:bCs/>
      <w:sz w:val="20"/>
      <w:szCs w:val="20"/>
      <w:lang w:val="en-GB" w:eastAsia="en-GB"/>
    </w:rPr>
  </w:style>
  <w:style w:type="paragraph" w:styleId="Revision">
    <w:name w:val="Revision"/>
    <w:hidden/>
    <w:uiPriority w:val="99"/>
    <w:semiHidden/>
    <w:rsid w:val="0078546E"/>
    <w:pPr>
      <w:spacing w:after="0"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C71"/>
    <w:pPr>
      <w:spacing w:after="0" w:line="240" w:lineRule="auto"/>
    </w:pPr>
    <w:rPr>
      <w:rFonts w:ascii="Times New Roman" w:eastAsia="Times New Roman" w:hAnsi="Times New Roman" w:cs="Times New Roman"/>
      <w:sz w:val="24"/>
      <w:szCs w:val="24"/>
      <w:lang w:val="en-GB" w:eastAsia="en-GB"/>
    </w:rPr>
  </w:style>
  <w:style w:type="paragraph" w:styleId="Heading1">
    <w:name w:val="heading 1"/>
    <w:aliases w:val="Heading 11"/>
    <w:basedOn w:val="Normal"/>
    <w:next w:val="Heading2"/>
    <w:link w:val="Heading1Char"/>
    <w:qFormat/>
    <w:rsid w:val="00C05C71"/>
    <w:pPr>
      <w:keepNext/>
      <w:keepLines/>
      <w:numPr>
        <w:numId w:val="2"/>
      </w:numPr>
      <w:spacing w:after="240"/>
      <w:jc w:val="both"/>
      <w:outlineLvl w:val="0"/>
    </w:pPr>
    <w:rPr>
      <w:rFonts w:ascii="Arial" w:eastAsia="Batang" w:hAnsi="Arial"/>
      <w:b/>
      <w:caps/>
      <w:spacing w:val="20"/>
      <w:sz w:val="26"/>
      <w:szCs w:val="20"/>
      <w:u w:val="single"/>
      <w:lang w:val="en-ZA" w:eastAsia="en-US"/>
    </w:rPr>
  </w:style>
  <w:style w:type="paragraph" w:styleId="Heading2">
    <w:name w:val="heading 2"/>
    <w:aliases w:val="Heading 21"/>
    <w:basedOn w:val="Normal"/>
    <w:next w:val="Normal"/>
    <w:link w:val="Heading2Char"/>
    <w:qFormat/>
    <w:rsid w:val="00C05C71"/>
    <w:pPr>
      <w:keepNext/>
      <w:keepLines/>
      <w:numPr>
        <w:ilvl w:val="1"/>
        <w:numId w:val="2"/>
      </w:numPr>
      <w:spacing w:after="240"/>
      <w:jc w:val="both"/>
      <w:outlineLvl w:val="1"/>
    </w:pPr>
    <w:rPr>
      <w:rFonts w:ascii="Arial" w:eastAsia="Batang" w:hAnsi="Arial"/>
      <w:b/>
      <w:caps/>
      <w:szCs w:val="20"/>
      <w:lang w:val="en-ZA" w:eastAsia="en-US"/>
    </w:rPr>
  </w:style>
  <w:style w:type="paragraph" w:styleId="Heading3">
    <w:name w:val="heading 3"/>
    <w:basedOn w:val="Normal"/>
    <w:next w:val="Normal"/>
    <w:link w:val="Heading3Char"/>
    <w:qFormat/>
    <w:rsid w:val="00C05C71"/>
    <w:pPr>
      <w:keepNext/>
      <w:keepLines/>
      <w:numPr>
        <w:ilvl w:val="2"/>
        <w:numId w:val="2"/>
      </w:numPr>
      <w:spacing w:after="240"/>
      <w:jc w:val="both"/>
      <w:outlineLvl w:val="2"/>
    </w:pPr>
    <w:rPr>
      <w:rFonts w:ascii="Arial" w:eastAsia="Batang" w:hAnsi="Arial"/>
      <w:b/>
      <w:szCs w:val="20"/>
      <w:u w:val="single"/>
      <w:lang w:val="en-ZA" w:eastAsia="en-US"/>
    </w:rPr>
  </w:style>
  <w:style w:type="paragraph" w:styleId="Heading4">
    <w:name w:val="heading 4"/>
    <w:basedOn w:val="Normal"/>
    <w:next w:val="Normal"/>
    <w:link w:val="Heading4Char"/>
    <w:qFormat/>
    <w:rsid w:val="00C05C71"/>
    <w:pPr>
      <w:keepNext/>
      <w:numPr>
        <w:ilvl w:val="3"/>
        <w:numId w:val="2"/>
      </w:numPr>
      <w:spacing w:before="240" w:after="60"/>
      <w:jc w:val="both"/>
      <w:outlineLvl w:val="3"/>
    </w:pPr>
    <w:rPr>
      <w:rFonts w:eastAsia="Batang"/>
      <w:b/>
      <w:i/>
      <w:szCs w:val="20"/>
      <w:lang w:val="en-ZA" w:eastAsia="en-US"/>
    </w:rPr>
  </w:style>
  <w:style w:type="paragraph" w:styleId="Heading5">
    <w:name w:val="heading 5"/>
    <w:basedOn w:val="Normal"/>
    <w:next w:val="Normal"/>
    <w:link w:val="Heading5Char"/>
    <w:qFormat/>
    <w:rsid w:val="00C05C71"/>
    <w:pPr>
      <w:numPr>
        <w:ilvl w:val="4"/>
        <w:numId w:val="2"/>
      </w:numPr>
      <w:spacing w:before="240" w:after="60"/>
      <w:jc w:val="both"/>
      <w:outlineLvl w:val="4"/>
    </w:pPr>
    <w:rPr>
      <w:rFonts w:ascii="Arial" w:eastAsia="Batang" w:hAnsi="Arial"/>
      <w:sz w:val="22"/>
      <w:szCs w:val="20"/>
      <w:lang w:val="en-ZA" w:eastAsia="en-US"/>
    </w:rPr>
  </w:style>
  <w:style w:type="paragraph" w:styleId="Heading6">
    <w:name w:val="heading 6"/>
    <w:basedOn w:val="Normal"/>
    <w:next w:val="Normal"/>
    <w:link w:val="Heading6Char"/>
    <w:qFormat/>
    <w:rsid w:val="00C05C71"/>
    <w:pPr>
      <w:numPr>
        <w:ilvl w:val="5"/>
        <w:numId w:val="2"/>
      </w:numPr>
      <w:spacing w:before="240" w:after="60"/>
      <w:jc w:val="both"/>
      <w:outlineLvl w:val="5"/>
    </w:pPr>
    <w:rPr>
      <w:rFonts w:ascii="Arial" w:eastAsia="Batang" w:hAnsi="Arial"/>
      <w:i/>
      <w:sz w:val="22"/>
      <w:szCs w:val="20"/>
      <w:lang w:val="en-ZA" w:eastAsia="en-US"/>
    </w:rPr>
  </w:style>
  <w:style w:type="paragraph" w:styleId="Heading7">
    <w:name w:val="heading 7"/>
    <w:basedOn w:val="Normal"/>
    <w:next w:val="Normal"/>
    <w:link w:val="Heading7Char"/>
    <w:qFormat/>
    <w:rsid w:val="00C05C71"/>
    <w:pPr>
      <w:numPr>
        <w:ilvl w:val="6"/>
        <w:numId w:val="2"/>
      </w:numPr>
      <w:spacing w:before="240" w:after="60"/>
      <w:jc w:val="both"/>
      <w:outlineLvl w:val="6"/>
    </w:pPr>
    <w:rPr>
      <w:rFonts w:ascii="Arial" w:eastAsia="Batang" w:hAnsi="Arial"/>
      <w:sz w:val="20"/>
      <w:szCs w:val="20"/>
      <w:lang w:val="en-ZA" w:eastAsia="en-US"/>
    </w:rPr>
  </w:style>
  <w:style w:type="paragraph" w:styleId="Heading8">
    <w:name w:val="heading 8"/>
    <w:basedOn w:val="Normal"/>
    <w:next w:val="Normal"/>
    <w:link w:val="Heading8Char"/>
    <w:qFormat/>
    <w:rsid w:val="00C05C71"/>
    <w:pPr>
      <w:numPr>
        <w:ilvl w:val="7"/>
        <w:numId w:val="2"/>
      </w:numPr>
      <w:spacing w:before="240" w:after="60"/>
      <w:jc w:val="both"/>
      <w:outlineLvl w:val="7"/>
    </w:pPr>
    <w:rPr>
      <w:rFonts w:ascii="Arial" w:eastAsia="Batang" w:hAnsi="Arial"/>
      <w:i/>
      <w:sz w:val="20"/>
      <w:szCs w:val="20"/>
      <w:lang w:val="en-ZA" w:eastAsia="en-US"/>
    </w:rPr>
  </w:style>
  <w:style w:type="paragraph" w:styleId="Heading9">
    <w:name w:val="heading 9"/>
    <w:basedOn w:val="Normal"/>
    <w:next w:val="Normal"/>
    <w:link w:val="Heading9Char"/>
    <w:qFormat/>
    <w:rsid w:val="00C05C71"/>
    <w:pPr>
      <w:numPr>
        <w:ilvl w:val="8"/>
        <w:numId w:val="2"/>
      </w:numPr>
      <w:spacing w:before="240" w:after="60"/>
      <w:jc w:val="both"/>
      <w:outlineLvl w:val="8"/>
    </w:pPr>
    <w:rPr>
      <w:rFonts w:ascii="Arial" w:eastAsia="Batang" w:hAnsi="Arial"/>
      <w:i/>
      <w:sz w:val="18"/>
      <w:szCs w:val="20"/>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1 Char"/>
    <w:basedOn w:val="DefaultParagraphFont"/>
    <w:link w:val="Heading1"/>
    <w:rsid w:val="00C05C71"/>
    <w:rPr>
      <w:rFonts w:ascii="Arial" w:eastAsia="Batang" w:hAnsi="Arial" w:cs="Times New Roman"/>
      <w:b/>
      <w:caps/>
      <w:spacing w:val="20"/>
      <w:sz w:val="26"/>
      <w:szCs w:val="20"/>
      <w:u w:val="single"/>
    </w:rPr>
  </w:style>
  <w:style w:type="character" w:customStyle="1" w:styleId="Heading2Char">
    <w:name w:val="Heading 2 Char"/>
    <w:aliases w:val="Heading 21 Char"/>
    <w:basedOn w:val="DefaultParagraphFont"/>
    <w:link w:val="Heading2"/>
    <w:rsid w:val="00C05C71"/>
    <w:rPr>
      <w:rFonts w:ascii="Arial" w:eastAsia="Batang" w:hAnsi="Arial" w:cs="Times New Roman"/>
      <w:b/>
      <w:caps/>
      <w:sz w:val="24"/>
      <w:szCs w:val="20"/>
    </w:rPr>
  </w:style>
  <w:style w:type="character" w:customStyle="1" w:styleId="Heading3Char">
    <w:name w:val="Heading 3 Char"/>
    <w:basedOn w:val="DefaultParagraphFont"/>
    <w:link w:val="Heading3"/>
    <w:rsid w:val="00C05C71"/>
    <w:rPr>
      <w:rFonts w:ascii="Arial" w:eastAsia="Batang" w:hAnsi="Arial" w:cs="Times New Roman"/>
      <w:b/>
      <w:sz w:val="24"/>
      <w:szCs w:val="20"/>
      <w:u w:val="single"/>
    </w:rPr>
  </w:style>
  <w:style w:type="character" w:customStyle="1" w:styleId="Heading4Char">
    <w:name w:val="Heading 4 Char"/>
    <w:basedOn w:val="DefaultParagraphFont"/>
    <w:link w:val="Heading4"/>
    <w:rsid w:val="00C05C71"/>
    <w:rPr>
      <w:rFonts w:ascii="Times New Roman" w:eastAsia="Batang" w:hAnsi="Times New Roman" w:cs="Times New Roman"/>
      <w:b/>
      <w:i/>
      <w:sz w:val="24"/>
      <w:szCs w:val="20"/>
    </w:rPr>
  </w:style>
  <w:style w:type="character" w:customStyle="1" w:styleId="Heading5Char">
    <w:name w:val="Heading 5 Char"/>
    <w:basedOn w:val="DefaultParagraphFont"/>
    <w:link w:val="Heading5"/>
    <w:rsid w:val="00C05C71"/>
    <w:rPr>
      <w:rFonts w:ascii="Arial" w:eastAsia="Batang" w:hAnsi="Arial" w:cs="Times New Roman"/>
      <w:szCs w:val="20"/>
    </w:rPr>
  </w:style>
  <w:style w:type="character" w:customStyle="1" w:styleId="Heading6Char">
    <w:name w:val="Heading 6 Char"/>
    <w:basedOn w:val="DefaultParagraphFont"/>
    <w:link w:val="Heading6"/>
    <w:rsid w:val="00C05C71"/>
    <w:rPr>
      <w:rFonts w:ascii="Arial" w:eastAsia="Batang" w:hAnsi="Arial" w:cs="Times New Roman"/>
      <w:i/>
      <w:szCs w:val="20"/>
    </w:rPr>
  </w:style>
  <w:style w:type="character" w:customStyle="1" w:styleId="Heading7Char">
    <w:name w:val="Heading 7 Char"/>
    <w:basedOn w:val="DefaultParagraphFont"/>
    <w:link w:val="Heading7"/>
    <w:rsid w:val="00C05C71"/>
    <w:rPr>
      <w:rFonts w:ascii="Arial" w:eastAsia="Batang" w:hAnsi="Arial" w:cs="Times New Roman"/>
      <w:sz w:val="20"/>
      <w:szCs w:val="20"/>
    </w:rPr>
  </w:style>
  <w:style w:type="character" w:customStyle="1" w:styleId="Heading8Char">
    <w:name w:val="Heading 8 Char"/>
    <w:basedOn w:val="DefaultParagraphFont"/>
    <w:link w:val="Heading8"/>
    <w:rsid w:val="00C05C71"/>
    <w:rPr>
      <w:rFonts w:ascii="Arial" w:eastAsia="Batang" w:hAnsi="Arial" w:cs="Times New Roman"/>
      <w:i/>
      <w:sz w:val="20"/>
      <w:szCs w:val="20"/>
    </w:rPr>
  </w:style>
  <w:style w:type="character" w:customStyle="1" w:styleId="Heading9Char">
    <w:name w:val="Heading 9 Char"/>
    <w:basedOn w:val="DefaultParagraphFont"/>
    <w:link w:val="Heading9"/>
    <w:rsid w:val="00C05C71"/>
    <w:rPr>
      <w:rFonts w:ascii="Arial" w:eastAsia="Batang" w:hAnsi="Arial" w:cs="Times New Roman"/>
      <w:i/>
      <w:sz w:val="18"/>
      <w:szCs w:val="20"/>
    </w:rPr>
  </w:style>
  <w:style w:type="paragraph" w:customStyle="1" w:styleId="NumberedListing">
    <w:name w:val="Numbered Listing"/>
    <w:basedOn w:val="Normal"/>
    <w:autoRedefine/>
    <w:rsid w:val="00C05C71"/>
    <w:pPr>
      <w:spacing w:line="280" w:lineRule="exact"/>
      <w:jc w:val="both"/>
    </w:pPr>
    <w:rPr>
      <w:rFonts w:ascii="Arial" w:hAnsi="Arial" w:cs="Arial"/>
      <w:b/>
      <w:sz w:val="22"/>
      <w:szCs w:val="22"/>
      <w:lang w:val="en-ZA"/>
    </w:rPr>
  </w:style>
  <w:style w:type="paragraph" w:customStyle="1" w:styleId="BodySingle">
    <w:name w:val="Body Single"/>
    <w:rsid w:val="00C05C71"/>
    <w:pPr>
      <w:spacing w:after="0" w:line="240" w:lineRule="auto"/>
      <w:ind w:left="720"/>
      <w:jc w:val="both"/>
    </w:pPr>
    <w:rPr>
      <w:rFonts w:ascii="Arial" w:eastAsia="Times New Roman" w:hAnsi="Arial" w:cs="Times New Roman"/>
      <w:i/>
      <w:noProof/>
      <w:sz w:val="20"/>
      <w:szCs w:val="20"/>
      <w:lang w:val="en-US"/>
    </w:rPr>
  </w:style>
  <w:style w:type="paragraph" w:customStyle="1" w:styleId="AGHeading1blue">
    <w:name w:val="AG Heading 1 blue"/>
    <w:basedOn w:val="Normal"/>
    <w:link w:val="AGHeading1blueCharChar"/>
    <w:rsid w:val="00C05C71"/>
    <w:pPr>
      <w:spacing w:after="400"/>
    </w:pPr>
    <w:rPr>
      <w:rFonts w:ascii="Arial Black" w:hAnsi="Arial Black"/>
      <w:caps/>
      <w:color w:val="022B69"/>
      <w:sz w:val="30"/>
      <w:szCs w:val="30"/>
      <w:lang w:val="en-ZA"/>
    </w:rPr>
  </w:style>
  <w:style w:type="character" w:customStyle="1" w:styleId="AGHeading1blueCharChar">
    <w:name w:val="AG Heading 1 blue Char Char"/>
    <w:basedOn w:val="DefaultParagraphFont"/>
    <w:link w:val="AGHeading1blue"/>
    <w:rsid w:val="00C05C71"/>
    <w:rPr>
      <w:rFonts w:ascii="Arial Black" w:eastAsia="Times New Roman" w:hAnsi="Arial Black" w:cs="Times New Roman"/>
      <w:caps/>
      <w:color w:val="022B69"/>
      <w:sz w:val="30"/>
      <w:szCs w:val="30"/>
      <w:lang w:eastAsia="en-GB"/>
    </w:rPr>
  </w:style>
  <w:style w:type="table" w:styleId="TableGrid">
    <w:name w:val="Table Grid"/>
    <w:basedOn w:val="TableNormal"/>
    <w:uiPriority w:val="39"/>
    <w:rsid w:val="00C05C7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05C71"/>
    <w:pPr>
      <w:tabs>
        <w:tab w:val="center" w:pos="4153"/>
        <w:tab w:val="right" w:pos="8306"/>
      </w:tabs>
    </w:pPr>
  </w:style>
  <w:style w:type="character" w:customStyle="1" w:styleId="FooterChar">
    <w:name w:val="Footer Char"/>
    <w:basedOn w:val="DefaultParagraphFont"/>
    <w:link w:val="Footer"/>
    <w:uiPriority w:val="99"/>
    <w:rsid w:val="00C05C71"/>
    <w:rPr>
      <w:rFonts w:ascii="Times New Roman" w:eastAsia="Times New Roman" w:hAnsi="Times New Roman" w:cs="Times New Roman"/>
      <w:sz w:val="24"/>
      <w:szCs w:val="24"/>
      <w:lang w:val="en-GB" w:eastAsia="en-GB"/>
    </w:rPr>
  </w:style>
  <w:style w:type="character" w:styleId="PageNumber">
    <w:name w:val="page number"/>
    <w:basedOn w:val="DefaultParagraphFont"/>
    <w:rsid w:val="00C05C71"/>
  </w:style>
  <w:style w:type="paragraph" w:styleId="Header">
    <w:name w:val="header"/>
    <w:basedOn w:val="Normal"/>
    <w:link w:val="HeaderChar"/>
    <w:rsid w:val="00C05C71"/>
    <w:pPr>
      <w:tabs>
        <w:tab w:val="center" w:pos="4153"/>
        <w:tab w:val="right" w:pos="8306"/>
      </w:tabs>
    </w:pPr>
  </w:style>
  <w:style w:type="character" w:customStyle="1" w:styleId="HeaderChar">
    <w:name w:val="Header Char"/>
    <w:basedOn w:val="DefaultParagraphFont"/>
    <w:link w:val="Header"/>
    <w:rsid w:val="00C05C71"/>
    <w:rPr>
      <w:rFonts w:ascii="Times New Roman" w:eastAsia="Times New Roman" w:hAnsi="Times New Roman" w:cs="Times New Roman"/>
      <w:sz w:val="24"/>
      <w:szCs w:val="24"/>
      <w:lang w:val="en-GB" w:eastAsia="en-GB"/>
    </w:rPr>
  </w:style>
  <w:style w:type="paragraph" w:styleId="ListParagraph">
    <w:name w:val="List Paragraph"/>
    <w:aliases w:val="List Paragraph 1,Bullets"/>
    <w:basedOn w:val="Normal"/>
    <w:link w:val="ListParagraphChar"/>
    <w:uiPriority w:val="34"/>
    <w:qFormat/>
    <w:rsid w:val="00C05C71"/>
    <w:pPr>
      <w:ind w:left="720"/>
    </w:pPr>
  </w:style>
  <w:style w:type="character" w:customStyle="1" w:styleId="ListParagraphChar">
    <w:name w:val="List Paragraph Char"/>
    <w:aliases w:val="List Paragraph 1 Char,Bullets Char"/>
    <w:basedOn w:val="DefaultParagraphFont"/>
    <w:link w:val="ListParagraph"/>
    <w:uiPriority w:val="34"/>
    <w:locked/>
    <w:rsid w:val="00C05C71"/>
    <w:rPr>
      <w:rFonts w:ascii="Times New Roman" w:eastAsia="Times New Roman" w:hAnsi="Times New Roman" w:cs="Times New Roman"/>
      <w:sz w:val="24"/>
      <w:szCs w:val="24"/>
      <w:lang w:val="en-GB" w:eastAsia="en-GB"/>
    </w:rPr>
  </w:style>
  <w:style w:type="character" w:styleId="Hyperlink">
    <w:name w:val="Hyperlink"/>
    <w:basedOn w:val="DefaultParagraphFont"/>
    <w:rsid w:val="00C05C71"/>
    <w:rPr>
      <w:rFonts w:cs="Times New Roman"/>
      <w:color w:val="0000FF"/>
      <w:u w:val="single"/>
    </w:rPr>
  </w:style>
  <w:style w:type="paragraph" w:styleId="FootnoteText">
    <w:name w:val="footnote text"/>
    <w:aliases w:val="Footnote Text Char1,Footnote Text Char Char,fn Char,ft"/>
    <w:basedOn w:val="Normal"/>
    <w:link w:val="FootnoteTextChar"/>
    <w:uiPriority w:val="99"/>
    <w:rsid w:val="00C05C71"/>
    <w:rPr>
      <w:rFonts w:ascii="Arial" w:eastAsia="Calibri" w:hAnsi="Arial"/>
      <w:color w:val="000000"/>
      <w:spacing w:val="6"/>
      <w:sz w:val="20"/>
      <w:szCs w:val="20"/>
    </w:rPr>
  </w:style>
  <w:style w:type="character" w:customStyle="1" w:styleId="FootnoteTextChar">
    <w:name w:val="Footnote Text Char"/>
    <w:aliases w:val="Footnote Text Char1 Char,Footnote Text Char Char Char,fn Char Char,ft Char"/>
    <w:basedOn w:val="DefaultParagraphFont"/>
    <w:link w:val="FootnoteText"/>
    <w:uiPriority w:val="99"/>
    <w:rsid w:val="00C05C71"/>
    <w:rPr>
      <w:rFonts w:ascii="Arial" w:eastAsia="Calibri" w:hAnsi="Arial" w:cs="Times New Roman"/>
      <w:color w:val="000000"/>
      <w:spacing w:val="6"/>
      <w:sz w:val="20"/>
      <w:szCs w:val="20"/>
      <w:lang w:val="en-GB" w:eastAsia="en-GB"/>
    </w:rPr>
  </w:style>
  <w:style w:type="character" w:styleId="FootnoteReference">
    <w:name w:val="footnote reference"/>
    <w:aliases w:val="ftref"/>
    <w:basedOn w:val="DefaultParagraphFont"/>
    <w:uiPriority w:val="99"/>
    <w:rsid w:val="00C05C71"/>
    <w:rPr>
      <w:rFonts w:cs="Times New Roman"/>
      <w:vertAlign w:val="superscript"/>
    </w:rPr>
  </w:style>
  <w:style w:type="paragraph" w:customStyle="1" w:styleId="Default">
    <w:name w:val="Default"/>
    <w:rsid w:val="00C05C71"/>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BodyText">
    <w:name w:val="Body Text"/>
    <w:basedOn w:val="Normal"/>
    <w:link w:val="BodyTextChar"/>
    <w:rsid w:val="00C05C71"/>
    <w:pPr>
      <w:jc w:val="both"/>
    </w:pPr>
    <w:rPr>
      <w:rFonts w:ascii="Arial" w:hAnsi="Arial" w:cs="Arial"/>
      <w:lang w:val="en-ZA" w:eastAsia="en-US"/>
    </w:rPr>
  </w:style>
  <w:style w:type="character" w:customStyle="1" w:styleId="BodyTextChar">
    <w:name w:val="Body Text Char"/>
    <w:basedOn w:val="DefaultParagraphFont"/>
    <w:link w:val="BodyText"/>
    <w:rsid w:val="00C05C71"/>
    <w:rPr>
      <w:rFonts w:ascii="Arial" w:eastAsia="Times New Roman" w:hAnsi="Arial" w:cs="Arial"/>
      <w:sz w:val="24"/>
      <w:szCs w:val="24"/>
    </w:rPr>
  </w:style>
  <w:style w:type="paragraph" w:styleId="NormalWeb">
    <w:name w:val="Normal (Web)"/>
    <w:basedOn w:val="Normal"/>
    <w:uiPriority w:val="99"/>
    <w:rsid w:val="00C05C71"/>
    <w:pPr>
      <w:spacing w:before="120" w:after="216"/>
    </w:pPr>
  </w:style>
  <w:style w:type="character" w:styleId="Strong">
    <w:name w:val="Strong"/>
    <w:basedOn w:val="DefaultParagraphFont"/>
    <w:qFormat/>
    <w:rsid w:val="00C05C71"/>
    <w:rPr>
      <w:b/>
      <w:bCs/>
    </w:rPr>
  </w:style>
  <w:style w:type="paragraph" w:customStyle="1" w:styleId="ColorfulList-Accent11">
    <w:name w:val="Colorful List - Accent 11"/>
    <w:basedOn w:val="Normal"/>
    <w:qFormat/>
    <w:rsid w:val="00C05C71"/>
    <w:pPr>
      <w:spacing w:after="200" w:line="276" w:lineRule="auto"/>
      <w:ind w:left="720"/>
      <w:contextualSpacing/>
    </w:pPr>
    <w:rPr>
      <w:rFonts w:ascii="Calibri" w:eastAsia="Calibri" w:hAnsi="Calibri"/>
      <w:sz w:val="22"/>
      <w:szCs w:val="22"/>
      <w:lang w:val="en-ZA" w:eastAsia="en-US"/>
    </w:rPr>
  </w:style>
  <w:style w:type="paragraph" w:customStyle="1" w:styleId="Style0">
    <w:name w:val="Style0"/>
    <w:rsid w:val="00C05C71"/>
    <w:pPr>
      <w:autoSpaceDE w:val="0"/>
      <w:autoSpaceDN w:val="0"/>
      <w:adjustRightInd w:val="0"/>
      <w:spacing w:after="0" w:line="240" w:lineRule="auto"/>
    </w:pPr>
    <w:rPr>
      <w:rFonts w:ascii="Arial" w:eastAsia="Times New Roman" w:hAnsi="Arial" w:cs="Times New Roman"/>
      <w:sz w:val="24"/>
      <w:szCs w:val="24"/>
      <w:lang w:val="en-GB" w:eastAsia="en-GB"/>
    </w:rPr>
  </w:style>
  <w:style w:type="character" w:customStyle="1" w:styleId="st">
    <w:name w:val="st"/>
    <w:basedOn w:val="DefaultParagraphFont"/>
    <w:rsid w:val="00C05C71"/>
  </w:style>
  <w:style w:type="character" w:styleId="Emphasis">
    <w:name w:val="Emphasis"/>
    <w:basedOn w:val="DefaultParagraphFont"/>
    <w:qFormat/>
    <w:rsid w:val="00C05C71"/>
    <w:rPr>
      <w:i/>
      <w:iCs/>
    </w:rPr>
  </w:style>
  <w:style w:type="character" w:customStyle="1" w:styleId="apple-converted-space">
    <w:name w:val="apple-converted-space"/>
    <w:basedOn w:val="DefaultParagraphFont"/>
    <w:rsid w:val="00C05C71"/>
  </w:style>
  <w:style w:type="paragraph" w:styleId="BalloonText">
    <w:name w:val="Balloon Text"/>
    <w:basedOn w:val="Normal"/>
    <w:link w:val="BalloonTextChar"/>
    <w:rsid w:val="00C05C71"/>
    <w:rPr>
      <w:rFonts w:ascii="Tahoma" w:hAnsi="Tahoma" w:cs="Tahoma"/>
      <w:sz w:val="16"/>
      <w:szCs w:val="16"/>
    </w:rPr>
  </w:style>
  <w:style w:type="character" w:customStyle="1" w:styleId="BalloonTextChar">
    <w:name w:val="Balloon Text Char"/>
    <w:basedOn w:val="DefaultParagraphFont"/>
    <w:link w:val="BalloonText"/>
    <w:rsid w:val="00C05C71"/>
    <w:rPr>
      <w:rFonts w:ascii="Tahoma" w:eastAsia="Times New Roman" w:hAnsi="Tahoma" w:cs="Tahoma"/>
      <w:sz w:val="16"/>
      <w:szCs w:val="16"/>
      <w:lang w:val="en-GB" w:eastAsia="en-GB"/>
    </w:rPr>
  </w:style>
  <w:style w:type="character" w:styleId="CommentReference">
    <w:name w:val="annotation reference"/>
    <w:basedOn w:val="DefaultParagraphFont"/>
    <w:semiHidden/>
    <w:unhideWhenUsed/>
    <w:rsid w:val="00202928"/>
    <w:rPr>
      <w:sz w:val="16"/>
      <w:szCs w:val="16"/>
    </w:rPr>
  </w:style>
  <w:style w:type="paragraph" w:styleId="CommentText">
    <w:name w:val="annotation text"/>
    <w:basedOn w:val="Normal"/>
    <w:link w:val="CommentTextChar"/>
    <w:uiPriority w:val="99"/>
    <w:semiHidden/>
    <w:unhideWhenUsed/>
    <w:rsid w:val="003422BD"/>
    <w:pPr>
      <w:spacing w:after="160"/>
    </w:pPr>
    <w:rPr>
      <w:rFonts w:asciiTheme="minorHAnsi" w:eastAsiaTheme="minorHAnsi" w:hAnsiTheme="minorHAnsi" w:cstheme="minorBidi"/>
      <w:sz w:val="20"/>
      <w:szCs w:val="20"/>
      <w:lang w:val="en-ZA" w:eastAsia="en-US"/>
    </w:rPr>
  </w:style>
  <w:style w:type="character" w:customStyle="1" w:styleId="CommentTextChar">
    <w:name w:val="Comment Text Char"/>
    <w:basedOn w:val="DefaultParagraphFont"/>
    <w:link w:val="CommentText"/>
    <w:uiPriority w:val="99"/>
    <w:semiHidden/>
    <w:rsid w:val="003422BD"/>
    <w:rPr>
      <w:sz w:val="20"/>
      <w:szCs w:val="20"/>
    </w:rPr>
  </w:style>
  <w:style w:type="table" w:customStyle="1" w:styleId="TableGrid2">
    <w:name w:val="Table Grid2"/>
    <w:basedOn w:val="TableNormal"/>
    <w:next w:val="TableGrid"/>
    <w:uiPriority w:val="39"/>
    <w:rsid w:val="008C6F52"/>
    <w:pPr>
      <w:spacing w:after="0" w:line="240" w:lineRule="auto"/>
    </w:pPr>
    <w:rPr>
      <w:rFonts w:ascii="Times New Roman" w:eastAsia="Times New Roman"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39"/>
    <w:rsid w:val="00E71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F6B38"/>
    <w:pPr>
      <w:spacing w:after="0"/>
    </w:pPr>
    <w:rPr>
      <w:rFonts w:ascii="Times New Roman" w:eastAsia="Times New Roman" w:hAnsi="Times New Roman" w:cs="Times New Roman"/>
      <w:b/>
      <w:bCs/>
      <w:lang w:val="en-GB" w:eastAsia="en-GB"/>
    </w:rPr>
  </w:style>
  <w:style w:type="character" w:customStyle="1" w:styleId="CommentSubjectChar">
    <w:name w:val="Comment Subject Char"/>
    <w:basedOn w:val="CommentTextChar"/>
    <w:link w:val="CommentSubject"/>
    <w:uiPriority w:val="99"/>
    <w:semiHidden/>
    <w:rsid w:val="007F6B38"/>
    <w:rPr>
      <w:rFonts w:ascii="Times New Roman" w:eastAsia="Times New Roman" w:hAnsi="Times New Roman" w:cs="Times New Roman"/>
      <w:b/>
      <w:bCs/>
      <w:sz w:val="20"/>
      <w:szCs w:val="20"/>
      <w:lang w:val="en-GB" w:eastAsia="en-GB"/>
    </w:rPr>
  </w:style>
  <w:style w:type="paragraph" w:styleId="Revision">
    <w:name w:val="Revision"/>
    <w:hidden/>
    <w:uiPriority w:val="99"/>
    <w:semiHidden/>
    <w:rsid w:val="0078546E"/>
    <w:pPr>
      <w:spacing w:after="0"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522395">
      <w:bodyDiv w:val="1"/>
      <w:marLeft w:val="0"/>
      <w:marRight w:val="0"/>
      <w:marTop w:val="0"/>
      <w:marBottom w:val="0"/>
      <w:divBdr>
        <w:top w:val="none" w:sz="0" w:space="0" w:color="auto"/>
        <w:left w:val="none" w:sz="0" w:space="0" w:color="auto"/>
        <w:bottom w:val="none" w:sz="0" w:space="0" w:color="auto"/>
        <w:right w:val="none" w:sz="0" w:space="0" w:color="auto"/>
      </w:divBdr>
      <w:divsChild>
        <w:div w:id="1881699223">
          <w:marLeft w:val="547"/>
          <w:marRight w:val="0"/>
          <w:marTop w:val="0"/>
          <w:marBottom w:val="0"/>
          <w:divBdr>
            <w:top w:val="none" w:sz="0" w:space="0" w:color="auto"/>
            <w:left w:val="none" w:sz="0" w:space="0" w:color="auto"/>
            <w:bottom w:val="none" w:sz="0" w:space="0" w:color="auto"/>
            <w:right w:val="none" w:sz="0" w:space="0" w:color="auto"/>
          </w:divBdr>
        </w:div>
        <w:div w:id="747310872">
          <w:marLeft w:val="547"/>
          <w:marRight w:val="0"/>
          <w:marTop w:val="0"/>
          <w:marBottom w:val="0"/>
          <w:divBdr>
            <w:top w:val="none" w:sz="0" w:space="0" w:color="auto"/>
            <w:left w:val="none" w:sz="0" w:space="0" w:color="auto"/>
            <w:bottom w:val="none" w:sz="0" w:space="0" w:color="auto"/>
            <w:right w:val="none" w:sz="0" w:space="0" w:color="auto"/>
          </w:divBdr>
        </w:div>
        <w:div w:id="1491746520">
          <w:marLeft w:val="547"/>
          <w:marRight w:val="0"/>
          <w:marTop w:val="0"/>
          <w:marBottom w:val="0"/>
          <w:divBdr>
            <w:top w:val="none" w:sz="0" w:space="0" w:color="auto"/>
            <w:left w:val="none" w:sz="0" w:space="0" w:color="auto"/>
            <w:bottom w:val="none" w:sz="0" w:space="0" w:color="auto"/>
            <w:right w:val="none" w:sz="0" w:space="0" w:color="auto"/>
          </w:divBdr>
        </w:div>
        <w:div w:id="1671641436">
          <w:marLeft w:val="547"/>
          <w:marRight w:val="0"/>
          <w:marTop w:val="0"/>
          <w:marBottom w:val="0"/>
          <w:divBdr>
            <w:top w:val="none" w:sz="0" w:space="0" w:color="auto"/>
            <w:left w:val="none" w:sz="0" w:space="0" w:color="auto"/>
            <w:bottom w:val="none" w:sz="0" w:space="0" w:color="auto"/>
            <w:right w:val="none" w:sz="0" w:space="0" w:color="auto"/>
          </w:divBdr>
        </w:div>
      </w:divsChild>
    </w:div>
    <w:div w:id="672299767">
      <w:bodyDiv w:val="1"/>
      <w:marLeft w:val="0"/>
      <w:marRight w:val="0"/>
      <w:marTop w:val="0"/>
      <w:marBottom w:val="0"/>
      <w:divBdr>
        <w:top w:val="none" w:sz="0" w:space="0" w:color="auto"/>
        <w:left w:val="none" w:sz="0" w:space="0" w:color="auto"/>
        <w:bottom w:val="none" w:sz="0" w:space="0" w:color="auto"/>
        <w:right w:val="none" w:sz="0" w:space="0" w:color="auto"/>
      </w:divBdr>
      <w:divsChild>
        <w:div w:id="838303355">
          <w:marLeft w:val="677"/>
          <w:marRight w:val="0"/>
          <w:marTop w:val="0"/>
          <w:marBottom w:val="0"/>
          <w:divBdr>
            <w:top w:val="none" w:sz="0" w:space="0" w:color="auto"/>
            <w:left w:val="none" w:sz="0" w:space="0" w:color="auto"/>
            <w:bottom w:val="none" w:sz="0" w:space="0" w:color="auto"/>
            <w:right w:val="none" w:sz="0" w:space="0" w:color="auto"/>
          </w:divBdr>
        </w:div>
        <w:div w:id="1670988392">
          <w:marLeft w:val="677"/>
          <w:marRight w:val="0"/>
          <w:marTop w:val="0"/>
          <w:marBottom w:val="0"/>
          <w:divBdr>
            <w:top w:val="none" w:sz="0" w:space="0" w:color="auto"/>
            <w:left w:val="none" w:sz="0" w:space="0" w:color="auto"/>
            <w:bottom w:val="none" w:sz="0" w:space="0" w:color="auto"/>
            <w:right w:val="none" w:sz="0" w:space="0" w:color="auto"/>
          </w:divBdr>
        </w:div>
        <w:div w:id="1028408434">
          <w:marLeft w:val="677"/>
          <w:marRight w:val="0"/>
          <w:marTop w:val="0"/>
          <w:marBottom w:val="0"/>
          <w:divBdr>
            <w:top w:val="none" w:sz="0" w:space="0" w:color="auto"/>
            <w:left w:val="none" w:sz="0" w:space="0" w:color="auto"/>
            <w:bottom w:val="none" w:sz="0" w:space="0" w:color="auto"/>
            <w:right w:val="none" w:sz="0" w:space="0" w:color="auto"/>
          </w:divBdr>
        </w:div>
        <w:div w:id="1167282425">
          <w:marLeft w:val="677"/>
          <w:marRight w:val="0"/>
          <w:marTop w:val="0"/>
          <w:marBottom w:val="0"/>
          <w:divBdr>
            <w:top w:val="none" w:sz="0" w:space="0" w:color="auto"/>
            <w:left w:val="none" w:sz="0" w:space="0" w:color="auto"/>
            <w:bottom w:val="none" w:sz="0" w:space="0" w:color="auto"/>
            <w:right w:val="none" w:sz="0" w:space="0" w:color="auto"/>
          </w:divBdr>
        </w:div>
        <w:div w:id="1120225989">
          <w:marLeft w:val="677"/>
          <w:marRight w:val="0"/>
          <w:marTop w:val="0"/>
          <w:marBottom w:val="0"/>
          <w:divBdr>
            <w:top w:val="none" w:sz="0" w:space="0" w:color="auto"/>
            <w:left w:val="none" w:sz="0" w:space="0" w:color="auto"/>
            <w:bottom w:val="none" w:sz="0" w:space="0" w:color="auto"/>
            <w:right w:val="none" w:sz="0" w:space="0" w:color="auto"/>
          </w:divBdr>
        </w:div>
        <w:div w:id="2005552273">
          <w:marLeft w:val="677"/>
          <w:marRight w:val="0"/>
          <w:marTop w:val="0"/>
          <w:marBottom w:val="0"/>
          <w:divBdr>
            <w:top w:val="none" w:sz="0" w:space="0" w:color="auto"/>
            <w:left w:val="none" w:sz="0" w:space="0" w:color="auto"/>
            <w:bottom w:val="none" w:sz="0" w:space="0" w:color="auto"/>
            <w:right w:val="none" w:sz="0" w:space="0" w:color="auto"/>
          </w:divBdr>
        </w:div>
        <w:div w:id="291714386">
          <w:marLeft w:val="677"/>
          <w:marRight w:val="0"/>
          <w:marTop w:val="0"/>
          <w:marBottom w:val="0"/>
          <w:divBdr>
            <w:top w:val="none" w:sz="0" w:space="0" w:color="auto"/>
            <w:left w:val="none" w:sz="0" w:space="0" w:color="auto"/>
            <w:bottom w:val="none" w:sz="0" w:space="0" w:color="auto"/>
            <w:right w:val="none" w:sz="0" w:space="0" w:color="auto"/>
          </w:divBdr>
        </w:div>
      </w:divsChild>
    </w:div>
    <w:div w:id="946473770">
      <w:bodyDiv w:val="1"/>
      <w:marLeft w:val="0"/>
      <w:marRight w:val="0"/>
      <w:marTop w:val="0"/>
      <w:marBottom w:val="0"/>
      <w:divBdr>
        <w:top w:val="none" w:sz="0" w:space="0" w:color="auto"/>
        <w:left w:val="none" w:sz="0" w:space="0" w:color="auto"/>
        <w:bottom w:val="none" w:sz="0" w:space="0" w:color="auto"/>
        <w:right w:val="none" w:sz="0" w:space="0" w:color="auto"/>
      </w:divBdr>
    </w:div>
    <w:div w:id="1803233398">
      <w:bodyDiv w:val="1"/>
      <w:marLeft w:val="0"/>
      <w:marRight w:val="0"/>
      <w:marTop w:val="0"/>
      <w:marBottom w:val="0"/>
      <w:divBdr>
        <w:top w:val="none" w:sz="0" w:space="0" w:color="auto"/>
        <w:left w:val="none" w:sz="0" w:space="0" w:color="auto"/>
        <w:bottom w:val="none" w:sz="0" w:space="0" w:color="auto"/>
        <w:right w:val="none" w:sz="0" w:space="0" w:color="auto"/>
      </w:divBdr>
      <w:divsChild>
        <w:div w:id="1327784607">
          <w:marLeft w:val="547"/>
          <w:marRight w:val="0"/>
          <w:marTop w:val="0"/>
          <w:marBottom w:val="0"/>
          <w:divBdr>
            <w:top w:val="none" w:sz="0" w:space="0" w:color="auto"/>
            <w:left w:val="none" w:sz="0" w:space="0" w:color="auto"/>
            <w:bottom w:val="none" w:sz="0" w:space="0" w:color="auto"/>
            <w:right w:val="none" w:sz="0" w:space="0" w:color="auto"/>
          </w:divBdr>
        </w:div>
        <w:div w:id="311102665">
          <w:marLeft w:val="677"/>
          <w:marRight w:val="0"/>
          <w:marTop w:val="0"/>
          <w:marBottom w:val="120"/>
          <w:divBdr>
            <w:top w:val="none" w:sz="0" w:space="0" w:color="auto"/>
            <w:left w:val="none" w:sz="0" w:space="0" w:color="auto"/>
            <w:bottom w:val="none" w:sz="0" w:space="0" w:color="auto"/>
            <w:right w:val="none" w:sz="0" w:space="0" w:color="auto"/>
          </w:divBdr>
        </w:div>
        <w:div w:id="1923105824">
          <w:marLeft w:val="677"/>
          <w:marRight w:val="0"/>
          <w:marTop w:val="0"/>
          <w:marBottom w:val="120"/>
          <w:divBdr>
            <w:top w:val="none" w:sz="0" w:space="0" w:color="auto"/>
            <w:left w:val="none" w:sz="0" w:space="0" w:color="auto"/>
            <w:bottom w:val="none" w:sz="0" w:space="0" w:color="auto"/>
            <w:right w:val="none" w:sz="0" w:space="0" w:color="auto"/>
          </w:divBdr>
        </w:div>
        <w:div w:id="1833834791">
          <w:marLeft w:val="677"/>
          <w:marRight w:val="0"/>
          <w:marTop w:val="0"/>
          <w:marBottom w:val="120"/>
          <w:divBdr>
            <w:top w:val="none" w:sz="0" w:space="0" w:color="auto"/>
            <w:left w:val="none" w:sz="0" w:space="0" w:color="auto"/>
            <w:bottom w:val="none" w:sz="0" w:space="0" w:color="auto"/>
            <w:right w:val="none" w:sz="0" w:space="0" w:color="auto"/>
          </w:divBdr>
        </w:div>
      </w:divsChild>
    </w:div>
    <w:div w:id="1974745412">
      <w:bodyDiv w:val="1"/>
      <w:marLeft w:val="0"/>
      <w:marRight w:val="0"/>
      <w:marTop w:val="0"/>
      <w:marBottom w:val="0"/>
      <w:divBdr>
        <w:top w:val="none" w:sz="0" w:space="0" w:color="auto"/>
        <w:left w:val="none" w:sz="0" w:space="0" w:color="auto"/>
        <w:bottom w:val="none" w:sz="0" w:space="0" w:color="auto"/>
        <w:right w:val="none" w:sz="0" w:space="0" w:color="auto"/>
      </w:divBdr>
    </w:div>
    <w:div w:id="200319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19BFF-987B-424E-B957-4C2FCB0EE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4225</Words>
  <Characters>24086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csilkstone</dc:creator>
  <cp:lastModifiedBy>Asanda</cp:lastModifiedBy>
  <cp:revision>2</cp:revision>
  <cp:lastPrinted>2016-10-27T11:45:00Z</cp:lastPrinted>
  <dcterms:created xsi:type="dcterms:W3CDTF">2019-10-31T08:22:00Z</dcterms:created>
  <dcterms:modified xsi:type="dcterms:W3CDTF">2019-10-31T08:22:00Z</dcterms:modified>
</cp:coreProperties>
</file>