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80AA4" w14:textId="77777777" w:rsidR="00DF6837" w:rsidRPr="002E06CC" w:rsidRDefault="000F4C92" w:rsidP="002E06CC">
      <w:pPr>
        <w:spacing w:after="200" w:line="360" w:lineRule="auto"/>
        <w:jc w:val="both"/>
        <w:outlineLvl w:val="0"/>
        <w:rPr>
          <w:rFonts w:ascii="Times New Roman" w:eastAsia="Arial Unicode MS" w:hAnsi="Times New Roman" w:cs="Times New Roman"/>
          <w:b/>
          <w:sz w:val="24"/>
          <w:szCs w:val="24"/>
          <w:u w:color="000000"/>
          <w:lang w:eastAsia="en-ZA"/>
        </w:rPr>
      </w:pPr>
      <w:bookmarkStart w:id="0" w:name="_GoBack"/>
      <w:bookmarkEnd w:id="0"/>
      <w:r>
        <w:rPr>
          <w:rFonts w:ascii="Times New Roman" w:eastAsia="Arial Unicode MS" w:hAnsi="Times New Roman" w:cs="Times New Roman"/>
          <w:b/>
          <w:sz w:val="24"/>
          <w:szCs w:val="24"/>
          <w:u w:color="000000"/>
          <w:lang w:eastAsia="en-ZA"/>
        </w:rPr>
        <w:t xml:space="preserve">6. </w:t>
      </w:r>
      <w:r w:rsidR="00DF6837" w:rsidRPr="002E06CC">
        <w:rPr>
          <w:rFonts w:ascii="Times New Roman" w:eastAsia="Arial Unicode MS" w:hAnsi="Times New Roman" w:cs="Times New Roman"/>
          <w:b/>
          <w:sz w:val="24"/>
          <w:szCs w:val="24"/>
          <w:u w:color="000000"/>
          <w:lang w:eastAsia="en-ZA"/>
        </w:rPr>
        <w:t xml:space="preserve">BUDGET REVIEW AND RECOMMENDATION REPORT OF THE PORTFOLIO COMMITTEE ON DEFENCE AND MILITARY VETERANS ON THE 2017/18 ANNUAL REPORT OF THE CASTLE CONTROL BOARD (CCB) AND ARMSCOR, DATED </w:t>
      </w:r>
      <w:r w:rsidR="005859AF" w:rsidRPr="002E06CC">
        <w:rPr>
          <w:rFonts w:ascii="Times New Roman" w:eastAsia="Arial Unicode MS" w:hAnsi="Times New Roman" w:cs="Times New Roman"/>
          <w:b/>
          <w:sz w:val="24"/>
          <w:szCs w:val="24"/>
          <w:u w:color="000000"/>
          <w:lang w:eastAsia="en-ZA"/>
        </w:rPr>
        <w:t xml:space="preserve">17 </w:t>
      </w:r>
      <w:r w:rsidR="00DF6837" w:rsidRPr="002E06CC">
        <w:rPr>
          <w:rFonts w:ascii="Times New Roman" w:eastAsia="Arial Unicode MS" w:hAnsi="Times New Roman" w:cs="Times New Roman"/>
          <w:b/>
          <w:sz w:val="24"/>
          <w:szCs w:val="24"/>
          <w:u w:color="000000"/>
          <w:lang w:eastAsia="en-ZA"/>
        </w:rPr>
        <w:t>OCTOBER 2018.</w:t>
      </w:r>
    </w:p>
    <w:p w14:paraId="7E5D27FD" w14:textId="77777777" w:rsidR="00DF6837" w:rsidRPr="002E06CC" w:rsidRDefault="00DF6837" w:rsidP="002E06CC">
      <w:pPr>
        <w:spacing w:after="0" w:line="360" w:lineRule="auto"/>
        <w:jc w:val="center"/>
        <w:outlineLvl w:val="0"/>
        <w:rPr>
          <w:rFonts w:ascii="Times New Roman" w:eastAsia="Arial Unicode MS" w:hAnsi="Times New Roman" w:cs="Times New Roman"/>
          <w:b/>
          <w:i/>
          <w:sz w:val="24"/>
          <w:szCs w:val="24"/>
          <w:u w:color="000000"/>
          <w:lang w:eastAsia="en-ZA"/>
        </w:rPr>
      </w:pPr>
      <w:r w:rsidRPr="002E06CC">
        <w:rPr>
          <w:rFonts w:ascii="Times New Roman" w:eastAsia="Arial Unicode MS" w:hAnsi="Times New Roman" w:cs="Times New Roman"/>
          <w:b/>
          <w:i/>
          <w:sz w:val="24"/>
          <w:szCs w:val="24"/>
          <w:u w:color="000000"/>
          <w:lang w:eastAsia="en-ZA"/>
        </w:rPr>
        <w:t>This Report consists of two parts, with Part A dealing with the Castle Control Board (CCB) and Part B dealing with the Armaments Corporation of South Africa (ARMSCOR.)</w:t>
      </w:r>
    </w:p>
    <w:p w14:paraId="56D4231F"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eastAsia="en-ZA"/>
        </w:rPr>
      </w:pPr>
    </w:p>
    <w:p w14:paraId="2354532D"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eastAsia="en-ZA"/>
        </w:rPr>
      </w:pPr>
      <w:r w:rsidRPr="002E06CC">
        <w:rPr>
          <w:rFonts w:ascii="Times New Roman" w:eastAsia="Arial Unicode MS" w:hAnsi="Times New Roman" w:cs="Times New Roman"/>
          <w:sz w:val="24"/>
          <w:szCs w:val="24"/>
          <w:u w:color="000000"/>
          <w:lang w:eastAsia="en-ZA"/>
        </w:rPr>
        <w:t>The Portfolio Committee on Defence and Military Veterans (PCODMV), having considered the financial and service delivery performance of the Castle Control Board (CCB) and the Armaments Corporation of South Africa (ARMSCOR) for the 2017/18 financial year, reports as follows:</w:t>
      </w:r>
    </w:p>
    <w:p w14:paraId="7507A2F0"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eastAsia="en-ZA"/>
        </w:rPr>
      </w:pPr>
    </w:p>
    <w:p w14:paraId="4102B6DE"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eastAsia="en-ZA"/>
        </w:rPr>
      </w:pPr>
      <w:r w:rsidRPr="002E06CC">
        <w:rPr>
          <w:rFonts w:ascii="Times New Roman" w:eastAsia="Arial Unicode MS" w:hAnsi="Times New Roman" w:cs="Times New Roman"/>
          <w:b/>
          <w:sz w:val="24"/>
          <w:szCs w:val="24"/>
          <w:u w:color="000000"/>
          <w:lang w:eastAsia="en-ZA"/>
        </w:rPr>
        <w:t>PART A</w:t>
      </w:r>
      <w:r w:rsidRPr="002E06CC">
        <w:rPr>
          <w:rFonts w:ascii="Times New Roman" w:eastAsia="Arial Unicode MS" w:hAnsi="Times New Roman" w:cs="Times New Roman"/>
          <w:sz w:val="24"/>
          <w:szCs w:val="24"/>
          <w:u w:color="000000"/>
          <w:lang w:eastAsia="en-ZA"/>
        </w:rPr>
        <w:t xml:space="preserve">: </w:t>
      </w:r>
      <w:r w:rsidRPr="002E06CC">
        <w:rPr>
          <w:rFonts w:ascii="Times New Roman" w:eastAsia="Arial Unicode MS" w:hAnsi="Times New Roman" w:cs="Times New Roman"/>
          <w:b/>
          <w:sz w:val="24"/>
          <w:szCs w:val="24"/>
          <w:u w:color="000000"/>
          <w:lang w:eastAsia="en-ZA"/>
        </w:rPr>
        <w:t>CASTLE CONTROL BOARD (CCB)</w:t>
      </w:r>
    </w:p>
    <w:p w14:paraId="202E28DC"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eastAsia="en-ZA"/>
        </w:rPr>
      </w:pPr>
    </w:p>
    <w:p w14:paraId="25E23AF8" w14:textId="77777777" w:rsidR="00DF6837" w:rsidRPr="002E06CC" w:rsidRDefault="00DF6837" w:rsidP="002E06CC">
      <w:pPr>
        <w:numPr>
          <w:ilvl w:val="0"/>
          <w:numId w:val="1"/>
        </w:numPr>
        <w:spacing w:after="0" w:line="360" w:lineRule="auto"/>
        <w:ind w:hanging="393"/>
        <w:jc w:val="both"/>
        <w:outlineLvl w:val="0"/>
        <w:rPr>
          <w:rFonts w:ascii="Times New Roman" w:eastAsia="Arial Unicode MS" w:hAnsi="Times New Roman" w:cs="Times New Roman"/>
          <w:b/>
          <w:caps/>
          <w:sz w:val="24"/>
          <w:szCs w:val="24"/>
          <w:u w:color="000000"/>
          <w:lang w:val="en-US"/>
        </w:rPr>
      </w:pPr>
      <w:r w:rsidRPr="002E06CC">
        <w:rPr>
          <w:rFonts w:ascii="Times New Roman" w:eastAsia="Arial Unicode MS" w:hAnsi="Times New Roman" w:cs="Times New Roman"/>
          <w:b/>
          <w:caps/>
          <w:sz w:val="24"/>
          <w:szCs w:val="24"/>
          <w:u w:color="000000"/>
          <w:lang w:val="en-US"/>
        </w:rPr>
        <w:t>1.</w:t>
      </w:r>
      <w:r w:rsidRPr="002E06CC">
        <w:rPr>
          <w:rFonts w:ascii="Times New Roman" w:eastAsia="Arial Unicode MS" w:hAnsi="Times New Roman" w:cs="Times New Roman"/>
          <w:b/>
          <w:caps/>
          <w:sz w:val="24"/>
          <w:szCs w:val="24"/>
          <w:u w:color="000000"/>
          <w:lang w:val="en-US"/>
        </w:rPr>
        <w:tab/>
        <w:t xml:space="preserve">Introduction </w:t>
      </w:r>
    </w:p>
    <w:p w14:paraId="72FCF4A9"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val="en-US"/>
        </w:rPr>
      </w:pPr>
    </w:p>
    <w:p w14:paraId="6D42FCEA" w14:textId="77777777" w:rsidR="00DF6837" w:rsidRPr="002E06CC" w:rsidRDefault="00DF6837" w:rsidP="002E06CC">
      <w:pPr>
        <w:numPr>
          <w:ilvl w:val="1"/>
          <w:numId w:val="3"/>
        </w:numPr>
        <w:spacing w:after="0" w:line="360" w:lineRule="auto"/>
        <w:ind w:left="0" w:firstLine="0"/>
        <w:jc w:val="both"/>
        <w:outlineLvl w:val="0"/>
        <w:rPr>
          <w:rFonts w:ascii="Times New Roman" w:eastAsia="Arial Unicode MS" w:hAnsi="Times New Roman" w:cs="Times New Roman"/>
          <w:b/>
          <w:sz w:val="24"/>
          <w:szCs w:val="24"/>
          <w:u w:color="000000"/>
          <w:lang w:val="en-US"/>
        </w:rPr>
      </w:pPr>
      <w:r w:rsidRPr="002E06CC">
        <w:rPr>
          <w:rFonts w:ascii="Times New Roman" w:eastAsia="Arial Unicode MS" w:hAnsi="Times New Roman" w:cs="Times New Roman"/>
          <w:b/>
          <w:sz w:val="24"/>
          <w:szCs w:val="24"/>
          <w:u w:color="000000"/>
          <w:lang w:val="en-US"/>
        </w:rPr>
        <w:t xml:space="preserve">Description of core functions of the Castle Control Board </w:t>
      </w:r>
    </w:p>
    <w:p w14:paraId="3DED9139"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val="en-US"/>
        </w:rPr>
      </w:pPr>
    </w:p>
    <w:p w14:paraId="5DE9070E" w14:textId="77777777" w:rsidR="00DF6837" w:rsidRPr="002E06CC" w:rsidRDefault="00DF6837" w:rsidP="002E06CC">
      <w:pPr>
        <w:spacing w:line="360" w:lineRule="auto"/>
        <w:jc w:val="both"/>
        <w:rPr>
          <w:rFonts w:ascii="Times New Roman" w:hAnsi="Times New Roman" w:cs="Times New Roman"/>
          <w:bCs/>
          <w:sz w:val="24"/>
          <w:szCs w:val="24"/>
        </w:rPr>
      </w:pPr>
      <w:r w:rsidRPr="002E06CC">
        <w:rPr>
          <w:rFonts w:ascii="Times New Roman" w:hAnsi="Times New Roman" w:cs="Times New Roman"/>
          <w:sz w:val="24"/>
          <w:szCs w:val="24"/>
        </w:rPr>
        <w:t xml:space="preserve">The Castle Management Act, 1993 (No. 207 of 1993) provides for a Castle Control Board (CCB) to govern and manage the Castle – South Africa’s oldest architectural structure - on behalf of the Minister of Defence and Military Veterans. The National Heritage Resources Act (No. 25 of 1999) provides for the management of the Castle as a national heritage site. </w:t>
      </w:r>
      <w:r w:rsidRPr="002E06CC">
        <w:rPr>
          <w:rFonts w:ascii="Times New Roman" w:hAnsi="Times New Roman" w:cs="Times New Roman"/>
          <w:bCs/>
          <w:sz w:val="24"/>
          <w:szCs w:val="24"/>
        </w:rPr>
        <w:t xml:space="preserve">The Castle’s objectives are set out in the Castle Management Act as follows: </w:t>
      </w:r>
    </w:p>
    <w:p w14:paraId="4FC08BA3" w14:textId="77777777" w:rsidR="00DF6837" w:rsidRPr="002E06CC" w:rsidRDefault="00DF6837" w:rsidP="002E06CC">
      <w:pPr>
        <w:numPr>
          <w:ilvl w:val="0"/>
          <w:numId w:val="8"/>
        </w:numPr>
        <w:spacing w:after="0" w:line="360" w:lineRule="auto"/>
        <w:jc w:val="both"/>
        <w:rPr>
          <w:rFonts w:ascii="Times New Roman" w:hAnsi="Times New Roman" w:cs="Times New Roman"/>
          <w:bCs/>
          <w:sz w:val="24"/>
          <w:szCs w:val="24"/>
        </w:rPr>
      </w:pPr>
      <w:r w:rsidRPr="002E06CC">
        <w:rPr>
          <w:rFonts w:ascii="Times New Roman" w:hAnsi="Times New Roman" w:cs="Times New Roman"/>
          <w:bCs/>
          <w:sz w:val="24"/>
          <w:szCs w:val="24"/>
        </w:rPr>
        <w:t>To preserve and protect the military and cultural heritage of the Castle;</w:t>
      </w:r>
    </w:p>
    <w:p w14:paraId="28B9C71B" w14:textId="77777777" w:rsidR="00DF6837" w:rsidRPr="002E06CC" w:rsidRDefault="00DF6837" w:rsidP="002E06CC">
      <w:pPr>
        <w:numPr>
          <w:ilvl w:val="0"/>
          <w:numId w:val="8"/>
        </w:numPr>
        <w:spacing w:after="0" w:line="360" w:lineRule="auto"/>
        <w:jc w:val="both"/>
        <w:rPr>
          <w:rFonts w:ascii="Times New Roman" w:hAnsi="Times New Roman" w:cs="Times New Roman"/>
          <w:bCs/>
          <w:sz w:val="24"/>
          <w:szCs w:val="24"/>
        </w:rPr>
      </w:pPr>
      <w:r w:rsidRPr="002E06CC">
        <w:rPr>
          <w:rFonts w:ascii="Times New Roman" w:hAnsi="Times New Roman" w:cs="Times New Roman"/>
          <w:bCs/>
          <w:sz w:val="24"/>
          <w:szCs w:val="24"/>
        </w:rPr>
        <w:t>To optimise the tourist potential of the Castle; and</w:t>
      </w:r>
    </w:p>
    <w:p w14:paraId="7A1816F2" w14:textId="77777777" w:rsidR="00DF6837" w:rsidRPr="002E06CC" w:rsidRDefault="00DF6837" w:rsidP="002E06CC">
      <w:pPr>
        <w:numPr>
          <w:ilvl w:val="0"/>
          <w:numId w:val="8"/>
        </w:numPr>
        <w:spacing w:after="0" w:line="360" w:lineRule="auto"/>
        <w:jc w:val="both"/>
        <w:rPr>
          <w:rFonts w:ascii="Times New Roman" w:hAnsi="Times New Roman" w:cs="Times New Roman"/>
          <w:bCs/>
          <w:sz w:val="24"/>
          <w:szCs w:val="24"/>
        </w:rPr>
      </w:pPr>
      <w:r w:rsidRPr="002E06CC">
        <w:rPr>
          <w:rFonts w:ascii="Times New Roman" w:hAnsi="Times New Roman" w:cs="Times New Roman"/>
          <w:bCs/>
          <w:sz w:val="24"/>
          <w:szCs w:val="24"/>
        </w:rPr>
        <w:t>To maximise accessibility to the public.</w:t>
      </w:r>
    </w:p>
    <w:p w14:paraId="09352E57"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val="en-US"/>
        </w:rPr>
      </w:pPr>
    </w:p>
    <w:p w14:paraId="583F6CC9" w14:textId="77777777" w:rsidR="00DF6837" w:rsidRPr="002E06CC" w:rsidRDefault="00DF6837" w:rsidP="002E06CC">
      <w:pPr>
        <w:spacing w:after="0" w:line="360" w:lineRule="auto"/>
        <w:jc w:val="both"/>
        <w:outlineLvl w:val="0"/>
        <w:rPr>
          <w:rFonts w:ascii="Times New Roman" w:hAnsi="Times New Roman" w:cs="Times New Roman"/>
          <w:b/>
          <w:sz w:val="24"/>
          <w:szCs w:val="24"/>
        </w:rPr>
      </w:pPr>
      <w:r w:rsidRPr="002E06CC">
        <w:rPr>
          <w:rFonts w:ascii="Times New Roman" w:eastAsia="Arial Unicode MS" w:hAnsi="Times New Roman" w:cs="Times New Roman"/>
          <w:b/>
          <w:sz w:val="24"/>
          <w:szCs w:val="24"/>
          <w:u w:color="000000"/>
          <w:lang w:val="en-US"/>
        </w:rPr>
        <w:t>1.2</w:t>
      </w:r>
      <w:r w:rsidRPr="002E06CC">
        <w:rPr>
          <w:rFonts w:ascii="Times New Roman" w:eastAsia="Arial Unicode MS" w:hAnsi="Times New Roman" w:cs="Times New Roman"/>
          <w:b/>
          <w:sz w:val="24"/>
          <w:szCs w:val="24"/>
          <w:u w:color="000000"/>
          <w:lang w:val="en-US"/>
        </w:rPr>
        <w:tab/>
      </w:r>
      <w:r w:rsidRPr="002E06CC">
        <w:rPr>
          <w:rFonts w:ascii="Times New Roman" w:hAnsi="Times New Roman" w:cs="Times New Roman"/>
          <w:b/>
          <w:sz w:val="24"/>
          <w:szCs w:val="24"/>
        </w:rPr>
        <w:t xml:space="preserve">Mandate of Committee </w:t>
      </w:r>
    </w:p>
    <w:p w14:paraId="143D492B" w14:textId="77777777" w:rsidR="00DF6837" w:rsidRPr="002E06CC" w:rsidRDefault="00DF6837" w:rsidP="002E06CC">
      <w:pPr>
        <w:spacing w:after="0" w:line="360" w:lineRule="auto"/>
        <w:jc w:val="both"/>
        <w:rPr>
          <w:rFonts w:ascii="Times New Roman" w:hAnsi="Times New Roman" w:cs="Times New Roman"/>
          <w:sz w:val="24"/>
          <w:szCs w:val="24"/>
        </w:rPr>
      </w:pPr>
    </w:p>
    <w:p w14:paraId="0E2CAA8D" w14:textId="77777777" w:rsidR="00DF6837" w:rsidRPr="002E06CC" w:rsidRDefault="00DF6837" w:rsidP="002E06CC">
      <w:pPr>
        <w:spacing w:line="360" w:lineRule="auto"/>
        <w:jc w:val="both"/>
        <w:rPr>
          <w:rFonts w:ascii="Times New Roman" w:hAnsi="Times New Roman" w:cs="Times New Roman"/>
          <w:bCs/>
          <w:sz w:val="24"/>
          <w:szCs w:val="24"/>
        </w:rPr>
      </w:pPr>
      <w:r w:rsidRPr="002E06CC">
        <w:rPr>
          <w:rFonts w:ascii="Times New Roman" w:hAnsi="Times New Roman" w:cs="Times New Roman"/>
          <w:sz w:val="24"/>
          <w:szCs w:val="24"/>
        </w:rPr>
        <w:t xml:space="preserve">The Portfolio Committee on Defence and Military Veterans (PCODMV) is mandated to oversee the CCB to ensure that the entities fulfil its mandate through the monitoring of the implementation of legislation and adherence to policies, such as the Castle Management Act, 1993 (No. 207 of 1993), the National Heritage Resources Act (No. 25 of 1999), and the Defence Endowment Property and </w:t>
      </w:r>
      <w:r w:rsidRPr="002E06CC">
        <w:rPr>
          <w:rFonts w:ascii="Times New Roman" w:hAnsi="Times New Roman" w:cs="Times New Roman"/>
          <w:sz w:val="24"/>
          <w:szCs w:val="24"/>
        </w:rPr>
        <w:lastRenderedPageBreak/>
        <w:t xml:space="preserve">Account Act (No. 33 of 1922). It </w:t>
      </w:r>
      <w:r w:rsidRPr="002E06CC">
        <w:rPr>
          <w:rFonts w:ascii="Times New Roman" w:hAnsi="Times New Roman" w:cs="Times New Roman"/>
          <w:bCs/>
          <w:sz w:val="24"/>
          <w:szCs w:val="24"/>
        </w:rPr>
        <w:t xml:space="preserve">must scrutinise legislation which supports the mission statement of Government, the budget and functioning of the CCB. </w:t>
      </w:r>
    </w:p>
    <w:p w14:paraId="629791FA" w14:textId="77777777" w:rsidR="00DF6837" w:rsidRPr="002E06CC" w:rsidRDefault="00DF6837" w:rsidP="002E06CC">
      <w:pPr>
        <w:spacing w:after="0" w:line="360" w:lineRule="auto"/>
        <w:jc w:val="both"/>
        <w:outlineLvl w:val="0"/>
        <w:rPr>
          <w:rFonts w:ascii="Times New Roman" w:eastAsia="Arial Unicode MS" w:hAnsi="Times New Roman" w:cs="Times New Roman"/>
          <w:b/>
          <w:sz w:val="24"/>
          <w:szCs w:val="24"/>
          <w:u w:color="000000"/>
          <w:lang w:val="en-US"/>
        </w:rPr>
      </w:pPr>
      <w:r w:rsidRPr="002E06CC">
        <w:rPr>
          <w:rFonts w:ascii="Times New Roman" w:eastAsia="Arial Unicode MS" w:hAnsi="Times New Roman" w:cs="Times New Roman"/>
          <w:b/>
          <w:sz w:val="24"/>
          <w:szCs w:val="24"/>
          <w:u w:color="000000"/>
          <w:lang w:val="en-US"/>
        </w:rPr>
        <w:t>1.3</w:t>
      </w:r>
      <w:r w:rsidRPr="002E06CC">
        <w:rPr>
          <w:rFonts w:ascii="Times New Roman" w:eastAsia="Arial Unicode MS" w:hAnsi="Times New Roman" w:cs="Times New Roman"/>
          <w:b/>
          <w:sz w:val="24"/>
          <w:szCs w:val="24"/>
          <w:u w:color="000000"/>
          <w:lang w:val="en-US"/>
        </w:rPr>
        <w:tab/>
        <w:t xml:space="preserve">Purpose of the BRR Report </w:t>
      </w:r>
    </w:p>
    <w:p w14:paraId="6BC80AD8"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eastAsia="en-ZA"/>
        </w:rPr>
      </w:pPr>
    </w:p>
    <w:p w14:paraId="7454F74D"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eastAsia="en-ZA"/>
        </w:rPr>
      </w:pPr>
      <w:r w:rsidRPr="002E06CC">
        <w:rPr>
          <w:rFonts w:ascii="Times New Roman" w:eastAsia="Arial Unicode MS" w:hAnsi="Times New Roman" w:cs="Times New Roman"/>
          <w:sz w:val="24"/>
          <w:szCs w:val="24"/>
          <w:u w:color="000000"/>
          <w:lang w:eastAsia="en-ZA"/>
        </w:rPr>
        <w:t xml:space="preserve">Section 5 (2) of the Money Bills Procedures and Related Matters Amendment Act (Act 9 of 2009) allows for each Committee to compile a budgetary review and recommendation report (BRRR) which must be tabled in the National Assembly.  Section 5(3) provides for a budgetary review and recommendation report to contain the following: </w:t>
      </w:r>
    </w:p>
    <w:p w14:paraId="7AA04878"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eastAsia="en-ZA"/>
        </w:rPr>
      </w:pPr>
    </w:p>
    <w:p w14:paraId="72091B67" w14:textId="77777777" w:rsidR="00DF6837" w:rsidRPr="002E06CC" w:rsidRDefault="00DF6837" w:rsidP="002E06CC">
      <w:pPr>
        <w:spacing w:after="0" w:line="360" w:lineRule="auto"/>
        <w:ind w:firstLine="360"/>
        <w:jc w:val="both"/>
        <w:outlineLvl w:val="0"/>
        <w:rPr>
          <w:rFonts w:ascii="Times New Roman" w:eastAsia="Arial Unicode MS" w:hAnsi="Times New Roman" w:cs="Times New Roman"/>
          <w:sz w:val="24"/>
          <w:szCs w:val="24"/>
          <w:u w:color="000000"/>
          <w:lang w:eastAsia="en-ZA"/>
        </w:rPr>
      </w:pPr>
      <w:r w:rsidRPr="002E06CC">
        <w:rPr>
          <w:rFonts w:ascii="Times New Roman" w:eastAsia="Arial Unicode MS" w:hAnsi="Times New Roman" w:cs="Times New Roman"/>
          <w:sz w:val="24"/>
          <w:szCs w:val="24"/>
          <w:u w:color="000000"/>
          <w:lang w:eastAsia="en-ZA"/>
        </w:rPr>
        <w:t xml:space="preserve">a) an assessment of the department’s and entities’ service delivery performance given available </w:t>
      </w:r>
      <w:r w:rsidRPr="002E06CC">
        <w:rPr>
          <w:rFonts w:ascii="Times New Roman" w:eastAsia="Arial Unicode MS" w:hAnsi="Times New Roman" w:cs="Times New Roman"/>
          <w:sz w:val="24"/>
          <w:szCs w:val="24"/>
          <w:u w:color="000000"/>
          <w:lang w:eastAsia="en-ZA"/>
        </w:rPr>
        <w:tab/>
        <w:t>resources;</w:t>
      </w:r>
    </w:p>
    <w:p w14:paraId="626D2957" w14:textId="77777777" w:rsidR="00DF6837" w:rsidRPr="002E06CC" w:rsidRDefault="00DF6837" w:rsidP="002E06CC">
      <w:pPr>
        <w:pStyle w:val="ListParagraph"/>
        <w:numPr>
          <w:ilvl w:val="0"/>
          <w:numId w:val="7"/>
        </w:numPr>
        <w:spacing w:after="0" w:line="360" w:lineRule="auto"/>
        <w:jc w:val="both"/>
        <w:outlineLvl w:val="0"/>
        <w:rPr>
          <w:rFonts w:ascii="Times New Roman" w:eastAsia="Arial Unicode MS" w:hAnsi="Times New Roman"/>
          <w:sz w:val="24"/>
          <w:szCs w:val="24"/>
          <w:u w:color="000000"/>
          <w:lang w:eastAsia="en-ZA"/>
        </w:rPr>
      </w:pPr>
      <w:r w:rsidRPr="002E06CC">
        <w:rPr>
          <w:rFonts w:ascii="Times New Roman" w:eastAsia="Arial Unicode MS" w:hAnsi="Times New Roman"/>
          <w:sz w:val="24"/>
          <w:szCs w:val="24"/>
          <w:u w:color="000000"/>
          <w:lang w:eastAsia="en-ZA"/>
        </w:rPr>
        <w:t>an assessment on the effectiveness and efficiency of departments use and forward allocation of available resource; and</w:t>
      </w:r>
    </w:p>
    <w:p w14:paraId="10D7D03E" w14:textId="77777777" w:rsidR="00DF6837" w:rsidRPr="002E06CC" w:rsidRDefault="00DF6837" w:rsidP="002E06CC">
      <w:pPr>
        <w:pStyle w:val="ListParagraph"/>
        <w:numPr>
          <w:ilvl w:val="0"/>
          <w:numId w:val="7"/>
        </w:numPr>
        <w:spacing w:after="0" w:line="360" w:lineRule="auto"/>
        <w:jc w:val="both"/>
        <w:outlineLvl w:val="0"/>
        <w:rPr>
          <w:rFonts w:ascii="Times New Roman" w:eastAsia="Arial Unicode MS" w:hAnsi="Times New Roman"/>
          <w:sz w:val="24"/>
          <w:szCs w:val="24"/>
          <w:u w:color="000000"/>
          <w:lang w:eastAsia="en-ZA"/>
        </w:rPr>
      </w:pPr>
      <w:r w:rsidRPr="002E06CC">
        <w:rPr>
          <w:rFonts w:ascii="Times New Roman" w:eastAsia="Arial Unicode MS" w:hAnsi="Times New Roman"/>
          <w:sz w:val="24"/>
          <w:szCs w:val="24"/>
          <w:u w:color="000000"/>
          <w:lang w:eastAsia="en-ZA"/>
        </w:rPr>
        <w:t>recommendations on the forward use of resources</w:t>
      </w:r>
    </w:p>
    <w:p w14:paraId="425C81A3"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eastAsia="en-ZA"/>
        </w:rPr>
      </w:pPr>
    </w:p>
    <w:p w14:paraId="71E61D02"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eastAsia="en-ZA"/>
        </w:rPr>
      </w:pPr>
      <w:r w:rsidRPr="002E06CC">
        <w:rPr>
          <w:rFonts w:ascii="Times New Roman" w:eastAsia="Arial Unicode MS" w:hAnsi="Times New Roman" w:cs="Times New Roman"/>
          <w:sz w:val="24"/>
          <w:szCs w:val="24"/>
          <w:u w:color="000000"/>
          <w:lang w:eastAsia="en-ZA"/>
        </w:rPr>
        <w:t>In October of each year, portfolio committees must compile a BRRR that assess service delivery performance given available resources; evaluate the effective and efficient use and forward allocation of resources; and may make recommendations on the forward use of resources. The BRRRs are also source documents for the Standing/Select Committees on Appropriations/Finance when they make recommendations to the Houses of Parliament on the Medium-Term Budget Policy Statement (MTBPS). The comprehensive review and analysis of the previous financial year’s performance, as well as performance to date, form part of this process.</w:t>
      </w:r>
    </w:p>
    <w:p w14:paraId="23F3CAEB"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eastAsia="en-ZA"/>
        </w:rPr>
      </w:pPr>
    </w:p>
    <w:p w14:paraId="5ABC5024" w14:textId="77777777" w:rsidR="00DF6837" w:rsidRPr="002E06CC" w:rsidRDefault="00DF6837" w:rsidP="002E06CC">
      <w:pPr>
        <w:spacing w:after="0" w:line="360" w:lineRule="auto"/>
        <w:jc w:val="both"/>
        <w:outlineLvl w:val="0"/>
        <w:rPr>
          <w:rFonts w:ascii="Times New Roman" w:eastAsia="Arial Unicode MS" w:hAnsi="Times New Roman" w:cs="Times New Roman"/>
          <w:b/>
          <w:sz w:val="24"/>
          <w:szCs w:val="24"/>
          <w:u w:color="000000"/>
          <w:lang w:val="en-US"/>
        </w:rPr>
      </w:pPr>
      <w:r w:rsidRPr="002E06CC">
        <w:rPr>
          <w:rFonts w:ascii="Times New Roman" w:eastAsia="Arial Unicode MS" w:hAnsi="Times New Roman" w:cs="Times New Roman"/>
          <w:b/>
          <w:sz w:val="24"/>
          <w:szCs w:val="24"/>
          <w:u w:color="000000"/>
          <w:lang w:eastAsia="en-ZA"/>
        </w:rPr>
        <w:t>1.4</w:t>
      </w:r>
      <w:r w:rsidRPr="002E06CC">
        <w:rPr>
          <w:rFonts w:ascii="Times New Roman" w:eastAsia="Arial Unicode MS" w:hAnsi="Times New Roman" w:cs="Times New Roman"/>
          <w:b/>
          <w:sz w:val="24"/>
          <w:szCs w:val="24"/>
          <w:u w:color="000000"/>
          <w:lang w:eastAsia="en-ZA"/>
        </w:rPr>
        <w:tab/>
      </w:r>
      <w:r w:rsidRPr="002E06CC">
        <w:rPr>
          <w:rFonts w:ascii="Times New Roman" w:eastAsia="Arial Unicode MS" w:hAnsi="Times New Roman" w:cs="Times New Roman"/>
          <w:b/>
          <w:sz w:val="24"/>
          <w:szCs w:val="24"/>
          <w:u w:color="000000"/>
          <w:lang w:val="en-US"/>
        </w:rPr>
        <w:t>Methodology in compiling the report</w:t>
      </w:r>
    </w:p>
    <w:p w14:paraId="055B6CD1" w14:textId="77777777" w:rsidR="00DF6837" w:rsidRPr="002E06CC" w:rsidRDefault="00DF6837" w:rsidP="002E06CC">
      <w:pPr>
        <w:spacing w:after="0" w:line="360" w:lineRule="auto"/>
        <w:jc w:val="both"/>
        <w:outlineLvl w:val="0"/>
        <w:rPr>
          <w:rFonts w:ascii="Times New Roman" w:eastAsia="Arial Unicode MS" w:hAnsi="Times New Roman" w:cs="Times New Roman"/>
          <w:b/>
          <w:sz w:val="24"/>
          <w:szCs w:val="24"/>
          <w:u w:color="000000"/>
          <w:lang w:eastAsia="en-ZA"/>
        </w:rPr>
      </w:pPr>
    </w:p>
    <w:p w14:paraId="1F6A4B72" w14:textId="77777777" w:rsidR="00DF6837" w:rsidRPr="002E06CC" w:rsidRDefault="00DF6837" w:rsidP="002E06CC">
      <w:pPr>
        <w:pStyle w:val="ListParagraph"/>
        <w:spacing w:after="0" w:line="360" w:lineRule="auto"/>
        <w:ind w:left="0"/>
        <w:jc w:val="both"/>
        <w:rPr>
          <w:rFonts w:ascii="Times New Roman" w:hAnsi="Times New Roman"/>
          <w:sz w:val="24"/>
          <w:szCs w:val="24"/>
        </w:rPr>
      </w:pPr>
      <w:r w:rsidRPr="002E06CC">
        <w:rPr>
          <w:rFonts w:ascii="Times New Roman" w:hAnsi="Times New Roman"/>
          <w:sz w:val="24"/>
          <w:szCs w:val="24"/>
        </w:rPr>
        <w:t>The Report is compiled from the various activities of the Committee. It is inclusive of the Committee’s meetings, oversight visits, reports on budget votes, strategic plans, annual performance plans and annual reports, as well as previously published Committee reports.</w:t>
      </w:r>
    </w:p>
    <w:p w14:paraId="4BDD0CC2" w14:textId="77777777" w:rsidR="00DF6837" w:rsidRPr="002E06CC" w:rsidRDefault="00DF6837" w:rsidP="002E06CC">
      <w:pPr>
        <w:pStyle w:val="ListParagraph"/>
        <w:spacing w:after="0" w:line="360" w:lineRule="auto"/>
        <w:ind w:left="0"/>
        <w:jc w:val="both"/>
        <w:rPr>
          <w:rFonts w:ascii="Times New Roman" w:hAnsi="Times New Roman"/>
          <w:sz w:val="24"/>
          <w:szCs w:val="24"/>
        </w:rPr>
      </w:pPr>
    </w:p>
    <w:p w14:paraId="7A3F5F17" w14:textId="77777777" w:rsidR="00DF6837" w:rsidRPr="002E06CC" w:rsidRDefault="00DF6837" w:rsidP="002E06CC">
      <w:pPr>
        <w:pStyle w:val="ListParagraph"/>
        <w:spacing w:after="0" w:line="360" w:lineRule="auto"/>
        <w:ind w:left="0"/>
        <w:jc w:val="both"/>
        <w:rPr>
          <w:rFonts w:ascii="Times New Roman" w:hAnsi="Times New Roman"/>
          <w:b/>
          <w:sz w:val="24"/>
          <w:szCs w:val="24"/>
        </w:rPr>
      </w:pPr>
      <w:r w:rsidRPr="002E06CC">
        <w:rPr>
          <w:rFonts w:ascii="Times New Roman" w:hAnsi="Times New Roman"/>
          <w:b/>
          <w:sz w:val="24"/>
          <w:szCs w:val="24"/>
        </w:rPr>
        <w:t>1.5</w:t>
      </w:r>
      <w:r w:rsidRPr="002E06CC">
        <w:rPr>
          <w:rFonts w:ascii="Times New Roman" w:hAnsi="Times New Roman"/>
          <w:b/>
          <w:sz w:val="24"/>
          <w:szCs w:val="24"/>
        </w:rPr>
        <w:tab/>
        <w:t>Dates of oversight visits</w:t>
      </w:r>
    </w:p>
    <w:p w14:paraId="6C2FF5C8" w14:textId="77777777" w:rsidR="00DF6837" w:rsidRPr="002E06CC" w:rsidRDefault="00DF6837" w:rsidP="002E06CC">
      <w:pPr>
        <w:pStyle w:val="ListParagraph"/>
        <w:spacing w:after="0" w:line="360" w:lineRule="auto"/>
        <w:ind w:left="0"/>
        <w:jc w:val="both"/>
        <w:rPr>
          <w:rFonts w:ascii="Times New Roman" w:hAnsi="Times New Roman"/>
          <w:sz w:val="24"/>
          <w:szCs w:val="24"/>
        </w:rPr>
      </w:pPr>
    </w:p>
    <w:p w14:paraId="06F4E063" w14:textId="77777777" w:rsidR="00DF6837" w:rsidRPr="002E06CC" w:rsidRDefault="00DF6837" w:rsidP="002E06CC">
      <w:pPr>
        <w:pStyle w:val="ListParagraph"/>
        <w:spacing w:after="0" w:line="360" w:lineRule="auto"/>
        <w:ind w:left="0"/>
        <w:jc w:val="both"/>
        <w:rPr>
          <w:rFonts w:ascii="Times New Roman" w:hAnsi="Times New Roman"/>
          <w:sz w:val="24"/>
          <w:szCs w:val="24"/>
        </w:rPr>
      </w:pPr>
      <w:r w:rsidRPr="002E06CC">
        <w:rPr>
          <w:rFonts w:ascii="Times New Roman" w:hAnsi="Times New Roman"/>
          <w:sz w:val="24"/>
          <w:szCs w:val="24"/>
        </w:rPr>
        <w:t>The PCODMV did not conduct an Oversight visit to the Castle in 2017.</w:t>
      </w:r>
    </w:p>
    <w:p w14:paraId="7B50EAA3"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eastAsia="en-ZA"/>
        </w:rPr>
      </w:pPr>
    </w:p>
    <w:p w14:paraId="6A4663A7" w14:textId="77777777" w:rsidR="00DF6837" w:rsidRPr="002E06CC" w:rsidRDefault="00DF6837" w:rsidP="002E06CC">
      <w:pPr>
        <w:spacing w:after="0" w:line="360" w:lineRule="auto"/>
        <w:jc w:val="both"/>
        <w:outlineLvl w:val="0"/>
        <w:rPr>
          <w:rFonts w:ascii="Times New Roman" w:eastAsia="Arial Unicode MS" w:hAnsi="Times New Roman" w:cs="Times New Roman"/>
          <w:b/>
          <w:sz w:val="24"/>
          <w:szCs w:val="24"/>
          <w:u w:color="000000"/>
          <w:lang w:eastAsia="en-ZA"/>
        </w:rPr>
      </w:pPr>
      <w:r w:rsidRPr="002E06CC">
        <w:rPr>
          <w:rFonts w:ascii="Times New Roman" w:eastAsia="Arial Unicode MS" w:hAnsi="Times New Roman" w:cs="Times New Roman"/>
          <w:b/>
          <w:sz w:val="24"/>
          <w:szCs w:val="24"/>
          <w:u w:color="000000"/>
          <w:lang w:eastAsia="en-ZA"/>
        </w:rPr>
        <w:t xml:space="preserve">1.6 </w:t>
      </w:r>
      <w:r w:rsidRPr="002E06CC">
        <w:rPr>
          <w:rFonts w:ascii="Times New Roman" w:eastAsia="Arial Unicode MS" w:hAnsi="Times New Roman" w:cs="Times New Roman"/>
          <w:b/>
          <w:sz w:val="24"/>
          <w:szCs w:val="24"/>
          <w:u w:color="000000"/>
          <w:lang w:eastAsia="en-ZA"/>
        </w:rPr>
        <w:tab/>
        <w:t>Information used to compile the Report</w:t>
      </w:r>
    </w:p>
    <w:p w14:paraId="2969E200" w14:textId="77777777" w:rsidR="00DF6837" w:rsidRPr="002E06CC" w:rsidRDefault="00DF6837" w:rsidP="002E06CC">
      <w:pPr>
        <w:spacing w:after="0" w:line="360" w:lineRule="auto"/>
        <w:jc w:val="both"/>
        <w:outlineLvl w:val="0"/>
        <w:rPr>
          <w:rFonts w:ascii="Times New Roman" w:eastAsia="Arial Unicode MS" w:hAnsi="Times New Roman" w:cs="Times New Roman"/>
          <w:b/>
          <w:sz w:val="24"/>
          <w:szCs w:val="24"/>
          <w:u w:color="000000"/>
          <w:lang w:eastAsia="en-ZA"/>
        </w:rPr>
      </w:pPr>
    </w:p>
    <w:p w14:paraId="5E0FD5CB"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eastAsia="en-ZA"/>
        </w:rPr>
      </w:pPr>
      <w:r w:rsidRPr="002E06CC">
        <w:rPr>
          <w:rFonts w:ascii="Times New Roman" w:eastAsia="Arial Unicode MS" w:hAnsi="Times New Roman" w:cs="Times New Roman"/>
          <w:sz w:val="24"/>
          <w:szCs w:val="24"/>
          <w:u w:color="000000"/>
          <w:lang w:eastAsia="en-ZA"/>
        </w:rPr>
        <w:t>Besides the information on the Oversight visit, other information used in the assessment of the service delivery and financial performance included:</w:t>
      </w:r>
    </w:p>
    <w:p w14:paraId="2089A4A4"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eastAsia="en-ZA"/>
        </w:rPr>
      </w:pPr>
    </w:p>
    <w:p w14:paraId="5B7DDD86" w14:textId="77777777" w:rsidR="00DF6837" w:rsidRPr="002E06CC" w:rsidRDefault="00DF6837" w:rsidP="002E06CC">
      <w:pPr>
        <w:numPr>
          <w:ilvl w:val="0"/>
          <w:numId w:val="2"/>
        </w:numPr>
        <w:spacing w:after="0" w:line="360" w:lineRule="auto"/>
        <w:jc w:val="both"/>
        <w:outlineLvl w:val="0"/>
        <w:rPr>
          <w:rFonts w:ascii="Times New Roman" w:eastAsia="Arial Unicode MS" w:hAnsi="Times New Roman" w:cs="Times New Roman"/>
          <w:sz w:val="24"/>
          <w:szCs w:val="24"/>
          <w:u w:color="000000"/>
          <w:lang w:eastAsia="en-ZA"/>
        </w:rPr>
      </w:pPr>
      <w:r w:rsidRPr="002E06CC">
        <w:rPr>
          <w:rFonts w:ascii="Times New Roman" w:eastAsia="Arial Unicode MS" w:hAnsi="Times New Roman" w:cs="Times New Roman"/>
          <w:sz w:val="24"/>
          <w:szCs w:val="24"/>
          <w:u w:color="000000"/>
          <w:lang w:eastAsia="en-ZA"/>
        </w:rPr>
        <w:t>Committee report on the 2017/18 budget hearings, strategic plans and annual report;</w:t>
      </w:r>
    </w:p>
    <w:p w14:paraId="06A8557E" w14:textId="77777777" w:rsidR="00DF6837" w:rsidRPr="002E06CC" w:rsidRDefault="00DF6837" w:rsidP="002E06CC">
      <w:pPr>
        <w:numPr>
          <w:ilvl w:val="0"/>
          <w:numId w:val="2"/>
        </w:numPr>
        <w:spacing w:after="0" w:line="360" w:lineRule="auto"/>
        <w:jc w:val="both"/>
        <w:outlineLvl w:val="0"/>
        <w:rPr>
          <w:rFonts w:ascii="Times New Roman" w:eastAsia="Arial Unicode MS" w:hAnsi="Times New Roman" w:cs="Times New Roman"/>
          <w:sz w:val="24"/>
          <w:szCs w:val="24"/>
          <w:u w:color="000000"/>
          <w:lang w:eastAsia="en-ZA"/>
        </w:rPr>
      </w:pPr>
      <w:r w:rsidRPr="002E06CC">
        <w:rPr>
          <w:rFonts w:ascii="Times New Roman" w:eastAsia="Arial Unicode MS" w:hAnsi="Times New Roman" w:cs="Times New Roman"/>
          <w:sz w:val="24"/>
          <w:szCs w:val="24"/>
          <w:u w:color="000000"/>
          <w:lang w:eastAsia="en-ZA"/>
        </w:rPr>
        <w:t>The National Development Plan;</w:t>
      </w:r>
    </w:p>
    <w:p w14:paraId="02E48743" w14:textId="77777777" w:rsidR="00DF6837" w:rsidRPr="002E06CC" w:rsidRDefault="00DF6837" w:rsidP="002E06CC">
      <w:pPr>
        <w:numPr>
          <w:ilvl w:val="0"/>
          <w:numId w:val="2"/>
        </w:numPr>
        <w:spacing w:after="0" w:line="360" w:lineRule="auto"/>
        <w:jc w:val="both"/>
        <w:outlineLvl w:val="0"/>
        <w:rPr>
          <w:rFonts w:ascii="Times New Roman" w:eastAsia="Arial Unicode MS" w:hAnsi="Times New Roman" w:cs="Times New Roman"/>
          <w:sz w:val="24"/>
          <w:szCs w:val="24"/>
          <w:u w:color="000000"/>
          <w:lang w:eastAsia="en-ZA"/>
        </w:rPr>
      </w:pPr>
      <w:r w:rsidRPr="002E06CC">
        <w:rPr>
          <w:rFonts w:ascii="Times New Roman" w:eastAsia="Arial Unicode MS" w:hAnsi="Times New Roman" w:cs="Times New Roman"/>
          <w:sz w:val="24"/>
          <w:szCs w:val="24"/>
          <w:u w:color="000000"/>
          <w:lang w:eastAsia="en-ZA"/>
        </w:rPr>
        <w:t>The 2017 Estimates of National Expenditure;</w:t>
      </w:r>
    </w:p>
    <w:p w14:paraId="1425C991" w14:textId="77777777" w:rsidR="00DF6837" w:rsidRPr="002E06CC" w:rsidRDefault="00DF6837" w:rsidP="002E06CC">
      <w:pPr>
        <w:pStyle w:val="ListParagraph"/>
        <w:numPr>
          <w:ilvl w:val="0"/>
          <w:numId w:val="2"/>
        </w:numPr>
        <w:spacing w:after="0" w:line="360" w:lineRule="auto"/>
        <w:jc w:val="both"/>
        <w:outlineLvl w:val="0"/>
        <w:rPr>
          <w:rFonts w:ascii="Times New Roman" w:eastAsia="Arial Unicode MS" w:hAnsi="Times New Roman"/>
          <w:sz w:val="24"/>
          <w:szCs w:val="24"/>
          <w:u w:color="000000"/>
          <w:lang w:eastAsia="en-ZA"/>
        </w:rPr>
      </w:pPr>
      <w:r w:rsidRPr="002E06CC">
        <w:rPr>
          <w:rFonts w:ascii="Times New Roman" w:eastAsia="Arial Unicode MS" w:hAnsi="Times New Roman"/>
          <w:sz w:val="24"/>
          <w:szCs w:val="24"/>
          <w:u w:color="000000"/>
          <w:lang w:eastAsia="en-ZA"/>
        </w:rPr>
        <w:t>The 2017 State of the Nation Address; and</w:t>
      </w:r>
    </w:p>
    <w:p w14:paraId="08B28A4F" w14:textId="77777777" w:rsidR="00DF6837" w:rsidRPr="002E06CC" w:rsidRDefault="00DF6837" w:rsidP="002E06CC">
      <w:pPr>
        <w:pStyle w:val="ListParagraph"/>
        <w:numPr>
          <w:ilvl w:val="0"/>
          <w:numId w:val="2"/>
        </w:numPr>
        <w:spacing w:after="0" w:line="360" w:lineRule="auto"/>
        <w:jc w:val="both"/>
        <w:outlineLvl w:val="0"/>
        <w:rPr>
          <w:rFonts w:ascii="Times New Roman" w:eastAsia="Arial Unicode MS" w:hAnsi="Times New Roman"/>
          <w:sz w:val="24"/>
          <w:szCs w:val="24"/>
          <w:u w:color="000000"/>
          <w:lang w:eastAsia="en-ZA"/>
        </w:rPr>
      </w:pPr>
      <w:r w:rsidRPr="002E06CC">
        <w:rPr>
          <w:rFonts w:ascii="Times New Roman" w:eastAsia="Arial Unicode MS" w:hAnsi="Times New Roman"/>
          <w:sz w:val="24"/>
          <w:szCs w:val="24"/>
          <w:u w:color="000000"/>
          <w:lang w:eastAsia="en-ZA"/>
        </w:rPr>
        <w:t>The Auditor-General Report.</w:t>
      </w:r>
    </w:p>
    <w:p w14:paraId="4470BFE2" w14:textId="77777777" w:rsidR="00DF6837" w:rsidRPr="002E06CC" w:rsidRDefault="00DF6837" w:rsidP="002E06CC">
      <w:pPr>
        <w:spacing w:after="0" w:line="360" w:lineRule="auto"/>
        <w:ind w:left="720"/>
        <w:jc w:val="both"/>
        <w:outlineLvl w:val="0"/>
        <w:rPr>
          <w:rFonts w:ascii="Times New Roman" w:eastAsia="Arial Unicode MS" w:hAnsi="Times New Roman" w:cs="Times New Roman"/>
          <w:sz w:val="24"/>
          <w:szCs w:val="24"/>
          <w:u w:color="000000"/>
          <w:lang w:eastAsia="en-ZA"/>
        </w:rPr>
      </w:pPr>
    </w:p>
    <w:p w14:paraId="347E0A02" w14:textId="77777777" w:rsidR="00DF6837" w:rsidRPr="002E06CC" w:rsidRDefault="00DF6837" w:rsidP="002E06CC">
      <w:pPr>
        <w:spacing w:after="0" w:line="360" w:lineRule="auto"/>
        <w:jc w:val="both"/>
        <w:outlineLvl w:val="0"/>
        <w:rPr>
          <w:rFonts w:ascii="Times New Roman" w:eastAsia="Arial Unicode MS" w:hAnsi="Times New Roman" w:cs="Times New Roman"/>
          <w:b/>
          <w:sz w:val="24"/>
          <w:szCs w:val="24"/>
          <w:u w:color="000000"/>
          <w:lang w:val="en-US"/>
        </w:rPr>
      </w:pPr>
      <w:r w:rsidRPr="002E06CC">
        <w:rPr>
          <w:rFonts w:ascii="Times New Roman" w:eastAsia="Arial Unicode MS" w:hAnsi="Times New Roman" w:cs="Times New Roman"/>
          <w:b/>
          <w:sz w:val="24"/>
          <w:szCs w:val="24"/>
          <w:u w:color="000000"/>
          <w:lang w:val="en-US"/>
        </w:rPr>
        <w:t>1.7</w:t>
      </w:r>
      <w:r w:rsidRPr="002E06CC">
        <w:rPr>
          <w:rFonts w:ascii="Times New Roman" w:eastAsia="Arial Unicode MS" w:hAnsi="Times New Roman" w:cs="Times New Roman"/>
          <w:b/>
          <w:sz w:val="24"/>
          <w:szCs w:val="24"/>
          <w:u w:color="000000"/>
          <w:lang w:val="en-US"/>
        </w:rPr>
        <w:tab/>
        <w:t>Structure of the Report</w:t>
      </w:r>
    </w:p>
    <w:p w14:paraId="6252BE73"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val="en-US" w:eastAsia="en-ZA"/>
        </w:rPr>
      </w:pPr>
    </w:p>
    <w:p w14:paraId="1B6125CF"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val="en-US" w:eastAsia="en-ZA"/>
        </w:rPr>
      </w:pPr>
      <w:r w:rsidRPr="002E06CC">
        <w:rPr>
          <w:rFonts w:ascii="Times New Roman" w:eastAsia="Arial Unicode MS" w:hAnsi="Times New Roman" w:cs="Times New Roman"/>
          <w:sz w:val="24"/>
          <w:szCs w:val="24"/>
          <w:u w:color="000000"/>
          <w:lang w:val="en-US" w:eastAsia="en-ZA"/>
        </w:rPr>
        <w:t>This Report comprises seven sections:</w:t>
      </w:r>
    </w:p>
    <w:p w14:paraId="78F43C7B"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val="en-US" w:eastAsia="en-ZA"/>
        </w:rPr>
      </w:pPr>
    </w:p>
    <w:p w14:paraId="4CC1230F" w14:textId="77777777" w:rsidR="00DF6837" w:rsidRPr="002E06CC" w:rsidRDefault="00DF6837" w:rsidP="002E06CC">
      <w:pPr>
        <w:pStyle w:val="ListParagraph"/>
        <w:numPr>
          <w:ilvl w:val="0"/>
          <w:numId w:val="5"/>
        </w:numPr>
        <w:spacing w:after="0" w:line="360" w:lineRule="auto"/>
        <w:ind w:firstLine="0"/>
        <w:jc w:val="both"/>
        <w:outlineLvl w:val="0"/>
        <w:rPr>
          <w:rFonts w:ascii="Times New Roman" w:eastAsia="Arial Unicode MS" w:hAnsi="Times New Roman"/>
          <w:sz w:val="24"/>
          <w:szCs w:val="24"/>
          <w:u w:color="000000"/>
          <w:lang w:val="en-US" w:eastAsia="en-ZA"/>
        </w:rPr>
      </w:pPr>
      <w:r w:rsidRPr="002E06CC">
        <w:rPr>
          <w:rFonts w:ascii="Times New Roman" w:eastAsia="Arial Unicode MS" w:hAnsi="Times New Roman"/>
          <w:sz w:val="24"/>
          <w:szCs w:val="24"/>
          <w:u w:color="000000"/>
          <w:lang w:val="en-US" w:eastAsia="en-ZA"/>
        </w:rPr>
        <w:t xml:space="preserve">Section 1: Introduction – sets out the mandate of the Committee, the purpose of this </w:t>
      </w:r>
      <w:r w:rsidRPr="002E06CC">
        <w:rPr>
          <w:rFonts w:ascii="Times New Roman" w:eastAsia="Arial Unicode MS" w:hAnsi="Times New Roman"/>
          <w:sz w:val="24"/>
          <w:szCs w:val="24"/>
          <w:u w:color="000000"/>
          <w:lang w:val="en-US" w:eastAsia="en-ZA"/>
        </w:rPr>
        <w:br/>
        <w:t xml:space="preserve">      report (BRRR) and the process to develop this report. </w:t>
      </w:r>
    </w:p>
    <w:p w14:paraId="286AD157" w14:textId="77777777" w:rsidR="00DF6837" w:rsidRPr="002E06CC" w:rsidRDefault="00DF6837" w:rsidP="002E06CC">
      <w:pPr>
        <w:pStyle w:val="ListParagraph"/>
        <w:numPr>
          <w:ilvl w:val="0"/>
          <w:numId w:val="4"/>
        </w:numPr>
        <w:spacing w:after="0" w:line="360" w:lineRule="auto"/>
        <w:ind w:firstLine="0"/>
        <w:jc w:val="both"/>
        <w:outlineLvl w:val="0"/>
        <w:rPr>
          <w:rFonts w:ascii="Times New Roman" w:eastAsia="Arial Unicode MS" w:hAnsi="Times New Roman"/>
          <w:sz w:val="24"/>
          <w:szCs w:val="24"/>
          <w:u w:color="000000"/>
          <w:lang w:val="en-US" w:eastAsia="en-ZA"/>
        </w:rPr>
      </w:pPr>
      <w:r w:rsidRPr="002E06CC">
        <w:rPr>
          <w:rFonts w:ascii="Times New Roman" w:eastAsia="Arial Unicode MS" w:hAnsi="Times New Roman"/>
          <w:sz w:val="24"/>
          <w:szCs w:val="24"/>
          <w:u w:color="000000"/>
          <w:lang w:val="en-US" w:eastAsia="en-ZA"/>
        </w:rPr>
        <w:t xml:space="preserve">Section 2: Provides an overview of the key relevant policy focus areas. </w:t>
      </w:r>
    </w:p>
    <w:p w14:paraId="24EDB6BF" w14:textId="77777777" w:rsidR="00DF6837" w:rsidRPr="002E06CC" w:rsidRDefault="00DF6837" w:rsidP="002E06CC">
      <w:pPr>
        <w:pStyle w:val="ListParagraph"/>
        <w:numPr>
          <w:ilvl w:val="0"/>
          <w:numId w:val="4"/>
        </w:numPr>
        <w:spacing w:after="0" w:line="360" w:lineRule="auto"/>
        <w:ind w:firstLine="0"/>
        <w:jc w:val="both"/>
        <w:outlineLvl w:val="0"/>
        <w:rPr>
          <w:rFonts w:ascii="Times New Roman" w:eastAsia="Arial Unicode MS" w:hAnsi="Times New Roman"/>
          <w:sz w:val="24"/>
          <w:szCs w:val="24"/>
          <w:u w:color="000000"/>
          <w:lang w:eastAsia="en-ZA"/>
        </w:rPr>
      </w:pPr>
      <w:r w:rsidRPr="002E06CC">
        <w:rPr>
          <w:rFonts w:ascii="Times New Roman" w:eastAsia="Arial Unicode MS" w:hAnsi="Times New Roman"/>
          <w:sz w:val="24"/>
          <w:szCs w:val="24"/>
          <w:u w:color="000000"/>
          <w:lang w:val="en-US" w:eastAsia="en-ZA"/>
        </w:rPr>
        <w:t xml:space="preserve">Section 3: Provides an overview and summary of </w:t>
      </w:r>
      <w:r w:rsidRPr="002E06CC">
        <w:rPr>
          <w:rFonts w:ascii="Times New Roman" w:eastAsia="Arial Unicode MS" w:hAnsi="Times New Roman"/>
          <w:sz w:val="24"/>
          <w:szCs w:val="24"/>
          <w:u w:color="000000"/>
          <w:lang w:eastAsia="en-ZA"/>
        </w:rPr>
        <w:t xml:space="preserve">previous key financial and </w:t>
      </w:r>
      <w:r w:rsidRPr="002E06CC">
        <w:rPr>
          <w:rFonts w:ascii="Times New Roman" w:eastAsia="Arial Unicode MS" w:hAnsi="Times New Roman"/>
          <w:sz w:val="24"/>
          <w:szCs w:val="24"/>
          <w:u w:color="000000"/>
          <w:lang w:eastAsia="en-ZA"/>
        </w:rPr>
        <w:br/>
        <w:t xml:space="preserve">      performance recommendations of Committee</w:t>
      </w:r>
      <w:r w:rsidRPr="002E06CC">
        <w:rPr>
          <w:rFonts w:ascii="Times New Roman" w:eastAsia="Arial Unicode MS" w:hAnsi="Times New Roman"/>
          <w:b/>
          <w:sz w:val="24"/>
          <w:szCs w:val="24"/>
          <w:u w:color="000000"/>
          <w:lang w:eastAsia="en-ZA"/>
        </w:rPr>
        <w:t xml:space="preserve"> </w:t>
      </w:r>
      <w:r w:rsidRPr="002E06CC">
        <w:rPr>
          <w:rFonts w:ascii="Times New Roman" w:eastAsia="Arial Unicode MS" w:hAnsi="Times New Roman"/>
          <w:sz w:val="24"/>
          <w:szCs w:val="24"/>
          <w:u w:color="000000"/>
          <w:lang w:eastAsia="en-ZA"/>
        </w:rPr>
        <w:t>(2016/17).</w:t>
      </w:r>
    </w:p>
    <w:p w14:paraId="4E888372" w14:textId="77777777" w:rsidR="00DF6837" w:rsidRPr="002E06CC" w:rsidRDefault="00DF6837" w:rsidP="002E06CC">
      <w:pPr>
        <w:pStyle w:val="ListParagraph"/>
        <w:numPr>
          <w:ilvl w:val="0"/>
          <w:numId w:val="4"/>
        </w:numPr>
        <w:spacing w:after="0" w:line="360" w:lineRule="auto"/>
        <w:ind w:firstLine="0"/>
        <w:jc w:val="both"/>
        <w:outlineLvl w:val="0"/>
        <w:rPr>
          <w:rFonts w:ascii="Times New Roman" w:eastAsia="Arial Unicode MS" w:hAnsi="Times New Roman"/>
          <w:sz w:val="24"/>
          <w:szCs w:val="24"/>
          <w:u w:color="000000"/>
          <w:lang w:val="en-US" w:eastAsia="en-ZA"/>
        </w:rPr>
      </w:pPr>
      <w:r w:rsidRPr="002E06CC">
        <w:rPr>
          <w:rFonts w:ascii="Times New Roman" w:eastAsia="Arial Unicode MS" w:hAnsi="Times New Roman"/>
          <w:sz w:val="24"/>
          <w:szCs w:val="24"/>
          <w:u w:color="000000"/>
          <w:lang w:val="en-US" w:eastAsia="en-ZA"/>
        </w:rPr>
        <w:t xml:space="preserve">Section 4: Provides a broad overview and assessment of financial performance of the </w:t>
      </w:r>
      <w:r w:rsidRPr="002E06CC">
        <w:rPr>
          <w:rFonts w:ascii="Times New Roman" w:eastAsia="Arial Unicode MS" w:hAnsi="Times New Roman"/>
          <w:sz w:val="24"/>
          <w:szCs w:val="24"/>
          <w:u w:color="000000"/>
          <w:lang w:val="en-US" w:eastAsia="en-ZA"/>
        </w:rPr>
        <w:br/>
        <w:t xml:space="preserve">      Department for 2017/18. </w:t>
      </w:r>
    </w:p>
    <w:p w14:paraId="66277FE2" w14:textId="77777777" w:rsidR="00DF6837" w:rsidRPr="002E06CC" w:rsidRDefault="00DF6837" w:rsidP="002E06CC">
      <w:pPr>
        <w:pStyle w:val="ListParagraph"/>
        <w:numPr>
          <w:ilvl w:val="0"/>
          <w:numId w:val="4"/>
        </w:numPr>
        <w:spacing w:after="0" w:line="360" w:lineRule="auto"/>
        <w:ind w:firstLine="0"/>
        <w:jc w:val="both"/>
        <w:outlineLvl w:val="0"/>
        <w:rPr>
          <w:rFonts w:ascii="Times New Roman" w:eastAsia="Arial Unicode MS" w:hAnsi="Times New Roman"/>
          <w:sz w:val="24"/>
          <w:szCs w:val="24"/>
          <w:u w:color="000000"/>
          <w:lang w:val="en-US" w:eastAsia="en-ZA"/>
        </w:rPr>
      </w:pPr>
      <w:r w:rsidRPr="002E06CC">
        <w:rPr>
          <w:rFonts w:ascii="Times New Roman" w:eastAsia="Arial Unicode MS" w:hAnsi="Times New Roman"/>
          <w:sz w:val="24"/>
          <w:szCs w:val="24"/>
          <w:u w:color="000000"/>
          <w:lang w:val="en-US" w:eastAsia="en-ZA"/>
        </w:rPr>
        <w:t xml:space="preserve">Section 5: Overview of service delivery and performance.  </w:t>
      </w:r>
    </w:p>
    <w:p w14:paraId="1461E848" w14:textId="77777777" w:rsidR="00DF6837" w:rsidRPr="002E06CC" w:rsidRDefault="00DF6837" w:rsidP="002E06CC">
      <w:pPr>
        <w:pStyle w:val="ListParagraph"/>
        <w:numPr>
          <w:ilvl w:val="0"/>
          <w:numId w:val="4"/>
        </w:numPr>
        <w:spacing w:after="0" w:line="360" w:lineRule="auto"/>
        <w:ind w:firstLine="0"/>
        <w:jc w:val="both"/>
        <w:outlineLvl w:val="0"/>
        <w:rPr>
          <w:rFonts w:ascii="Times New Roman" w:eastAsia="Arial Unicode MS" w:hAnsi="Times New Roman"/>
          <w:sz w:val="24"/>
          <w:szCs w:val="24"/>
          <w:u w:color="000000"/>
          <w:lang w:val="en-US" w:eastAsia="en-ZA"/>
        </w:rPr>
      </w:pPr>
      <w:r w:rsidRPr="002E06CC">
        <w:rPr>
          <w:rFonts w:ascii="Times New Roman" w:eastAsia="Arial Unicode MS" w:hAnsi="Times New Roman"/>
          <w:sz w:val="24"/>
          <w:szCs w:val="24"/>
          <w:u w:color="000000"/>
          <w:lang w:val="en-US" w:eastAsia="en-ZA"/>
        </w:rPr>
        <w:t xml:space="preserve">Section 6: Key Committee Observations.  </w:t>
      </w:r>
    </w:p>
    <w:p w14:paraId="0B18CA35" w14:textId="77777777" w:rsidR="00DF6837" w:rsidRPr="002E06CC" w:rsidRDefault="00DF6837" w:rsidP="002E06CC">
      <w:pPr>
        <w:pStyle w:val="ListParagraph"/>
        <w:numPr>
          <w:ilvl w:val="0"/>
          <w:numId w:val="4"/>
        </w:numPr>
        <w:spacing w:after="0" w:line="360" w:lineRule="auto"/>
        <w:ind w:firstLine="0"/>
        <w:outlineLvl w:val="0"/>
        <w:rPr>
          <w:rFonts w:ascii="Times New Roman" w:eastAsia="Arial Unicode MS" w:hAnsi="Times New Roman"/>
          <w:sz w:val="24"/>
          <w:szCs w:val="24"/>
          <w:u w:color="000000"/>
          <w:lang w:val="en-US" w:eastAsia="en-ZA"/>
        </w:rPr>
      </w:pPr>
      <w:r w:rsidRPr="002E06CC">
        <w:rPr>
          <w:rFonts w:ascii="Times New Roman" w:eastAsia="Arial Unicode MS" w:hAnsi="Times New Roman"/>
          <w:sz w:val="24"/>
          <w:szCs w:val="24"/>
          <w:u w:color="000000"/>
          <w:lang w:val="en-US" w:eastAsia="en-ZA"/>
        </w:rPr>
        <w:t>Section 7:  Key</w:t>
      </w:r>
      <w:r w:rsidRPr="002E06CC">
        <w:rPr>
          <w:rFonts w:ascii="Times New Roman" w:eastAsia="Arial Unicode MS" w:hAnsi="Times New Roman"/>
          <w:sz w:val="24"/>
          <w:szCs w:val="24"/>
          <w:u w:color="000000"/>
          <w:lang w:eastAsia="en-ZA"/>
        </w:rPr>
        <w:t xml:space="preserve"> Committee recommendations.</w:t>
      </w:r>
    </w:p>
    <w:p w14:paraId="511201A2" w14:textId="77777777" w:rsidR="00DF6837" w:rsidRPr="002E06CC" w:rsidRDefault="00DF6837" w:rsidP="002E06CC">
      <w:pPr>
        <w:spacing w:after="0" w:line="360" w:lineRule="auto"/>
        <w:jc w:val="both"/>
        <w:outlineLvl w:val="0"/>
        <w:rPr>
          <w:rFonts w:ascii="Times New Roman" w:eastAsia="Arial Unicode MS" w:hAnsi="Times New Roman" w:cs="Times New Roman"/>
          <w:b/>
          <w:sz w:val="24"/>
          <w:szCs w:val="24"/>
          <w:u w:color="000000"/>
          <w:lang w:val="en-US" w:eastAsia="en-ZA"/>
        </w:rPr>
      </w:pPr>
    </w:p>
    <w:p w14:paraId="3AD58E66" w14:textId="77777777" w:rsidR="00DF6837" w:rsidRPr="002E06CC" w:rsidRDefault="00DF6837" w:rsidP="002E06CC">
      <w:pPr>
        <w:pStyle w:val="ListParagraph"/>
        <w:numPr>
          <w:ilvl w:val="0"/>
          <w:numId w:val="3"/>
        </w:numPr>
        <w:spacing w:after="0" w:line="360" w:lineRule="auto"/>
        <w:jc w:val="both"/>
        <w:outlineLvl w:val="0"/>
        <w:rPr>
          <w:rFonts w:ascii="Times New Roman" w:eastAsia="Arial Unicode MS" w:hAnsi="Times New Roman"/>
          <w:b/>
          <w:caps/>
          <w:sz w:val="24"/>
          <w:szCs w:val="24"/>
          <w:u w:color="000000"/>
          <w:lang w:val="en-US"/>
        </w:rPr>
      </w:pPr>
      <w:r w:rsidRPr="002E06CC">
        <w:rPr>
          <w:rFonts w:ascii="Times New Roman" w:eastAsia="Arial Unicode MS" w:hAnsi="Times New Roman"/>
          <w:b/>
          <w:caps/>
          <w:sz w:val="24"/>
          <w:szCs w:val="24"/>
          <w:u w:color="000000"/>
          <w:lang w:val="en-US"/>
        </w:rPr>
        <w:t xml:space="preserve">Overview of the key relevant policy focus areas </w:t>
      </w:r>
    </w:p>
    <w:p w14:paraId="2DC4C422" w14:textId="77777777" w:rsidR="00DF6837" w:rsidRPr="002E06CC" w:rsidRDefault="00DF6837" w:rsidP="002E06CC">
      <w:pPr>
        <w:spacing w:after="0" w:line="360" w:lineRule="auto"/>
        <w:jc w:val="both"/>
        <w:outlineLvl w:val="0"/>
        <w:rPr>
          <w:rFonts w:ascii="Times New Roman" w:eastAsia="Arial Unicode MS" w:hAnsi="Times New Roman" w:cs="Times New Roman"/>
          <w:b/>
          <w:sz w:val="24"/>
          <w:szCs w:val="24"/>
          <w:u w:color="000000"/>
          <w:lang w:val="en-US"/>
        </w:rPr>
      </w:pPr>
    </w:p>
    <w:p w14:paraId="70A52776"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val="en-US"/>
        </w:rPr>
      </w:pPr>
      <w:r w:rsidRPr="002E06CC">
        <w:rPr>
          <w:rFonts w:ascii="Times New Roman" w:eastAsia="Arial Unicode MS" w:hAnsi="Times New Roman" w:cs="Times New Roman"/>
          <w:b/>
          <w:sz w:val="24"/>
          <w:szCs w:val="24"/>
          <w:u w:color="000000"/>
          <w:lang w:val="en-US"/>
        </w:rPr>
        <w:t>2.1</w:t>
      </w:r>
      <w:r w:rsidRPr="002E06CC">
        <w:rPr>
          <w:rFonts w:ascii="Times New Roman" w:eastAsia="Arial Unicode MS" w:hAnsi="Times New Roman" w:cs="Times New Roman"/>
          <w:sz w:val="24"/>
          <w:szCs w:val="24"/>
          <w:u w:color="000000"/>
          <w:lang w:val="en-US"/>
        </w:rPr>
        <w:tab/>
      </w:r>
      <w:r w:rsidRPr="002E06CC">
        <w:rPr>
          <w:rFonts w:ascii="Times New Roman" w:eastAsia="Arial Unicode MS" w:hAnsi="Times New Roman" w:cs="Times New Roman"/>
          <w:b/>
          <w:sz w:val="24"/>
          <w:szCs w:val="24"/>
          <w:u w:color="000000"/>
          <w:lang w:val="en-US"/>
        </w:rPr>
        <w:t>State of the Nation Address</w:t>
      </w:r>
      <w:r w:rsidRPr="002E06CC">
        <w:rPr>
          <w:rFonts w:ascii="Times New Roman" w:eastAsia="Arial Unicode MS" w:hAnsi="Times New Roman" w:cs="Times New Roman"/>
          <w:sz w:val="24"/>
          <w:szCs w:val="24"/>
          <w:u w:color="000000"/>
          <w:lang w:val="en-US"/>
        </w:rPr>
        <w:t xml:space="preserve"> </w:t>
      </w:r>
      <w:r w:rsidRPr="002E06CC">
        <w:rPr>
          <w:rFonts w:ascii="Times New Roman" w:eastAsia="Arial Unicode MS" w:hAnsi="Times New Roman" w:cs="Times New Roman"/>
          <w:b/>
          <w:sz w:val="24"/>
          <w:szCs w:val="24"/>
          <w:u w:color="000000"/>
          <w:lang w:val="en-US"/>
        </w:rPr>
        <w:t>2017</w:t>
      </w:r>
    </w:p>
    <w:p w14:paraId="0AE7D547"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val="en-US"/>
        </w:rPr>
      </w:pPr>
    </w:p>
    <w:p w14:paraId="7AEDBE8F" w14:textId="77777777" w:rsidR="00DF6837" w:rsidRPr="002E06CC" w:rsidRDefault="00DF6837" w:rsidP="002E06CC">
      <w:pPr>
        <w:spacing w:after="300" w:line="360" w:lineRule="auto"/>
        <w:jc w:val="both"/>
        <w:textAlignment w:val="baseline"/>
        <w:rPr>
          <w:rFonts w:ascii="Times New Roman" w:eastAsia="Times New Roman" w:hAnsi="Times New Roman" w:cs="Times New Roman"/>
          <w:sz w:val="24"/>
          <w:szCs w:val="24"/>
          <w:lang w:val="en" w:eastAsia="en-ZA"/>
        </w:rPr>
      </w:pPr>
      <w:r w:rsidRPr="002E06CC">
        <w:rPr>
          <w:rFonts w:ascii="Times New Roman" w:hAnsi="Times New Roman" w:cs="Times New Roman"/>
          <w:sz w:val="24"/>
          <w:szCs w:val="24"/>
        </w:rPr>
        <w:t>In the State of the Nation Addresses of 9 February 2017, the President stated that “</w:t>
      </w:r>
      <w:r w:rsidRPr="002E06CC">
        <w:rPr>
          <w:rFonts w:ascii="Times New Roman" w:eastAsia="Times New Roman" w:hAnsi="Times New Roman" w:cs="Times New Roman"/>
          <w:i/>
          <w:sz w:val="24"/>
          <w:szCs w:val="24"/>
          <w:lang w:val="en" w:eastAsia="en-ZA"/>
        </w:rPr>
        <w:t>Guided by the National Development Plan (NDP), we are building a South Africa that must be free from poverty, inequality and unemployment</w:t>
      </w:r>
      <w:r w:rsidRPr="002E06CC">
        <w:rPr>
          <w:rFonts w:ascii="Times New Roman" w:eastAsia="Times New Roman" w:hAnsi="Times New Roman" w:cs="Times New Roman"/>
          <w:sz w:val="24"/>
          <w:szCs w:val="24"/>
          <w:lang w:val="en" w:eastAsia="en-ZA"/>
        </w:rPr>
        <w:t>.” He indicated that it is for this reason that it was decided to focus on a few key areas packaged as the Nine-Point Plan to reignite growth so that the economy can create the much-needed jobs. The focus areas include industrialisation, mining and beneficiation, agriculture and agro-processing, energy, small, medium and micro enterprises (SMMEs), managing workplace conflict, attracting investments, growing the oceans economy and tourism.</w:t>
      </w:r>
    </w:p>
    <w:p w14:paraId="0DB475E1" w14:textId="77777777" w:rsidR="00DF6837" w:rsidRPr="002E06CC" w:rsidRDefault="00DF6837" w:rsidP="002E06CC">
      <w:pPr>
        <w:spacing w:after="300" w:line="360" w:lineRule="auto"/>
        <w:jc w:val="both"/>
        <w:textAlignment w:val="baseline"/>
        <w:rPr>
          <w:rFonts w:ascii="Times New Roman" w:eastAsia="Times New Roman" w:hAnsi="Times New Roman" w:cs="Times New Roman"/>
          <w:i/>
          <w:sz w:val="24"/>
          <w:szCs w:val="24"/>
          <w:lang w:val="en" w:eastAsia="en-ZA"/>
        </w:rPr>
      </w:pPr>
      <w:r w:rsidRPr="002E06CC">
        <w:rPr>
          <w:rFonts w:ascii="Times New Roman" w:eastAsia="Times New Roman" w:hAnsi="Times New Roman" w:cs="Times New Roman"/>
          <w:sz w:val="24"/>
          <w:szCs w:val="24"/>
          <w:lang w:val="en" w:eastAsia="en-ZA"/>
        </w:rPr>
        <w:t xml:space="preserve">It is especially the </w:t>
      </w:r>
      <w:r w:rsidRPr="002E06CC">
        <w:rPr>
          <w:rFonts w:ascii="Times New Roman" w:eastAsia="Times New Roman" w:hAnsi="Times New Roman" w:cs="Times New Roman"/>
          <w:b/>
          <w:sz w:val="24"/>
          <w:szCs w:val="24"/>
          <w:lang w:val="en" w:eastAsia="en-ZA"/>
        </w:rPr>
        <w:t>Tourism</w:t>
      </w:r>
      <w:r w:rsidRPr="002E06CC">
        <w:rPr>
          <w:rFonts w:ascii="Times New Roman" w:eastAsia="Times New Roman" w:hAnsi="Times New Roman" w:cs="Times New Roman"/>
          <w:sz w:val="24"/>
          <w:szCs w:val="24"/>
          <w:lang w:val="en" w:eastAsia="en-ZA"/>
        </w:rPr>
        <w:t xml:space="preserve"> issue that can be linked to the activities of the CCB. Government has identified tourism as a key job driver. “</w:t>
      </w:r>
      <w:r w:rsidRPr="002E06CC">
        <w:rPr>
          <w:rFonts w:ascii="Times New Roman" w:eastAsia="Times New Roman" w:hAnsi="Times New Roman" w:cs="Times New Roman"/>
          <w:i/>
          <w:sz w:val="24"/>
          <w:szCs w:val="24"/>
          <w:lang w:val="en" w:eastAsia="en-ZA"/>
        </w:rPr>
        <w:t xml:space="preserve">We are thus pleased that our tourist arrival numbers for the period January to November 2016 increased to nine million, an increase of just over a million arrivals from 2015. This represents a 13% growth in tourist arrivals.” </w:t>
      </w:r>
    </w:p>
    <w:p w14:paraId="5F1AEB03" w14:textId="77777777" w:rsidR="00DF6837" w:rsidRPr="002E06CC" w:rsidRDefault="00DF6837" w:rsidP="002E06CC">
      <w:pPr>
        <w:spacing w:after="300" w:line="360" w:lineRule="auto"/>
        <w:jc w:val="both"/>
        <w:textAlignment w:val="baseline"/>
        <w:rPr>
          <w:rFonts w:ascii="Times New Roman" w:eastAsia="Times New Roman" w:hAnsi="Times New Roman" w:cs="Times New Roman"/>
          <w:sz w:val="24"/>
          <w:szCs w:val="24"/>
          <w:lang w:val="en" w:eastAsia="en-ZA"/>
        </w:rPr>
      </w:pPr>
      <w:r w:rsidRPr="002E06CC">
        <w:rPr>
          <w:rFonts w:ascii="Times New Roman" w:eastAsia="Times New Roman" w:hAnsi="Times New Roman" w:cs="Times New Roman"/>
          <w:sz w:val="24"/>
          <w:szCs w:val="24"/>
          <w:lang w:val="en" w:eastAsia="en-ZA"/>
        </w:rPr>
        <w:t xml:space="preserve">A related issue is the support for </w:t>
      </w:r>
      <w:r w:rsidRPr="002E06CC">
        <w:rPr>
          <w:rFonts w:ascii="Times New Roman" w:eastAsia="Times New Roman" w:hAnsi="Times New Roman" w:cs="Times New Roman"/>
          <w:b/>
          <w:sz w:val="24"/>
          <w:szCs w:val="24"/>
          <w:lang w:val="en" w:eastAsia="en-ZA"/>
        </w:rPr>
        <w:t>SMME’s</w:t>
      </w:r>
      <w:r w:rsidRPr="002E06CC">
        <w:rPr>
          <w:rFonts w:ascii="Times New Roman" w:eastAsia="Times New Roman" w:hAnsi="Times New Roman" w:cs="Times New Roman"/>
          <w:sz w:val="24"/>
          <w:szCs w:val="24"/>
          <w:lang w:val="en" w:eastAsia="en-ZA"/>
        </w:rPr>
        <w:t xml:space="preserve">. The SONA refers to government continuing to pursue policies that seek to broaden the participation of black people and SMMEs, including those owned by women and the youth, in the information and communications technology sector.  The CCB with its procurement processes should prioritise local SMME’s where possible. The annual intake of especially youthful interns is also welcomed as it supports the drive to address youth unemployment. </w:t>
      </w:r>
    </w:p>
    <w:p w14:paraId="26B6CDB9" w14:textId="77777777" w:rsidR="00DF6837" w:rsidRPr="002E06CC" w:rsidRDefault="00DF6837" w:rsidP="002E06CC">
      <w:pPr>
        <w:spacing w:after="0" w:line="360" w:lineRule="auto"/>
        <w:jc w:val="both"/>
        <w:outlineLvl w:val="0"/>
        <w:rPr>
          <w:rFonts w:ascii="Times New Roman" w:hAnsi="Times New Roman" w:cs="Times New Roman"/>
          <w:b/>
          <w:sz w:val="24"/>
          <w:szCs w:val="24"/>
        </w:rPr>
      </w:pPr>
      <w:r w:rsidRPr="002E06CC">
        <w:rPr>
          <w:rFonts w:ascii="Times New Roman" w:eastAsia="Arial Unicode MS" w:hAnsi="Times New Roman" w:cs="Times New Roman"/>
          <w:b/>
          <w:sz w:val="24"/>
          <w:szCs w:val="24"/>
          <w:u w:color="000000"/>
          <w:lang w:val="en-US"/>
        </w:rPr>
        <w:t>2.2</w:t>
      </w:r>
      <w:r w:rsidRPr="002E06CC">
        <w:rPr>
          <w:rFonts w:ascii="Times New Roman" w:eastAsia="Arial Unicode MS" w:hAnsi="Times New Roman" w:cs="Times New Roman"/>
          <w:b/>
          <w:sz w:val="24"/>
          <w:szCs w:val="24"/>
          <w:u w:color="000000"/>
          <w:lang w:val="en-US"/>
        </w:rPr>
        <w:tab/>
        <w:t>The National Development Plan</w:t>
      </w:r>
    </w:p>
    <w:p w14:paraId="4DFF00CE" w14:textId="77777777" w:rsidR="00DF6837" w:rsidRPr="002E06CC" w:rsidRDefault="00DF6837" w:rsidP="002E06CC">
      <w:pPr>
        <w:spacing w:line="360" w:lineRule="auto"/>
        <w:contextualSpacing/>
        <w:jc w:val="both"/>
        <w:rPr>
          <w:rFonts w:ascii="Times New Roman" w:hAnsi="Times New Roman" w:cs="Times New Roman"/>
          <w:b/>
          <w:sz w:val="24"/>
          <w:szCs w:val="24"/>
        </w:rPr>
      </w:pPr>
    </w:p>
    <w:p w14:paraId="4ACECD6E" w14:textId="77777777" w:rsidR="00DF6837" w:rsidRPr="002E06CC" w:rsidRDefault="00DF6837" w:rsidP="002E06CC">
      <w:pPr>
        <w:autoSpaceDE w:val="0"/>
        <w:autoSpaceDN w:val="0"/>
        <w:adjustRightInd w:val="0"/>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Similar to the previous CCB APPs, the CCB envisaged contributions are highlighted such as:</w:t>
      </w:r>
      <w:r w:rsidRPr="002E06CC">
        <w:rPr>
          <w:rStyle w:val="EndnoteReference"/>
          <w:rFonts w:ascii="Times New Roman" w:hAnsi="Times New Roman" w:cs="Times New Roman"/>
          <w:b/>
          <w:sz w:val="24"/>
          <w:szCs w:val="24"/>
        </w:rPr>
        <w:t xml:space="preserve"> </w:t>
      </w:r>
    </w:p>
    <w:p w14:paraId="7AABD2B1" w14:textId="77777777" w:rsidR="00DF6837" w:rsidRPr="002E06CC" w:rsidRDefault="00DF6837" w:rsidP="002E06CC">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2E06CC">
        <w:rPr>
          <w:rFonts w:ascii="Times New Roman" w:hAnsi="Times New Roman"/>
          <w:b/>
          <w:bCs/>
          <w:sz w:val="24"/>
          <w:szCs w:val="24"/>
        </w:rPr>
        <w:t xml:space="preserve"> Tourism:  </w:t>
      </w:r>
      <w:r w:rsidRPr="002E06CC">
        <w:rPr>
          <w:rFonts w:ascii="Times New Roman" w:hAnsi="Times New Roman"/>
          <w:sz w:val="24"/>
          <w:szCs w:val="24"/>
        </w:rPr>
        <w:t>The Castle of Good Hope (CGH) as a premier heritage tourism destination is part of important debates and regularly engages with the tourism industry, government departments, donors and partners to contribute toward the NDP outcomes and targets. CCB Programme 3 deals with Tourism Management and the organisational objective aligned to the NDP is “To maximize the tourism potential of the CGH.”</w:t>
      </w:r>
    </w:p>
    <w:p w14:paraId="2CBED96C" w14:textId="77777777" w:rsidR="00DF6837" w:rsidRPr="002E06CC" w:rsidRDefault="00DF6837" w:rsidP="002E06CC">
      <w:pPr>
        <w:pStyle w:val="ListParagraph"/>
        <w:autoSpaceDE w:val="0"/>
        <w:autoSpaceDN w:val="0"/>
        <w:adjustRightInd w:val="0"/>
        <w:spacing w:after="0" w:line="360" w:lineRule="auto"/>
        <w:ind w:left="360"/>
        <w:jc w:val="both"/>
        <w:rPr>
          <w:rFonts w:ascii="Times New Roman" w:hAnsi="Times New Roman"/>
          <w:sz w:val="24"/>
          <w:szCs w:val="24"/>
        </w:rPr>
      </w:pPr>
    </w:p>
    <w:p w14:paraId="30A7C74C" w14:textId="77777777" w:rsidR="00DF6837" w:rsidRPr="002E06CC" w:rsidRDefault="00DF6837" w:rsidP="002E06CC">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sidRPr="002E06CC">
        <w:rPr>
          <w:rFonts w:ascii="Times New Roman" w:hAnsi="Times New Roman"/>
          <w:b/>
          <w:bCs/>
          <w:sz w:val="24"/>
          <w:szCs w:val="24"/>
        </w:rPr>
        <w:t xml:space="preserve">Envisaged Reduction in Youth Unemployment:  </w:t>
      </w:r>
      <w:r w:rsidRPr="002E06CC">
        <w:rPr>
          <w:rFonts w:ascii="Times New Roman" w:hAnsi="Times New Roman"/>
          <w:sz w:val="24"/>
          <w:szCs w:val="24"/>
        </w:rPr>
        <w:t>The CCB is running a programme for youth job shadowing and internship. This initiative will be strengthened and refined over the MTEF. In this regard the CCB is working with the Culture, Arts, Tourism, Hospitality and Sports Sector Education and Training Authority to access some of their resources. The CCB’s output objective in Programme 4, which is aligned to the NDP, is “Delivering a range of public programmes with SA schools, cultural groups and special community groups.”</w:t>
      </w:r>
    </w:p>
    <w:p w14:paraId="2F9577E4" w14:textId="77777777" w:rsidR="00DF6837" w:rsidRPr="002E06CC" w:rsidRDefault="00DF6837" w:rsidP="002E06CC">
      <w:pPr>
        <w:pStyle w:val="ListParagraph"/>
        <w:autoSpaceDE w:val="0"/>
        <w:autoSpaceDN w:val="0"/>
        <w:adjustRightInd w:val="0"/>
        <w:spacing w:after="0" w:line="360" w:lineRule="auto"/>
        <w:ind w:left="360"/>
        <w:jc w:val="both"/>
        <w:rPr>
          <w:rFonts w:ascii="Times New Roman" w:eastAsiaTheme="minorHAnsi" w:hAnsi="Times New Roman"/>
          <w:sz w:val="24"/>
          <w:szCs w:val="24"/>
        </w:rPr>
      </w:pPr>
    </w:p>
    <w:p w14:paraId="14253208" w14:textId="77777777" w:rsidR="00DF6837" w:rsidRPr="002E06CC" w:rsidRDefault="00DF6837" w:rsidP="002E06CC">
      <w:pPr>
        <w:pStyle w:val="ListParagraph"/>
        <w:numPr>
          <w:ilvl w:val="0"/>
          <w:numId w:val="23"/>
        </w:numPr>
        <w:autoSpaceDE w:val="0"/>
        <w:autoSpaceDN w:val="0"/>
        <w:adjustRightInd w:val="0"/>
        <w:spacing w:after="0" w:line="360" w:lineRule="auto"/>
        <w:jc w:val="both"/>
        <w:rPr>
          <w:rFonts w:ascii="Times New Roman" w:eastAsiaTheme="minorHAnsi" w:hAnsi="Times New Roman"/>
          <w:sz w:val="24"/>
          <w:szCs w:val="24"/>
        </w:rPr>
      </w:pPr>
      <w:r w:rsidRPr="002E06CC">
        <w:rPr>
          <w:rFonts w:ascii="Times New Roman" w:eastAsiaTheme="minorHAnsi" w:hAnsi="Times New Roman"/>
          <w:b/>
          <w:bCs/>
          <w:sz w:val="24"/>
          <w:szCs w:val="24"/>
        </w:rPr>
        <w:t xml:space="preserve">Strengthening the National Research and Development Capacity: </w:t>
      </w:r>
      <w:r w:rsidRPr="002E06CC">
        <w:rPr>
          <w:rFonts w:ascii="Times New Roman" w:eastAsiaTheme="minorHAnsi" w:hAnsi="Times New Roman"/>
          <w:sz w:val="24"/>
          <w:szCs w:val="24"/>
        </w:rPr>
        <w:t xml:space="preserve">The CCB has a small resource centre which it plans to expand. It will establish a CCB Strategic Research capability, particularly to record, monitor and share the lessons of the multi-million rand renovations project. </w:t>
      </w:r>
    </w:p>
    <w:p w14:paraId="71FD2C54" w14:textId="77777777" w:rsidR="00DF6837" w:rsidRPr="002E06CC" w:rsidRDefault="00DF6837" w:rsidP="002E06CC">
      <w:pPr>
        <w:pStyle w:val="ListParagraph"/>
        <w:autoSpaceDE w:val="0"/>
        <w:autoSpaceDN w:val="0"/>
        <w:adjustRightInd w:val="0"/>
        <w:spacing w:after="0" w:line="360" w:lineRule="auto"/>
        <w:ind w:left="360"/>
        <w:jc w:val="both"/>
        <w:rPr>
          <w:rFonts w:ascii="Times New Roman" w:eastAsiaTheme="minorHAnsi" w:hAnsi="Times New Roman"/>
          <w:sz w:val="24"/>
          <w:szCs w:val="24"/>
        </w:rPr>
      </w:pPr>
    </w:p>
    <w:p w14:paraId="189A810A" w14:textId="77777777" w:rsidR="00DF6837" w:rsidRPr="002E06CC" w:rsidRDefault="00DF6837" w:rsidP="002E06CC">
      <w:pPr>
        <w:pStyle w:val="ListParagraph"/>
        <w:numPr>
          <w:ilvl w:val="0"/>
          <w:numId w:val="23"/>
        </w:numPr>
        <w:autoSpaceDE w:val="0"/>
        <w:autoSpaceDN w:val="0"/>
        <w:adjustRightInd w:val="0"/>
        <w:spacing w:after="0" w:line="360" w:lineRule="auto"/>
        <w:jc w:val="both"/>
        <w:rPr>
          <w:rFonts w:ascii="Times New Roman" w:eastAsiaTheme="minorHAnsi" w:hAnsi="Times New Roman"/>
          <w:sz w:val="24"/>
          <w:szCs w:val="24"/>
        </w:rPr>
      </w:pPr>
      <w:r w:rsidRPr="002E06CC">
        <w:rPr>
          <w:rFonts w:ascii="Times New Roman" w:eastAsiaTheme="minorHAnsi" w:hAnsi="Times New Roman"/>
          <w:b/>
          <w:bCs/>
          <w:sz w:val="24"/>
          <w:szCs w:val="24"/>
        </w:rPr>
        <w:t xml:space="preserve">Fraud and Corruption: </w:t>
      </w:r>
      <w:r w:rsidRPr="002E06CC">
        <w:rPr>
          <w:rFonts w:ascii="Times New Roman" w:eastAsiaTheme="minorHAnsi" w:hAnsi="Times New Roman"/>
          <w:bCs/>
          <w:sz w:val="24"/>
          <w:szCs w:val="24"/>
        </w:rPr>
        <w:t>The</w:t>
      </w:r>
      <w:r w:rsidRPr="002E06CC">
        <w:rPr>
          <w:rFonts w:ascii="Times New Roman" w:eastAsiaTheme="minorHAnsi" w:hAnsi="Times New Roman"/>
          <w:b/>
          <w:bCs/>
          <w:sz w:val="24"/>
          <w:szCs w:val="24"/>
        </w:rPr>
        <w:t xml:space="preserve"> </w:t>
      </w:r>
      <w:r w:rsidRPr="002E06CC">
        <w:rPr>
          <w:rFonts w:ascii="Times New Roman" w:eastAsiaTheme="minorHAnsi" w:hAnsi="Times New Roman"/>
          <w:sz w:val="24"/>
          <w:szCs w:val="24"/>
        </w:rPr>
        <w:t>CCB will intensify its campaign in fighting fraud and corruption. The organisation is involved in a process to review its legislation and has strengthened most of its critical internal controls to ensure a sound, corruption and crime-free organisation. Note is also taken of its “</w:t>
      </w:r>
      <w:r w:rsidRPr="002E06CC">
        <w:rPr>
          <w:rFonts w:ascii="Times New Roman" w:eastAsiaTheme="minorHAnsi" w:hAnsi="Times New Roman"/>
          <w:i/>
          <w:sz w:val="24"/>
          <w:szCs w:val="24"/>
        </w:rPr>
        <w:t>zero tolerance</w:t>
      </w:r>
      <w:r w:rsidRPr="002E06CC">
        <w:rPr>
          <w:rFonts w:ascii="Times New Roman" w:eastAsiaTheme="minorHAnsi" w:hAnsi="Times New Roman"/>
          <w:sz w:val="24"/>
          <w:szCs w:val="24"/>
        </w:rPr>
        <w:t xml:space="preserve">” towards corruption and fraud. </w:t>
      </w:r>
    </w:p>
    <w:p w14:paraId="7A550D1C"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rPr>
      </w:pPr>
    </w:p>
    <w:p w14:paraId="2BE4D905" w14:textId="77777777" w:rsidR="00DF6837" w:rsidRPr="002E06CC" w:rsidRDefault="00DF6837" w:rsidP="002E06CC">
      <w:pPr>
        <w:spacing w:line="360" w:lineRule="auto"/>
        <w:contextualSpacing/>
        <w:jc w:val="both"/>
        <w:rPr>
          <w:rFonts w:ascii="Times New Roman" w:hAnsi="Times New Roman" w:cs="Times New Roman"/>
          <w:sz w:val="24"/>
          <w:szCs w:val="24"/>
        </w:rPr>
      </w:pPr>
      <w:r w:rsidRPr="002E06CC">
        <w:rPr>
          <w:rFonts w:ascii="Times New Roman" w:hAnsi="Times New Roman" w:cs="Times New Roman"/>
          <w:sz w:val="24"/>
          <w:szCs w:val="24"/>
        </w:rPr>
        <w:t>Reference is also made to the ring-fenced R4.5 m annual subsidy as well as the CCB supporting economic objectives articulated in the National Development Plan (NDP). “</w:t>
      </w:r>
      <w:r w:rsidRPr="002E06CC">
        <w:rPr>
          <w:rFonts w:ascii="Times New Roman" w:hAnsi="Times New Roman" w:cs="Times New Roman"/>
          <w:i/>
          <w:sz w:val="24"/>
          <w:szCs w:val="24"/>
        </w:rPr>
        <w:t>The site is already supporting 89 direct employment posts, another 300 temporary opportunities associated with events and runs a very successful internship and learnership programme offering opportunities to at least 30 youth annually.”</w:t>
      </w:r>
      <w:r w:rsidRPr="002E06CC">
        <w:rPr>
          <w:rFonts w:ascii="Times New Roman" w:hAnsi="Times New Roman" w:cs="Times New Roman"/>
          <w:sz w:val="24"/>
          <w:szCs w:val="24"/>
        </w:rPr>
        <w:t xml:space="preserve"> </w:t>
      </w:r>
    </w:p>
    <w:p w14:paraId="05665363" w14:textId="77777777" w:rsidR="00DF6837" w:rsidRPr="002E06CC" w:rsidRDefault="00DF6837" w:rsidP="002E06CC">
      <w:pPr>
        <w:autoSpaceDE w:val="0"/>
        <w:autoSpaceDN w:val="0"/>
        <w:adjustRightInd w:val="0"/>
        <w:spacing w:after="0" w:line="360" w:lineRule="auto"/>
        <w:jc w:val="both"/>
        <w:rPr>
          <w:rFonts w:ascii="Times New Roman" w:hAnsi="Times New Roman" w:cs="Times New Roman"/>
          <w:sz w:val="24"/>
          <w:szCs w:val="24"/>
        </w:rPr>
      </w:pPr>
    </w:p>
    <w:p w14:paraId="4199A3C7"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val="en-US"/>
        </w:rPr>
      </w:pPr>
      <w:r w:rsidRPr="002E06CC">
        <w:rPr>
          <w:rFonts w:ascii="Times New Roman" w:eastAsia="Arial Unicode MS" w:hAnsi="Times New Roman" w:cs="Times New Roman"/>
          <w:b/>
          <w:sz w:val="24"/>
          <w:szCs w:val="24"/>
          <w:u w:color="000000"/>
          <w:lang w:val="en-US"/>
        </w:rPr>
        <w:t>2.3</w:t>
      </w:r>
      <w:r w:rsidRPr="002E06CC">
        <w:rPr>
          <w:rFonts w:ascii="Times New Roman" w:eastAsia="Arial Unicode MS" w:hAnsi="Times New Roman" w:cs="Times New Roman"/>
          <w:b/>
          <w:sz w:val="24"/>
          <w:szCs w:val="24"/>
          <w:u w:color="000000"/>
          <w:lang w:val="en-US"/>
        </w:rPr>
        <w:tab/>
        <w:t>The Medium Term Strategic Framework (2014 - 2019)</w:t>
      </w:r>
      <w:r w:rsidRPr="002E06CC">
        <w:rPr>
          <w:rFonts w:ascii="Times New Roman" w:eastAsia="Arial Unicode MS" w:hAnsi="Times New Roman" w:cs="Times New Roman"/>
          <w:sz w:val="24"/>
          <w:szCs w:val="24"/>
          <w:u w:color="000000"/>
          <w:lang w:val="en-US"/>
        </w:rPr>
        <w:t xml:space="preserve"> </w:t>
      </w:r>
    </w:p>
    <w:p w14:paraId="3E2CE694"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val="en-US"/>
        </w:rPr>
      </w:pPr>
    </w:p>
    <w:p w14:paraId="5B969B13" w14:textId="77777777" w:rsidR="00DF6837" w:rsidRPr="002E06CC" w:rsidRDefault="00DF6837" w:rsidP="002E06CC">
      <w:pPr>
        <w:autoSpaceDE w:val="0"/>
        <w:autoSpaceDN w:val="0"/>
        <w:adjustRightInd w:val="0"/>
        <w:spacing w:after="0" w:line="360" w:lineRule="auto"/>
        <w:jc w:val="both"/>
        <w:rPr>
          <w:rFonts w:ascii="Times New Roman" w:hAnsi="Times New Roman" w:cs="Times New Roman"/>
          <w:sz w:val="24"/>
          <w:szCs w:val="24"/>
        </w:rPr>
      </w:pPr>
      <w:r w:rsidRPr="002E06CC">
        <w:rPr>
          <w:rFonts w:ascii="Times New Roman" w:hAnsi="Times New Roman" w:cs="Times New Roman"/>
          <w:sz w:val="24"/>
          <w:szCs w:val="24"/>
        </w:rPr>
        <w:t>The MTSF Outcomes to which CCB will contribute by virtue of its legislative mandate and inherent capabilities are as follows:</w:t>
      </w:r>
    </w:p>
    <w:p w14:paraId="3BC8038A" w14:textId="77777777" w:rsidR="00DF6837" w:rsidRPr="002E06CC" w:rsidRDefault="00DF6837" w:rsidP="002E06CC">
      <w:pPr>
        <w:autoSpaceDE w:val="0"/>
        <w:autoSpaceDN w:val="0"/>
        <w:adjustRightInd w:val="0"/>
        <w:spacing w:after="0" w:line="360" w:lineRule="auto"/>
        <w:jc w:val="both"/>
        <w:rPr>
          <w:rFonts w:ascii="Times New Roman" w:hAnsi="Times New Roman" w:cs="Times New Roman"/>
          <w:sz w:val="24"/>
          <w:szCs w:val="24"/>
        </w:rPr>
      </w:pPr>
    </w:p>
    <w:p w14:paraId="033CA498" w14:textId="77777777" w:rsidR="00DF6837" w:rsidRPr="002E06CC" w:rsidRDefault="00DF6837" w:rsidP="002E06CC">
      <w:pPr>
        <w:autoSpaceDE w:val="0"/>
        <w:autoSpaceDN w:val="0"/>
        <w:adjustRightInd w:val="0"/>
        <w:spacing w:after="0" w:line="360" w:lineRule="auto"/>
        <w:jc w:val="both"/>
        <w:rPr>
          <w:rFonts w:ascii="Times New Roman" w:hAnsi="Times New Roman" w:cs="Times New Roman"/>
          <w:sz w:val="24"/>
          <w:szCs w:val="24"/>
        </w:rPr>
      </w:pPr>
      <w:r w:rsidRPr="002E06CC">
        <w:rPr>
          <w:rFonts w:ascii="Times New Roman" w:hAnsi="Times New Roman" w:cs="Times New Roman"/>
          <w:b/>
          <w:bCs/>
          <w:sz w:val="24"/>
          <w:szCs w:val="24"/>
        </w:rPr>
        <w:t xml:space="preserve">MTSF Outcome 3: All people in South Africa are and feel safe. </w:t>
      </w:r>
      <w:r w:rsidRPr="002E06CC">
        <w:rPr>
          <w:rFonts w:ascii="Times New Roman" w:hAnsi="Times New Roman" w:cs="Times New Roman"/>
          <w:sz w:val="24"/>
          <w:szCs w:val="24"/>
        </w:rPr>
        <w:t>Since the Castle is associated with safety and security, the CCB has used this outcome to drive its operational plans to ensure the safety of staff and tourists to the Castle. Work will continue in this strategic area and all stakeholders are kept abreast of developments in this regard.</w:t>
      </w:r>
    </w:p>
    <w:p w14:paraId="48831E6E" w14:textId="77777777" w:rsidR="00DF6837" w:rsidRPr="002E06CC" w:rsidRDefault="00DF6837" w:rsidP="002E06CC">
      <w:pPr>
        <w:autoSpaceDE w:val="0"/>
        <w:autoSpaceDN w:val="0"/>
        <w:adjustRightInd w:val="0"/>
        <w:spacing w:after="0" w:line="360" w:lineRule="auto"/>
        <w:jc w:val="both"/>
        <w:rPr>
          <w:rFonts w:ascii="Times New Roman" w:hAnsi="Times New Roman" w:cs="Times New Roman"/>
          <w:sz w:val="24"/>
          <w:szCs w:val="24"/>
        </w:rPr>
      </w:pPr>
    </w:p>
    <w:p w14:paraId="6933392D" w14:textId="77777777" w:rsidR="00DF6837" w:rsidRPr="002E06CC" w:rsidRDefault="00DF6837" w:rsidP="002E06CC">
      <w:pPr>
        <w:autoSpaceDE w:val="0"/>
        <w:autoSpaceDN w:val="0"/>
        <w:adjustRightInd w:val="0"/>
        <w:spacing w:after="0" w:line="360" w:lineRule="auto"/>
        <w:jc w:val="both"/>
        <w:rPr>
          <w:rFonts w:ascii="Times New Roman" w:hAnsi="Times New Roman" w:cs="Times New Roman"/>
          <w:sz w:val="24"/>
          <w:szCs w:val="24"/>
        </w:rPr>
      </w:pPr>
      <w:r w:rsidRPr="002E06CC">
        <w:rPr>
          <w:rFonts w:ascii="Times New Roman" w:hAnsi="Times New Roman" w:cs="Times New Roman"/>
          <w:b/>
          <w:bCs/>
          <w:sz w:val="24"/>
          <w:szCs w:val="24"/>
        </w:rPr>
        <w:t xml:space="preserve">MTSF Outcomes 4 and 5: </w:t>
      </w:r>
      <w:r w:rsidRPr="002E06CC">
        <w:rPr>
          <w:rFonts w:ascii="Times New Roman" w:hAnsi="Times New Roman" w:cs="Times New Roman"/>
          <w:sz w:val="24"/>
          <w:szCs w:val="24"/>
        </w:rPr>
        <w:t>“</w:t>
      </w:r>
      <w:r w:rsidRPr="002E06CC">
        <w:rPr>
          <w:rFonts w:ascii="Times New Roman" w:hAnsi="Times New Roman" w:cs="Times New Roman"/>
          <w:i/>
          <w:sz w:val="24"/>
          <w:szCs w:val="24"/>
        </w:rPr>
        <w:t>A skilled and capable workforce to support an inclusive growth path</w:t>
      </w:r>
      <w:r w:rsidRPr="002E06CC">
        <w:rPr>
          <w:rFonts w:ascii="Times New Roman" w:hAnsi="Times New Roman" w:cs="Times New Roman"/>
          <w:sz w:val="24"/>
          <w:szCs w:val="24"/>
        </w:rPr>
        <w:t>” and “</w:t>
      </w:r>
      <w:r w:rsidRPr="002E06CC">
        <w:rPr>
          <w:rFonts w:ascii="Times New Roman" w:hAnsi="Times New Roman" w:cs="Times New Roman"/>
          <w:i/>
          <w:sz w:val="24"/>
          <w:szCs w:val="24"/>
        </w:rPr>
        <w:t>Decent employment through inclusive economic growth</w:t>
      </w:r>
      <w:r w:rsidRPr="002E06CC">
        <w:rPr>
          <w:rFonts w:ascii="Times New Roman" w:hAnsi="Times New Roman" w:cs="Times New Roman"/>
          <w:sz w:val="24"/>
          <w:szCs w:val="24"/>
        </w:rPr>
        <w:t>” are linked to the CCB Programme “</w:t>
      </w:r>
      <w:r w:rsidRPr="002E06CC">
        <w:rPr>
          <w:rFonts w:ascii="Times New Roman" w:hAnsi="Times New Roman" w:cs="Times New Roman"/>
          <w:i/>
          <w:sz w:val="24"/>
          <w:szCs w:val="24"/>
        </w:rPr>
        <w:t>To maximise the tourism potential of the CGH”</w:t>
      </w:r>
      <w:r w:rsidRPr="002E06CC">
        <w:rPr>
          <w:rFonts w:ascii="Times New Roman" w:hAnsi="Times New Roman" w:cs="Times New Roman"/>
          <w:sz w:val="24"/>
          <w:szCs w:val="24"/>
        </w:rPr>
        <w:t xml:space="preserve"> with the following outcomes set out in the CCB Strategy Map:</w:t>
      </w:r>
    </w:p>
    <w:p w14:paraId="6D2574AC" w14:textId="77777777" w:rsidR="00DF6837" w:rsidRPr="002E06CC" w:rsidRDefault="00DF6837" w:rsidP="002E06CC">
      <w:pPr>
        <w:autoSpaceDE w:val="0"/>
        <w:autoSpaceDN w:val="0"/>
        <w:adjustRightInd w:val="0"/>
        <w:spacing w:after="0" w:line="360" w:lineRule="auto"/>
        <w:jc w:val="both"/>
        <w:rPr>
          <w:rFonts w:ascii="Times New Roman" w:hAnsi="Times New Roman" w:cs="Times New Roman"/>
          <w:sz w:val="24"/>
          <w:szCs w:val="24"/>
        </w:rPr>
      </w:pPr>
    </w:p>
    <w:p w14:paraId="50F9D7F4" w14:textId="77777777" w:rsidR="00DF6837" w:rsidRPr="002E06CC" w:rsidRDefault="00DF6837" w:rsidP="002E06CC">
      <w:pPr>
        <w:autoSpaceDE w:val="0"/>
        <w:autoSpaceDN w:val="0"/>
        <w:adjustRightInd w:val="0"/>
        <w:spacing w:after="0" w:line="360" w:lineRule="auto"/>
        <w:ind w:firstLine="720"/>
        <w:jc w:val="both"/>
        <w:rPr>
          <w:rFonts w:ascii="Times New Roman" w:hAnsi="Times New Roman" w:cs="Times New Roman"/>
          <w:sz w:val="24"/>
          <w:szCs w:val="24"/>
        </w:rPr>
      </w:pPr>
      <w:r w:rsidRPr="002E06CC">
        <w:rPr>
          <w:rFonts w:ascii="Times New Roman" w:hAnsi="Times New Roman" w:cs="Times New Roman"/>
          <w:sz w:val="24"/>
          <w:szCs w:val="24"/>
        </w:rPr>
        <w:t>• Deliver a complete offering of visitor services and experience;</w:t>
      </w:r>
    </w:p>
    <w:p w14:paraId="1BDE9405" w14:textId="77777777" w:rsidR="00DF6837" w:rsidRPr="002E06CC" w:rsidRDefault="00DF6837" w:rsidP="002E06CC">
      <w:pPr>
        <w:autoSpaceDE w:val="0"/>
        <w:autoSpaceDN w:val="0"/>
        <w:adjustRightInd w:val="0"/>
        <w:spacing w:after="0" w:line="360" w:lineRule="auto"/>
        <w:ind w:firstLine="720"/>
        <w:jc w:val="both"/>
        <w:rPr>
          <w:rFonts w:ascii="Times New Roman" w:hAnsi="Times New Roman" w:cs="Times New Roman"/>
          <w:sz w:val="24"/>
          <w:szCs w:val="24"/>
        </w:rPr>
      </w:pPr>
      <w:r w:rsidRPr="002E06CC">
        <w:rPr>
          <w:rFonts w:ascii="Times New Roman" w:hAnsi="Times New Roman" w:cs="Times New Roman"/>
          <w:sz w:val="24"/>
          <w:szCs w:val="24"/>
        </w:rPr>
        <w:t>• Human resource development and adequate staffing levels;</w:t>
      </w:r>
    </w:p>
    <w:p w14:paraId="44E13844" w14:textId="77777777" w:rsidR="00DF6837" w:rsidRPr="002E06CC" w:rsidRDefault="00DF6837" w:rsidP="002E06CC">
      <w:pPr>
        <w:autoSpaceDE w:val="0"/>
        <w:autoSpaceDN w:val="0"/>
        <w:adjustRightInd w:val="0"/>
        <w:spacing w:after="0" w:line="360" w:lineRule="auto"/>
        <w:ind w:firstLine="720"/>
        <w:jc w:val="both"/>
        <w:rPr>
          <w:rFonts w:ascii="Times New Roman" w:hAnsi="Times New Roman" w:cs="Times New Roman"/>
          <w:sz w:val="24"/>
          <w:szCs w:val="24"/>
        </w:rPr>
      </w:pPr>
      <w:r w:rsidRPr="002E06CC">
        <w:rPr>
          <w:rFonts w:ascii="Times New Roman" w:hAnsi="Times New Roman" w:cs="Times New Roman"/>
          <w:sz w:val="24"/>
          <w:szCs w:val="24"/>
        </w:rPr>
        <w:t>• Implement a revenue generation plan; and</w:t>
      </w:r>
    </w:p>
    <w:p w14:paraId="0F38683D" w14:textId="77777777" w:rsidR="00DF6837" w:rsidRPr="002E06CC" w:rsidRDefault="00DF6837" w:rsidP="002E06CC">
      <w:pPr>
        <w:autoSpaceDE w:val="0"/>
        <w:autoSpaceDN w:val="0"/>
        <w:adjustRightInd w:val="0"/>
        <w:spacing w:after="0" w:line="360" w:lineRule="auto"/>
        <w:ind w:firstLine="720"/>
        <w:jc w:val="both"/>
        <w:rPr>
          <w:rFonts w:ascii="Times New Roman" w:hAnsi="Times New Roman" w:cs="Times New Roman"/>
          <w:sz w:val="24"/>
          <w:szCs w:val="24"/>
        </w:rPr>
      </w:pPr>
      <w:r w:rsidRPr="002E06CC">
        <w:rPr>
          <w:rFonts w:ascii="Times New Roman" w:hAnsi="Times New Roman" w:cs="Times New Roman"/>
          <w:sz w:val="24"/>
          <w:szCs w:val="24"/>
        </w:rPr>
        <w:t>• Responsible commercialisation drive.</w:t>
      </w:r>
    </w:p>
    <w:p w14:paraId="0203B658" w14:textId="77777777" w:rsidR="00DF6837" w:rsidRPr="002E06CC" w:rsidRDefault="00DF6837" w:rsidP="002E06CC">
      <w:pPr>
        <w:autoSpaceDE w:val="0"/>
        <w:autoSpaceDN w:val="0"/>
        <w:adjustRightInd w:val="0"/>
        <w:spacing w:after="0" w:line="360" w:lineRule="auto"/>
        <w:jc w:val="both"/>
        <w:rPr>
          <w:rFonts w:ascii="Times New Roman" w:hAnsi="Times New Roman" w:cs="Times New Roman"/>
          <w:sz w:val="24"/>
          <w:szCs w:val="24"/>
        </w:rPr>
      </w:pPr>
    </w:p>
    <w:p w14:paraId="6376FAB3" w14:textId="77777777" w:rsidR="00DF6837" w:rsidRPr="002E06CC" w:rsidRDefault="00DF6837" w:rsidP="002E06CC">
      <w:pPr>
        <w:autoSpaceDE w:val="0"/>
        <w:autoSpaceDN w:val="0"/>
        <w:adjustRightInd w:val="0"/>
        <w:spacing w:after="0" w:line="360" w:lineRule="auto"/>
        <w:jc w:val="both"/>
        <w:rPr>
          <w:rFonts w:ascii="Times New Roman" w:hAnsi="Times New Roman" w:cs="Times New Roman"/>
          <w:sz w:val="24"/>
          <w:szCs w:val="24"/>
        </w:rPr>
      </w:pPr>
      <w:r w:rsidRPr="002E06CC">
        <w:rPr>
          <w:rFonts w:ascii="Times New Roman" w:hAnsi="Times New Roman" w:cs="Times New Roman"/>
          <w:b/>
          <w:bCs/>
          <w:sz w:val="24"/>
          <w:szCs w:val="24"/>
        </w:rPr>
        <w:t xml:space="preserve">MTSF Outcome 12: </w:t>
      </w:r>
      <w:r w:rsidRPr="002E06CC">
        <w:rPr>
          <w:rFonts w:ascii="Times New Roman" w:hAnsi="Times New Roman" w:cs="Times New Roman"/>
          <w:sz w:val="24"/>
          <w:szCs w:val="24"/>
        </w:rPr>
        <w:t>“</w:t>
      </w:r>
      <w:r w:rsidRPr="002E06CC">
        <w:rPr>
          <w:rFonts w:ascii="Times New Roman" w:hAnsi="Times New Roman" w:cs="Times New Roman"/>
          <w:i/>
          <w:sz w:val="24"/>
          <w:szCs w:val="24"/>
        </w:rPr>
        <w:t>An efficient, effective and development orientated public service and an empowered, fair and inclusive citizenship</w:t>
      </w:r>
      <w:r w:rsidRPr="002E06CC">
        <w:rPr>
          <w:rFonts w:ascii="Times New Roman" w:hAnsi="Times New Roman" w:cs="Times New Roman"/>
          <w:sz w:val="24"/>
          <w:szCs w:val="24"/>
        </w:rPr>
        <w:t>” is linked to CCB programmes 1 and 2, namely “</w:t>
      </w:r>
      <w:r w:rsidRPr="002E06CC">
        <w:rPr>
          <w:rFonts w:ascii="Times New Roman" w:hAnsi="Times New Roman" w:cs="Times New Roman"/>
          <w:i/>
          <w:sz w:val="24"/>
          <w:szCs w:val="24"/>
        </w:rPr>
        <w:t>Ensure clean, sound administration and good corporate governance</w:t>
      </w:r>
      <w:r w:rsidRPr="002E06CC">
        <w:rPr>
          <w:rFonts w:ascii="Times New Roman" w:hAnsi="Times New Roman" w:cs="Times New Roman"/>
          <w:sz w:val="24"/>
          <w:szCs w:val="24"/>
        </w:rPr>
        <w:t>” and “</w:t>
      </w:r>
      <w:r w:rsidRPr="002E06CC">
        <w:rPr>
          <w:rFonts w:ascii="Times New Roman" w:hAnsi="Times New Roman" w:cs="Times New Roman"/>
          <w:i/>
          <w:sz w:val="24"/>
          <w:szCs w:val="24"/>
        </w:rPr>
        <w:t>Ensure the maintenance, preservation, interpretation and showcasing of the history of the Castle</w:t>
      </w:r>
      <w:r w:rsidRPr="002E06CC">
        <w:rPr>
          <w:rFonts w:ascii="Times New Roman" w:hAnsi="Times New Roman" w:cs="Times New Roman"/>
          <w:sz w:val="24"/>
          <w:szCs w:val="24"/>
        </w:rPr>
        <w:t>.” These are linked to the following Strategic Map outcomes:</w:t>
      </w:r>
    </w:p>
    <w:p w14:paraId="667C8FBA" w14:textId="77777777" w:rsidR="00DF6837" w:rsidRPr="002E06CC" w:rsidRDefault="00DF6837" w:rsidP="002E06CC">
      <w:pPr>
        <w:autoSpaceDE w:val="0"/>
        <w:autoSpaceDN w:val="0"/>
        <w:adjustRightInd w:val="0"/>
        <w:spacing w:after="0" w:line="360" w:lineRule="auto"/>
        <w:jc w:val="both"/>
        <w:rPr>
          <w:rFonts w:ascii="Times New Roman" w:hAnsi="Times New Roman" w:cs="Times New Roman"/>
          <w:sz w:val="24"/>
          <w:szCs w:val="24"/>
        </w:rPr>
      </w:pPr>
    </w:p>
    <w:p w14:paraId="53A2B639" w14:textId="77777777" w:rsidR="00DF6837" w:rsidRPr="002E06CC" w:rsidRDefault="00DF6837" w:rsidP="002E06CC">
      <w:pPr>
        <w:autoSpaceDE w:val="0"/>
        <w:autoSpaceDN w:val="0"/>
        <w:adjustRightInd w:val="0"/>
        <w:spacing w:after="0" w:line="360" w:lineRule="auto"/>
        <w:ind w:firstLine="720"/>
        <w:jc w:val="both"/>
        <w:rPr>
          <w:rFonts w:ascii="Times New Roman" w:hAnsi="Times New Roman" w:cs="Times New Roman"/>
          <w:sz w:val="24"/>
          <w:szCs w:val="24"/>
        </w:rPr>
      </w:pPr>
      <w:r w:rsidRPr="002E06CC">
        <w:rPr>
          <w:rFonts w:ascii="Times New Roman" w:hAnsi="Times New Roman" w:cs="Times New Roman"/>
          <w:sz w:val="24"/>
          <w:szCs w:val="24"/>
        </w:rPr>
        <w:t>• Effective and efficient systems of internal control;</w:t>
      </w:r>
    </w:p>
    <w:p w14:paraId="243598E0" w14:textId="77777777" w:rsidR="00DF6837" w:rsidRPr="002E06CC" w:rsidRDefault="00DF6837" w:rsidP="002E06CC">
      <w:pPr>
        <w:autoSpaceDE w:val="0"/>
        <w:autoSpaceDN w:val="0"/>
        <w:adjustRightInd w:val="0"/>
        <w:spacing w:after="0" w:line="360" w:lineRule="auto"/>
        <w:ind w:firstLine="720"/>
        <w:jc w:val="both"/>
        <w:rPr>
          <w:rFonts w:ascii="Times New Roman" w:hAnsi="Times New Roman" w:cs="Times New Roman"/>
          <w:sz w:val="24"/>
          <w:szCs w:val="24"/>
        </w:rPr>
      </w:pPr>
      <w:r w:rsidRPr="002E06CC">
        <w:rPr>
          <w:rFonts w:ascii="Times New Roman" w:hAnsi="Times New Roman" w:cs="Times New Roman"/>
          <w:sz w:val="24"/>
          <w:szCs w:val="24"/>
        </w:rPr>
        <w:t>• Sound financial control;</w:t>
      </w:r>
    </w:p>
    <w:p w14:paraId="37369FFE" w14:textId="77777777" w:rsidR="00DF6837" w:rsidRPr="002E06CC" w:rsidRDefault="00DF6837" w:rsidP="002E06CC">
      <w:pPr>
        <w:autoSpaceDE w:val="0"/>
        <w:autoSpaceDN w:val="0"/>
        <w:adjustRightInd w:val="0"/>
        <w:spacing w:after="0" w:line="360" w:lineRule="auto"/>
        <w:ind w:firstLine="720"/>
        <w:jc w:val="both"/>
        <w:rPr>
          <w:rFonts w:ascii="Times New Roman" w:hAnsi="Times New Roman" w:cs="Times New Roman"/>
          <w:sz w:val="24"/>
          <w:szCs w:val="24"/>
        </w:rPr>
      </w:pPr>
      <w:r w:rsidRPr="002E06CC">
        <w:rPr>
          <w:rFonts w:ascii="Times New Roman" w:hAnsi="Times New Roman" w:cs="Times New Roman"/>
          <w:sz w:val="24"/>
          <w:szCs w:val="24"/>
        </w:rPr>
        <w:t>• Research and international benchmarking; and</w:t>
      </w:r>
    </w:p>
    <w:p w14:paraId="45A4AC37" w14:textId="77777777" w:rsidR="00DF6837" w:rsidRPr="002E06CC" w:rsidRDefault="00DF6837" w:rsidP="002E06CC">
      <w:pPr>
        <w:autoSpaceDE w:val="0"/>
        <w:autoSpaceDN w:val="0"/>
        <w:adjustRightInd w:val="0"/>
        <w:spacing w:after="0" w:line="360" w:lineRule="auto"/>
        <w:ind w:firstLine="720"/>
        <w:jc w:val="both"/>
        <w:rPr>
          <w:rFonts w:ascii="Times New Roman" w:hAnsi="Times New Roman" w:cs="Times New Roman"/>
          <w:sz w:val="24"/>
          <w:szCs w:val="24"/>
        </w:rPr>
      </w:pPr>
      <w:r w:rsidRPr="002E06CC">
        <w:rPr>
          <w:rFonts w:ascii="Times New Roman" w:hAnsi="Times New Roman" w:cs="Times New Roman"/>
          <w:sz w:val="24"/>
          <w:szCs w:val="24"/>
        </w:rPr>
        <w:t>• Integrated resource management.</w:t>
      </w:r>
    </w:p>
    <w:p w14:paraId="596F84C2" w14:textId="77777777" w:rsidR="00DF6837" w:rsidRPr="002E06CC" w:rsidRDefault="00DF6837" w:rsidP="002E06CC">
      <w:pPr>
        <w:spacing w:after="0" w:line="360" w:lineRule="auto"/>
        <w:jc w:val="both"/>
        <w:outlineLvl w:val="0"/>
        <w:rPr>
          <w:rFonts w:ascii="Times New Roman" w:eastAsia="Arial Unicode MS" w:hAnsi="Times New Roman" w:cs="Times New Roman"/>
          <w:b/>
          <w:sz w:val="24"/>
          <w:szCs w:val="24"/>
          <w:u w:color="000000"/>
          <w:lang w:val="en-US"/>
        </w:rPr>
      </w:pPr>
    </w:p>
    <w:p w14:paraId="2644EAF5" w14:textId="77777777" w:rsidR="00DF6837" w:rsidRPr="002E06CC" w:rsidRDefault="00DF6837" w:rsidP="002E06CC">
      <w:pPr>
        <w:spacing w:after="0" w:line="360" w:lineRule="auto"/>
        <w:jc w:val="both"/>
        <w:outlineLvl w:val="0"/>
        <w:rPr>
          <w:rFonts w:ascii="Times New Roman" w:eastAsia="Arial Unicode MS" w:hAnsi="Times New Roman" w:cs="Times New Roman"/>
          <w:b/>
          <w:sz w:val="24"/>
          <w:szCs w:val="24"/>
          <w:u w:color="000000"/>
          <w:lang w:val="en-US"/>
        </w:rPr>
      </w:pPr>
      <w:r w:rsidRPr="002E06CC">
        <w:rPr>
          <w:rFonts w:ascii="Times New Roman" w:eastAsia="Arial Unicode MS" w:hAnsi="Times New Roman" w:cs="Times New Roman"/>
          <w:b/>
          <w:sz w:val="24"/>
          <w:szCs w:val="24"/>
          <w:u w:color="000000"/>
          <w:lang w:val="en-US"/>
        </w:rPr>
        <w:t>2.4</w:t>
      </w:r>
      <w:r w:rsidRPr="002E06CC">
        <w:rPr>
          <w:rFonts w:ascii="Times New Roman" w:eastAsia="Arial Unicode MS" w:hAnsi="Times New Roman" w:cs="Times New Roman"/>
          <w:b/>
          <w:sz w:val="24"/>
          <w:szCs w:val="24"/>
          <w:u w:color="000000"/>
          <w:lang w:val="en-US"/>
        </w:rPr>
        <w:tab/>
        <w:t>Summary of Programme purpose and Output</w:t>
      </w:r>
    </w:p>
    <w:p w14:paraId="3CF682BC" w14:textId="77777777" w:rsidR="00DF6837" w:rsidRPr="002E06CC" w:rsidRDefault="00DF6837" w:rsidP="002E06CC">
      <w:pPr>
        <w:spacing w:after="0" w:line="360" w:lineRule="auto"/>
        <w:jc w:val="both"/>
        <w:outlineLvl w:val="0"/>
        <w:rPr>
          <w:rFonts w:ascii="Times New Roman" w:eastAsia="Arial Unicode MS" w:hAnsi="Times New Roman" w:cs="Times New Roman"/>
          <w:b/>
          <w:sz w:val="24"/>
          <w:szCs w:val="24"/>
          <w:u w:color="000000"/>
          <w:lang w:val="en-US"/>
        </w:rPr>
      </w:pPr>
    </w:p>
    <w:p w14:paraId="580235F2"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val="en-US"/>
        </w:rPr>
      </w:pPr>
      <w:r w:rsidRPr="002E06CC">
        <w:rPr>
          <w:rFonts w:ascii="Times New Roman" w:eastAsia="Arial Unicode MS" w:hAnsi="Times New Roman" w:cs="Times New Roman"/>
          <w:sz w:val="24"/>
          <w:szCs w:val="24"/>
          <w:u w:color="000000"/>
          <w:lang w:val="en-US"/>
        </w:rPr>
        <w:t xml:space="preserve">The CCB Annual Performance Plan gives effect to the mandate of the CCB which translates into the following purposes of the programmes with their programme outputs: </w:t>
      </w:r>
    </w:p>
    <w:p w14:paraId="67DC61F9"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val="en-US"/>
        </w:rPr>
      </w:pPr>
    </w:p>
    <w:tbl>
      <w:tblPr>
        <w:tblStyle w:val="TableGrid"/>
        <w:tblW w:w="0" w:type="auto"/>
        <w:tblLook w:val="04A0" w:firstRow="1" w:lastRow="0" w:firstColumn="1" w:lastColumn="0" w:noHBand="0" w:noVBand="1"/>
      </w:tblPr>
      <w:tblGrid>
        <w:gridCol w:w="670"/>
        <w:gridCol w:w="2919"/>
        <w:gridCol w:w="6083"/>
      </w:tblGrid>
      <w:tr w:rsidR="00DF6837" w:rsidRPr="002E06CC" w14:paraId="03017E23" w14:textId="77777777" w:rsidTr="0012600B">
        <w:tc>
          <w:tcPr>
            <w:tcW w:w="620" w:type="dxa"/>
            <w:tcBorders>
              <w:bottom w:val="single" w:sz="4" w:space="0" w:color="auto"/>
            </w:tcBorders>
            <w:shd w:val="clear" w:color="auto" w:fill="FFFFFF" w:themeFill="text1" w:themeFillTint="80"/>
          </w:tcPr>
          <w:p w14:paraId="0CA77E3A" w14:textId="77777777" w:rsidR="00DF6837" w:rsidRPr="002E06CC" w:rsidRDefault="00DF6837" w:rsidP="002E06CC">
            <w:pPr>
              <w:spacing w:line="360" w:lineRule="auto"/>
              <w:jc w:val="center"/>
              <w:outlineLvl w:val="0"/>
              <w:rPr>
                <w:rFonts w:ascii="Times New Roman" w:eastAsia="Arial Unicode MS" w:hAnsi="Times New Roman" w:cs="Times New Roman"/>
                <w:b/>
                <w:sz w:val="24"/>
                <w:szCs w:val="24"/>
                <w:u w:color="000000"/>
                <w:lang w:val="en-US"/>
              </w:rPr>
            </w:pPr>
            <w:r w:rsidRPr="002E06CC">
              <w:rPr>
                <w:rFonts w:ascii="Times New Roman" w:eastAsia="Arial Unicode MS" w:hAnsi="Times New Roman" w:cs="Times New Roman"/>
                <w:b/>
                <w:sz w:val="24"/>
                <w:szCs w:val="24"/>
                <w:u w:color="000000"/>
                <w:lang w:val="en-US"/>
              </w:rPr>
              <w:t>S/no</w:t>
            </w:r>
          </w:p>
        </w:tc>
        <w:tc>
          <w:tcPr>
            <w:tcW w:w="2919" w:type="dxa"/>
            <w:tcBorders>
              <w:bottom w:val="single" w:sz="4" w:space="0" w:color="auto"/>
            </w:tcBorders>
            <w:shd w:val="clear" w:color="auto" w:fill="FFFFFF" w:themeFill="text1" w:themeFillTint="80"/>
          </w:tcPr>
          <w:p w14:paraId="10A238B6" w14:textId="77777777" w:rsidR="00DF6837" w:rsidRPr="002E06CC" w:rsidRDefault="00DF6837" w:rsidP="002E06CC">
            <w:pPr>
              <w:spacing w:line="360" w:lineRule="auto"/>
              <w:jc w:val="center"/>
              <w:outlineLvl w:val="0"/>
              <w:rPr>
                <w:rFonts w:ascii="Times New Roman" w:eastAsia="Arial Unicode MS" w:hAnsi="Times New Roman" w:cs="Times New Roman"/>
                <w:b/>
                <w:sz w:val="24"/>
                <w:szCs w:val="24"/>
                <w:u w:color="000000"/>
                <w:lang w:val="en-US"/>
              </w:rPr>
            </w:pPr>
            <w:r w:rsidRPr="002E06CC">
              <w:rPr>
                <w:rFonts w:ascii="Times New Roman" w:eastAsia="Arial Unicode MS" w:hAnsi="Times New Roman" w:cs="Times New Roman"/>
                <w:b/>
                <w:sz w:val="24"/>
                <w:szCs w:val="24"/>
                <w:u w:color="000000"/>
                <w:lang w:val="en-US"/>
              </w:rPr>
              <w:t>Programme Purpose</w:t>
            </w:r>
          </w:p>
        </w:tc>
        <w:tc>
          <w:tcPr>
            <w:tcW w:w="6083" w:type="dxa"/>
            <w:tcBorders>
              <w:bottom w:val="single" w:sz="4" w:space="0" w:color="auto"/>
            </w:tcBorders>
            <w:shd w:val="clear" w:color="auto" w:fill="FFFFFF" w:themeFill="text1" w:themeFillTint="80"/>
          </w:tcPr>
          <w:p w14:paraId="3A665617" w14:textId="77777777" w:rsidR="00DF6837" w:rsidRPr="002E06CC" w:rsidRDefault="00DF6837" w:rsidP="002E06CC">
            <w:pPr>
              <w:spacing w:line="360" w:lineRule="auto"/>
              <w:jc w:val="center"/>
              <w:outlineLvl w:val="0"/>
              <w:rPr>
                <w:rFonts w:ascii="Times New Roman" w:eastAsia="Arial Unicode MS" w:hAnsi="Times New Roman" w:cs="Times New Roman"/>
                <w:b/>
                <w:sz w:val="24"/>
                <w:szCs w:val="24"/>
                <w:u w:color="000000"/>
                <w:lang w:val="en-US"/>
              </w:rPr>
            </w:pPr>
            <w:r w:rsidRPr="002E06CC">
              <w:rPr>
                <w:rFonts w:ascii="Times New Roman" w:eastAsia="Arial Unicode MS" w:hAnsi="Times New Roman" w:cs="Times New Roman"/>
                <w:b/>
                <w:sz w:val="24"/>
                <w:szCs w:val="24"/>
                <w:u w:color="000000"/>
                <w:lang w:val="en-US"/>
              </w:rPr>
              <w:t>Programme Outputs</w:t>
            </w:r>
          </w:p>
        </w:tc>
      </w:tr>
      <w:tr w:rsidR="00DF6837" w:rsidRPr="002E06CC" w14:paraId="1ABE2548" w14:textId="77777777" w:rsidTr="00B62A65">
        <w:tc>
          <w:tcPr>
            <w:tcW w:w="620" w:type="dxa"/>
            <w:shd w:val="clear" w:color="auto" w:fill="D0CECE" w:themeFill="background2" w:themeFillShade="E6"/>
          </w:tcPr>
          <w:p w14:paraId="6B50A6A8" w14:textId="77777777" w:rsidR="00DF6837" w:rsidRPr="002E06CC" w:rsidRDefault="00DF6837" w:rsidP="002E06CC">
            <w:pPr>
              <w:spacing w:line="360" w:lineRule="auto"/>
              <w:jc w:val="both"/>
              <w:outlineLvl w:val="0"/>
              <w:rPr>
                <w:rFonts w:ascii="Times New Roman" w:eastAsia="Arial Unicode MS" w:hAnsi="Times New Roman" w:cs="Times New Roman"/>
                <w:sz w:val="24"/>
                <w:szCs w:val="24"/>
                <w:u w:color="000000"/>
                <w:lang w:val="en-US"/>
              </w:rPr>
            </w:pPr>
            <w:r w:rsidRPr="002E06CC">
              <w:rPr>
                <w:rFonts w:ascii="Times New Roman" w:eastAsia="Arial Unicode MS" w:hAnsi="Times New Roman" w:cs="Times New Roman"/>
                <w:sz w:val="24"/>
                <w:szCs w:val="24"/>
                <w:u w:color="000000"/>
                <w:lang w:val="en-US"/>
              </w:rPr>
              <w:t>1</w:t>
            </w:r>
          </w:p>
        </w:tc>
        <w:tc>
          <w:tcPr>
            <w:tcW w:w="2919" w:type="dxa"/>
            <w:shd w:val="clear" w:color="auto" w:fill="D0CECE" w:themeFill="background2" w:themeFillShade="E6"/>
          </w:tcPr>
          <w:p w14:paraId="10165FBE" w14:textId="77777777" w:rsidR="00DF6837" w:rsidRPr="002E06CC" w:rsidRDefault="00DF6837" w:rsidP="002E06CC">
            <w:pPr>
              <w:autoSpaceDE w:val="0"/>
              <w:autoSpaceDN w:val="0"/>
              <w:adjustRightInd w:val="0"/>
              <w:spacing w:line="360" w:lineRule="auto"/>
              <w:rPr>
                <w:rFonts w:ascii="Times New Roman" w:eastAsia="Arial Unicode MS" w:hAnsi="Times New Roman" w:cs="Times New Roman"/>
                <w:sz w:val="24"/>
                <w:szCs w:val="24"/>
                <w:u w:color="000000"/>
                <w:lang w:val="en-US"/>
              </w:rPr>
            </w:pPr>
            <w:r w:rsidRPr="002E06CC">
              <w:rPr>
                <w:rFonts w:ascii="Times New Roman" w:hAnsi="Times New Roman" w:cs="Times New Roman"/>
                <w:sz w:val="24"/>
                <w:szCs w:val="24"/>
              </w:rPr>
              <w:t>Programme 1: Ensure clean, sound administration and good corporate governance</w:t>
            </w:r>
          </w:p>
        </w:tc>
        <w:tc>
          <w:tcPr>
            <w:tcW w:w="6083" w:type="dxa"/>
            <w:shd w:val="clear" w:color="auto" w:fill="D0CECE" w:themeFill="background2" w:themeFillShade="E6"/>
          </w:tcPr>
          <w:p w14:paraId="4563A502" w14:textId="77777777" w:rsidR="00DF6837" w:rsidRPr="002E06CC" w:rsidRDefault="00DF6837" w:rsidP="002E06CC">
            <w:pPr>
              <w:autoSpaceDE w:val="0"/>
              <w:autoSpaceDN w:val="0"/>
              <w:adjustRightInd w:val="0"/>
              <w:spacing w:line="360" w:lineRule="auto"/>
              <w:rPr>
                <w:rFonts w:ascii="Times New Roman" w:eastAsia="Arial Unicode MS" w:hAnsi="Times New Roman" w:cs="Times New Roman"/>
                <w:sz w:val="24"/>
                <w:szCs w:val="24"/>
                <w:u w:color="000000"/>
                <w:lang w:val="en-US"/>
              </w:rPr>
            </w:pPr>
            <w:r w:rsidRPr="002E06CC">
              <w:rPr>
                <w:rFonts w:ascii="Times New Roman" w:hAnsi="Times New Roman" w:cs="Times New Roman"/>
                <w:sz w:val="24"/>
                <w:szCs w:val="24"/>
              </w:rPr>
              <w:t>Delivery of a significantly improved corporate governance environment as measured by the CCB’s annual AGSA audit rating i.e. achievement of a clean audit report. This is in alignment with the National Regulatory Framework that guides the submission of SP, Annual Report, APP, and Quarterly Reports to the Executive Authority for tabling in Parliament.</w:t>
            </w:r>
          </w:p>
        </w:tc>
      </w:tr>
      <w:tr w:rsidR="00DF6837" w:rsidRPr="002E06CC" w14:paraId="50153DC9" w14:textId="77777777" w:rsidTr="00B62A65">
        <w:tc>
          <w:tcPr>
            <w:tcW w:w="620" w:type="dxa"/>
            <w:shd w:val="clear" w:color="auto" w:fill="D0CECE" w:themeFill="background2" w:themeFillShade="E6"/>
          </w:tcPr>
          <w:p w14:paraId="0BA8EFAF" w14:textId="77777777" w:rsidR="00DF6837" w:rsidRPr="002E06CC" w:rsidRDefault="00DF6837" w:rsidP="002E06CC">
            <w:pPr>
              <w:spacing w:line="360" w:lineRule="auto"/>
              <w:jc w:val="both"/>
              <w:outlineLvl w:val="0"/>
              <w:rPr>
                <w:rFonts w:ascii="Times New Roman" w:eastAsia="Arial Unicode MS" w:hAnsi="Times New Roman" w:cs="Times New Roman"/>
                <w:sz w:val="24"/>
                <w:szCs w:val="24"/>
                <w:u w:color="000000"/>
                <w:lang w:val="en-US"/>
              </w:rPr>
            </w:pPr>
            <w:r w:rsidRPr="002E06CC">
              <w:rPr>
                <w:rFonts w:ascii="Times New Roman" w:eastAsia="Arial Unicode MS" w:hAnsi="Times New Roman" w:cs="Times New Roman"/>
                <w:sz w:val="24"/>
                <w:szCs w:val="24"/>
                <w:u w:color="000000"/>
                <w:lang w:val="en-US"/>
              </w:rPr>
              <w:t>2</w:t>
            </w:r>
          </w:p>
        </w:tc>
        <w:tc>
          <w:tcPr>
            <w:tcW w:w="2919" w:type="dxa"/>
            <w:shd w:val="clear" w:color="auto" w:fill="D0CECE" w:themeFill="background2" w:themeFillShade="E6"/>
          </w:tcPr>
          <w:p w14:paraId="6AFFCCB6" w14:textId="77777777" w:rsidR="00DF6837" w:rsidRPr="002E06CC" w:rsidRDefault="00DF6837" w:rsidP="002E06CC">
            <w:pPr>
              <w:autoSpaceDE w:val="0"/>
              <w:autoSpaceDN w:val="0"/>
              <w:adjustRightInd w:val="0"/>
              <w:spacing w:line="360" w:lineRule="auto"/>
              <w:rPr>
                <w:rFonts w:ascii="Times New Roman" w:hAnsi="Times New Roman" w:cs="Times New Roman"/>
                <w:sz w:val="24"/>
                <w:szCs w:val="24"/>
              </w:rPr>
            </w:pPr>
            <w:r w:rsidRPr="002E06CC">
              <w:rPr>
                <w:rFonts w:ascii="Times New Roman" w:hAnsi="Times New Roman" w:cs="Times New Roman"/>
                <w:sz w:val="24"/>
                <w:szCs w:val="24"/>
              </w:rPr>
              <w:t>Programme 2: Ensure the</w:t>
            </w:r>
          </w:p>
          <w:p w14:paraId="725D4E89" w14:textId="77777777" w:rsidR="00DF6837" w:rsidRPr="002E06CC" w:rsidRDefault="00DF6837" w:rsidP="002E06CC">
            <w:pPr>
              <w:autoSpaceDE w:val="0"/>
              <w:autoSpaceDN w:val="0"/>
              <w:adjustRightInd w:val="0"/>
              <w:spacing w:line="360" w:lineRule="auto"/>
              <w:rPr>
                <w:rFonts w:ascii="Times New Roman" w:hAnsi="Times New Roman" w:cs="Times New Roman"/>
                <w:sz w:val="24"/>
                <w:szCs w:val="24"/>
              </w:rPr>
            </w:pPr>
            <w:r w:rsidRPr="002E06CC">
              <w:rPr>
                <w:rFonts w:ascii="Times New Roman" w:hAnsi="Times New Roman" w:cs="Times New Roman"/>
                <w:sz w:val="24"/>
                <w:szCs w:val="24"/>
              </w:rPr>
              <w:t>maintenance, preservation,</w:t>
            </w:r>
          </w:p>
          <w:p w14:paraId="009AD7AF" w14:textId="77777777" w:rsidR="00DF6837" w:rsidRPr="002E06CC" w:rsidRDefault="00DF6837" w:rsidP="002E06CC">
            <w:pPr>
              <w:autoSpaceDE w:val="0"/>
              <w:autoSpaceDN w:val="0"/>
              <w:adjustRightInd w:val="0"/>
              <w:spacing w:line="360" w:lineRule="auto"/>
              <w:rPr>
                <w:rFonts w:ascii="Times New Roman" w:hAnsi="Times New Roman" w:cs="Times New Roman"/>
                <w:sz w:val="24"/>
                <w:szCs w:val="24"/>
              </w:rPr>
            </w:pPr>
            <w:r w:rsidRPr="002E06CC">
              <w:rPr>
                <w:rFonts w:ascii="Times New Roman" w:hAnsi="Times New Roman" w:cs="Times New Roman"/>
                <w:sz w:val="24"/>
                <w:szCs w:val="24"/>
              </w:rPr>
              <w:t>interpretation and showcasing of</w:t>
            </w:r>
          </w:p>
          <w:p w14:paraId="4F50F611" w14:textId="77777777" w:rsidR="00DF6837" w:rsidRPr="002E06CC" w:rsidRDefault="00DF6837" w:rsidP="002E06CC">
            <w:pPr>
              <w:spacing w:line="360" w:lineRule="auto"/>
              <w:jc w:val="both"/>
              <w:outlineLvl w:val="0"/>
              <w:rPr>
                <w:rFonts w:ascii="Times New Roman" w:eastAsia="Arial Unicode MS" w:hAnsi="Times New Roman" w:cs="Times New Roman"/>
                <w:sz w:val="24"/>
                <w:szCs w:val="24"/>
                <w:u w:color="000000"/>
                <w:lang w:val="en-US"/>
              </w:rPr>
            </w:pPr>
            <w:r w:rsidRPr="002E06CC">
              <w:rPr>
                <w:rFonts w:ascii="Times New Roman" w:hAnsi="Times New Roman" w:cs="Times New Roman"/>
                <w:sz w:val="24"/>
                <w:szCs w:val="24"/>
              </w:rPr>
              <w:t>the history of the CGH</w:t>
            </w:r>
          </w:p>
        </w:tc>
        <w:tc>
          <w:tcPr>
            <w:tcW w:w="6083" w:type="dxa"/>
            <w:shd w:val="clear" w:color="auto" w:fill="D0CECE" w:themeFill="background2" w:themeFillShade="E6"/>
          </w:tcPr>
          <w:p w14:paraId="6FFCCB6E" w14:textId="77777777" w:rsidR="00DF6837" w:rsidRPr="002E06CC" w:rsidRDefault="00DF6837" w:rsidP="002E06CC">
            <w:pPr>
              <w:autoSpaceDE w:val="0"/>
              <w:autoSpaceDN w:val="0"/>
              <w:adjustRightInd w:val="0"/>
              <w:spacing w:line="360" w:lineRule="auto"/>
              <w:rPr>
                <w:rFonts w:ascii="Times New Roman" w:eastAsia="Arial Unicode MS" w:hAnsi="Times New Roman" w:cs="Times New Roman"/>
                <w:sz w:val="24"/>
                <w:szCs w:val="24"/>
                <w:u w:color="000000"/>
                <w:lang w:val="en-US"/>
              </w:rPr>
            </w:pPr>
            <w:r w:rsidRPr="002E06CC">
              <w:rPr>
                <w:rFonts w:ascii="Times New Roman" w:hAnsi="Times New Roman" w:cs="Times New Roman"/>
                <w:sz w:val="24"/>
                <w:szCs w:val="24"/>
              </w:rPr>
              <w:t>Delivering of an increased number of innovative museum exhibitions and other displays accessible to the general public and tourists</w:t>
            </w:r>
          </w:p>
        </w:tc>
      </w:tr>
      <w:tr w:rsidR="00DF6837" w:rsidRPr="002E06CC" w14:paraId="6C424738" w14:textId="77777777" w:rsidTr="00B62A65">
        <w:tc>
          <w:tcPr>
            <w:tcW w:w="620" w:type="dxa"/>
            <w:shd w:val="clear" w:color="auto" w:fill="D0CECE" w:themeFill="background2" w:themeFillShade="E6"/>
          </w:tcPr>
          <w:p w14:paraId="59F0278D" w14:textId="77777777" w:rsidR="00DF6837" w:rsidRPr="002E06CC" w:rsidRDefault="00DF6837" w:rsidP="002E06CC">
            <w:pPr>
              <w:spacing w:line="360" w:lineRule="auto"/>
              <w:jc w:val="both"/>
              <w:outlineLvl w:val="0"/>
              <w:rPr>
                <w:rFonts w:ascii="Times New Roman" w:eastAsia="Arial Unicode MS" w:hAnsi="Times New Roman" w:cs="Times New Roman"/>
                <w:sz w:val="24"/>
                <w:szCs w:val="24"/>
                <w:u w:color="000000"/>
                <w:lang w:val="en-US"/>
              </w:rPr>
            </w:pPr>
            <w:r w:rsidRPr="002E06CC">
              <w:rPr>
                <w:rFonts w:ascii="Times New Roman" w:eastAsia="Arial Unicode MS" w:hAnsi="Times New Roman" w:cs="Times New Roman"/>
                <w:sz w:val="24"/>
                <w:szCs w:val="24"/>
                <w:u w:color="000000"/>
                <w:lang w:val="en-US"/>
              </w:rPr>
              <w:t>3</w:t>
            </w:r>
          </w:p>
        </w:tc>
        <w:tc>
          <w:tcPr>
            <w:tcW w:w="2919" w:type="dxa"/>
            <w:shd w:val="clear" w:color="auto" w:fill="D0CECE" w:themeFill="background2" w:themeFillShade="E6"/>
          </w:tcPr>
          <w:p w14:paraId="6D2A3CC3" w14:textId="77777777" w:rsidR="00DF6837" w:rsidRPr="002E06CC" w:rsidRDefault="00DF6837" w:rsidP="002E06CC">
            <w:pPr>
              <w:autoSpaceDE w:val="0"/>
              <w:autoSpaceDN w:val="0"/>
              <w:adjustRightInd w:val="0"/>
              <w:spacing w:line="360" w:lineRule="auto"/>
              <w:rPr>
                <w:rFonts w:ascii="Times New Roman" w:hAnsi="Times New Roman" w:cs="Times New Roman"/>
                <w:sz w:val="24"/>
                <w:szCs w:val="24"/>
              </w:rPr>
            </w:pPr>
            <w:r w:rsidRPr="002E06CC">
              <w:rPr>
                <w:rFonts w:ascii="Times New Roman" w:hAnsi="Times New Roman" w:cs="Times New Roman"/>
                <w:sz w:val="24"/>
                <w:szCs w:val="24"/>
              </w:rPr>
              <w:t>Programme 3: Maximize the</w:t>
            </w:r>
          </w:p>
          <w:p w14:paraId="0869FE4D" w14:textId="77777777" w:rsidR="00DF6837" w:rsidRPr="002E06CC" w:rsidRDefault="00DF6837" w:rsidP="002E06CC">
            <w:pPr>
              <w:spacing w:line="360" w:lineRule="auto"/>
              <w:jc w:val="both"/>
              <w:outlineLvl w:val="0"/>
              <w:rPr>
                <w:rFonts w:ascii="Times New Roman" w:eastAsia="Arial Unicode MS" w:hAnsi="Times New Roman" w:cs="Times New Roman"/>
                <w:sz w:val="24"/>
                <w:szCs w:val="24"/>
                <w:u w:color="000000"/>
                <w:lang w:val="en-US"/>
              </w:rPr>
            </w:pPr>
            <w:r w:rsidRPr="002E06CC">
              <w:rPr>
                <w:rFonts w:ascii="Times New Roman" w:hAnsi="Times New Roman" w:cs="Times New Roman"/>
                <w:sz w:val="24"/>
                <w:szCs w:val="24"/>
              </w:rPr>
              <w:t>tourist potential of the CGH</w:t>
            </w:r>
          </w:p>
        </w:tc>
        <w:tc>
          <w:tcPr>
            <w:tcW w:w="6083" w:type="dxa"/>
            <w:shd w:val="clear" w:color="auto" w:fill="D0CECE" w:themeFill="background2" w:themeFillShade="E6"/>
          </w:tcPr>
          <w:p w14:paraId="654D9461" w14:textId="77777777" w:rsidR="00DF6837" w:rsidRPr="002E06CC" w:rsidRDefault="00DF6837" w:rsidP="002E06CC">
            <w:pPr>
              <w:autoSpaceDE w:val="0"/>
              <w:autoSpaceDN w:val="0"/>
              <w:adjustRightInd w:val="0"/>
              <w:spacing w:line="360" w:lineRule="auto"/>
              <w:rPr>
                <w:rFonts w:ascii="Times New Roman" w:eastAsia="Arial Unicode MS" w:hAnsi="Times New Roman" w:cs="Times New Roman"/>
                <w:sz w:val="24"/>
                <w:szCs w:val="24"/>
                <w:u w:color="000000"/>
                <w:lang w:val="en-US"/>
              </w:rPr>
            </w:pPr>
            <w:r w:rsidRPr="002E06CC">
              <w:rPr>
                <w:rFonts w:ascii="Times New Roman" w:hAnsi="Times New Roman" w:cs="Times New Roman"/>
                <w:sz w:val="24"/>
                <w:szCs w:val="24"/>
              </w:rPr>
              <w:t>Delivering of the CGH as an enhanced tourist attraction as indicated by increased visitor figures and revenue generated through tourism activities.</w:t>
            </w:r>
          </w:p>
        </w:tc>
      </w:tr>
      <w:tr w:rsidR="00DF6837" w:rsidRPr="002E06CC" w14:paraId="751798F6" w14:textId="77777777" w:rsidTr="00B62A65">
        <w:tc>
          <w:tcPr>
            <w:tcW w:w="620" w:type="dxa"/>
            <w:shd w:val="clear" w:color="auto" w:fill="D0CECE" w:themeFill="background2" w:themeFillShade="E6"/>
          </w:tcPr>
          <w:p w14:paraId="45B32475" w14:textId="77777777" w:rsidR="00DF6837" w:rsidRPr="002E06CC" w:rsidRDefault="00DF6837" w:rsidP="002E06CC">
            <w:pPr>
              <w:spacing w:line="360" w:lineRule="auto"/>
              <w:jc w:val="both"/>
              <w:outlineLvl w:val="0"/>
              <w:rPr>
                <w:rFonts w:ascii="Times New Roman" w:eastAsia="Arial Unicode MS" w:hAnsi="Times New Roman" w:cs="Times New Roman"/>
                <w:sz w:val="24"/>
                <w:szCs w:val="24"/>
                <w:u w:color="000000"/>
                <w:lang w:val="en-US"/>
              </w:rPr>
            </w:pPr>
            <w:r w:rsidRPr="002E06CC">
              <w:rPr>
                <w:rFonts w:ascii="Times New Roman" w:eastAsia="Arial Unicode MS" w:hAnsi="Times New Roman" w:cs="Times New Roman"/>
                <w:sz w:val="24"/>
                <w:szCs w:val="24"/>
                <w:u w:color="000000"/>
                <w:lang w:val="en-US"/>
              </w:rPr>
              <w:t>4</w:t>
            </w:r>
          </w:p>
        </w:tc>
        <w:tc>
          <w:tcPr>
            <w:tcW w:w="2919" w:type="dxa"/>
            <w:shd w:val="clear" w:color="auto" w:fill="D0CECE" w:themeFill="background2" w:themeFillShade="E6"/>
          </w:tcPr>
          <w:p w14:paraId="048A72C0" w14:textId="77777777" w:rsidR="00DF6837" w:rsidRPr="002E06CC" w:rsidRDefault="00DF6837" w:rsidP="002E06CC">
            <w:pPr>
              <w:autoSpaceDE w:val="0"/>
              <w:autoSpaceDN w:val="0"/>
              <w:adjustRightInd w:val="0"/>
              <w:spacing w:line="360" w:lineRule="auto"/>
              <w:rPr>
                <w:rFonts w:ascii="Times New Roman" w:hAnsi="Times New Roman" w:cs="Times New Roman"/>
                <w:sz w:val="24"/>
                <w:szCs w:val="24"/>
              </w:rPr>
            </w:pPr>
            <w:r w:rsidRPr="002E06CC">
              <w:rPr>
                <w:rFonts w:ascii="Times New Roman" w:hAnsi="Times New Roman" w:cs="Times New Roman"/>
                <w:sz w:val="24"/>
                <w:szCs w:val="24"/>
              </w:rPr>
              <w:t>Programme 4: Increased public</w:t>
            </w:r>
          </w:p>
          <w:p w14:paraId="4E60E5D9" w14:textId="77777777" w:rsidR="00DF6837" w:rsidRPr="002E06CC" w:rsidRDefault="00DF6837" w:rsidP="002E06CC">
            <w:pPr>
              <w:autoSpaceDE w:val="0"/>
              <w:autoSpaceDN w:val="0"/>
              <w:adjustRightInd w:val="0"/>
              <w:spacing w:line="360" w:lineRule="auto"/>
              <w:rPr>
                <w:rFonts w:ascii="Times New Roman" w:hAnsi="Times New Roman" w:cs="Times New Roman"/>
                <w:sz w:val="24"/>
                <w:szCs w:val="24"/>
              </w:rPr>
            </w:pPr>
            <w:r w:rsidRPr="002E06CC">
              <w:rPr>
                <w:rFonts w:ascii="Times New Roman" w:hAnsi="Times New Roman" w:cs="Times New Roman"/>
                <w:sz w:val="24"/>
                <w:szCs w:val="24"/>
              </w:rPr>
              <w:t>profile and positive perception</w:t>
            </w:r>
          </w:p>
          <w:p w14:paraId="765E9536" w14:textId="77777777" w:rsidR="00DF6837" w:rsidRPr="002E06CC" w:rsidRDefault="00DF6837" w:rsidP="002E06CC">
            <w:pPr>
              <w:autoSpaceDE w:val="0"/>
              <w:autoSpaceDN w:val="0"/>
              <w:adjustRightInd w:val="0"/>
              <w:spacing w:line="360" w:lineRule="auto"/>
              <w:rPr>
                <w:rFonts w:ascii="Times New Roman" w:hAnsi="Times New Roman" w:cs="Times New Roman"/>
                <w:sz w:val="24"/>
                <w:szCs w:val="24"/>
              </w:rPr>
            </w:pPr>
            <w:r w:rsidRPr="002E06CC">
              <w:rPr>
                <w:rFonts w:ascii="Times New Roman" w:hAnsi="Times New Roman" w:cs="Times New Roman"/>
                <w:sz w:val="24"/>
                <w:szCs w:val="24"/>
              </w:rPr>
              <w:t>across all sectors of the</w:t>
            </w:r>
          </w:p>
          <w:p w14:paraId="258F4197" w14:textId="77777777" w:rsidR="00DF6837" w:rsidRPr="002E06CC" w:rsidRDefault="00DF6837" w:rsidP="002E06CC">
            <w:pPr>
              <w:spacing w:line="360" w:lineRule="auto"/>
              <w:jc w:val="both"/>
              <w:outlineLvl w:val="0"/>
              <w:rPr>
                <w:rFonts w:ascii="Times New Roman" w:eastAsia="Arial Unicode MS" w:hAnsi="Times New Roman" w:cs="Times New Roman"/>
                <w:sz w:val="24"/>
                <w:szCs w:val="24"/>
                <w:u w:color="000000"/>
                <w:lang w:val="en-US"/>
              </w:rPr>
            </w:pPr>
            <w:r w:rsidRPr="002E06CC">
              <w:rPr>
                <w:rFonts w:ascii="Times New Roman" w:hAnsi="Times New Roman" w:cs="Times New Roman"/>
                <w:sz w:val="24"/>
                <w:szCs w:val="24"/>
              </w:rPr>
              <w:t>community</w:t>
            </w:r>
          </w:p>
        </w:tc>
        <w:tc>
          <w:tcPr>
            <w:tcW w:w="6083" w:type="dxa"/>
            <w:shd w:val="clear" w:color="auto" w:fill="D0CECE" w:themeFill="background2" w:themeFillShade="E6"/>
          </w:tcPr>
          <w:p w14:paraId="03D3F2D5" w14:textId="77777777" w:rsidR="00DF6837" w:rsidRPr="002E06CC" w:rsidRDefault="00DF6837" w:rsidP="002E06CC">
            <w:pPr>
              <w:autoSpaceDE w:val="0"/>
              <w:autoSpaceDN w:val="0"/>
              <w:adjustRightInd w:val="0"/>
              <w:spacing w:line="360" w:lineRule="auto"/>
              <w:rPr>
                <w:rFonts w:ascii="Times New Roman" w:eastAsia="Arial Unicode MS" w:hAnsi="Times New Roman" w:cs="Times New Roman"/>
                <w:sz w:val="24"/>
                <w:szCs w:val="24"/>
                <w:u w:color="000000"/>
                <w:lang w:val="en-US"/>
              </w:rPr>
            </w:pPr>
            <w:r w:rsidRPr="002E06CC">
              <w:rPr>
                <w:rFonts w:ascii="Times New Roman" w:hAnsi="Times New Roman" w:cs="Times New Roman"/>
                <w:sz w:val="24"/>
                <w:szCs w:val="24"/>
              </w:rPr>
              <w:t>Delivering of a set of innovative public education, research internship and other programs aimed at increasing the CGH’s public profile and cultivate positive perception across all sectors of the community.</w:t>
            </w:r>
          </w:p>
        </w:tc>
      </w:tr>
    </w:tbl>
    <w:p w14:paraId="25540F6D"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val="en-US"/>
        </w:rPr>
      </w:pPr>
      <w:r w:rsidRPr="002E06CC">
        <w:rPr>
          <w:rFonts w:ascii="Times New Roman" w:eastAsia="Arial Unicode MS" w:hAnsi="Times New Roman" w:cs="Times New Roman"/>
          <w:sz w:val="24"/>
          <w:szCs w:val="24"/>
          <w:u w:color="000000"/>
          <w:lang w:val="en-US"/>
        </w:rPr>
        <w:tab/>
      </w:r>
      <w:r w:rsidRPr="002E06CC">
        <w:rPr>
          <w:rFonts w:ascii="Times New Roman" w:eastAsia="Arial Unicode MS" w:hAnsi="Times New Roman" w:cs="Times New Roman"/>
          <w:sz w:val="24"/>
          <w:szCs w:val="24"/>
          <w:u w:color="000000"/>
          <w:lang w:val="en-US"/>
        </w:rPr>
        <w:tab/>
      </w:r>
      <w:r w:rsidRPr="002E06CC">
        <w:rPr>
          <w:rFonts w:ascii="Times New Roman" w:eastAsia="Arial Unicode MS" w:hAnsi="Times New Roman" w:cs="Times New Roman"/>
          <w:sz w:val="24"/>
          <w:szCs w:val="24"/>
          <w:u w:color="000000"/>
          <w:lang w:val="en-US"/>
        </w:rPr>
        <w:tab/>
      </w:r>
      <w:r w:rsidRPr="002E06CC">
        <w:rPr>
          <w:rFonts w:ascii="Times New Roman" w:eastAsia="Arial Unicode MS" w:hAnsi="Times New Roman" w:cs="Times New Roman"/>
          <w:sz w:val="24"/>
          <w:szCs w:val="24"/>
          <w:u w:color="000000"/>
          <w:lang w:val="en-US"/>
        </w:rPr>
        <w:tab/>
      </w:r>
    </w:p>
    <w:p w14:paraId="24E09E64" w14:textId="77777777" w:rsidR="00DF6837" w:rsidRPr="002E06CC" w:rsidRDefault="00DF6837" w:rsidP="002E06CC">
      <w:pPr>
        <w:autoSpaceDE w:val="0"/>
        <w:autoSpaceDN w:val="0"/>
        <w:adjustRightInd w:val="0"/>
        <w:spacing w:after="0" w:line="360" w:lineRule="auto"/>
        <w:rPr>
          <w:rFonts w:ascii="Times New Roman" w:hAnsi="Times New Roman" w:cs="Times New Roman"/>
          <w:sz w:val="24"/>
          <w:szCs w:val="24"/>
        </w:rPr>
      </w:pPr>
    </w:p>
    <w:p w14:paraId="58293B57" w14:textId="77777777" w:rsidR="00DF6837" w:rsidRPr="002E06CC" w:rsidRDefault="00DF6837" w:rsidP="002E06CC">
      <w:pPr>
        <w:numPr>
          <w:ilvl w:val="5"/>
          <w:numId w:val="1"/>
        </w:numPr>
        <w:spacing w:after="0" w:line="360" w:lineRule="auto"/>
        <w:ind w:hanging="393"/>
        <w:jc w:val="both"/>
        <w:outlineLvl w:val="0"/>
        <w:rPr>
          <w:rFonts w:ascii="Times New Roman" w:eastAsia="Arial Unicode MS" w:hAnsi="Times New Roman" w:cs="Times New Roman"/>
          <w:b/>
          <w:caps/>
          <w:sz w:val="24"/>
          <w:szCs w:val="24"/>
          <w:u w:color="000000"/>
          <w:lang w:eastAsia="en-ZA"/>
        </w:rPr>
      </w:pPr>
      <w:r w:rsidRPr="002E06CC">
        <w:rPr>
          <w:rFonts w:ascii="Times New Roman" w:eastAsia="Arial Unicode MS" w:hAnsi="Times New Roman" w:cs="Times New Roman"/>
          <w:b/>
          <w:caps/>
          <w:sz w:val="24"/>
          <w:szCs w:val="24"/>
          <w:u w:color="000000"/>
          <w:lang w:eastAsia="en-ZA"/>
        </w:rPr>
        <w:t>3.</w:t>
      </w:r>
      <w:r w:rsidRPr="002E06CC">
        <w:rPr>
          <w:rFonts w:ascii="Times New Roman" w:eastAsia="Arial Unicode MS" w:hAnsi="Times New Roman" w:cs="Times New Roman"/>
          <w:b/>
          <w:caps/>
          <w:sz w:val="24"/>
          <w:szCs w:val="24"/>
          <w:u w:color="000000"/>
          <w:lang w:eastAsia="en-ZA"/>
        </w:rPr>
        <w:tab/>
        <w:t>Summary of previous key financial and performance</w:t>
      </w:r>
      <w:r w:rsidRPr="002E06CC">
        <w:rPr>
          <w:rFonts w:ascii="Times New Roman" w:eastAsia="Arial Unicode MS" w:hAnsi="Times New Roman" w:cs="Times New Roman"/>
          <w:b/>
          <w:caps/>
          <w:sz w:val="24"/>
          <w:szCs w:val="24"/>
          <w:u w:color="000000"/>
          <w:lang w:eastAsia="en-ZA"/>
        </w:rPr>
        <w:tab/>
        <w:t xml:space="preserve">recommendations of the Committee </w:t>
      </w:r>
    </w:p>
    <w:p w14:paraId="40D670B7" w14:textId="77777777" w:rsidR="00DF6837" w:rsidRPr="002E06CC" w:rsidRDefault="00DF6837" w:rsidP="002E06CC">
      <w:pPr>
        <w:numPr>
          <w:ilvl w:val="0"/>
          <w:numId w:val="1"/>
        </w:numPr>
        <w:spacing w:after="0" w:line="360" w:lineRule="auto"/>
        <w:ind w:hanging="393"/>
        <w:jc w:val="both"/>
        <w:outlineLvl w:val="0"/>
        <w:rPr>
          <w:rFonts w:ascii="Times New Roman" w:eastAsia="Arial Unicode MS" w:hAnsi="Times New Roman" w:cs="Times New Roman"/>
          <w:b/>
          <w:caps/>
          <w:sz w:val="24"/>
          <w:szCs w:val="24"/>
          <w:u w:color="000000"/>
          <w:lang w:eastAsia="en-ZA"/>
        </w:rPr>
      </w:pPr>
    </w:p>
    <w:p w14:paraId="7DAEFCD6" w14:textId="77777777" w:rsidR="00DF6837" w:rsidRPr="002E06CC" w:rsidRDefault="00DF6837" w:rsidP="002E06CC">
      <w:pPr>
        <w:spacing w:after="0" w:line="360" w:lineRule="auto"/>
        <w:jc w:val="both"/>
        <w:outlineLvl w:val="0"/>
        <w:rPr>
          <w:rFonts w:ascii="Times New Roman" w:eastAsia="Arial Unicode MS" w:hAnsi="Times New Roman" w:cs="Times New Roman"/>
          <w:b/>
          <w:sz w:val="24"/>
          <w:szCs w:val="24"/>
          <w:u w:color="000000"/>
          <w:lang w:eastAsia="en-ZA"/>
        </w:rPr>
      </w:pPr>
      <w:r w:rsidRPr="002E06CC">
        <w:rPr>
          <w:rFonts w:ascii="Times New Roman" w:eastAsia="Arial Unicode MS" w:hAnsi="Times New Roman" w:cs="Times New Roman"/>
          <w:b/>
          <w:sz w:val="24"/>
          <w:szCs w:val="24"/>
          <w:u w:color="000000"/>
          <w:lang w:eastAsia="en-ZA"/>
        </w:rPr>
        <w:t>3.1</w:t>
      </w:r>
      <w:r w:rsidRPr="002E06CC">
        <w:rPr>
          <w:rFonts w:ascii="Times New Roman" w:eastAsia="Arial Unicode MS" w:hAnsi="Times New Roman" w:cs="Times New Roman"/>
          <w:b/>
          <w:sz w:val="24"/>
          <w:szCs w:val="24"/>
          <w:u w:color="000000"/>
          <w:lang w:eastAsia="en-ZA"/>
        </w:rPr>
        <w:tab/>
        <w:t xml:space="preserve">BRRR 2017 recommendations </w:t>
      </w:r>
    </w:p>
    <w:p w14:paraId="3D268E36" w14:textId="77777777" w:rsidR="00DF6837" w:rsidRPr="002E06CC" w:rsidRDefault="00DF6837" w:rsidP="002E06CC">
      <w:pPr>
        <w:spacing w:after="0" w:line="360" w:lineRule="auto"/>
        <w:jc w:val="both"/>
        <w:outlineLvl w:val="0"/>
        <w:rPr>
          <w:rFonts w:ascii="Times New Roman" w:eastAsia="Arial Unicode MS" w:hAnsi="Times New Roman" w:cs="Times New Roman"/>
          <w:b/>
          <w:sz w:val="24"/>
          <w:szCs w:val="24"/>
          <w:u w:color="000000"/>
          <w:lang w:eastAsia="en-ZA"/>
        </w:rPr>
      </w:pPr>
    </w:p>
    <w:p w14:paraId="0B2A79D3"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eastAsia="en-ZA"/>
        </w:rPr>
      </w:pPr>
      <w:r w:rsidRPr="002E06CC">
        <w:rPr>
          <w:rFonts w:ascii="Times New Roman" w:eastAsia="Arial Unicode MS" w:hAnsi="Times New Roman" w:cs="Times New Roman"/>
          <w:sz w:val="24"/>
          <w:szCs w:val="24"/>
          <w:u w:color="000000"/>
          <w:lang w:eastAsia="en-ZA"/>
        </w:rPr>
        <w:t>In 2017, the Committee made the following recommendations in its BRR Report on performance and financial matters:</w:t>
      </w:r>
    </w:p>
    <w:p w14:paraId="77903CB6"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eastAsia="en-ZA"/>
        </w:rPr>
      </w:pPr>
    </w:p>
    <w:p w14:paraId="737600A2" w14:textId="77777777" w:rsidR="00DF6837" w:rsidRPr="002E06CC" w:rsidRDefault="00DF6837" w:rsidP="002E06CC">
      <w:pPr>
        <w:pStyle w:val="ListParagraph"/>
        <w:numPr>
          <w:ilvl w:val="0"/>
          <w:numId w:val="9"/>
        </w:numPr>
        <w:spacing w:line="360" w:lineRule="auto"/>
        <w:jc w:val="both"/>
        <w:rPr>
          <w:rFonts w:ascii="Times New Roman" w:hAnsi="Times New Roman"/>
          <w:sz w:val="24"/>
          <w:szCs w:val="24"/>
        </w:rPr>
      </w:pPr>
      <w:r w:rsidRPr="002E06CC">
        <w:rPr>
          <w:rFonts w:ascii="Times New Roman" w:eastAsia="Arial Unicode MS" w:hAnsi="Times New Roman"/>
          <w:sz w:val="24"/>
          <w:szCs w:val="24"/>
          <w:u w:color="000000"/>
          <w:lang w:eastAsia="en-ZA"/>
        </w:rPr>
        <w:t>The Committee recommended that even though the accumulated surplus and its utilisation has been sanctioned by National Treasury, the surplus should be utilised prudently and with the understanding that revenue shortfalls, should be covered by the Revenue Optimisation Strategy.</w:t>
      </w:r>
    </w:p>
    <w:p w14:paraId="1103440F" w14:textId="77777777" w:rsidR="00DF6837" w:rsidRPr="002E06CC" w:rsidRDefault="00DF6837" w:rsidP="002E06CC">
      <w:pPr>
        <w:pStyle w:val="ListParagraph"/>
        <w:numPr>
          <w:ilvl w:val="0"/>
          <w:numId w:val="9"/>
        </w:numPr>
        <w:spacing w:line="360" w:lineRule="auto"/>
        <w:jc w:val="both"/>
        <w:rPr>
          <w:rFonts w:ascii="Times New Roman" w:hAnsi="Times New Roman"/>
          <w:sz w:val="24"/>
          <w:szCs w:val="24"/>
        </w:rPr>
      </w:pPr>
      <w:r w:rsidRPr="002E06CC">
        <w:rPr>
          <w:rFonts w:ascii="Times New Roman" w:eastAsia="Arial Unicode MS" w:hAnsi="Times New Roman"/>
          <w:sz w:val="24"/>
          <w:szCs w:val="24"/>
          <w:u w:color="000000"/>
          <w:lang w:eastAsia="en-ZA"/>
        </w:rPr>
        <w:t>The CCB indicated that the Revenue Optimisation Strategy is a 110-page document and it was requested that this be shared with the Committee as soon as possible.</w:t>
      </w:r>
    </w:p>
    <w:p w14:paraId="4556BB01" w14:textId="77777777" w:rsidR="00DF6837" w:rsidRPr="002E06CC" w:rsidRDefault="00DF6837" w:rsidP="002E06CC">
      <w:pPr>
        <w:pStyle w:val="ListParagraph"/>
        <w:numPr>
          <w:ilvl w:val="0"/>
          <w:numId w:val="9"/>
        </w:numPr>
        <w:spacing w:after="0" w:line="360" w:lineRule="auto"/>
        <w:jc w:val="both"/>
        <w:outlineLvl w:val="0"/>
        <w:rPr>
          <w:rFonts w:ascii="Times New Roman" w:eastAsia="Arial Unicode MS" w:hAnsi="Times New Roman"/>
          <w:caps/>
          <w:sz w:val="24"/>
          <w:szCs w:val="24"/>
          <w:u w:color="000000"/>
          <w:lang w:eastAsia="en-ZA"/>
        </w:rPr>
      </w:pPr>
      <w:r w:rsidRPr="002E06CC">
        <w:rPr>
          <w:rFonts w:ascii="Times New Roman" w:eastAsia="Arial Unicode MS" w:hAnsi="Times New Roman"/>
          <w:caps/>
          <w:sz w:val="24"/>
          <w:szCs w:val="24"/>
          <w:u w:color="000000"/>
          <w:lang w:eastAsia="en-ZA"/>
        </w:rPr>
        <w:t>T</w:t>
      </w:r>
      <w:r w:rsidRPr="002E06CC">
        <w:rPr>
          <w:rFonts w:ascii="Times New Roman" w:eastAsia="Arial Unicode MS" w:hAnsi="Times New Roman"/>
          <w:sz w:val="24"/>
          <w:szCs w:val="24"/>
          <w:u w:color="000000"/>
          <w:lang w:eastAsia="en-ZA"/>
        </w:rPr>
        <w:t xml:space="preserve">he CCB was encouraged to further enhance its clean audit opinion by ensuring that the noted Irregular expenditure is avoided in future. </w:t>
      </w:r>
    </w:p>
    <w:p w14:paraId="2B51011D" w14:textId="77777777" w:rsidR="00DF6837" w:rsidRPr="002E06CC" w:rsidRDefault="00DF6837" w:rsidP="002E06CC">
      <w:pPr>
        <w:pStyle w:val="ListParagraph"/>
        <w:numPr>
          <w:ilvl w:val="0"/>
          <w:numId w:val="9"/>
        </w:numPr>
        <w:spacing w:after="0" w:line="360" w:lineRule="auto"/>
        <w:jc w:val="both"/>
        <w:outlineLvl w:val="0"/>
        <w:rPr>
          <w:rFonts w:ascii="Times New Roman" w:eastAsia="Arial Unicode MS" w:hAnsi="Times New Roman"/>
          <w:caps/>
          <w:sz w:val="24"/>
          <w:szCs w:val="24"/>
          <w:u w:color="000000"/>
          <w:lang w:eastAsia="en-ZA"/>
        </w:rPr>
      </w:pPr>
      <w:r w:rsidRPr="002E06CC">
        <w:rPr>
          <w:rFonts w:ascii="Times New Roman" w:eastAsia="Arial Unicode MS" w:hAnsi="Times New Roman"/>
          <w:caps/>
          <w:sz w:val="24"/>
          <w:szCs w:val="24"/>
          <w:u w:color="000000"/>
          <w:lang w:eastAsia="en-ZA"/>
        </w:rPr>
        <w:t>T</w:t>
      </w:r>
      <w:r w:rsidRPr="002E06CC">
        <w:rPr>
          <w:rFonts w:ascii="Times New Roman" w:eastAsia="Arial Unicode MS" w:hAnsi="Times New Roman"/>
          <w:sz w:val="24"/>
          <w:szCs w:val="24"/>
          <w:u w:color="000000"/>
          <w:lang w:eastAsia="en-ZA"/>
        </w:rPr>
        <w:t xml:space="preserve">he Committee reiterated that it was not against the awarding of performance bonuses/awards, especially against the good performance of the CCB, but stressed that all personnel should be considered for these. </w:t>
      </w:r>
    </w:p>
    <w:p w14:paraId="5DA470A7" w14:textId="77777777" w:rsidR="00DF6837" w:rsidRPr="002E06CC" w:rsidRDefault="00DF6837" w:rsidP="002E06CC">
      <w:pPr>
        <w:pStyle w:val="ListParagraph"/>
        <w:numPr>
          <w:ilvl w:val="0"/>
          <w:numId w:val="9"/>
        </w:numPr>
        <w:spacing w:after="0" w:line="360" w:lineRule="auto"/>
        <w:jc w:val="both"/>
        <w:outlineLvl w:val="0"/>
        <w:rPr>
          <w:rFonts w:ascii="Times New Roman" w:eastAsia="Arial Unicode MS" w:hAnsi="Times New Roman"/>
          <w:caps/>
          <w:sz w:val="24"/>
          <w:szCs w:val="24"/>
          <w:u w:color="000000"/>
          <w:lang w:eastAsia="en-ZA"/>
        </w:rPr>
      </w:pPr>
      <w:r w:rsidRPr="002E06CC">
        <w:rPr>
          <w:rFonts w:ascii="Times New Roman" w:eastAsia="Arial Unicode MS" w:hAnsi="Times New Roman"/>
          <w:sz w:val="24"/>
          <w:szCs w:val="24"/>
          <w:u w:color="000000"/>
          <w:lang w:eastAsia="en-ZA"/>
        </w:rPr>
        <w:t xml:space="preserve">The Committee encouraged the CCB to enhance its revenue strategies, not only to improve its finances, but also to address the high cost of compensation of employees.  </w:t>
      </w:r>
    </w:p>
    <w:p w14:paraId="08829C93" w14:textId="77777777" w:rsidR="00DF6837" w:rsidRPr="002E06CC" w:rsidRDefault="00DF6837" w:rsidP="002E06CC">
      <w:pPr>
        <w:pStyle w:val="ListParagraph"/>
        <w:numPr>
          <w:ilvl w:val="0"/>
          <w:numId w:val="9"/>
        </w:numPr>
        <w:spacing w:after="0" w:line="360" w:lineRule="auto"/>
        <w:jc w:val="both"/>
        <w:outlineLvl w:val="0"/>
        <w:rPr>
          <w:rFonts w:ascii="Times New Roman" w:eastAsia="Arial Unicode MS" w:hAnsi="Times New Roman"/>
          <w:caps/>
          <w:sz w:val="24"/>
          <w:szCs w:val="24"/>
          <w:u w:color="000000"/>
          <w:lang w:eastAsia="en-ZA"/>
        </w:rPr>
      </w:pPr>
      <w:r w:rsidRPr="002E06CC">
        <w:rPr>
          <w:rFonts w:ascii="Times New Roman" w:eastAsia="Arial Unicode MS" w:hAnsi="Times New Roman"/>
          <w:sz w:val="24"/>
          <w:szCs w:val="24"/>
          <w:u w:color="000000"/>
          <w:lang w:eastAsia="en-ZA"/>
        </w:rPr>
        <w:t xml:space="preserve">Given that no specific answer was given to the requested R4.5 million annual “subsidy” from the Department of Defence, it is recommended that the CCB provides more information on this issue at its next meeting. </w:t>
      </w:r>
    </w:p>
    <w:p w14:paraId="15BD6814" w14:textId="77777777" w:rsidR="00DF6837" w:rsidRPr="002E06CC" w:rsidRDefault="00DF6837" w:rsidP="002E06CC">
      <w:pPr>
        <w:pStyle w:val="ListParagraph"/>
        <w:numPr>
          <w:ilvl w:val="0"/>
          <w:numId w:val="9"/>
        </w:numPr>
        <w:spacing w:after="0" w:line="360" w:lineRule="auto"/>
        <w:jc w:val="both"/>
        <w:outlineLvl w:val="0"/>
        <w:rPr>
          <w:rFonts w:ascii="Times New Roman" w:eastAsia="Arial Unicode MS" w:hAnsi="Times New Roman"/>
          <w:caps/>
          <w:sz w:val="24"/>
          <w:szCs w:val="24"/>
          <w:u w:color="000000"/>
          <w:lang w:eastAsia="en-ZA"/>
        </w:rPr>
      </w:pPr>
      <w:r w:rsidRPr="002E06CC">
        <w:rPr>
          <w:rFonts w:ascii="Times New Roman" w:eastAsia="Arial Unicode MS" w:hAnsi="Times New Roman"/>
          <w:sz w:val="24"/>
          <w:szCs w:val="24"/>
          <w:u w:color="000000"/>
          <w:lang w:eastAsia="en-ZA"/>
        </w:rPr>
        <w:t>The CCB indicated that progress is being made with its plans to solely manage the Castle, and it was encouraged to further these attempts to ensure that it is in a position to optimally manage the whole precinct.</w:t>
      </w:r>
    </w:p>
    <w:p w14:paraId="1E4E9558" w14:textId="77777777" w:rsidR="00DF6837" w:rsidRPr="002E06CC" w:rsidRDefault="00DF6837" w:rsidP="002E06CC">
      <w:pPr>
        <w:pStyle w:val="ListParagraph"/>
        <w:numPr>
          <w:ilvl w:val="0"/>
          <w:numId w:val="9"/>
        </w:numPr>
        <w:spacing w:after="0" w:line="360" w:lineRule="auto"/>
        <w:jc w:val="both"/>
        <w:outlineLvl w:val="0"/>
        <w:rPr>
          <w:rFonts w:ascii="Times New Roman" w:eastAsia="Arial Unicode MS" w:hAnsi="Times New Roman"/>
          <w:caps/>
          <w:sz w:val="24"/>
          <w:szCs w:val="24"/>
          <w:u w:color="000000"/>
          <w:lang w:eastAsia="en-ZA"/>
        </w:rPr>
      </w:pPr>
      <w:r w:rsidRPr="002E06CC">
        <w:rPr>
          <w:rFonts w:ascii="Times New Roman" w:eastAsia="Arial Unicode MS" w:hAnsi="Times New Roman"/>
          <w:sz w:val="24"/>
          <w:szCs w:val="24"/>
          <w:u w:color="000000"/>
          <w:lang w:eastAsia="en-ZA"/>
        </w:rPr>
        <w:t xml:space="preserve">The Committee was encouraged by the response by Chief of Logistics that he will address the ill-discipline of SANDF soldiers guarding the CGH, and they were requested to share these plans and progress in this regard with the Committee. </w:t>
      </w:r>
    </w:p>
    <w:p w14:paraId="47C40EC9" w14:textId="77777777" w:rsidR="00DF6837" w:rsidRPr="002E06CC" w:rsidRDefault="00DF6837" w:rsidP="002E06CC">
      <w:pPr>
        <w:pStyle w:val="ListParagraph"/>
        <w:numPr>
          <w:ilvl w:val="0"/>
          <w:numId w:val="9"/>
        </w:numPr>
        <w:spacing w:after="0" w:line="360" w:lineRule="auto"/>
        <w:jc w:val="both"/>
        <w:outlineLvl w:val="0"/>
        <w:rPr>
          <w:rFonts w:ascii="Times New Roman" w:eastAsia="Arial Unicode MS" w:hAnsi="Times New Roman"/>
          <w:caps/>
          <w:sz w:val="24"/>
          <w:szCs w:val="24"/>
          <w:u w:color="000000"/>
          <w:lang w:eastAsia="en-ZA"/>
        </w:rPr>
      </w:pPr>
      <w:r w:rsidRPr="002E06CC">
        <w:rPr>
          <w:rFonts w:ascii="Times New Roman" w:eastAsia="Arial Unicode MS" w:hAnsi="Times New Roman"/>
          <w:sz w:val="24"/>
          <w:szCs w:val="24"/>
          <w:u w:color="000000"/>
          <w:lang w:eastAsia="en-ZA"/>
        </w:rPr>
        <w:t xml:space="preserve">The Committee recommended that the CCB should not only manage the top five risks, but all risks attached to the CGH. </w:t>
      </w:r>
    </w:p>
    <w:p w14:paraId="4778093D" w14:textId="77777777" w:rsidR="00DF6837" w:rsidRPr="002E06CC" w:rsidRDefault="00DF6837" w:rsidP="002E06CC">
      <w:pPr>
        <w:pStyle w:val="ListParagraph"/>
        <w:numPr>
          <w:ilvl w:val="0"/>
          <w:numId w:val="9"/>
        </w:numPr>
        <w:spacing w:line="360" w:lineRule="auto"/>
        <w:jc w:val="both"/>
        <w:outlineLvl w:val="0"/>
        <w:rPr>
          <w:rFonts w:ascii="Times New Roman" w:hAnsi="Times New Roman"/>
          <w:b/>
          <w:sz w:val="24"/>
          <w:szCs w:val="24"/>
        </w:rPr>
      </w:pPr>
      <w:r w:rsidRPr="002E06CC">
        <w:rPr>
          <w:rFonts w:ascii="Times New Roman" w:eastAsia="Arial Unicode MS" w:hAnsi="Times New Roman"/>
          <w:sz w:val="24"/>
          <w:szCs w:val="24"/>
          <w:u w:color="000000"/>
          <w:lang w:eastAsia="en-ZA"/>
        </w:rPr>
        <w:t xml:space="preserve">Given that the CCB indicated that progress has been made with the migration of “Het Bakhuys” to them, the Committee recommended that the CCB keeps it abreast of developments in this regard. </w:t>
      </w:r>
    </w:p>
    <w:p w14:paraId="6307494B" w14:textId="77777777" w:rsidR="00DF6837" w:rsidRPr="002E06CC" w:rsidRDefault="00DF6837" w:rsidP="002E06CC">
      <w:pPr>
        <w:spacing w:after="0" w:line="360" w:lineRule="auto"/>
        <w:jc w:val="both"/>
        <w:outlineLvl w:val="0"/>
        <w:rPr>
          <w:rFonts w:ascii="Times New Roman" w:eastAsia="Arial Unicode MS" w:hAnsi="Times New Roman" w:cs="Times New Roman"/>
          <w:b/>
          <w:sz w:val="24"/>
          <w:szCs w:val="24"/>
          <w:u w:color="000000"/>
          <w:lang w:eastAsia="en-ZA"/>
        </w:rPr>
      </w:pPr>
      <w:r w:rsidRPr="002E06CC">
        <w:rPr>
          <w:rFonts w:ascii="Times New Roman" w:eastAsia="Arial Unicode MS" w:hAnsi="Times New Roman" w:cs="Times New Roman"/>
          <w:b/>
          <w:sz w:val="24"/>
          <w:szCs w:val="24"/>
          <w:u w:color="000000"/>
          <w:lang w:eastAsia="en-ZA"/>
        </w:rPr>
        <w:t>3.2</w:t>
      </w:r>
      <w:r w:rsidRPr="002E06CC">
        <w:rPr>
          <w:rFonts w:ascii="Times New Roman" w:eastAsia="Arial Unicode MS" w:hAnsi="Times New Roman" w:cs="Times New Roman"/>
          <w:b/>
          <w:sz w:val="24"/>
          <w:szCs w:val="24"/>
          <w:u w:color="000000"/>
          <w:lang w:eastAsia="en-ZA"/>
        </w:rPr>
        <w:tab/>
        <w:t>Response by the Minister of Finance:</w:t>
      </w:r>
    </w:p>
    <w:p w14:paraId="29939DCF" w14:textId="77777777" w:rsidR="00DF6837" w:rsidRPr="002E06CC" w:rsidRDefault="00DF6837" w:rsidP="002E06CC">
      <w:pPr>
        <w:spacing w:after="0" w:line="360" w:lineRule="auto"/>
        <w:jc w:val="both"/>
        <w:outlineLvl w:val="0"/>
        <w:rPr>
          <w:rFonts w:ascii="Times New Roman" w:eastAsia="Arial Unicode MS" w:hAnsi="Times New Roman" w:cs="Times New Roman"/>
          <w:b/>
          <w:i/>
          <w:sz w:val="24"/>
          <w:szCs w:val="24"/>
          <w:u w:color="000000"/>
          <w:lang w:eastAsia="en-ZA"/>
        </w:rPr>
      </w:pPr>
    </w:p>
    <w:p w14:paraId="1F19E6B1"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eastAsia="en-ZA"/>
        </w:rPr>
      </w:pPr>
      <w:r w:rsidRPr="002E06CC">
        <w:rPr>
          <w:rFonts w:ascii="Times New Roman" w:eastAsia="Arial Unicode MS" w:hAnsi="Times New Roman" w:cs="Times New Roman"/>
          <w:sz w:val="24"/>
          <w:szCs w:val="24"/>
          <w:u w:color="000000"/>
          <w:lang w:eastAsia="en-ZA"/>
        </w:rPr>
        <w:t xml:space="preserve">No specific response was required from the Minister on the 2017 BRRR Recommendations. </w:t>
      </w:r>
    </w:p>
    <w:p w14:paraId="3FB3DBA2" w14:textId="77777777" w:rsidR="00DF6837" w:rsidRPr="002E06CC" w:rsidRDefault="00DF6837" w:rsidP="002E06CC">
      <w:pPr>
        <w:spacing w:after="0" w:line="360" w:lineRule="auto"/>
        <w:jc w:val="both"/>
        <w:outlineLvl w:val="0"/>
        <w:rPr>
          <w:rFonts w:ascii="Times New Roman" w:eastAsia="Arial Unicode MS" w:hAnsi="Times New Roman" w:cs="Times New Roman"/>
          <w:b/>
          <w:sz w:val="24"/>
          <w:szCs w:val="24"/>
          <w:u w:color="000000"/>
          <w:lang w:eastAsia="en-ZA"/>
        </w:rPr>
      </w:pPr>
    </w:p>
    <w:p w14:paraId="71FDACB1" w14:textId="77777777" w:rsidR="00DF6837" w:rsidRPr="002E06CC" w:rsidRDefault="00DF6837" w:rsidP="002E06CC">
      <w:pPr>
        <w:spacing w:after="0" w:line="360" w:lineRule="auto"/>
        <w:jc w:val="both"/>
        <w:outlineLvl w:val="0"/>
        <w:rPr>
          <w:rFonts w:ascii="Times New Roman" w:eastAsia="Arial Unicode MS" w:hAnsi="Times New Roman" w:cs="Times New Roman"/>
          <w:b/>
          <w:sz w:val="24"/>
          <w:szCs w:val="24"/>
          <w:u w:color="000000"/>
          <w:lang w:eastAsia="en-ZA"/>
        </w:rPr>
      </w:pPr>
      <w:r w:rsidRPr="002E06CC">
        <w:rPr>
          <w:rFonts w:ascii="Times New Roman" w:eastAsia="Arial Unicode MS" w:hAnsi="Times New Roman" w:cs="Times New Roman"/>
          <w:b/>
          <w:sz w:val="24"/>
          <w:szCs w:val="24"/>
          <w:u w:color="000000"/>
          <w:lang w:eastAsia="en-ZA"/>
        </w:rPr>
        <w:t>3.3</w:t>
      </w:r>
      <w:r w:rsidRPr="002E06CC">
        <w:rPr>
          <w:rFonts w:ascii="Times New Roman" w:eastAsia="Arial Unicode MS" w:hAnsi="Times New Roman" w:cs="Times New Roman"/>
          <w:b/>
          <w:sz w:val="24"/>
          <w:szCs w:val="24"/>
          <w:u w:color="000000"/>
          <w:lang w:eastAsia="en-ZA"/>
        </w:rPr>
        <w:tab/>
        <w:t>Committee 2017/18 Budget Report</w:t>
      </w:r>
    </w:p>
    <w:p w14:paraId="2BD6F026"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eastAsia="en-ZA"/>
        </w:rPr>
      </w:pPr>
    </w:p>
    <w:p w14:paraId="6FC7A05E"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eastAsia="en-ZA"/>
        </w:rPr>
      </w:pPr>
      <w:r w:rsidRPr="002E06CC">
        <w:rPr>
          <w:rFonts w:ascii="Times New Roman" w:eastAsia="Arial Unicode MS" w:hAnsi="Times New Roman" w:cs="Times New Roman"/>
          <w:sz w:val="24"/>
          <w:szCs w:val="24"/>
          <w:u w:color="000000"/>
          <w:lang w:eastAsia="en-ZA"/>
        </w:rPr>
        <w:t>The Portfolio Committee made the following recommendations on the 2017/18 Budget Report of the CCB:</w:t>
      </w:r>
    </w:p>
    <w:p w14:paraId="586029B0" w14:textId="77777777" w:rsidR="00DF6837" w:rsidRPr="002E06CC" w:rsidRDefault="00DF6837" w:rsidP="002E06CC">
      <w:pPr>
        <w:spacing w:after="0" w:line="360" w:lineRule="auto"/>
        <w:jc w:val="both"/>
        <w:outlineLvl w:val="0"/>
        <w:rPr>
          <w:rFonts w:ascii="Times New Roman" w:eastAsia="Arial Unicode MS" w:hAnsi="Times New Roman" w:cs="Times New Roman"/>
          <w:b/>
          <w:caps/>
          <w:sz w:val="24"/>
          <w:szCs w:val="24"/>
          <w:u w:color="000000"/>
          <w:lang w:eastAsia="en-ZA"/>
        </w:rPr>
      </w:pPr>
    </w:p>
    <w:p w14:paraId="7C2C225F" w14:textId="77777777" w:rsidR="00DF6837" w:rsidRPr="002E06CC" w:rsidRDefault="00DF6837" w:rsidP="002E06CC">
      <w:pPr>
        <w:pStyle w:val="ListParagraph"/>
        <w:numPr>
          <w:ilvl w:val="0"/>
          <w:numId w:val="9"/>
        </w:numPr>
        <w:spacing w:line="360" w:lineRule="auto"/>
        <w:jc w:val="both"/>
        <w:rPr>
          <w:rFonts w:ascii="Times New Roman" w:hAnsi="Times New Roman"/>
          <w:sz w:val="24"/>
          <w:szCs w:val="24"/>
        </w:rPr>
      </w:pPr>
      <w:r w:rsidRPr="002E06CC">
        <w:rPr>
          <w:rFonts w:ascii="Times New Roman" w:eastAsia="Arial Unicode MS" w:hAnsi="Times New Roman"/>
          <w:sz w:val="24"/>
          <w:szCs w:val="24"/>
          <w:u w:color="000000"/>
          <w:lang w:eastAsia="en-ZA"/>
        </w:rPr>
        <w:t>The Committee recommended that even though the accumulated surplus and its utilisation has been sanctioned by National Treasury, the surplus should be utilised prudently and with the understanding that revenue shortfalls, should be covered by the Revenue Optimisation Strategy.</w:t>
      </w:r>
    </w:p>
    <w:p w14:paraId="442F83C2" w14:textId="77777777" w:rsidR="00DF6837" w:rsidRPr="002E06CC" w:rsidRDefault="00DF6837" w:rsidP="002E06CC">
      <w:pPr>
        <w:pStyle w:val="ListParagraph"/>
        <w:numPr>
          <w:ilvl w:val="0"/>
          <w:numId w:val="9"/>
        </w:numPr>
        <w:spacing w:line="360" w:lineRule="auto"/>
        <w:jc w:val="both"/>
        <w:rPr>
          <w:rFonts w:ascii="Times New Roman" w:hAnsi="Times New Roman"/>
          <w:sz w:val="24"/>
          <w:szCs w:val="24"/>
        </w:rPr>
      </w:pPr>
      <w:r w:rsidRPr="002E06CC">
        <w:rPr>
          <w:rFonts w:ascii="Times New Roman" w:eastAsia="Arial Unicode MS" w:hAnsi="Times New Roman"/>
          <w:sz w:val="24"/>
          <w:szCs w:val="24"/>
          <w:u w:color="000000"/>
          <w:lang w:eastAsia="en-ZA"/>
        </w:rPr>
        <w:t>The CCB indicated that the Revenue Optimisation Strategy is a 110 pager and it was requested that this be shared with the Committee, as soon as possible. It is recommended that the strategy be operationalised to generate income to prevent the depletion of the surplus which will impact on the running of CGH, in case the R4.5 million is not provided by the DOD. In addition, the CCB should provide the Committee with the projected figures for each of the highlighted projects.</w:t>
      </w:r>
    </w:p>
    <w:p w14:paraId="6DDE7D05" w14:textId="77777777" w:rsidR="00DF6837" w:rsidRPr="002E06CC" w:rsidRDefault="00DF6837" w:rsidP="002E06CC">
      <w:pPr>
        <w:pStyle w:val="ListParagraph"/>
        <w:numPr>
          <w:ilvl w:val="0"/>
          <w:numId w:val="9"/>
        </w:numPr>
        <w:spacing w:after="0" w:line="360" w:lineRule="auto"/>
        <w:jc w:val="both"/>
        <w:outlineLvl w:val="0"/>
        <w:rPr>
          <w:rFonts w:ascii="Times New Roman" w:eastAsia="Arial Unicode MS" w:hAnsi="Times New Roman"/>
          <w:caps/>
          <w:sz w:val="24"/>
          <w:szCs w:val="24"/>
          <w:u w:color="000000"/>
          <w:lang w:eastAsia="en-ZA"/>
        </w:rPr>
      </w:pPr>
      <w:r w:rsidRPr="002E06CC">
        <w:rPr>
          <w:rFonts w:ascii="Times New Roman" w:eastAsia="Arial Unicode MS" w:hAnsi="Times New Roman"/>
          <w:caps/>
          <w:sz w:val="24"/>
          <w:szCs w:val="24"/>
          <w:u w:color="000000"/>
          <w:lang w:eastAsia="en-ZA"/>
        </w:rPr>
        <w:t>T</w:t>
      </w:r>
      <w:r w:rsidRPr="002E06CC">
        <w:rPr>
          <w:rFonts w:ascii="Times New Roman" w:eastAsia="Arial Unicode MS" w:hAnsi="Times New Roman"/>
          <w:sz w:val="24"/>
          <w:szCs w:val="24"/>
          <w:u w:color="000000"/>
          <w:lang w:eastAsia="en-ZA"/>
        </w:rPr>
        <w:t xml:space="preserve">he CCB was encouraged to further enhance its clean audit opinion by ensuring that the noted Irregular Expenditure is avoided in future. </w:t>
      </w:r>
    </w:p>
    <w:p w14:paraId="0B6F16F7" w14:textId="77777777" w:rsidR="00DF6837" w:rsidRPr="002E06CC" w:rsidRDefault="00DF6837" w:rsidP="002E06CC">
      <w:pPr>
        <w:pStyle w:val="ListParagraph"/>
        <w:numPr>
          <w:ilvl w:val="0"/>
          <w:numId w:val="9"/>
        </w:numPr>
        <w:spacing w:after="0" w:line="360" w:lineRule="auto"/>
        <w:jc w:val="both"/>
        <w:outlineLvl w:val="0"/>
        <w:rPr>
          <w:rFonts w:ascii="Times New Roman" w:eastAsia="Arial Unicode MS" w:hAnsi="Times New Roman"/>
          <w:caps/>
          <w:sz w:val="24"/>
          <w:szCs w:val="24"/>
          <w:u w:color="000000"/>
          <w:lang w:eastAsia="en-ZA"/>
        </w:rPr>
      </w:pPr>
      <w:r w:rsidRPr="002E06CC">
        <w:rPr>
          <w:rFonts w:ascii="Times New Roman" w:eastAsia="Arial Unicode MS" w:hAnsi="Times New Roman"/>
          <w:caps/>
          <w:sz w:val="24"/>
          <w:szCs w:val="24"/>
          <w:u w:color="000000"/>
          <w:lang w:eastAsia="en-ZA"/>
        </w:rPr>
        <w:t>T</w:t>
      </w:r>
      <w:r w:rsidRPr="002E06CC">
        <w:rPr>
          <w:rFonts w:ascii="Times New Roman" w:eastAsia="Arial Unicode MS" w:hAnsi="Times New Roman"/>
          <w:sz w:val="24"/>
          <w:szCs w:val="24"/>
          <w:u w:color="000000"/>
          <w:lang w:eastAsia="en-ZA"/>
        </w:rPr>
        <w:t xml:space="preserve">he Committee reiterated that it was not against the awarding of performance bonuses/awards, especially against the good performance of the CCB, but stressed that all personnel should be considered for this. </w:t>
      </w:r>
    </w:p>
    <w:p w14:paraId="3FD0B5CE" w14:textId="77777777" w:rsidR="00DF6837" w:rsidRPr="002E06CC" w:rsidRDefault="00DF6837" w:rsidP="002E06CC">
      <w:pPr>
        <w:pStyle w:val="ListParagraph"/>
        <w:numPr>
          <w:ilvl w:val="0"/>
          <w:numId w:val="9"/>
        </w:numPr>
        <w:spacing w:after="0" w:line="360" w:lineRule="auto"/>
        <w:jc w:val="both"/>
        <w:outlineLvl w:val="0"/>
        <w:rPr>
          <w:rFonts w:ascii="Times New Roman" w:eastAsia="Arial Unicode MS" w:hAnsi="Times New Roman"/>
          <w:caps/>
          <w:sz w:val="24"/>
          <w:szCs w:val="24"/>
          <w:u w:color="000000"/>
          <w:lang w:eastAsia="en-ZA"/>
        </w:rPr>
      </w:pPr>
      <w:r w:rsidRPr="002E06CC">
        <w:rPr>
          <w:rFonts w:ascii="Times New Roman" w:eastAsia="Arial Unicode MS" w:hAnsi="Times New Roman"/>
          <w:sz w:val="24"/>
          <w:szCs w:val="24"/>
          <w:u w:color="000000"/>
          <w:lang w:eastAsia="en-ZA"/>
        </w:rPr>
        <w:t xml:space="preserve">The Committee encouraged the CCB to enhance its revenue strategies, not only to improve its finances, but also to address the high cost of compensation to employees.  </w:t>
      </w:r>
    </w:p>
    <w:p w14:paraId="44DB82E4" w14:textId="77777777" w:rsidR="00DF6837" w:rsidRPr="002E06CC" w:rsidRDefault="00DF6837" w:rsidP="002E06CC">
      <w:pPr>
        <w:pStyle w:val="ListParagraph"/>
        <w:numPr>
          <w:ilvl w:val="0"/>
          <w:numId w:val="9"/>
        </w:numPr>
        <w:spacing w:after="0" w:line="360" w:lineRule="auto"/>
        <w:jc w:val="both"/>
        <w:outlineLvl w:val="0"/>
        <w:rPr>
          <w:rFonts w:ascii="Times New Roman" w:eastAsia="Arial Unicode MS" w:hAnsi="Times New Roman"/>
          <w:caps/>
          <w:sz w:val="24"/>
          <w:szCs w:val="24"/>
          <w:u w:color="000000"/>
          <w:lang w:eastAsia="en-ZA"/>
        </w:rPr>
      </w:pPr>
      <w:r w:rsidRPr="002E06CC">
        <w:rPr>
          <w:rFonts w:ascii="Times New Roman" w:eastAsia="Arial Unicode MS" w:hAnsi="Times New Roman"/>
          <w:sz w:val="24"/>
          <w:szCs w:val="24"/>
          <w:u w:color="000000"/>
          <w:lang w:eastAsia="en-ZA"/>
        </w:rPr>
        <w:t>The CCB indicated that progress is being made with its plans to solely manage the Castle, and it was encouraged to further these attempts to ensure that it is in a position to optimally manage the whole precinct.</w:t>
      </w:r>
    </w:p>
    <w:p w14:paraId="3439439D" w14:textId="77777777" w:rsidR="00DF6837" w:rsidRPr="002E06CC" w:rsidRDefault="00DF6837" w:rsidP="002E06CC">
      <w:pPr>
        <w:pStyle w:val="ListParagraph"/>
        <w:numPr>
          <w:ilvl w:val="0"/>
          <w:numId w:val="9"/>
        </w:numPr>
        <w:spacing w:after="0" w:line="360" w:lineRule="auto"/>
        <w:jc w:val="both"/>
        <w:outlineLvl w:val="0"/>
        <w:rPr>
          <w:rFonts w:ascii="Times New Roman" w:eastAsia="Arial Unicode MS" w:hAnsi="Times New Roman"/>
          <w:caps/>
          <w:sz w:val="24"/>
          <w:szCs w:val="24"/>
          <w:u w:color="000000"/>
          <w:lang w:eastAsia="en-ZA"/>
        </w:rPr>
      </w:pPr>
      <w:r w:rsidRPr="002E06CC">
        <w:rPr>
          <w:rFonts w:ascii="Times New Roman" w:eastAsia="Arial Unicode MS" w:hAnsi="Times New Roman"/>
          <w:sz w:val="24"/>
          <w:szCs w:val="24"/>
          <w:u w:color="000000"/>
          <w:lang w:eastAsia="en-ZA"/>
        </w:rPr>
        <w:t xml:space="preserve">Given that no specific answer was given to the requested R4.5 million annual subsidy from the Department of Defence, it is recommended that the CCB provides more information on this issue at its next meeting. </w:t>
      </w:r>
    </w:p>
    <w:p w14:paraId="13E3AF43" w14:textId="77777777" w:rsidR="00DF6837" w:rsidRPr="002E06CC" w:rsidRDefault="00DF6837" w:rsidP="002E06CC">
      <w:pPr>
        <w:pStyle w:val="ListParagraph"/>
        <w:numPr>
          <w:ilvl w:val="0"/>
          <w:numId w:val="9"/>
        </w:numPr>
        <w:spacing w:after="0" w:line="360" w:lineRule="auto"/>
        <w:jc w:val="both"/>
        <w:outlineLvl w:val="0"/>
        <w:rPr>
          <w:rFonts w:ascii="Times New Roman" w:eastAsia="Arial Unicode MS" w:hAnsi="Times New Roman"/>
          <w:caps/>
          <w:sz w:val="24"/>
          <w:szCs w:val="24"/>
          <w:u w:color="000000"/>
          <w:lang w:eastAsia="en-ZA"/>
        </w:rPr>
      </w:pPr>
      <w:r w:rsidRPr="002E06CC">
        <w:rPr>
          <w:rFonts w:ascii="Times New Roman" w:eastAsia="Arial Unicode MS" w:hAnsi="Times New Roman"/>
          <w:sz w:val="24"/>
          <w:szCs w:val="24"/>
          <w:u w:color="000000"/>
          <w:lang w:eastAsia="en-ZA"/>
        </w:rPr>
        <w:t xml:space="preserve">The Committee was encouraged by the response by Chief of Logistics that he will address the ill-discipline of SANDF soldiers guarding the CGH, and they were requested to share these plans and progress in this regard with the Committee. </w:t>
      </w:r>
    </w:p>
    <w:p w14:paraId="20C74CEC" w14:textId="77777777" w:rsidR="00DF6837" w:rsidRPr="002E06CC" w:rsidRDefault="00DF6837" w:rsidP="002E06CC">
      <w:pPr>
        <w:pStyle w:val="ListParagraph"/>
        <w:numPr>
          <w:ilvl w:val="0"/>
          <w:numId w:val="9"/>
        </w:numPr>
        <w:spacing w:line="360" w:lineRule="auto"/>
        <w:jc w:val="both"/>
        <w:outlineLvl w:val="0"/>
        <w:rPr>
          <w:rFonts w:ascii="Times New Roman" w:hAnsi="Times New Roman"/>
          <w:b/>
          <w:sz w:val="24"/>
          <w:szCs w:val="24"/>
        </w:rPr>
      </w:pPr>
      <w:r w:rsidRPr="002E06CC">
        <w:rPr>
          <w:rFonts w:ascii="Times New Roman" w:eastAsia="Arial Unicode MS" w:hAnsi="Times New Roman"/>
          <w:sz w:val="24"/>
          <w:szCs w:val="24"/>
          <w:u w:color="000000"/>
          <w:lang w:eastAsia="en-ZA"/>
        </w:rPr>
        <w:t xml:space="preserve">The CCB should provide more information on the anti-criminality plan given the challenges in this regard, and especially how it impacts on the image of the CGH. </w:t>
      </w:r>
    </w:p>
    <w:p w14:paraId="18DEBA53" w14:textId="77777777" w:rsidR="00DF6837" w:rsidRPr="002E06CC" w:rsidRDefault="00DF6837" w:rsidP="002E06CC">
      <w:pPr>
        <w:pStyle w:val="ListParagraph"/>
        <w:numPr>
          <w:ilvl w:val="0"/>
          <w:numId w:val="9"/>
        </w:numPr>
        <w:spacing w:after="0" w:line="360" w:lineRule="auto"/>
        <w:jc w:val="both"/>
        <w:outlineLvl w:val="0"/>
        <w:rPr>
          <w:rFonts w:ascii="Times New Roman" w:eastAsia="Arial Unicode MS" w:hAnsi="Times New Roman"/>
          <w:caps/>
          <w:sz w:val="24"/>
          <w:szCs w:val="24"/>
          <w:u w:color="000000"/>
          <w:lang w:eastAsia="en-ZA"/>
        </w:rPr>
      </w:pPr>
      <w:r w:rsidRPr="002E06CC">
        <w:rPr>
          <w:rFonts w:ascii="Times New Roman" w:eastAsia="Arial Unicode MS" w:hAnsi="Times New Roman"/>
          <w:sz w:val="24"/>
          <w:szCs w:val="24"/>
          <w:u w:color="000000"/>
          <w:lang w:eastAsia="en-ZA"/>
        </w:rPr>
        <w:t xml:space="preserve">The Committee recommended that the CCB should not only manage the top five risks, but all risks attached to the CGH. </w:t>
      </w:r>
    </w:p>
    <w:p w14:paraId="339ECBA8" w14:textId="77777777" w:rsidR="00DF6837" w:rsidRPr="002E06CC" w:rsidRDefault="00DF6837" w:rsidP="002E06CC">
      <w:pPr>
        <w:pStyle w:val="ListParagraph"/>
        <w:numPr>
          <w:ilvl w:val="0"/>
          <w:numId w:val="9"/>
        </w:numPr>
        <w:spacing w:after="0" w:line="360" w:lineRule="auto"/>
        <w:jc w:val="both"/>
        <w:outlineLvl w:val="0"/>
        <w:rPr>
          <w:rFonts w:ascii="Times New Roman" w:eastAsia="Arial Unicode MS" w:hAnsi="Times New Roman"/>
          <w:caps/>
          <w:sz w:val="24"/>
          <w:szCs w:val="24"/>
          <w:u w:color="000000"/>
          <w:lang w:eastAsia="en-ZA"/>
        </w:rPr>
      </w:pPr>
      <w:r w:rsidRPr="002E06CC">
        <w:rPr>
          <w:rFonts w:ascii="Times New Roman" w:eastAsia="Arial Unicode MS" w:hAnsi="Times New Roman"/>
          <w:sz w:val="24"/>
          <w:szCs w:val="24"/>
          <w:u w:color="000000"/>
          <w:lang w:eastAsia="en-ZA"/>
        </w:rPr>
        <w:t>The CCB is required to explain the difference in amounts between performance rewards and performance bonuses, given that they indicated that these terms were used interchangeable, as well as when these amounts will be finalised.</w:t>
      </w:r>
    </w:p>
    <w:p w14:paraId="6DF7CD23" w14:textId="77777777" w:rsidR="00DF6837" w:rsidRPr="002E06CC" w:rsidRDefault="00DF6837" w:rsidP="002E06CC">
      <w:pPr>
        <w:pStyle w:val="ListParagraph"/>
        <w:numPr>
          <w:ilvl w:val="0"/>
          <w:numId w:val="9"/>
        </w:numPr>
        <w:spacing w:line="360" w:lineRule="auto"/>
        <w:jc w:val="both"/>
        <w:outlineLvl w:val="0"/>
        <w:rPr>
          <w:rFonts w:ascii="Times New Roman" w:hAnsi="Times New Roman"/>
          <w:b/>
          <w:sz w:val="24"/>
          <w:szCs w:val="24"/>
        </w:rPr>
      </w:pPr>
      <w:r w:rsidRPr="002E06CC">
        <w:rPr>
          <w:rFonts w:ascii="Times New Roman" w:eastAsia="Arial Unicode MS" w:hAnsi="Times New Roman"/>
          <w:sz w:val="24"/>
          <w:szCs w:val="24"/>
          <w:u w:color="000000"/>
          <w:lang w:eastAsia="en-ZA"/>
        </w:rPr>
        <w:t>Given that the CCB indicated that progress has been made with the migration of “Het Bakhuys” to them, the Committee recommended that the CCB keeps it abreast of developments in this regard. The CCB should also provide the Committee with the current and projected figures regarding the finances of “Het Bakhuys.”</w:t>
      </w:r>
    </w:p>
    <w:p w14:paraId="5685A123" w14:textId="77777777" w:rsidR="00DF6837" w:rsidRPr="002E06CC" w:rsidRDefault="00DF6837" w:rsidP="002E06CC">
      <w:pPr>
        <w:pStyle w:val="ListParagraph"/>
        <w:numPr>
          <w:ilvl w:val="0"/>
          <w:numId w:val="9"/>
        </w:numPr>
        <w:spacing w:line="360" w:lineRule="auto"/>
        <w:jc w:val="both"/>
        <w:outlineLvl w:val="0"/>
        <w:rPr>
          <w:rFonts w:ascii="Times New Roman" w:hAnsi="Times New Roman"/>
          <w:b/>
          <w:sz w:val="24"/>
          <w:szCs w:val="24"/>
        </w:rPr>
      </w:pPr>
      <w:r w:rsidRPr="002E06CC">
        <w:rPr>
          <w:rFonts w:ascii="Times New Roman" w:eastAsia="Arial Unicode MS" w:hAnsi="Times New Roman"/>
          <w:sz w:val="24"/>
          <w:szCs w:val="24"/>
          <w:u w:color="000000"/>
          <w:lang w:eastAsia="en-ZA"/>
        </w:rPr>
        <w:t xml:space="preserve">The CCB should provide the Committee with more information around local and international travels undertaken by members of the CCB. </w:t>
      </w:r>
    </w:p>
    <w:p w14:paraId="5F83AB6E" w14:textId="77777777" w:rsidR="00DF6837" w:rsidRPr="002E06CC" w:rsidRDefault="00DF6837" w:rsidP="002E06CC">
      <w:pPr>
        <w:numPr>
          <w:ilvl w:val="0"/>
          <w:numId w:val="1"/>
        </w:numPr>
        <w:spacing w:after="0" w:line="360" w:lineRule="auto"/>
        <w:ind w:hanging="393"/>
        <w:jc w:val="both"/>
        <w:outlineLvl w:val="0"/>
        <w:rPr>
          <w:rFonts w:ascii="Times New Roman" w:eastAsia="Arial Unicode MS" w:hAnsi="Times New Roman" w:cs="Times New Roman"/>
          <w:b/>
          <w:caps/>
          <w:sz w:val="24"/>
          <w:szCs w:val="24"/>
          <w:u w:color="000000"/>
          <w:lang w:val="en-US"/>
        </w:rPr>
      </w:pPr>
      <w:r w:rsidRPr="002E06CC">
        <w:rPr>
          <w:rFonts w:ascii="Times New Roman" w:eastAsia="Arial Unicode MS" w:hAnsi="Times New Roman" w:cs="Times New Roman"/>
          <w:b/>
          <w:caps/>
          <w:sz w:val="24"/>
          <w:szCs w:val="24"/>
          <w:u w:color="000000"/>
          <w:lang w:val="en-US"/>
        </w:rPr>
        <w:t>4.</w:t>
      </w:r>
      <w:r w:rsidRPr="002E06CC">
        <w:rPr>
          <w:rFonts w:ascii="Times New Roman" w:eastAsia="Arial Unicode MS" w:hAnsi="Times New Roman" w:cs="Times New Roman"/>
          <w:b/>
          <w:caps/>
          <w:sz w:val="24"/>
          <w:szCs w:val="24"/>
          <w:u w:color="000000"/>
          <w:lang w:val="en-US"/>
        </w:rPr>
        <w:tab/>
        <w:t>Overview and assessment of financial performance FOR 2017/18</w:t>
      </w:r>
    </w:p>
    <w:p w14:paraId="5954947E" w14:textId="77777777" w:rsidR="00DF6837" w:rsidRPr="002E06CC" w:rsidRDefault="00DF6837" w:rsidP="002E06CC">
      <w:pPr>
        <w:spacing w:line="360" w:lineRule="auto"/>
        <w:jc w:val="both"/>
        <w:rPr>
          <w:rFonts w:ascii="Times New Roman" w:hAnsi="Times New Roman" w:cs="Times New Roman"/>
          <w:b/>
          <w:sz w:val="24"/>
          <w:szCs w:val="24"/>
        </w:rPr>
      </w:pPr>
    </w:p>
    <w:p w14:paraId="1CD19771" w14:textId="77777777" w:rsidR="00DF6837" w:rsidRPr="002E06CC" w:rsidRDefault="00DF6837"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4.1</w:t>
      </w:r>
      <w:r w:rsidRPr="002E06CC">
        <w:rPr>
          <w:rFonts w:ascii="Times New Roman" w:hAnsi="Times New Roman" w:cs="Times New Roman"/>
          <w:b/>
          <w:sz w:val="24"/>
          <w:szCs w:val="24"/>
        </w:rPr>
        <w:tab/>
        <w:t>Financial Performance for the 2017/18 Financial Year</w:t>
      </w:r>
    </w:p>
    <w:p w14:paraId="2FAB9295" w14:textId="77777777" w:rsidR="00DF6837" w:rsidRPr="002E06CC" w:rsidRDefault="00DF6837" w:rsidP="002E06CC">
      <w:pPr>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 xml:space="preserve">The CCB had an underspending of R85 000 for the FY 2017/18 against </w:t>
      </w:r>
      <w:r w:rsidR="0012600B" w:rsidRPr="002E06CC">
        <w:rPr>
          <w:rFonts w:ascii="Times New Roman" w:hAnsi="Times New Roman" w:cs="Times New Roman"/>
          <w:sz w:val="24"/>
          <w:szCs w:val="24"/>
        </w:rPr>
        <w:t>its</w:t>
      </w:r>
      <w:r w:rsidRPr="002E06CC">
        <w:rPr>
          <w:rFonts w:ascii="Times New Roman" w:hAnsi="Times New Roman" w:cs="Times New Roman"/>
          <w:sz w:val="24"/>
          <w:szCs w:val="24"/>
        </w:rPr>
        <w:t xml:space="preserve"> underspending of R1 726 000 in the previous financial year. This is mainly due to the overspending of R118 000 and R24 000 in Programmes 1 and 2 respectively. </w:t>
      </w:r>
    </w:p>
    <w:p w14:paraId="6423315F"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Table 1: Budget for FY2017/18</w:t>
      </w:r>
    </w:p>
    <w:tbl>
      <w:tblPr>
        <w:tblStyle w:val="TableGrid1"/>
        <w:tblW w:w="9776" w:type="dxa"/>
        <w:jc w:val="center"/>
        <w:tblLayout w:type="fixed"/>
        <w:tblLook w:val="04A0" w:firstRow="1" w:lastRow="0" w:firstColumn="1" w:lastColumn="0" w:noHBand="0" w:noVBand="1"/>
      </w:tblPr>
      <w:tblGrid>
        <w:gridCol w:w="1838"/>
        <w:gridCol w:w="851"/>
        <w:gridCol w:w="1275"/>
        <w:gridCol w:w="993"/>
        <w:gridCol w:w="1275"/>
        <w:gridCol w:w="993"/>
        <w:gridCol w:w="1275"/>
        <w:gridCol w:w="1276"/>
      </w:tblGrid>
      <w:tr w:rsidR="00DF6837" w:rsidRPr="002E06CC" w14:paraId="0361037D" w14:textId="77777777" w:rsidTr="0012600B">
        <w:trPr>
          <w:jc w:val="center"/>
        </w:trPr>
        <w:tc>
          <w:tcPr>
            <w:tcW w:w="1838" w:type="dxa"/>
            <w:tcBorders>
              <w:bottom w:val="single" w:sz="4" w:space="0" w:color="auto"/>
            </w:tcBorders>
            <w:shd w:val="clear" w:color="auto" w:fill="FFFFFF" w:themeFill="text1" w:themeFillTint="80"/>
          </w:tcPr>
          <w:p w14:paraId="352A0226" w14:textId="77777777" w:rsidR="00DF6837" w:rsidRPr="002E06CC" w:rsidRDefault="00DF6837" w:rsidP="002E06CC">
            <w:pPr>
              <w:spacing w:line="360" w:lineRule="auto"/>
              <w:jc w:val="both"/>
              <w:rPr>
                <w:rFonts w:ascii="Times New Roman" w:hAnsi="Times New Roman" w:cs="Times New Roman"/>
                <w:b/>
                <w:sz w:val="24"/>
                <w:szCs w:val="24"/>
              </w:rPr>
            </w:pPr>
            <w:r w:rsidRPr="002E06CC">
              <w:rPr>
                <w:rFonts w:ascii="Times New Roman" w:hAnsi="Times New Roman" w:cs="Times New Roman"/>
                <w:sz w:val="24"/>
                <w:szCs w:val="24"/>
              </w:rPr>
              <w:t>Programme</w:t>
            </w:r>
            <w:r w:rsidRPr="002E06CC">
              <w:rPr>
                <w:rFonts w:ascii="Times New Roman" w:hAnsi="Times New Roman" w:cs="Times New Roman"/>
                <w:b/>
                <w:sz w:val="24"/>
                <w:szCs w:val="24"/>
              </w:rPr>
              <w:t xml:space="preserve"> </w:t>
            </w:r>
          </w:p>
          <w:p w14:paraId="27A13037" w14:textId="77777777" w:rsidR="00DF6837" w:rsidRPr="002E06CC" w:rsidRDefault="00DF6837" w:rsidP="002E06CC">
            <w:pPr>
              <w:spacing w:line="360" w:lineRule="auto"/>
              <w:jc w:val="both"/>
              <w:rPr>
                <w:rFonts w:ascii="Times New Roman" w:hAnsi="Times New Roman" w:cs="Times New Roman"/>
                <w:i/>
                <w:sz w:val="24"/>
                <w:szCs w:val="24"/>
              </w:rPr>
            </w:pPr>
          </w:p>
        </w:tc>
        <w:tc>
          <w:tcPr>
            <w:tcW w:w="2126" w:type="dxa"/>
            <w:gridSpan w:val="2"/>
            <w:tcBorders>
              <w:bottom w:val="single" w:sz="4" w:space="0" w:color="auto"/>
            </w:tcBorders>
            <w:shd w:val="clear" w:color="auto" w:fill="FFFFFF" w:themeFill="text1" w:themeFillTint="80"/>
          </w:tcPr>
          <w:p w14:paraId="6DC38199"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2015/16</w:t>
            </w:r>
          </w:p>
          <w:p w14:paraId="004FBFB3"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b/>
                <w:sz w:val="24"/>
                <w:szCs w:val="24"/>
              </w:rPr>
              <w:t>R’000 (</w:t>
            </w:r>
            <w:r w:rsidRPr="002E06CC">
              <w:rPr>
                <w:rFonts w:ascii="Times New Roman" w:hAnsi="Times New Roman" w:cs="Times New Roman"/>
                <w:i/>
                <w:sz w:val="24"/>
                <w:szCs w:val="24"/>
              </w:rPr>
              <w:t>R thousand)</w:t>
            </w:r>
          </w:p>
        </w:tc>
        <w:tc>
          <w:tcPr>
            <w:tcW w:w="2268" w:type="dxa"/>
            <w:gridSpan w:val="2"/>
            <w:tcBorders>
              <w:bottom w:val="single" w:sz="4" w:space="0" w:color="auto"/>
            </w:tcBorders>
            <w:shd w:val="clear" w:color="auto" w:fill="FFFFFF" w:themeFill="text1" w:themeFillTint="80"/>
          </w:tcPr>
          <w:p w14:paraId="0E79E5E9"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2016/17</w:t>
            </w:r>
          </w:p>
          <w:p w14:paraId="7575D1BE"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b/>
                <w:sz w:val="24"/>
                <w:szCs w:val="24"/>
              </w:rPr>
              <w:t>R’000 (</w:t>
            </w:r>
            <w:r w:rsidRPr="002E06CC">
              <w:rPr>
                <w:rFonts w:ascii="Times New Roman" w:hAnsi="Times New Roman" w:cs="Times New Roman"/>
                <w:i/>
                <w:sz w:val="24"/>
                <w:szCs w:val="24"/>
              </w:rPr>
              <w:t>R thousand)</w:t>
            </w:r>
          </w:p>
        </w:tc>
        <w:tc>
          <w:tcPr>
            <w:tcW w:w="2268" w:type="dxa"/>
            <w:gridSpan w:val="2"/>
            <w:tcBorders>
              <w:bottom w:val="single" w:sz="4" w:space="0" w:color="auto"/>
            </w:tcBorders>
            <w:shd w:val="clear" w:color="auto" w:fill="FFFFFF" w:themeFill="text1" w:themeFillTint="80"/>
          </w:tcPr>
          <w:p w14:paraId="43FC53C6"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2017/18</w:t>
            </w:r>
          </w:p>
          <w:p w14:paraId="4226B89C"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b/>
                <w:sz w:val="24"/>
                <w:szCs w:val="24"/>
              </w:rPr>
              <w:t>R’000 (</w:t>
            </w:r>
            <w:r w:rsidRPr="002E06CC">
              <w:rPr>
                <w:rFonts w:ascii="Times New Roman" w:hAnsi="Times New Roman" w:cs="Times New Roman"/>
                <w:i/>
                <w:sz w:val="24"/>
                <w:szCs w:val="24"/>
              </w:rPr>
              <w:t>R thousand)</w:t>
            </w:r>
          </w:p>
        </w:tc>
        <w:tc>
          <w:tcPr>
            <w:tcW w:w="1276" w:type="dxa"/>
            <w:tcBorders>
              <w:bottom w:val="single" w:sz="4" w:space="0" w:color="auto"/>
            </w:tcBorders>
            <w:shd w:val="clear" w:color="auto" w:fill="FFFFFF" w:themeFill="text1" w:themeFillTint="80"/>
          </w:tcPr>
          <w:p w14:paraId="6284FECE"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(Over)/Under</w:t>
            </w:r>
          </w:p>
          <w:p w14:paraId="232FFF47"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 xml:space="preserve">Expenditure </w:t>
            </w:r>
          </w:p>
        </w:tc>
      </w:tr>
      <w:tr w:rsidR="00DF6837" w:rsidRPr="002E06CC" w14:paraId="78B00F0B" w14:textId="77777777" w:rsidTr="00B62A65">
        <w:trPr>
          <w:jc w:val="center"/>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CF8AD5" w14:textId="77777777" w:rsidR="00DF6837" w:rsidRPr="002E06CC" w:rsidRDefault="00DF6837" w:rsidP="002E06CC">
            <w:pPr>
              <w:spacing w:line="36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0DDE9A"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Budget</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218FE3"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Actual Expenditure</w:t>
            </w:r>
          </w:p>
        </w:tc>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99DE6A"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Budget</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F67861"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Actual Expenditure</w:t>
            </w:r>
          </w:p>
        </w:tc>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74DC0E"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Budget</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2AF57A"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Actual Expenditure</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1834D7" w14:textId="77777777" w:rsidR="00DF6837" w:rsidRPr="002E06CC" w:rsidRDefault="00DF6837" w:rsidP="002E06CC">
            <w:pPr>
              <w:spacing w:line="360" w:lineRule="auto"/>
              <w:jc w:val="center"/>
              <w:rPr>
                <w:rFonts w:ascii="Times New Roman" w:hAnsi="Times New Roman" w:cs="Times New Roman"/>
                <w:sz w:val="24"/>
                <w:szCs w:val="24"/>
              </w:rPr>
            </w:pPr>
          </w:p>
        </w:tc>
      </w:tr>
      <w:tr w:rsidR="00DF6837" w:rsidRPr="002E06CC" w14:paraId="3D3FFC6E" w14:textId="77777777" w:rsidTr="00B62A65">
        <w:trPr>
          <w:jc w:val="center"/>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3E0B44" w14:textId="77777777" w:rsidR="00DF6837" w:rsidRPr="002E06CC" w:rsidRDefault="00DF6837" w:rsidP="002E06CC">
            <w:pPr>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 xml:space="preserve">Administration </w:t>
            </w: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42E355"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5 091</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17ED21"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5 658</w:t>
            </w:r>
          </w:p>
        </w:tc>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F0B5C5"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6 637</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7A3BE8"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8 010</w:t>
            </w:r>
          </w:p>
        </w:tc>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58F824"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7 683</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345425"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7 565</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8CEBD4"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118</w:t>
            </w:r>
          </w:p>
        </w:tc>
      </w:tr>
      <w:tr w:rsidR="00DF6837" w:rsidRPr="002E06CC" w14:paraId="7B702393" w14:textId="77777777" w:rsidTr="00B62A65">
        <w:trPr>
          <w:jc w:val="center"/>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C3EEB0" w14:textId="77777777" w:rsidR="00DF6837" w:rsidRPr="002E06CC" w:rsidRDefault="00DF6837" w:rsidP="002E06CC">
            <w:pPr>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 xml:space="preserve">Conservation </w:t>
            </w: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9A8B0E7"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1 950</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975506"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282</w:t>
            </w:r>
          </w:p>
        </w:tc>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A5AF7C"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369</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49D587"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260</w:t>
            </w:r>
          </w:p>
        </w:tc>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9917FB2"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528</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DCBFD6"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570</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B824FE"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(42)</w:t>
            </w:r>
          </w:p>
        </w:tc>
      </w:tr>
      <w:tr w:rsidR="00DF6837" w:rsidRPr="002E06CC" w14:paraId="1F85B592" w14:textId="77777777" w:rsidTr="00B62A65">
        <w:trPr>
          <w:jc w:val="center"/>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11AF8C" w14:textId="77777777" w:rsidR="00DF6837" w:rsidRPr="002E06CC" w:rsidRDefault="00DF6837" w:rsidP="002E06CC">
            <w:pPr>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 xml:space="preserve">Tourism Promotion </w:t>
            </w: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884C1F"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130</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DD3F4A"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D1E7CD"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41</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B68F4B"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A418B3"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63</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544672"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39</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1F5ED5"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24</w:t>
            </w:r>
          </w:p>
        </w:tc>
      </w:tr>
      <w:tr w:rsidR="00DF6837" w:rsidRPr="002E06CC" w14:paraId="3DB294EC" w14:textId="77777777" w:rsidTr="00B62A65">
        <w:trPr>
          <w:jc w:val="center"/>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793719C" w14:textId="77777777" w:rsidR="00DF6837" w:rsidRPr="002E06CC" w:rsidRDefault="00DF6837" w:rsidP="002E06CC">
            <w:pPr>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 xml:space="preserve">Public Access </w:t>
            </w: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7A6A21"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330</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464283"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1 476</w:t>
            </w:r>
          </w:p>
        </w:tc>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728336"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1 167</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20B6D5"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1 640</w:t>
            </w:r>
          </w:p>
        </w:tc>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131246"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264</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7B0DBDF"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279</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6EFEF0E"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(15)</w:t>
            </w:r>
          </w:p>
        </w:tc>
      </w:tr>
      <w:tr w:rsidR="00DF6837" w:rsidRPr="002E06CC" w14:paraId="1058527C" w14:textId="77777777" w:rsidTr="00B62A65">
        <w:trPr>
          <w:jc w:val="center"/>
        </w:trPr>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07FB5A" w14:textId="77777777" w:rsidR="00DF6837" w:rsidRPr="002E06CC" w:rsidRDefault="00DF6837" w:rsidP="002E06CC">
            <w:pPr>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Total</w:t>
            </w: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8426876"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7 501</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6AE5CA0"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7 426</w:t>
            </w:r>
          </w:p>
        </w:tc>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240CDC"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8 214</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0E509B"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9 940</w:t>
            </w:r>
          </w:p>
        </w:tc>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370760"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8 538</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22C923"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8 453</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8B26B2"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85</w:t>
            </w:r>
          </w:p>
        </w:tc>
      </w:tr>
    </w:tbl>
    <w:p w14:paraId="27610E07" w14:textId="77777777" w:rsidR="00DF6837" w:rsidRPr="002E06CC" w:rsidRDefault="00DF6837" w:rsidP="002E06CC">
      <w:pPr>
        <w:spacing w:line="360" w:lineRule="auto"/>
        <w:jc w:val="center"/>
        <w:rPr>
          <w:rFonts w:ascii="Times New Roman" w:hAnsi="Times New Roman" w:cs="Times New Roman"/>
          <w:b/>
          <w:sz w:val="24"/>
          <w:szCs w:val="24"/>
        </w:rPr>
      </w:pPr>
    </w:p>
    <w:p w14:paraId="5163F81C"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Table 2: Revenue FY 2017/18</w:t>
      </w:r>
    </w:p>
    <w:tbl>
      <w:tblPr>
        <w:tblStyle w:val="TableGrid"/>
        <w:tblW w:w="9622" w:type="dxa"/>
        <w:tblLook w:val="04A0" w:firstRow="1" w:lastRow="0" w:firstColumn="1" w:lastColumn="0" w:noHBand="0" w:noVBand="1"/>
      </w:tblPr>
      <w:tblGrid>
        <w:gridCol w:w="1256"/>
        <w:gridCol w:w="1123"/>
        <w:gridCol w:w="1109"/>
        <w:gridCol w:w="1123"/>
        <w:gridCol w:w="1156"/>
        <w:gridCol w:w="1123"/>
        <w:gridCol w:w="1156"/>
        <w:gridCol w:w="1576"/>
      </w:tblGrid>
      <w:tr w:rsidR="00DF6837" w:rsidRPr="002E06CC" w14:paraId="69656150" w14:textId="77777777" w:rsidTr="0012600B">
        <w:tc>
          <w:tcPr>
            <w:tcW w:w="1413" w:type="dxa"/>
            <w:vMerge w:val="restart"/>
            <w:shd w:val="clear" w:color="auto" w:fill="FFFFFF" w:themeFill="text1" w:themeFillTint="80"/>
          </w:tcPr>
          <w:p w14:paraId="033234A6" w14:textId="77777777" w:rsidR="00DF6837" w:rsidRPr="002E06CC" w:rsidRDefault="00DF6837" w:rsidP="002E06CC">
            <w:pPr>
              <w:spacing w:line="360" w:lineRule="auto"/>
              <w:jc w:val="both"/>
              <w:rPr>
                <w:rFonts w:ascii="Times New Roman" w:hAnsi="Times New Roman" w:cs="Times New Roman"/>
                <w:sz w:val="24"/>
                <w:szCs w:val="24"/>
              </w:rPr>
            </w:pPr>
          </w:p>
          <w:p w14:paraId="381A7C0D"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Source of revenue</w:t>
            </w:r>
          </w:p>
        </w:tc>
        <w:tc>
          <w:tcPr>
            <w:tcW w:w="2089" w:type="dxa"/>
            <w:gridSpan w:val="2"/>
            <w:shd w:val="clear" w:color="auto" w:fill="FFFFFF" w:themeFill="text1" w:themeFillTint="80"/>
          </w:tcPr>
          <w:p w14:paraId="6B15DDF5"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2015/16</w:t>
            </w:r>
          </w:p>
        </w:tc>
        <w:tc>
          <w:tcPr>
            <w:tcW w:w="2289" w:type="dxa"/>
            <w:gridSpan w:val="2"/>
            <w:shd w:val="clear" w:color="auto" w:fill="FFFFFF" w:themeFill="text1" w:themeFillTint="80"/>
          </w:tcPr>
          <w:p w14:paraId="40F0EBAD"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2016/17</w:t>
            </w:r>
          </w:p>
        </w:tc>
        <w:tc>
          <w:tcPr>
            <w:tcW w:w="3831" w:type="dxa"/>
            <w:gridSpan w:val="3"/>
            <w:shd w:val="clear" w:color="auto" w:fill="FFFFFF" w:themeFill="text1" w:themeFillTint="80"/>
          </w:tcPr>
          <w:p w14:paraId="758E266F"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2017/18</w:t>
            </w:r>
          </w:p>
        </w:tc>
      </w:tr>
      <w:tr w:rsidR="00DF6837" w:rsidRPr="002E06CC" w14:paraId="3061CA65" w14:textId="77777777" w:rsidTr="0012600B">
        <w:tc>
          <w:tcPr>
            <w:tcW w:w="1413" w:type="dxa"/>
            <w:vMerge/>
            <w:shd w:val="clear" w:color="auto" w:fill="FFFFFF" w:themeFill="text1" w:themeFillTint="80"/>
          </w:tcPr>
          <w:p w14:paraId="715336F7" w14:textId="77777777" w:rsidR="00DF6837" w:rsidRPr="002E06CC" w:rsidRDefault="00DF6837" w:rsidP="002E06CC">
            <w:pPr>
              <w:spacing w:line="360" w:lineRule="auto"/>
              <w:jc w:val="both"/>
              <w:rPr>
                <w:rFonts w:ascii="Times New Roman" w:hAnsi="Times New Roman" w:cs="Times New Roman"/>
                <w:b/>
                <w:sz w:val="24"/>
                <w:szCs w:val="24"/>
              </w:rPr>
            </w:pPr>
          </w:p>
        </w:tc>
        <w:tc>
          <w:tcPr>
            <w:tcW w:w="1000" w:type="dxa"/>
            <w:shd w:val="clear" w:color="auto" w:fill="FFFFFF" w:themeFill="text1" w:themeFillTint="80"/>
          </w:tcPr>
          <w:p w14:paraId="20709A11"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Estimate</w:t>
            </w:r>
          </w:p>
        </w:tc>
        <w:tc>
          <w:tcPr>
            <w:tcW w:w="1089" w:type="dxa"/>
            <w:shd w:val="clear" w:color="auto" w:fill="FFFFFF" w:themeFill="text1" w:themeFillTint="80"/>
          </w:tcPr>
          <w:p w14:paraId="1AD34D3A"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Amount collected</w:t>
            </w:r>
          </w:p>
        </w:tc>
        <w:tc>
          <w:tcPr>
            <w:tcW w:w="1095" w:type="dxa"/>
            <w:shd w:val="clear" w:color="auto" w:fill="FFFFFF" w:themeFill="text1" w:themeFillTint="80"/>
          </w:tcPr>
          <w:p w14:paraId="374675C0"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Estimate</w:t>
            </w:r>
          </w:p>
        </w:tc>
        <w:tc>
          <w:tcPr>
            <w:tcW w:w="1194" w:type="dxa"/>
            <w:shd w:val="clear" w:color="auto" w:fill="FFFFFF" w:themeFill="text1" w:themeFillTint="80"/>
          </w:tcPr>
          <w:p w14:paraId="25200BC3"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Amount collected</w:t>
            </w:r>
          </w:p>
        </w:tc>
        <w:tc>
          <w:tcPr>
            <w:tcW w:w="1095" w:type="dxa"/>
            <w:shd w:val="clear" w:color="auto" w:fill="FFFFFF" w:themeFill="text1" w:themeFillTint="80"/>
          </w:tcPr>
          <w:p w14:paraId="596FF67B"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Estimate</w:t>
            </w:r>
          </w:p>
        </w:tc>
        <w:tc>
          <w:tcPr>
            <w:tcW w:w="1194" w:type="dxa"/>
            <w:shd w:val="clear" w:color="auto" w:fill="FFFFFF" w:themeFill="text1" w:themeFillTint="80"/>
          </w:tcPr>
          <w:p w14:paraId="374FA0D4"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Amount collected</w:t>
            </w:r>
          </w:p>
        </w:tc>
        <w:tc>
          <w:tcPr>
            <w:tcW w:w="1542" w:type="dxa"/>
            <w:shd w:val="clear" w:color="auto" w:fill="FFFFFF" w:themeFill="text1" w:themeFillTint="80"/>
          </w:tcPr>
          <w:p w14:paraId="04D9BE2F"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(Over)/under collection</w:t>
            </w:r>
          </w:p>
        </w:tc>
      </w:tr>
      <w:tr w:rsidR="00DF6837" w:rsidRPr="002E06CC" w14:paraId="471BAA2B" w14:textId="77777777" w:rsidTr="00B62A65">
        <w:tc>
          <w:tcPr>
            <w:tcW w:w="1413" w:type="dxa"/>
            <w:vMerge/>
            <w:tcBorders>
              <w:bottom w:val="single" w:sz="4" w:space="0" w:color="auto"/>
            </w:tcBorders>
          </w:tcPr>
          <w:p w14:paraId="329E5CCF" w14:textId="77777777" w:rsidR="00DF6837" w:rsidRPr="002E06CC" w:rsidRDefault="00DF6837" w:rsidP="002E06CC">
            <w:pPr>
              <w:spacing w:line="360" w:lineRule="auto"/>
              <w:jc w:val="both"/>
              <w:rPr>
                <w:rFonts w:ascii="Times New Roman" w:hAnsi="Times New Roman" w:cs="Times New Roman"/>
                <w:b/>
                <w:sz w:val="24"/>
                <w:szCs w:val="24"/>
              </w:rPr>
            </w:pPr>
          </w:p>
        </w:tc>
        <w:tc>
          <w:tcPr>
            <w:tcW w:w="8209" w:type="dxa"/>
            <w:gridSpan w:val="7"/>
            <w:tcBorders>
              <w:bottom w:val="single" w:sz="4" w:space="0" w:color="auto"/>
            </w:tcBorders>
          </w:tcPr>
          <w:p w14:paraId="005B3C0F" w14:textId="77777777" w:rsidR="00DF6837" w:rsidRPr="002E06CC" w:rsidRDefault="00DF6837" w:rsidP="002E06CC">
            <w:pPr>
              <w:spacing w:line="360" w:lineRule="auto"/>
              <w:jc w:val="center"/>
              <w:rPr>
                <w:rFonts w:ascii="Times New Roman" w:hAnsi="Times New Roman" w:cs="Times New Roman"/>
                <w:b/>
                <w:i/>
                <w:sz w:val="24"/>
                <w:szCs w:val="24"/>
              </w:rPr>
            </w:pPr>
            <w:r w:rsidRPr="002E06CC">
              <w:rPr>
                <w:rFonts w:ascii="Times New Roman" w:hAnsi="Times New Roman" w:cs="Times New Roman"/>
                <w:b/>
                <w:i/>
                <w:sz w:val="24"/>
                <w:szCs w:val="24"/>
              </w:rPr>
              <w:t>R’000</w:t>
            </w:r>
          </w:p>
        </w:tc>
      </w:tr>
      <w:tr w:rsidR="00DF6837" w:rsidRPr="002E06CC" w14:paraId="0D30139E" w14:textId="77777777" w:rsidTr="00B62A65">
        <w:tc>
          <w:tcPr>
            <w:tcW w:w="1413" w:type="dxa"/>
            <w:shd w:val="clear" w:color="auto" w:fill="D0CECE" w:themeFill="background2" w:themeFillShade="E6"/>
          </w:tcPr>
          <w:p w14:paraId="0B5C1F99" w14:textId="77777777" w:rsidR="00DF6837" w:rsidRPr="002E06CC" w:rsidRDefault="00DF6837"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Sales</w:t>
            </w:r>
          </w:p>
        </w:tc>
        <w:tc>
          <w:tcPr>
            <w:tcW w:w="1000" w:type="dxa"/>
            <w:shd w:val="clear" w:color="auto" w:fill="D0CECE" w:themeFill="background2" w:themeFillShade="E6"/>
          </w:tcPr>
          <w:p w14:paraId="6834E8A0"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3 730</w:t>
            </w:r>
          </w:p>
        </w:tc>
        <w:tc>
          <w:tcPr>
            <w:tcW w:w="1089" w:type="dxa"/>
            <w:shd w:val="clear" w:color="auto" w:fill="D0CECE" w:themeFill="background2" w:themeFillShade="E6"/>
          </w:tcPr>
          <w:p w14:paraId="50CD3D3B"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2 942</w:t>
            </w:r>
          </w:p>
        </w:tc>
        <w:tc>
          <w:tcPr>
            <w:tcW w:w="1095" w:type="dxa"/>
            <w:shd w:val="clear" w:color="auto" w:fill="D0CECE" w:themeFill="background2" w:themeFillShade="E6"/>
          </w:tcPr>
          <w:p w14:paraId="6CB2EAFB"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4 000</w:t>
            </w:r>
          </w:p>
        </w:tc>
        <w:tc>
          <w:tcPr>
            <w:tcW w:w="1194" w:type="dxa"/>
            <w:shd w:val="clear" w:color="auto" w:fill="D0CECE" w:themeFill="background2" w:themeFillShade="E6"/>
          </w:tcPr>
          <w:p w14:paraId="26ED8444"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2 295</w:t>
            </w:r>
          </w:p>
        </w:tc>
        <w:tc>
          <w:tcPr>
            <w:tcW w:w="1095" w:type="dxa"/>
            <w:shd w:val="clear" w:color="auto" w:fill="D0CECE" w:themeFill="background2" w:themeFillShade="E6"/>
          </w:tcPr>
          <w:p w14:paraId="00F7D988"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4 500</w:t>
            </w:r>
          </w:p>
        </w:tc>
        <w:tc>
          <w:tcPr>
            <w:tcW w:w="1194" w:type="dxa"/>
            <w:shd w:val="clear" w:color="auto" w:fill="D0CECE" w:themeFill="background2" w:themeFillShade="E6"/>
          </w:tcPr>
          <w:p w14:paraId="3F60EC0E"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4 124</w:t>
            </w:r>
          </w:p>
        </w:tc>
        <w:tc>
          <w:tcPr>
            <w:tcW w:w="1542" w:type="dxa"/>
            <w:shd w:val="clear" w:color="auto" w:fill="D0CECE" w:themeFill="background2" w:themeFillShade="E6"/>
          </w:tcPr>
          <w:p w14:paraId="044CB107"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376</w:t>
            </w:r>
          </w:p>
        </w:tc>
      </w:tr>
      <w:tr w:rsidR="00DF6837" w:rsidRPr="002E06CC" w14:paraId="69D4F1F3" w14:textId="77777777" w:rsidTr="00B62A65">
        <w:tc>
          <w:tcPr>
            <w:tcW w:w="1413" w:type="dxa"/>
            <w:shd w:val="clear" w:color="auto" w:fill="D0CECE" w:themeFill="background2" w:themeFillShade="E6"/>
          </w:tcPr>
          <w:p w14:paraId="086D3F1C" w14:textId="77777777" w:rsidR="00DF6837" w:rsidRPr="002E06CC" w:rsidRDefault="00DF6837"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Rental income</w:t>
            </w:r>
          </w:p>
        </w:tc>
        <w:tc>
          <w:tcPr>
            <w:tcW w:w="1000" w:type="dxa"/>
            <w:shd w:val="clear" w:color="auto" w:fill="D0CECE" w:themeFill="background2" w:themeFillShade="E6"/>
          </w:tcPr>
          <w:p w14:paraId="621ADD2D"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3 156</w:t>
            </w:r>
          </w:p>
        </w:tc>
        <w:tc>
          <w:tcPr>
            <w:tcW w:w="1089" w:type="dxa"/>
            <w:shd w:val="clear" w:color="auto" w:fill="D0CECE" w:themeFill="background2" w:themeFillShade="E6"/>
          </w:tcPr>
          <w:p w14:paraId="3BA3F68B"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1 277</w:t>
            </w:r>
          </w:p>
        </w:tc>
        <w:tc>
          <w:tcPr>
            <w:tcW w:w="1095" w:type="dxa"/>
            <w:shd w:val="clear" w:color="auto" w:fill="D0CECE" w:themeFill="background2" w:themeFillShade="E6"/>
          </w:tcPr>
          <w:p w14:paraId="1C35FB41"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3 410</w:t>
            </w:r>
          </w:p>
        </w:tc>
        <w:tc>
          <w:tcPr>
            <w:tcW w:w="1194" w:type="dxa"/>
            <w:shd w:val="clear" w:color="auto" w:fill="D0CECE" w:themeFill="background2" w:themeFillShade="E6"/>
          </w:tcPr>
          <w:p w14:paraId="5DF4AE66"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1 139</w:t>
            </w:r>
          </w:p>
        </w:tc>
        <w:tc>
          <w:tcPr>
            <w:tcW w:w="1095" w:type="dxa"/>
            <w:shd w:val="clear" w:color="auto" w:fill="D0CECE" w:themeFill="background2" w:themeFillShade="E6"/>
          </w:tcPr>
          <w:p w14:paraId="0ED36B54"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3 465</w:t>
            </w:r>
          </w:p>
        </w:tc>
        <w:tc>
          <w:tcPr>
            <w:tcW w:w="1194" w:type="dxa"/>
            <w:shd w:val="clear" w:color="auto" w:fill="D0CECE" w:themeFill="background2" w:themeFillShade="E6"/>
          </w:tcPr>
          <w:p w14:paraId="5FC93B0C"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1 132</w:t>
            </w:r>
          </w:p>
        </w:tc>
        <w:tc>
          <w:tcPr>
            <w:tcW w:w="1542" w:type="dxa"/>
            <w:shd w:val="clear" w:color="auto" w:fill="D0CECE" w:themeFill="background2" w:themeFillShade="E6"/>
          </w:tcPr>
          <w:p w14:paraId="45EB2AC7"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2 333</w:t>
            </w:r>
          </w:p>
        </w:tc>
      </w:tr>
      <w:tr w:rsidR="00DF6837" w:rsidRPr="002E06CC" w14:paraId="1CA0CA6F" w14:textId="77777777" w:rsidTr="00B62A65">
        <w:tc>
          <w:tcPr>
            <w:tcW w:w="1413" w:type="dxa"/>
            <w:shd w:val="clear" w:color="auto" w:fill="D0CECE" w:themeFill="background2" w:themeFillShade="E6"/>
          </w:tcPr>
          <w:p w14:paraId="2952F96E" w14:textId="77777777" w:rsidR="00DF6837" w:rsidRPr="002E06CC" w:rsidRDefault="00DF6837"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Other income</w:t>
            </w:r>
          </w:p>
        </w:tc>
        <w:tc>
          <w:tcPr>
            <w:tcW w:w="1000" w:type="dxa"/>
            <w:shd w:val="clear" w:color="auto" w:fill="D0CECE" w:themeFill="background2" w:themeFillShade="E6"/>
          </w:tcPr>
          <w:p w14:paraId="6F37B7FE"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15</w:t>
            </w:r>
          </w:p>
        </w:tc>
        <w:tc>
          <w:tcPr>
            <w:tcW w:w="1089" w:type="dxa"/>
            <w:shd w:val="clear" w:color="auto" w:fill="D0CECE" w:themeFill="background2" w:themeFillShade="E6"/>
          </w:tcPr>
          <w:p w14:paraId="479A6C9B"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41</w:t>
            </w:r>
          </w:p>
        </w:tc>
        <w:tc>
          <w:tcPr>
            <w:tcW w:w="1095" w:type="dxa"/>
            <w:shd w:val="clear" w:color="auto" w:fill="D0CECE" w:themeFill="background2" w:themeFillShade="E6"/>
          </w:tcPr>
          <w:p w14:paraId="0A454E5A"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204</w:t>
            </w:r>
          </w:p>
        </w:tc>
        <w:tc>
          <w:tcPr>
            <w:tcW w:w="1194" w:type="dxa"/>
            <w:shd w:val="clear" w:color="auto" w:fill="D0CECE" w:themeFill="background2" w:themeFillShade="E6"/>
          </w:tcPr>
          <w:p w14:paraId="1FDB9695"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163</w:t>
            </w:r>
          </w:p>
        </w:tc>
        <w:tc>
          <w:tcPr>
            <w:tcW w:w="1095" w:type="dxa"/>
            <w:shd w:val="clear" w:color="auto" w:fill="D0CECE" w:themeFill="background2" w:themeFillShade="E6"/>
          </w:tcPr>
          <w:p w14:paraId="462C9B55"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324</w:t>
            </w:r>
          </w:p>
        </w:tc>
        <w:tc>
          <w:tcPr>
            <w:tcW w:w="1194" w:type="dxa"/>
            <w:shd w:val="clear" w:color="auto" w:fill="D0CECE" w:themeFill="background2" w:themeFillShade="E6"/>
          </w:tcPr>
          <w:p w14:paraId="384FF77A"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450</w:t>
            </w:r>
          </w:p>
        </w:tc>
        <w:tc>
          <w:tcPr>
            <w:tcW w:w="1542" w:type="dxa"/>
            <w:shd w:val="clear" w:color="auto" w:fill="D0CECE" w:themeFill="background2" w:themeFillShade="E6"/>
          </w:tcPr>
          <w:p w14:paraId="6ED5D6DD"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(126)</w:t>
            </w:r>
          </w:p>
        </w:tc>
      </w:tr>
      <w:tr w:rsidR="00DF6837" w:rsidRPr="002E06CC" w14:paraId="230E5684" w14:textId="77777777" w:rsidTr="00B62A65">
        <w:tc>
          <w:tcPr>
            <w:tcW w:w="1413" w:type="dxa"/>
            <w:shd w:val="clear" w:color="auto" w:fill="D0CECE" w:themeFill="background2" w:themeFillShade="E6"/>
          </w:tcPr>
          <w:p w14:paraId="5F82B866" w14:textId="77777777" w:rsidR="00DF6837" w:rsidRPr="002E06CC" w:rsidRDefault="00DF6837"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Interest income</w:t>
            </w:r>
          </w:p>
        </w:tc>
        <w:tc>
          <w:tcPr>
            <w:tcW w:w="1000" w:type="dxa"/>
            <w:shd w:val="clear" w:color="auto" w:fill="D0CECE" w:themeFill="background2" w:themeFillShade="E6"/>
          </w:tcPr>
          <w:p w14:paraId="34E9041C"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600</w:t>
            </w:r>
          </w:p>
        </w:tc>
        <w:tc>
          <w:tcPr>
            <w:tcW w:w="1089" w:type="dxa"/>
            <w:shd w:val="clear" w:color="auto" w:fill="D0CECE" w:themeFill="background2" w:themeFillShade="E6"/>
          </w:tcPr>
          <w:p w14:paraId="6A4F84F4"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646</w:t>
            </w:r>
          </w:p>
        </w:tc>
        <w:tc>
          <w:tcPr>
            <w:tcW w:w="1095" w:type="dxa"/>
            <w:shd w:val="clear" w:color="auto" w:fill="D0CECE" w:themeFill="background2" w:themeFillShade="E6"/>
          </w:tcPr>
          <w:p w14:paraId="07AC7C3B"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600</w:t>
            </w:r>
          </w:p>
        </w:tc>
        <w:tc>
          <w:tcPr>
            <w:tcW w:w="1194" w:type="dxa"/>
            <w:shd w:val="clear" w:color="auto" w:fill="D0CECE" w:themeFill="background2" w:themeFillShade="E6"/>
          </w:tcPr>
          <w:p w14:paraId="7F269302"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397</w:t>
            </w:r>
          </w:p>
        </w:tc>
        <w:tc>
          <w:tcPr>
            <w:tcW w:w="1095" w:type="dxa"/>
            <w:shd w:val="clear" w:color="auto" w:fill="D0CECE" w:themeFill="background2" w:themeFillShade="E6"/>
          </w:tcPr>
          <w:p w14:paraId="05E2C10C"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249</w:t>
            </w:r>
          </w:p>
        </w:tc>
        <w:tc>
          <w:tcPr>
            <w:tcW w:w="1194" w:type="dxa"/>
            <w:shd w:val="clear" w:color="auto" w:fill="D0CECE" w:themeFill="background2" w:themeFillShade="E6"/>
          </w:tcPr>
          <w:p w14:paraId="67148CA6"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117</w:t>
            </w:r>
          </w:p>
        </w:tc>
        <w:tc>
          <w:tcPr>
            <w:tcW w:w="1542" w:type="dxa"/>
            <w:shd w:val="clear" w:color="auto" w:fill="D0CECE" w:themeFill="background2" w:themeFillShade="E6"/>
          </w:tcPr>
          <w:p w14:paraId="1A64AB5A"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132</w:t>
            </w:r>
          </w:p>
        </w:tc>
      </w:tr>
      <w:tr w:rsidR="00DF6837" w:rsidRPr="002E06CC" w14:paraId="143A23E8" w14:textId="77777777" w:rsidTr="00B62A65">
        <w:tc>
          <w:tcPr>
            <w:tcW w:w="1413" w:type="dxa"/>
            <w:shd w:val="clear" w:color="auto" w:fill="D0CECE" w:themeFill="background2" w:themeFillShade="E6"/>
          </w:tcPr>
          <w:p w14:paraId="7819CFFB" w14:textId="77777777" w:rsidR="00DF6837" w:rsidRPr="002E06CC" w:rsidRDefault="00DF6837"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TOTAL</w:t>
            </w:r>
          </w:p>
        </w:tc>
        <w:tc>
          <w:tcPr>
            <w:tcW w:w="1000" w:type="dxa"/>
            <w:shd w:val="clear" w:color="auto" w:fill="D0CECE" w:themeFill="background2" w:themeFillShade="E6"/>
          </w:tcPr>
          <w:p w14:paraId="114CBBB5"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7 501</w:t>
            </w:r>
          </w:p>
        </w:tc>
        <w:tc>
          <w:tcPr>
            <w:tcW w:w="1089" w:type="dxa"/>
            <w:shd w:val="clear" w:color="auto" w:fill="D0CECE" w:themeFill="background2" w:themeFillShade="E6"/>
          </w:tcPr>
          <w:p w14:paraId="47C9DB68"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4 905</w:t>
            </w:r>
          </w:p>
        </w:tc>
        <w:tc>
          <w:tcPr>
            <w:tcW w:w="1095" w:type="dxa"/>
            <w:shd w:val="clear" w:color="auto" w:fill="D0CECE" w:themeFill="background2" w:themeFillShade="E6"/>
          </w:tcPr>
          <w:p w14:paraId="25F2F7A7"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8 214</w:t>
            </w:r>
          </w:p>
        </w:tc>
        <w:tc>
          <w:tcPr>
            <w:tcW w:w="1194" w:type="dxa"/>
            <w:shd w:val="clear" w:color="auto" w:fill="D0CECE" w:themeFill="background2" w:themeFillShade="E6"/>
          </w:tcPr>
          <w:p w14:paraId="75139775"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3 994</w:t>
            </w:r>
          </w:p>
        </w:tc>
        <w:tc>
          <w:tcPr>
            <w:tcW w:w="1095" w:type="dxa"/>
            <w:shd w:val="clear" w:color="auto" w:fill="D0CECE" w:themeFill="background2" w:themeFillShade="E6"/>
          </w:tcPr>
          <w:p w14:paraId="0BA662E3"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8 538</w:t>
            </w:r>
          </w:p>
        </w:tc>
        <w:tc>
          <w:tcPr>
            <w:tcW w:w="1194" w:type="dxa"/>
            <w:shd w:val="clear" w:color="auto" w:fill="D0CECE" w:themeFill="background2" w:themeFillShade="E6"/>
          </w:tcPr>
          <w:p w14:paraId="092C49DA"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5 823</w:t>
            </w:r>
          </w:p>
        </w:tc>
        <w:tc>
          <w:tcPr>
            <w:tcW w:w="1542" w:type="dxa"/>
            <w:shd w:val="clear" w:color="auto" w:fill="D0CECE" w:themeFill="background2" w:themeFillShade="E6"/>
          </w:tcPr>
          <w:p w14:paraId="0319EA32"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2 715</w:t>
            </w:r>
          </w:p>
        </w:tc>
      </w:tr>
    </w:tbl>
    <w:p w14:paraId="1580476A" w14:textId="77777777" w:rsidR="00DF6837" w:rsidRPr="002E06CC" w:rsidRDefault="00DF6837" w:rsidP="002E06CC">
      <w:pPr>
        <w:autoSpaceDE w:val="0"/>
        <w:autoSpaceDN w:val="0"/>
        <w:adjustRightInd w:val="0"/>
        <w:spacing w:line="360" w:lineRule="auto"/>
        <w:jc w:val="both"/>
        <w:rPr>
          <w:rFonts w:ascii="Times New Roman" w:hAnsi="Times New Roman" w:cs="Times New Roman"/>
          <w:i/>
          <w:sz w:val="24"/>
          <w:szCs w:val="24"/>
        </w:rPr>
      </w:pPr>
    </w:p>
    <w:p w14:paraId="7540669A" w14:textId="77777777" w:rsidR="00DF6837" w:rsidRPr="002E06CC" w:rsidRDefault="00DF6837" w:rsidP="002E06CC">
      <w:pPr>
        <w:autoSpaceDE w:val="0"/>
        <w:autoSpaceDN w:val="0"/>
        <w:adjustRightInd w:val="0"/>
        <w:spacing w:line="360" w:lineRule="auto"/>
        <w:jc w:val="both"/>
        <w:rPr>
          <w:rFonts w:ascii="Times New Roman" w:hAnsi="Times New Roman" w:cs="Times New Roman"/>
          <w:i/>
          <w:sz w:val="24"/>
          <w:szCs w:val="24"/>
        </w:rPr>
      </w:pPr>
      <w:r w:rsidRPr="002E06CC">
        <w:rPr>
          <w:rFonts w:ascii="Times New Roman" w:hAnsi="Times New Roman" w:cs="Times New Roman"/>
          <w:sz w:val="24"/>
          <w:szCs w:val="24"/>
        </w:rPr>
        <w:t>Similar to the FY2016/17 comment,</w:t>
      </w:r>
      <w:r w:rsidRPr="002E06CC">
        <w:rPr>
          <w:rStyle w:val="EndnoteReference"/>
          <w:rFonts w:ascii="Times New Roman" w:hAnsi="Times New Roman" w:cs="Times New Roman"/>
          <w:sz w:val="24"/>
          <w:szCs w:val="24"/>
        </w:rPr>
        <w:t xml:space="preserve"> </w:t>
      </w:r>
      <w:r w:rsidRPr="002E06CC">
        <w:rPr>
          <w:rFonts w:ascii="Times New Roman" w:hAnsi="Times New Roman" w:cs="Times New Roman"/>
          <w:sz w:val="24"/>
          <w:szCs w:val="24"/>
        </w:rPr>
        <w:t>the CCB states that “</w:t>
      </w:r>
      <w:r w:rsidRPr="002E06CC">
        <w:rPr>
          <w:rFonts w:ascii="Times New Roman" w:hAnsi="Times New Roman" w:cs="Times New Roman"/>
          <w:i/>
          <w:sz w:val="24"/>
          <w:szCs w:val="24"/>
        </w:rPr>
        <w:t>Sales income is in line with our estimates for the year. However, the provision made to compensate for the access to our historic surplus funds, skews this estimate thus painting a picture of under-performance.”</w:t>
      </w:r>
    </w:p>
    <w:p w14:paraId="42AD0B85" w14:textId="77777777" w:rsidR="00DF6837" w:rsidRPr="002E06CC" w:rsidRDefault="00DF6837" w:rsidP="002E06CC">
      <w:pPr>
        <w:autoSpaceDE w:val="0"/>
        <w:autoSpaceDN w:val="0"/>
        <w:adjustRightInd w:val="0"/>
        <w:spacing w:line="360" w:lineRule="auto"/>
        <w:jc w:val="both"/>
        <w:rPr>
          <w:rFonts w:ascii="Times New Roman" w:hAnsi="Times New Roman" w:cs="Times New Roman"/>
          <w:i/>
          <w:sz w:val="24"/>
          <w:szCs w:val="24"/>
        </w:rPr>
      </w:pPr>
      <w:r w:rsidRPr="002E06CC">
        <w:rPr>
          <w:rFonts w:ascii="Times New Roman" w:hAnsi="Times New Roman" w:cs="Times New Roman"/>
          <w:sz w:val="24"/>
          <w:szCs w:val="24"/>
        </w:rPr>
        <w:t xml:space="preserve">The CCB Annual Report explains that the “Other income” was lower than expected because </w:t>
      </w:r>
      <w:r w:rsidRPr="002E06CC">
        <w:rPr>
          <w:rFonts w:ascii="Times New Roman" w:hAnsi="Times New Roman" w:cs="Times New Roman"/>
          <w:i/>
          <w:sz w:val="24"/>
          <w:szCs w:val="24"/>
        </w:rPr>
        <w:t xml:space="preserve">“A new service provider to run the restaurant was appointed in October 2017 and hence revenue expected from the restaurant was lower than expected.” </w:t>
      </w:r>
    </w:p>
    <w:p w14:paraId="039FC49D" w14:textId="77777777" w:rsidR="00DF6837" w:rsidRPr="002E06CC" w:rsidRDefault="00DF6837" w:rsidP="002E06CC">
      <w:pPr>
        <w:spacing w:line="360" w:lineRule="auto"/>
        <w:jc w:val="both"/>
        <w:outlineLvl w:val="0"/>
        <w:rPr>
          <w:rFonts w:ascii="Times New Roman" w:hAnsi="Times New Roman" w:cs="Times New Roman"/>
          <w:sz w:val="24"/>
          <w:szCs w:val="24"/>
        </w:rPr>
      </w:pPr>
      <w:r w:rsidRPr="002E06CC">
        <w:rPr>
          <w:rFonts w:ascii="Times New Roman" w:hAnsi="Times New Roman" w:cs="Times New Roman"/>
          <w:sz w:val="24"/>
          <w:szCs w:val="24"/>
        </w:rPr>
        <w:t>In terms of Revenue Collection, the Reports shows an increase of decrease of R911 000 where R4 905 000 was collected in 2015/16 and R3 994 000 was collected in 2016/17, against R5 823 000 for the year under review.</w:t>
      </w:r>
    </w:p>
    <w:p w14:paraId="23465F9A" w14:textId="77777777" w:rsidR="00DF6837" w:rsidRPr="002E06CC" w:rsidRDefault="00DF6837" w:rsidP="002E06CC">
      <w:pPr>
        <w:autoSpaceDE w:val="0"/>
        <w:autoSpaceDN w:val="0"/>
        <w:adjustRightInd w:val="0"/>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 xml:space="preserve">Similar to the FY2016/17 Annual Report, the CCB plans to address the revenue challenge through </w:t>
      </w:r>
      <w:r w:rsidRPr="002E06CC">
        <w:rPr>
          <w:rFonts w:ascii="Times New Roman" w:hAnsi="Times New Roman" w:cs="Times New Roman"/>
          <w:i/>
          <w:sz w:val="24"/>
          <w:szCs w:val="24"/>
        </w:rPr>
        <w:t>inter alia</w:t>
      </w:r>
      <w:r w:rsidRPr="002E06CC">
        <w:rPr>
          <w:rFonts w:ascii="Times New Roman" w:hAnsi="Times New Roman" w:cs="Times New Roman"/>
          <w:sz w:val="24"/>
          <w:szCs w:val="24"/>
        </w:rPr>
        <w:t xml:space="preserve"> the roll-out of their Revenue Generation Strategy. They have opened a Gift Shop, started to promote the state-of-art Conference Centre to generate income, recruited a new restauranteur to improve turnover and will focus on high-yield events for the site. In the areas of administration, they will settle their human resource component. </w:t>
      </w:r>
    </w:p>
    <w:p w14:paraId="5DCE62FF" w14:textId="77777777" w:rsidR="00DF6837" w:rsidRPr="002E06CC" w:rsidRDefault="00DF6837" w:rsidP="002E06CC">
      <w:pPr>
        <w:autoSpaceDE w:val="0"/>
        <w:autoSpaceDN w:val="0"/>
        <w:adjustRightInd w:val="0"/>
        <w:spacing w:after="0" w:line="360" w:lineRule="auto"/>
        <w:rPr>
          <w:rFonts w:ascii="Times New Roman" w:eastAsia="Times New Roman" w:hAnsi="Times New Roman" w:cs="Times New Roman"/>
          <w:b/>
          <w:sz w:val="24"/>
          <w:szCs w:val="24"/>
          <w:lang w:eastAsia="en-ZA"/>
        </w:rPr>
      </w:pPr>
      <w:r w:rsidRPr="002E06CC">
        <w:rPr>
          <w:rFonts w:ascii="Times New Roman" w:eastAsia="Times New Roman" w:hAnsi="Times New Roman" w:cs="Times New Roman"/>
          <w:b/>
          <w:sz w:val="24"/>
          <w:szCs w:val="24"/>
          <w:lang w:eastAsia="en-ZA"/>
        </w:rPr>
        <w:t>4.2</w:t>
      </w:r>
      <w:r w:rsidRPr="002E06CC">
        <w:rPr>
          <w:rFonts w:ascii="Times New Roman" w:eastAsia="Times New Roman" w:hAnsi="Times New Roman" w:cs="Times New Roman"/>
          <w:b/>
          <w:sz w:val="24"/>
          <w:szCs w:val="24"/>
          <w:lang w:eastAsia="en-ZA"/>
        </w:rPr>
        <w:tab/>
        <w:t>Quarterly spending for 2017/18</w:t>
      </w:r>
    </w:p>
    <w:p w14:paraId="51B8B87D" w14:textId="77777777" w:rsidR="00DF6837" w:rsidRPr="002E06CC" w:rsidRDefault="00DF6837" w:rsidP="002E06CC">
      <w:pPr>
        <w:autoSpaceDE w:val="0"/>
        <w:autoSpaceDN w:val="0"/>
        <w:adjustRightInd w:val="0"/>
        <w:spacing w:after="0" w:line="360" w:lineRule="auto"/>
        <w:rPr>
          <w:rFonts w:ascii="Times New Roman" w:eastAsia="Times New Roman" w:hAnsi="Times New Roman" w:cs="Times New Roman"/>
          <w:b/>
          <w:sz w:val="24"/>
          <w:szCs w:val="24"/>
          <w:lang w:eastAsia="en-ZA"/>
        </w:rPr>
      </w:pPr>
    </w:p>
    <w:p w14:paraId="368A63CF" w14:textId="77777777" w:rsidR="00DF6837" w:rsidRPr="002E06CC" w:rsidRDefault="00DF6837" w:rsidP="002E06CC">
      <w:pPr>
        <w:autoSpaceDE w:val="0"/>
        <w:autoSpaceDN w:val="0"/>
        <w:adjustRightInd w:val="0"/>
        <w:spacing w:after="0" w:line="360" w:lineRule="auto"/>
        <w:rPr>
          <w:rFonts w:ascii="Times New Roman" w:eastAsia="Times New Roman" w:hAnsi="Times New Roman" w:cs="Times New Roman"/>
          <w:sz w:val="24"/>
          <w:szCs w:val="24"/>
          <w:lang w:eastAsia="en-ZA"/>
        </w:rPr>
      </w:pPr>
      <w:r w:rsidRPr="002E06CC">
        <w:rPr>
          <w:rFonts w:ascii="Times New Roman" w:eastAsia="Times New Roman" w:hAnsi="Times New Roman" w:cs="Times New Roman"/>
          <w:sz w:val="24"/>
          <w:szCs w:val="24"/>
          <w:lang w:eastAsia="en-ZA"/>
        </w:rPr>
        <w:t>The National Treasury does not include the entities in its quarterly analysis nor do the Committee review the performance of the entities on a quarterly basis.</w:t>
      </w:r>
    </w:p>
    <w:p w14:paraId="7623D237" w14:textId="77777777" w:rsidR="00DF6837" w:rsidRPr="002E06CC" w:rsidRDefault="00DF6837" w:rsidP="002E06CC">
      <w:pPr>
        <w:spacing w:line="360" w:lineRule="auto"/>
        <w:jc w:val="both"/>
        <w:rPr>
          <w:rFonts w:ascii="Times New Roman" w:hAnsi="Times New Roman" w:cs="Times New Roman"/>
          <w:b/>
          <w:sz w:val="24"/>
          <w:szCs w:val="24"/>
        </w:rPr>
      </w:pPr>
    </w:p>
    <w:p w14:paraId="574475E6" w14:textId="77777777" w:rsidR="00DF6837" w:rsidRPr="002E06CC" w:rsidRDefault="00DF6837"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4.3</w:t>
      </w:r>
      <w:r w:rsidRPr="002E06CC">
        <w:rPr>
          <w:rFonts w:ascii="Times New Roman" w:hAnsi="Times New Roman" w:cs="Times New Roman"/>
          <w:b/>
          <w:sz w:val="24"/>
          <w:szCs w:val="24"/>
        </w:rPr>
        <w:tab/>
        <w:t>Financial statements</w:t>
      </w:r>
    </w:p>
    <w:p w14:paraId="786BE460" w14:textId="77777777" w:rsidR="00DF6837" w:rsidRPr="002E06CC" w:rsidRDefault="00DF6837"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 xml:space="preserve">Irregular expenditure </w:t>
      </w:r>
    </w:p>
    <w:p w14:paraId="5E251F53" w14:textId="77777777" w:rsidR="00DF6837" w:rsidRPr="002E06CC" w:rsidRDefault="00DF6837" w:rsidP="002E06CC">
      <w:pPr>
        <w:autoSpaceDE w:val="0"/>
        <w:autoSpaceDN w:val="0"/>
        <w:adjustRightInd w:val="0"/>
        <w:spacing w:line="360" w:lineRule="auto"/>
        <w:jc w:val="both"/>
        <w:rPr>
          <w:rFonts w:ascii="Times New Roman" w:hAnsi="Times New Roman" w:cs="Times New Roman"/>
          <w:i/>
          <w:sz w:val="24"/>
          <w:szCs w:val="24"/>
        </w:rPr>
      </w:pPr>
      <w:r w:rsidRPr="002E06CC">
        <w:rPr>
          <w:rFonts w:ascii="Times New Roman" w:hAnsi="Times New Roman" w:cs="Times New Roman"/>
          <w:sz w:val="24"/>
          <w:szCs w:val="24"/>
        </w:rPr>
        <w:t>No Irregular expenditure has been listed for the FY 2017/18</w:t>
      </w:r>
      <w:r w:rsidR="00646E8F" w:rsidRPr="002E06CC">
        <w:rPr>
          <w:rFonts w:ascii="Times New Roman" w:hAnsi="Times New Roman" w:cs="Times New Roman"/>
          <w:sz w:val="24"/>
          <w:szCs w:val="24"/>
        </w:rPr>
        <w:t xml:space="preserve"> </w:t>
      </w:r>
      <w:r w:rsidRPr="002E06CC">
        <w:rPr>
          <w:rFonts w:ascii="Times New Roman" w:hAnsi="Times New Roman" w:cs="Times New Roman"/>
          <w:sz w:val="24"/>
          <w:szCs w:val="24"/>
        </w:rPr>
        <w:t xml:space="preserve">versus the R57 195 for FY2015/16 and FY2016/17 in R1.724 869.  </w:t>
      </w:r>
    </w:p>
    <w:p w14:paraId="512F9515" w14:textId="77777777" w:rsidR="00DF6837" w:rsidRPr="002E06CC" w:rsidRDefault="00DF6837"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Unauthorised Expenditure and Fruitless and Wasteful Expenditure</w:t>
      </w:r>
    </w:p>
    <w:p w14:paraId="29772FFB" w14:textId="77777777" w:rsidR="00DF6837" w:rsidRPr="002E06CC" w:rsidRDefault="00DF6837" w:rsidP="002E06CC">
      <w:pPr>
        <w:autoSpaceDE w:val="0"/>
        <w:autoSpaceDN w:val="0"/>
        <w:adjustRightInd w:val="0"/>
        <w:spacing w:line="360" w:lineRule="auto"/>
        <w:rPr>
          <w:rFonts w:ascii="Times New Roman" w:hAnsi="Times New Roman" w:cs="Times New Roman"/>
          <w:sz w:val="24"/>
          <w:szCs w:val="24"/>
        </w:rPr>
      </w:pPr>
      <w:r w:rsidRPr="002E06CC">
        <w:rPr>
          <w:rFonts w:ascii="Times New Roman" w:hAnsi="Times New Roman" w:cs="Times New Roman"/>
          <w:sz w:val="24"/>
          <w:szCs w:val="24"/>
        </w:rPr>
        <w:t>No unauthorised expenditure nor Fruitless and Wasteful Expenditure</w:t>
      </w:r>
      <w:r w:rsidRPr="002E06CC">
        <w:rPr>
          <w:rFonts w:ascii="Times New Roman" w:hAnsi="Times New Roman" w:cs="Times New Roman"/>
          <w:i/>
          <w:sz w:val="24"/>
          <w:szCs w:val="24"/>
        </w:rPr>
        <w:t xml:space="preserve"> </w:t>
      </w:r>
      <w:r w:rsidRPr="002E06CC">
        <w:rPr>
          <w:rFonts w:ascii="Times New Roman" w:hAnsi="Times New Roman" w:cs="Times New Roman"/>
          <w:sz w:val="24"/>
          <w:szCs w:val="24"/>
        </w:rPr>
        <w:t xml:space="preserve">were incurred during the year under review, nor in the previous financial year. </w:t>
      </w:r>
    </w:p>
    <w:p w14:paraId="5C78727E" w14:textId="77777777" w:rsidR="00DF6837" w:rsidRPr="002E06CC" w:rsidRDefault="00DF6837"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4.4</w:t>
      </w:r>
      <w:r w:rsidRPr="002E06CC">
        <w:rPr>
          <w:rFonts w:ascii="Times New Roman" w:hAnsi="Times New Roman" w:cs="Times New Roman"/>
          <w:b/>
          <w:sz w:val="24"/>
          <w:szCs w:val="24"/>
        </w:rPr>
        <w:tab/>
        <w:t xml:space="preserve">Findings of the Auditor-General of South Africa </w:t>
      </w:r>
    </w:p>
    <w:p w14:paraId="13CD4276" w14:textId="77777777" w:rsidR="00DF6837" w:rsidRPr="002E06CC" w:rsidRDefault="00DF6837" w:rsidP="002E06CC">
      <w:pPr>
        <w:autoSpaceDE w:val="0"/>
        <w:autoSpaceDN w:val="0"/>
        <w:adjustRightInd w:val="0"/>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 xml:space="preserve">The CCB received a </w:t>
      </w:r>
      <w:r w:rsidRPr="002E06CC">
        <w:rPr>
          <w:rFonts w:ascii="Times New Roman" w:hAnsi="Times New Roman" w:cs="Times New Roman"/>
          <w:b/>
          <w:sz w:val="24"/>
          <w:szCs w:val="24"/>
        </w:rPr>
        <w:t>clean audit opinion</w:t>
      </w:r>
      <w:r w:rsidRPr="002E06CC">
        <w:rPr>
          <w:rFonts w:ascii="Times New Roman" w:hAnsi="Times New Roman" w:cs="Times New Roman"/>
          <w:sz w:val="24"/>
          <w:szCs w:val="24"/>
        </w:rPr>
        <w:t xml:space="preserve"> from the Auditor-General for FY2016/17 and for FY2017/18.</w:t>
      </w:r>
    </w:p>
    <w:p w14:paraId="447B77EB" w14:textId="77777777" w:rsidR="00DF6837" w:rsidRPr="002E06CC" w:rsidRDefault="00DF6837" w:rsidP="002E06CC">
      <w:pPr>
        <w:autoSpaceDE w:val="0"/>
        <w:autoSpaceDN w:val="0"/>
        <w:adjustRightInd w:val="0"/>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4.4.1</w:t>
      </w:r>
      <w:r w:rsidRPr="002E06CC">
        <w:rPr>
          <w:rFonts w:ascii="Times New Roman" w:hAnsi="Times New Roman" w:cs="Times New Roman"/>
          <w:b/>
          <w:sz w:val="24"/>
          <w:szCs w:val="24"/>
        </w:rPr>
        <w:tab/>
        <w:t>Going Concern</w:t>
      </w:r>
    </w:p>
    <w:p w14:paraId="4FB43E0C" w14:textId="77777777" w:rsidR="00DF6837" w:rsidRPr="002E06CC" w:rsidRDefault="00DF6837" w:rsidP="002E06CC">
      <w:pPr>
        <w:autoSpaceDE w:val="0"/>
        <w:autoSpaceDN w:val="0"/>
        <w:adjustRightInd w:val="0"/>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The A-G refers to “</w:t>
      </w:r>
      <w:r w:rsidRPr="002E06CC">
        <w:rPr>
          <w:rFonts w:ascii="Times New Roman" w:hAnsi="Times New Roman" w:cs="Times New Roman"/>
          <w:i/>
          <w:sz w:val="24"/>
          <w:szCs w:val="24"/>
        </w:rPr>
        <w:t>Material uncertainty relating to going concern/ financial sustainability</w:t>
      </w:r>
      <w:r w:rsidRPr="002E06CC">
        <w:rPr>
          <w:rFonts w:ascii="Times New Roman" w:hAnsi="Times New Roman" w:cs="Times New Roman"/>
          <w:sz w:val="24"/>
          <w:szCs w:val="24"/>
        </w:rPr>
        <w:t>” stating that he draws attention to this because the financial statements indicate that the entity incurred a net loss of R 2 630 141 during the year ended 31 March 2018. The entity’s current liabilities exceeded its current assets by R 236 296. These events or conditions, indicate that a material uncertainty exists that may cast significant doubt on the entity’s ability to continue as a going concern.</w:t>
      </w:r>
    </w:p>
    <w:p w14:paraId="50BD3DBB" w14:textId="77777777" w:rsidR="00DF6837" w:rsidRPr="002E06CC" w:rsidRDefault="00DF6837" w:rsidP="002E06CC">
      <w:pPr>
        <w:autoSpaceDE w:val="0"/>
        <w:autoSpaceDN w:val="0"/>
        <w:adjustRightInd w:val="0"/>
        <w:spacing w:line="360" w:lineRule="auto"/>
        <w:jc w:val="both"/>
        <w:rPr>
          <w:rFonts w:ascii="Times New Roman" w:hAnsi="Times New Roman" w:cs="Times New Roman"/>
          <w:i/>
          <w:sz w:val="24"/>
          <w:szCs w:val="24"/>
        </w:rPr>
      </w:pPr>
      <w:r w:rsidRPr="002E06CC">
        <w:rPr>
          <w:rFonts w:ascii="Times New Roman" w:hAnsi="Times New Roman" w:cs="Times New Roman"/>
          <w:sz w:val="24"/>
          <w:szCs w:val="24"/>
        </w:rPr>
        <w:t xml:space="preserve">The CCB feels that it is economically viable and </w:t>
      </w:r>
      <w:r w:rsidRPr="002E06CC">
        <w:rPr>
          <w:rFonts w:ascii="Times New Roman" w:hAnsi="Times New Roman" w:cs="Times New Roman"/>
          <w:i/>
          <w:sz w:val="24"/>
          <w:szCs w:val="24"/>
        </w:rPr>
        <w:t xml:space="preserve">“confident that the organisation will remain a going concern in the foreseeable future. Our basis for this assertion is the </w:t>
      </w:r>
      <w:r w:rsidRPr="002E06CC">
        <w:rPr>
          <w:rFonts w:ascii="Times New Roman" w:hAnsi="Times New Roman" w:cs="Times New Roman"/>
          <w:b/>
          <w:i/>
          <w:sz w:val="24"/>
          <w:szCs w:val="24"/>
        </w:rPr>
        <w:t>time-tested formula</w:t>
      </w:r>
      <w:r w:rsidRPr="002E06CC">
        <w:rPr>
          <w:rFonts w:ascii="Times New Roman" w:hAnsi="Times New Roman" w:cs="Times New Roman"/>
          <w:i/>
          <w:sz w:val="24"/>
          <w:szCs w:val="24"/>
        </w:rPr>
        <w:t xml:space="preserve"> of reducing expenditure and increasing revenue to balance a relatively small annual budget of R7.85 million.”</w:t>
      </w:r>
    </w:p>
    <w:p w14:paraId="06F613F1" w14:textId="77777777" w:rsidR="00DF6837" w:rsidRPr="002E06CC" w:rsidRDefault="00DF6837" w:rsidP="002E06CC">
      <w:pPr>
        <w:autoSpaceDE w:val="0"/>
        <w:autoSpaceDN w:val="0"/>
        <w:adjustRightInd w:val="0"/>
        <w:spacing w:line="360" w:lineRule="auto"/>
        <w:jc w:val="both"/>
        <w:rPr>
          <w:rFonts w:ascii="Times New Roman" w:hAnsi="Times New Roman" w:cs="Times New Roman"/>
          <w:sz w:val="24"/>
          <w:szCs w:val="24"/>
        </w:rPr>
      </w:pPr>
      <w:r w:rsidRPr="002E06CC">
        <w:rPr>
          <w:rFonts w:ascii="Times New Roman" w:hAnsi="Times New Roman" w:cs="Times New Roman"/>
          <w:i/>
          <w:sz w:val="24"/>
          <w:szCs w:val="24"/>
        </w:rPr>
        <w:t>“The Board is aware of financial challenges that have a negative impact on the CCB’s ability to continue as a going concern. However, the Board believes that the CCB has access to adequate financial resources, through the intervention of the Ministry of Defence, to continue operations for the foreseeable future and accordingly the annual financial statements have been prepared on a going concern basis.”</w:t>
      </w:r>
      <w:r w:rsidRPr="002E06CC">
        <w:rPr>
          <w:rFonts w:ascii="Times New Roman" w:hAnsi="Times New Roman" w:cs="Times New Roman"/>
          <w:sz w:val="24"/>
          <w:szCs w:val="24"/>
        </w:rPr>
        <w:t xml:space="preserve"> </w:t>
      </w:r>
    </w:p>
    <w:p w14:paraId="2967B255" w14:textId="77777777" w:rsidR="00DF6837" w:rsidRPr="002E06CC" w:rsidRDefault="00DF6837" w:rsidP="002E06CC">
      <w:pPr>
        <w:autoSpaceDE w:val="0"/>
        <w:autoSpaceDN w:val="0"/>
        <w:adjustRightInd w:val="0"/>
        <w:spacing w:line="360" w:lineRule="auto"/>
        <w:jc w:val="both"/>
        <w:rPr>
          <w:rFonts w:ascii="Times New Roman" w:hAnsi="Times New Roman" w:cs="Times New Roman"/>
          <w:b/>
          <w:sz w:val="24"/>
          <w:szCs w:val="24"/>
        </w:rPr>
      </w:pPr>
      <w:r w:rsidRPr="002E06CC">
        <w:rPr>
          <w:rFonts w:ascii="Times New Roman" w:hAnsi="Times New Roman" w:cs="Times New Roman"/>
          <w:b/>
          <w:i/>
          <w:sz w:val="24"/>
          <w:szCs w:val="24"/>
        </w:rPr>
        <w:t>4.4.2</w:t>
      </w:r>
      <w:r w:rsidRPr="002E06CC">
        <w:rPr>
          <w:rFonts w:ascii="Times New Roman" w:hAnsi="Times New Roman" w:cs="Times New Roman"/>
          <w:b/>
          <w:i/>
          <w:sz w:val="24"/>
          <w:szCs w:val="24"/>
        </w:rPr>
        <w:tab/>
      </w:r>
      <w:r w:rsidRPr="002E06CC">
        <w:rPr>
          <w:rFonts w:ascii="Times New Roman" w:hAnsi="Times New Roman" w:cs="Times New Roman"/>
          <w:b/>
          <w:sz w:val="24"/>
          <w:szCs w:val="24"/>
        </w:rPr>
        <w:t>Emphasis of matter</w:t>
      </w:r>
    </w:p>
    <w:p w14:paraId="0A31400C" w14:textId="77777777" w:rsidR="00DF6837" w:rsidRPr="002E06CC" w:rsidRDefault="00DF6837" w:rsidP="002E06CC">
      <w:pPr>
        <w:autoSpaceDE w:val="0"/>
        <w:autoSpaceDN w:val="0"/>
        <w:adjustRightInd w:val="0"/>
        <w:spacing w:line="360" w:lineRule="auto"/>
        <w:rPr>
          <w:rFonts w:ascii="Times New Roman" w:hAnsi="Times New Roman" w:cs="Times New Roman"/>
          <w:sz w:val="24"/>
          <w:szCs w:val="24"/>
        </w:rPr>
      </w:pPr>
      <w:r w:rsidRPr="002E06CC">
        <w:rPr>
          <w:rFonts w:ascii="Times New Roman" w:hAnsi="Times New Roman" w:cs="Times New Roman"/>
          <w:sz w:val="24"/>
          <w:szCs w:val="24"/>
        </w:rPr>
        <w:t xml:space="preserve">The AGSA lists an </w:t>
      </w:r>
      <w:r w:rsidRPr="002E06CC">
        <w:rPr>
          <w:rFonts w:ascii="Times New Roman" w:hAnsi="Times New Roman" w:cs="Times New Roman"/>
          <w:i/>
          <w:sz w:val="24"/>
          <w:szCs w:val="24"/>
        </w:rPr>
        <w:t>Emphasis of matter</w:t>
      </w:r>
      <w:r w:rsidRPr="002E06CC">
        <w:rPr>
          <w:rFonts w:ascii="Times New Roman" w:hAnsi="Times New Roman" w:cs="Times New Roman"/>
          <w:sz w:val="24"/>
          <w:szCs w:val="24"/>
        </w:rPr>
        <w:t xml:space="preserve"> namely the Material losses /impairments – trade debtors. The A-G found that material losses of R 270 000 were incurred as a result of a write-off of irrecoverable trade debtors.</w:t>
      </w:r>
    </w:p>
    <w:p w14:paraId="1E72C5AF" w14:textId="77777777" w:rsidR="00DF6837" w:rsidRPr="002E06CC" w:rsidRDefault="00DF6837"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5.</w:t>
      </w:r>
      <w:r w:rsidRPr="002E06CC">
        <w:rPr>
          <w:rFonts w:ascii="Times New Roman" w:hAnsi="Times New Roman" w:cs="Times New Roman"/>
          <w:b/>
          <w:sz w:val="24"/>
          <w:szCs w:val="24"/>
        </w:rPr>
        <w:tab/>
        <w:t>OVERVIEW AND ASSESSMENT OF PROGRAMME PERFORMANCE</w:t>
      </w:r>
    </w:p>
    <w:p w14:paraId="34167C54" w14:textId="77777777" w:rsidR="00DF6837" w:rsidRPr="002E06CC" w:rsidRDefault="00DF6837" w:rsidP="002E06CC">
      <w:pPr>
        <w:spacing w:line="360" w:lineRule="auto"/>
        <w:jc w:val="both"/>
        <w:outlineLvl w:val="0"/>
        <w:rPr>
          <w:rFonts w:ascii="Times New Roman" w:eastAsia="Arial Unicode MS" w:hAnsi="Times New Roman" w:cs="Times New Roman"/>
          <w:b/>
          <w:sz w:val="24"/>
          <w:szCs w:val="24"/>
          <w:u w:color="000000"/>
          <w:lang w:val="en-US"/>
        </w:rPr>
      </w:pPr>
      <w:r w:rsidRPr="002E06CC">
        <w:rPr>
          <w:rFonts w:ascii="Times New Roman" w:eastAsia="Arial Unicode MS" w:hAnsi="Times New Roman" w:cs="Times New Roman"/>
          <w:b/>
          <w:sz w:val="24"/>
          <w:szCs w:val="24"/>
          <w:u w:color="000000"/>
          <w:lang w:val="en-US"/>
        </w:rPr>
        <w:t xml:space="preserve">Non-financial performance </w:t>
      </w:r>
    </w:p>
    <w:p w14:paraId="5DAC6D5E" w14:textId="77777777" w:rsidR="00DF6837" w:rsidRPr="002E06CC" w:rsidRDefault="00DF6837" w:rsidP="002E06CC">
      <w:pPr>
        <w:autoSpaceDE w:val="0"/>
        <w:autoSpaceDN w:val="0"/>
        <w:adjustRightInd w:val="0"/>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The Annual Report 2017/18 indicates that three (3) of the CCB’s 18 key performance indicators were missed as opposed to one in the previous financial year. 15 of the 18 targets were met against a spending of 99%.</w:t>
      </w:r>
    </w:p>
    <w:tbl>
      <w:tblPr>
        <w:tblStyle w:val="TableGrid"/>
        <w:tblW w:w="0" w:type="auto"/>
        <w:jc w:val="center"/>
        <w:shd w:val="clear" w:color="auto" w:fill="FFFFFF" w:themeFill="background1"/>
        <w:tblLook w:val="04A0" w:firstRow="1" w:lastRow="0" w:firstColumn="1" w:lastColumn="0" w:noHBand="0" w:noVBand="1"/>
      </w:tblPr>
      <w:tblGrid>
        <w:gridCol w:w="3114"/>
        <w:gridCol w:w="3114"/>
      </w:tblGrid>
      <w:tr w:rsidR="0012600B" w:rsidRPr="002E06CC" w14:paraId="1B1518D4" w14:textId="77777777" w:rsidTr="0012600B">
        <w:trPr>
          <w:jc w:val="center"/>
        </w:trPr>
        <w:tc>
          <w:tcPr>
            <w:tcW w:w="3114" w:type="dxa"/>
            <w:shd w:val="clear" w:color="auto" w:fill="auto"/>
          </w:tcPr>
          <w:p w14:paraId="3AEC9A99" w14:textId="77777777" w:rsidR="00DF6837" w:rsidRPr="002E06CC" w:rsidRDefault="00DF6837" w:rsidP="002E06CC">
            <w:pPr>
              <w:shd w:val="clear" w:color="auto" w:fill="5B9BD5" w:themeFill="accent1"/>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Total targets set</w:t>
            </w:r>
          </w:p>
        </w:tc>
        <w:tc>
          <w:tcPr>
            <w:tcW w:w="3114" w:type="dxa"/>
            <w:shd w:val="clear" w:color="auto" w:fill="FFFFFF" w:themeFill="background1"/>
          </w:tcPr>
          <w:p w14:paraId="21F3A531" w14:textId="77777777" w:rsidR="00DF6837" w:rsidRPr="002E06CC" w:rsidRDefault="00DF6837" w:rsidP="002E06CC">
            <w:pPr>
              <w:shd w:val="clear" w:color="auto" w:fill="FFC000" w:themeFill="accent4"/>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18</w:t>
            </w:r>
          </w:p>
        </w:tc>
      </w:tr>
      <w:tr w:rsidR="0012600B" w:rsidRPr="002E06CC" w14:paraId="6DC5FE3D" w14:textId="77777777" w:rsidTr="0012600B">
        <w:trPr>
          <w:jc w:val="center"/>
        </w:trPr>
        <w:tc>
          <w:tcPr>
            <w:tcW w:w="3114" w:type="dxa"/>
            <w:shd w:val="clear" w:color="auto" w:fill="auto"/>
          </w:tcPr>
          <w:p w14:paraId="13663032" w14:textId="77777777" w:rsidR="00DF6837" w:rsidRPr="002E06CC" w:rsidRDefault="00DF6837" w:rsidP="002E06CC">
            <w:pPr>
              <w:shd w:val="clear" w:color="auto" w:fill="5B9BD5" w:themeFill="accent1"/>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Targets achieved</w:t>
            </w:r>
          </w:p>
        </w:tc>
        <w:tc>
          <w:tcPr>
            <w:tcW w:w="3114" w:type="dxa"/>
            <w:shd w:val="clear" w:color="auto" w:fill="FFFFFF" w:themeFill="background1"/>
          </w:tcPr>
          <w:p w14:paraId="5253A3F6" w14:textId="77777777" w:rsidR="00DF6837" w:rsidRPr="002E06CC" w:rsidRDefault="00DF6837" w:rsidP="002E06CC">
            <w:pPr>
              <w:shd w:val="clear" w:color="auto" w:fill="FFC000" w:themeFill="accent4"/>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15/18</w:t>
            </w:r>
          </w:p>
        </w:tc>
      </w:tr>
      <w:tr w:rsidR="0012600B" w:rsidRPr="002E06CC" w14:paraId="309E5607" w14:textId="77777777" w:rsidTr="0012600B">
        <w:trPr>
          <w:jc w:val="center"/>
        </w:trPr>
        <w:tc>
          <w:tcPr>
            <w:tcW w:w="3114" w:type="dxa"/>
            <w:shd w:val="clear" w:color="auto" w:fill="auto"/>
          </w:tcPr>
          <w:p w14:paraId="5FB75D40" w14:textId="77777777" w:rsidR="00DF6837" w:rsidRPr="002E06CC" w:rsidRDefault="00DF6837" w:rsidP="002E06CC">
            <w:pPr>
              <w:shd w:val="clear" w:color="auto" w:fill="5B9BD5" w:themeFill="accent1"/>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 xml:space="preserve">Targets not achieved </w:t>
            </w:r>
          </w:p>
        </w:tc>
        <w:tc>
          <w:tcPr>
            <w:tcW w:w="3114" w:type="dxa"/>
            <w:shd w:val="clear" w:color="auto" w:fill="FFFFFF" w:themeFill="background1"/>
          </w:tcPr>
          <w:p w14:paraId="18813A17" w14:textId="77777777" w:rsidR="00DF6837" w:rsidRPr="002E06CC" w:rsidRDefault="00DF6837" w:rsidP="002E06CC">
            <w:pPr>
              <w:shd w:val="clear" w:color="auto" w:fill="FFC000" w:themeFill="accent4"/>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3/18</w:t>
            </w:r>
          </w:p>
        </w:tc>
      </w:tr>
      <w:tr w:rsidR="0012600B" w:rsidRPr="002E06CC" w14:paraId="1693FC7A" w14:textId="77777777" w:rsidTr="0012600B">
        <w:trPr>
          <w:jc w:val="center"/>
        </w:trPr>
        <w:tc>
          <w:tcPr>
            <w:tcW w:w="3114" w:type="dxa"/>
            <w:shd w:val="clear" w:color="auto" w:fill="auto"/>
          </w:tcPr>
          <w:p w14:paraId="455723EF" w14:textId="77777777" w:rsidR="00DF6837" w:rsidRPr="002E06CC" w:rsidRDefault="00DF6837" w:rsidP="002E06CC">
            <w:pPr>
              <w:shd w:val="clear" w:color="auto" w:fill="5B9BD5" w:themeFill="accent1"/>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Success rate</w:t>
            </w:r>
          </w:p>
        </w:tc>
        <w:tc>
          <w:tcPr>
            <w:tcW w:w="3114" w:type="dxa"/>
            <w:shd w:val="clear" w:color="auto" w:fill="FFFFFF" w:themeFill="background1"/>
          </w:tcPr>
          <w:p w14:paraId="3B0A560D" w14:textId="77777777" w:rsidR="00DF6837" w:rsidRPr="002E06CC" w:rsidRDefault="00DF6837" w:rsidP="002E06CC">
            <w:pPr>
              <w:shd w:val="clear" w:color="auto" w:fill="FFC000" w:themeFill="accent4"/>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83.33%</w:t>
            </w:r>
          </w:p>
        </w:tc>
      </w:tr>
      <w:tr w:rsidR="0012600B" w:rsidRPr="002E06CC" w14:paraId="77F70A4A" w14:textId="77777777" w:rsidTr="0012600B">
        <w:trPr>
          <w:jc w:val="center"/>
        </w:trPr>
        <w:tc>
          <w:tcPr>
            <w:tcW w:w="3114" w:type="dxa"/>
            <w:shd w:val="clear" w:color="auto" w:fill="auto"/>
          </w:tcPr>
          <w:p w14:paraId="4649A04C" w14:textId="77777777" w:rsidR="00DF6837" w:rsidRPr="002E06CC" w:rsidRDefault="00DF6837" w:rsidP="002E06CC">
            <w:pPr>
              <w:shd w:val="clear" w:color="auto" w:fill="5B9BD5" w:themeFill="accent1"/>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Total Budget Spent (%)</w:t>
            </w:r>
          </w:p>
        </w:tc>
        <w:tc>
          <w:tcPr>
            <w:tcW w:w="3114" w:type="dxa"/>
            <w:shd w:val="clear" w:color="auto" w:fill="FFFFFF" w:themeFill="background1"/>
          </w:tcPr>
          <w:p w14:paraId="1197647F"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99% (R8 453/R8 538)</w:t>
            </w:r>
          </w:p>
        </w:tc>
      </w:tr>
    </w:tbl>
    <w:p w14:paraId="5B52B4E3" w14:textId="77777777" w:rsidR="00DF6837" w:rsidRPr="002E06CC" w:rsidRDefault="00DF6837" w:rsidP="002E06CC">
      <w:pPr>
        <w:autoSpaceDE w:val="0"/>
        <w:autoSpaceDN w:val="0"/>
        <w:adjustRightInd w:val="0"/>
        <w:spacing w:line="360" w:lineRule="auto"/>
        <w:jc w:val="center"/>
        <w:rPr>
          <w:rFonts w:ascii="Times New Roman" w:hAnsi="Times New Roman" w:cs="Times New Roman"/>
          <w:sz w:val="24"/>
          <w:szCs w:val="24"/>
        </w:rPr>
      </w:pPr>
    </w:p>
    <w:p w14:paraId="0EF259FC" w14:textId="77777777" w:rsidR="00DF6837" w:rsidRPr="002E06CC" w:rsidRDefault="00DF6837" w:rsidP="002E06CC">
      <w:pPr>
        <w:autoSpaceDE w:val="0"/>
        <w:autoSpaceDN w:val="0"/>
        <w:adjustRightInd w:val="0"/>
        <w:spacing w:line="360" w:lineRule="auto"/>
        <w:jc w:val="both"/>
        <w:rPr>
          <w:rFonts w:ascii="Times New Roman" w:hAnsi="Times New Roman" w:cs="Times New Roman"/>
          <w:b/>
          <w:i/>
          <w:iCs/>
          <w:sz w:val="24"/>
          <w:szCs w:val="24"/>
        </w:rPr>
      </w:pPr>
      <w:r w:rsidRPr="002E06CC">
        <w:rPr>
          <w:rFonts w:ascii="Times New Roman" w:hAnsi="Times New Roman" w:cs="Times New Roman"/>
          <w:b/>
          <w:i/>
          <w:iCs/>
          <w:sz w:val="24"/>
          <w:szCs w:val="24"/>
        </w:rPr>
        <w:t>5.1</w:t>
      </w:r>
      <w:r w:rsidRPr="002E06CC">
        <w:rPr>
          <w:rFonts w:ascii="Times New Roman" w:hAnsi="Times New Roman" w:cs="Times New Roman"/>
          <w:b/>
          <w:i/>
          <w:iCs/>
          <w:sz w:val="24"/>
          <w:szCs w:val="24"/>
        </w:rPr>
        <w:tab/>
        <w:t>Programme 1: Administration and Good Corporate Governance</w:t>
      </w:r>
    </w:p>
    <w:p w14:paraId="0272D325" w14:textId="77777777" w:rsidR="00DF6837" w:rsidRPr="002E06CC" w:rsidRDefault="00DF6837" w:rsidP="002E06CC">
      <w:pPr>
        <w:autoSpaceDE w:val="0"/>
        <w:autoSpaceDN w:val="0"/>
        <w:adjustRightInd w:val="0"/>
        <w:spacing w:line="360" w:lineRule="auto"/>
        <w:jc w:val="both"/>
        <w:rPr>
          <w:rFonts w:ascii="Times New Roman" w:hAnsi="Times New Roman" w:cs="Times New Roman"/>
          <w:sz w:val="24"/>
          <w:szCs w:val="24"/>
        </w:rPr>
      </w:pPr>
      <w:r w:rsidRPr="002E06CC">
        <w:rPr>
          <w:rFonts w:ascii="Times New Roman" w:hAnsi="Times New Roman" w:cs="Times New Roman"/>
          <w:bCs/>
          <w:sz w:val="24"/>
          <w:szCs w:val="24"/>
        </w:rPr>
        <w:t>All four APP targets were met,</w:t>
      </w:r>
      <w:r w:rsidRPr="002E06CC">
        <w:rPr>
          <w:rFonts w:ascii="Times New Roman" w:hAnsi="Times New Roman" w:cs="Times New Roman"/>
          <w:sz w:val="24"/>
          <w:szCs w:val="24"/>
        </w:rPr>
        <w:t xml:space="preserve"> against overspending of R118 000 versus R1 373 000 on this programme in the previous financial year. </w:t>
      </w:r>
      <w:r w:rsidRPr="002E06CC">
        <w:rPr>
          <w:rFonts w:ascii="Times New Roman" w:hAnsi="Times New Roman" w:cs="Times New Roman"/>
          <w:bCs/>
          <w:sz w:val="24"/>
          <w:szCs w:val="24"/>
        </w:rPr>
        <w:t xml:space="preserve">All four KPI-targets </w:t>
      </w:r>
      <w:r w:rsidRPr="002E06CC">
        <w:rPr>
          <w:rFonts w:ascii="Times New Roman" w:hAnsi="Times New Roman" w:cs="Times New Roman"/>
          <w:sz w:val="24"/>
          <w:szCs w:val="24"/>
        </w:rPr>
        <w:t xml:space="preserve">dealing with the operations of the Board, Board sub-committees and general administration, were met. The Board reviewed and approved ICT policies. </w:t>
      </w:r>
    </w:p>
    <w:tbl>
      <w:tblPr>
        <w:tblStyle w:val="TableGrid"/>
        <w:tblW w:w="0" w:type="auto"/>
        <w:jc w:val="center"/>
        <w:tblLook w:val="04A0" w:firstRow="1" w:lastRow="0" w:firstColumn="1" w:lastColumn="0" w:noHBand="0" w:noVBand="1"/>
      </w:tblPr>
      <w:tblGrid>
        <w:gridCol w:w="3114"/>
        <w:gridCol w:w="3114"/>
      </w:tblGrid>
      <w:tr w:rsidR="00DF6837" w:rsidRPr="002E06CC" w14:paraId="3C13C1F9" w14:textId="77777777" w:rsidTr="00B62A65">
        <w:trPr>
          <w:jc w:val="center"/>
        </w:trPr>
        <w:tc>
          <w:tcPr>
            <w:tcW w:w="3114" w:type="dxa"/>
            <w:shd w:val="clear" w:color="auto" w:fill="D0CECE" w:themeFill="background2" w:themeFillShade="E6"/>
          </w:tcPr>
          <w:p w14:paraId="0A1AE792" w14:textId="77777777" w:rsidR="00DF6837" w:rsidRPr="002E06CC" w:rsidRDefault="00DF6837" w:rsidP="002E06CC">
            <w:pPr>
              <w:shd w:val="clear" w:color="auto" w:fill="5B9BD5" w:themeFill="accent1"/>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 xml:space="preserve">Programme 1 targets </w:t>
            </w:r>
          </w:p>
        </w:tc>
        <w:tc>
          <w:tcPr>
            <w:tcW w:w="3114" w:type="dxa"/>
            <w:shd w:val="clear" w:color="auto" w:fill="D0CECE" w:themeFill="background2" w:themeFillShade="E6"/>
          </w:tcPr>
          <w:p w14:paraId="45327733" w14:textId="77777777" w:rsidR="00DF6837" w:rsidRPr="002E06CC" w:rsidRDefault="00DF6837" w:rsidP="002E06CC">
            <w:pPr>
              <w:shd w:val="clear" w:color="auto" w:fill="FFC000" w:themeFill="accent4"/>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4</w:t>
            </w:r>
          </w:p>
        </w:tc>
      </w:tr>
      <w:tr w:rsidR="00DF6837" w:rsidRPr="002E06CC" w14:paraId="1D5F6006" w14:textId="77777777" w:rsidTr="00B62A65">
        <w:trPr>
          <w:jc w:val="center"/>
        </w:trPr>
        <w:tc>
          <w:tcPr>
            <w:tcW w:w="3114" w:type="dxa"/>
            <w:shd w:val="clear" w:color="auto" w:fill="D0CECE" w:themeFill="background2" w:themeFillShade="E6"/>
          </w:tcPr>
          <w:p w14:paraId="5D0551EF" w14:textId="77777777" w:rsidR="00DF6837" w:rsidRPr="002E06CC" w:rsidRDefault="00DF6837" w:rsidP="002E06CC">
            <w:pPr>
              <w:shd w:val="clear" w:color="auto" w:fill="5B9BD5" w:themeFill="accent1"/>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Targets achieved</w:t>
            </w:r>
          </w:p>
        </w:tc>
        <w:tc>
          <w:tcPr>
            <w:tcW w:w="3114" w:type="dxa"/>
            <w:shd w:val="clear" w:color="auto" w:fill="D0CECE" w:themeFill="background2" w:themeFillShade="E6"/>
          </w:tcPr>
          <w:p w14:paraId="30252DEB" w14:textId="77777777" w:rsidR="00DF6837" w:rsidRPr="002E06CC" w:rsidRDefault="00DF6837" w:rsidP="002E06CC">
            <w:pPr>
              <w:shd w:val="clear" w:color="auto" w:fill="FFC000" w:themeFill="accent4"/>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4/4</w:t>
            </w:r>
          </w:p>
        </w:tc>
      </w:tr>
      <w:tr w:rsidR="00DF6837" w:rsidRPr="002E06CC" w14:paraId="45FBE327" w14:textId="77777777" w:rsidTr="00B62A65">
        <w:trPr>
          <w:jc w:val="center"/>
        </w:trPr>
        <w:tc>
          <w:tcPr>
            <w:tcW w:w="3114" w:type="dxa"/>
            <w:shd w:val="clear" w:color="auto" w:fill="D0CECE" w:themeFill="background2" w:themeFillShade="E6"/>
          </w:tcPr>
          <w:p w14:paraId="6EF37CE0" w14:textId="77777777" w:rsidR="00DF6837" w:rsidRPr="002E06CC" w:rsidRDefault="00DF6837" w:rsidP="002E06CC">
            <w:pPr>
              <w:shd w:val="clear" w:color="auto" w:fill="5B9BD5" w:themeFill="accent1"/>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 xml:space="preserve">Targets not achieved </w:t>
            </w:r>
          </w:p>
        </w:tc>
        <w:tc>
          <w:tcPr>
            <w:tcW w:w="3114" w:type="dxa"/>
            <w:shd w:val="clear" w:color="auto" w:fill="D0CECE" w:themeFill="background2" w:themeFillShade="E6"/>
          </w:tcPr>
          <w:p w14:paraId="0E0A8E25" w14:textId="77777777" w:rsidR="00DF6837" w:rsidRPr="002E06CC" w:rsidRDefault="00DF6837" w:rsidP="002E06CC">
            <w:pPr>
              <w:shd w:val="clear" w:color="auto" w:fill="FFC000" w:themeFill="accent4"/>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0/4</w:t>
            </w:r>
          </w:p>
        </w:tc>
      </w:tr>
      <w:tr w:rsidR="00DF6837" w:rsidRPr="002E06CC" w14:paraId="66C482CA" w14:textId="77777777" w:rsidTr="00B62A65">
        <w:trPr>
          <w:jc w:val="center"/>
        </w:trPr>
        <w:tc>
          <w:tcPr>
            <w:tcW w:w="3114" w:type="dxa"/>
            <w:tcBorders>
              <w:bottom w:val="single" w:sz="4" w:space="0" w:color="auto"/>
            </w:tcBorders>
            <w:shd w:val="clear" w:color="auto" w:fill="D0CECE" w:themeFill="background2" w:themeFillShade="E6"/>
          </w:tcPr>
          <w:p w14:paraId="6B463478" w14:textId="77777777" w:rsidR="00DF6837" w:rsidRPr="002E06CC" w:rsidRDefault="00DF6837" w:rsidP="002E06CC">
            <w:pPr>
              <w:shd w:val="clear" w:color="auto" w:fill="5B9BD5" w:themeFill="accent1"/>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Success rate</w:t>
            </w:r>
          </w:p>
        </w:tc>
        <w:tc>
          <w:tcPr>
            <w:tcW w:w="3114" w:type="dxa"/>
            <w:tcBorders>
              <w:bottom w:val="single" w:sz="4" w:space="0" w:color="auto"/>
            </w:tcBorders>
            <w:shd w:val="clear" w:color="auto" w:fill="D0CECE" w:themeFill="background2" w:themeFillShade="E6"/>
          </w:tcPr>
          <w:p w14:paraId="7F57CF9C" w14:textId="77777777" w:rsidR="00DF6837" w:rsidRPr="002E06CC" w:rsidRDefault="00DF6837" w:rsidP="002E06CC">
            <w:pPr>
              <w:shd w:val="clear" w:color="auto" w:fill="FFC000" w:themeFill="accent4"/>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100%</w:t>
            </w:r>
          </w:p>
        </w:tc>
      </w:tr>
      <w:tr w:rsidR="00DF6837" w:rsidRPr="002E06CC" w14:paraId="4B7A1AA2" w14:textId="77777777" w:rsidTr="00B62A65">
        <w:trPr>
          <w:jc w:val="center"/>
        </w:trPr>
        <w:tc>
          <w:tcPr>
            <w:tcW w:w="311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DA679C" w14:textId="77777777" w:rsidR="00DF6837" w:rsidRPr="002E06CC" w:rsidRDefault="00DF6837" w:rsidP="002E06CC">
            <w:pPr>
              <w:shd w:val="clear" w:color="auto" w:fill="5B9BD5" w:themeFill="accent1"/>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Programme Budget Spent (%)</w:t>
            </w:r>
          </w:p>
        </w:tc>
        <w:tc>
          <w:tcPr>
            <w:tcW w:w="3114" w:type="dxa"/>
            <w:tcBorders>
              <w:top w:val="single" w:sz="4" w:space="0" w:color="auto"/>
              <w:left w:val="single" w:sz="4" w:space="0" w:color="auto"/>
              <w:bottom w:val="single" w:sz="4" w:space="0" w:color="auto"/>
            </w:tcBorders>
            <w:shd w:val="clear" w:color="auto" w:fill="D0CECE" w:themeFill="background2" w:themeFillShade="E6"/>
          </w:tcPr>
          <w:p w14:paraId="24C5988D"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98.46% (R7 565/R7 683)</w:t>
            </w:r>
          </w:p>
        </w:tc>
      </w:tr>
    </w:tbl>
    <w:p w14:paraId="265CA8A5" w14:textId="77777777" w:rsidR="00DF6837" w:rsidRPr="002E06CC" w:rsidRDefault="00DF6837" w:rsidP="002E06CC">
      <w:pPr>
        <w:autoSpaceDE w:val="0"/>
        <w:autoSpaceDN w:val="0"/>
        <w:adjustRightInd w:val="0"/>
        <w:spacing w:line="360" w:lineRule="auto"/>
        <w:jc w:val="both"/>
        <w:rPr>
          <w:rFonts w:ascii="Times New Roman" w:hAnsi="Times New Roman" w:cs="Times New Roman"/>
          <w:b/>
          <w:i/>
          <w:iCs/>
          <w:sz w:val="24"/>
          <w:szCs w:val="24"/>
        </w:rPr>
      </w:pPr>
    </w:p>
    <w:p w14:paraId="4BBE9C14" w14:textId="77777777" w:rsidR="00DF6837" w:rsidRPr="002E06CC" w:rsidRDefault="00DF6837" w:rsidP="002E06CC">
      <w:pPr>
        <w:autoSpaceDE w:val="0"/>
        <w:autoSpaceDN w:val="0"/>
        <w:adjustRightInd w:val="0"/>
        <w:spacing w:line="360" w:lineRule="auto"/>
        <w:jc w:val="both"/>
        <w:rPr>
          <w:rFonts w:ascii="Times New Roman" w:hAnsi="Times New Roman" w:cs="Times New Roman"/>
          <w:b/>
          <w:i/>
          <w:iCs/>
          <w:sz w:val="24"/>
          <w:szCs w:val="24"/>
        </w:rPr>
      </w:pPr>
      <w:r w:rsidRPr="002E06CC">
        <w:rPr>
          <w:rFonts w:ascii="Times New Roman" w:hAnsi="Times New Roman" w:cs="Times New Roman"/>
          <w:b/>
          <w:i/>
          <w:iCs/>
          <w:sz w:val="24"/>
          <w:szCs w:val="24"/>
        </w:rPr>
        <w:t>5.2</w:t>
      </w:r>
      <w:r w:rsidRPr="002E06CC">
        <w:rPr>
          <w:rFonts w:ascii="Times New Roman" w:hAnsi="Times New Roman" w:cs="Times New Roman"/>
          <w:b/>
          <w:i/>
          <w:iCs/>
          <w:sz w:val="24"/>
          <w:szCs w:val="24"/>
        </w:rPr>
        <w:tab/>
        <w:t>Programme 2: Preservation, Interpretation and Showcasing of the History of the Castle</w:t>
      </w:r>
    </w:p>
    <w:p w14:paraId="6A7698CF" w14:textId="77777777" w:rsidR="00DF6837" w:rsidRPr="002E06CC" w:rsidRDefault="00DF6837" w:rsidP="002E06CC">
      <w:pPr>
        <w:autoSpaceDE w:val="0"/>
        <w:autoSpaceDN w:val="0"/>
        <w:adjustRightInd w:val="0"/>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One of the targets was missed namely “</w:t>
      </w:r>
      <w:r w:rsidRPr="002E06CC">
        <w:rPr>
          <w:rFonts w:ascii="Times New Roman" w:hAnsi="Times New Roman" w:cs="Times New Roman"/>
          <w:i/>
          <w:sz w:val="24"/>
          <w:szCs w:val="24"/>
        </w:rPr>
        <w:t>Annual increase in the number of tangible heritage projects implemented at the CGH</w:t>
      </w:r>
      <w:r w:rsidRPr="002E06CC">
        <w:rPr>
          <w:rFonts w:ascii="Times New Roman" w:hAnsi="Times New Roman" w:cs="Times New Roman"/>
          <w:sz w:val="24"/>
          <w:szCs w:val="24"/>
        </w:rPr>
        <w:t xml:space="preserve">” against overspending of R42 00 versus an underspending of R109 000 in the previous financial year. </w:t>
      </w:r>
    </w:p>
    <w:tbl>
      <w:tblPr>
        <w:tblStyle w:val="TableGrid"/>
        <w:tblW w:w="0" w:type="auto"/>
        <w:jc w:val="center"/>
        <w:tblLook w:val="04A0" w:firstRow="1" w:lastRow="0" w:firstColumn="1" w:lastColumn="0" w:noHBand="0" w:noVBand="1"/>
      </w:tblPr>
      <w:tblGrid>
        <w:gridCol w:w="3114"/>
        <w:gridCol w:w="3544"/>
      </w:tblGrid>
      <w:tr w:rsidR="00DF6837" w:rsidRPr="002E06CC" w14:paraId="5F225274" w14:textId="77777777" w:rsidTr="00B62A65">
        <w:trPr>
          <w:jc w:val="center"/>
        </w:trPr>
        <w:tc>
          <w:tcPr>
            <w:tcW w:w="3114" w:type="dxa"/>
            <w:shd w:val="clear" w:color="auto" w:fill="D0CECE" w:themeFill="background2" w:themeFillShade="E6"/>
          </w:tcPr>
          <w:p w14:paraId="62D12C77" w14:textId="77777777" w:rsidR="00DF6837" w:rsidRPr="002E06CC" w:rsidRDefault="00DF6837" w:rsidP="002E06CC">
            <w:pPr>
              <w:shd w:val="clear" w:color="auto" w:fill="5B9BD5" w:themeFill="accent1"/>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 xml:space="preserve">Programme 2 targets </w:t>
            </w:r>
          </w:p>
        </w:tc>
        <w:tc>
          <w:tcPr>
            <w:tcW w:w="3544" w:type="dxa"/>
            <w:shd w:val="clear" w:color="auto" w:fill="D0CECE" w:themeFill="background2" w:themeFillShade="E6"/>
          </w:tcPr>
          <w:p w14:paraId="0DA3C752" w14:textId="77777777" w:rsidR="00DF6837" w:rsidRPr="002E06CC" w:rsidRDefault="00DF6837" w:rsidP="002E06CC">
            <w:pPr>
              <w:shd w:val="clear" w:color="auto" w:fill="FFC000" w:themeFill="accent4"/>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4</w:t>
            </w:r>
          </w:p>
        </w:tc>
      </w:tr>
      <w:tr w:rsidR="00DF6837" w:rsidRPr="002E06CC" w14:paraId="7AE46080" w14:textId="77777777" w:rsidTr="00B62A65">
        <w:trPr>
          <w:jc w:val="center"/>
        </w:trPr>
        <w:tc>
          <w:tcPr>
            <w:tcW w:w="3114" w:type="dxa"/>
            <w:shd w:val="clear" w:color="auto" w:fill="D0CECE" w:themeFill="background2" w:themeFillShade="E6"/>
          </w:tcPr>
          <w:p w14:paraId="42C218C9" w14:textId="77777777" w:rsidR="00DF6837" w:rsidRPr="002E06CC" w:rsidRDefault="00DF6837" w:rsidP="002E06CC">
            <w:pPr>
              <w:shd w:val="clear" w:color="auto" w:fill="5B9BD5" w:themeFill="accent1"/>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Targets achieved</w:t>
            </w:r>
          </w:p>
        </w:tc>
        <w:tc>
          <w:tcPr>
            <w:tcW w:w="3544" w:type="dxa"/>
            <w:shd w:val="clear" w:color="auto" w:fill="D0CECE" w:themeFill="background2" w:themeFillShade="E6"/>
          </w:tcPr>
          <w:p w14:paraId="2B3DBF65" w14:textId="77777777" w:rsidR="00DF6837" w:rsidRPr="002E06CC" w:rsidRDefault="00DF6837" w:rsidP="002E06CC">
            <w:pPr>
              <w:shd w:val="clear" w:color="auto" w:fill="FFC000" w:themeFill="accent4"/>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3/4</w:t>
            </w:r>
          </w:p>
        </w:tc>
      </w:tr>
      <w:tr w:rsidR="00DF6837" w:rsidRPr="002E06CC" w14:paraId="6F404BC3" w14:textId="77777777" w:rsidTr="00B62A65">
        <w:trPr>
          <w:jc w:val="center"/>
        </w:trPr>
        <w:tc>
          <w:tcPr>
            <w:tcW w:w="3114" w:type="dxa"/>
            <w:shd w:val="clear" w:color="auto" w:fill="D0CECE" w:themeFill="background2" w:themeFillShade="E6"/>
          </w:tcPr>
          <w:p w14:paraId="26571466" w14:textId="77777777" w:rsidR="00DF6837" w:rsidRPr="002E06CC" w:rsidRDefault="00DF6837" w:rsidP="002E06CC">
            <w:pPr>
              <w:shd w:val="clear" w:color="auto" w:fill="5B9BD5" w:themeFill="accent1"/>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 xml:space="preserve">Targets not achieved </w:t>
            </w:r>
          </w:p>
        </w:tc>
        <w:tc>
          <w:tcPr>
            <w:tcW w:w="3544" w:type="dxa"/>
            <w:shd w:val="clear" w:color="auto" w:fill="D0CECE" w:themeFill="background2" w:themeFillShade="E6"/>
          </w:tcPr>
          <w:p w14:paraId="75B6574E" w14:textId="77777777" w:rsidR="00DF6837" w:rsidRPr="002E06CC" w:rsidRDefault="00DF6837" w:rsidP="002E06CC">
            <w:pPr>
              <w:shd w:val="clear" w:color="auto" w:fill="FFC000" w:themeFill="accent4"/>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1/4</w:t>
            </w:r>
          </w:p>
        </w:tc>
      </w:tr>
      <w:tr w:rsidR="00DF6837" w:rsidRPr="002E06CC" w14:paraId="5EA5298E" w14:textId="77777777" w:rsidTr="00B62A65">
        <w:trPr>
          <w:jc w:val="center"/>
        </w:trPr>
        <w:tc>
          <w:tcPr>
            <w:tcW w:w="3114" w:type="dxa"/>
            <w:tcBorders>
              <w:bottom w:val="single" w:sz="4" w:space="0" w:color="auto"/>
            </w:tcBorders>
            <w:shd w:val="clear" w:color="auto" w:fill="D0CECE" w:themeFill="background2" w:themeFillShade="E6"/>
          </w:tcPr>
          <w:p w14:paraId="10A75E92" w14:textId="77777777" w:rsidR="00DF6837" w:rsidRPr="002E06CC" w:rsidRDefault="00DF6837" w:rsidP="002E06CC">
            <w:pPr>
              <w:shd w:val="clear" w:color="auto" w:fill="5B9BD5" w:themeFill="accent1"/>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Success rate</w:t>
            </w:r>
          </w:p>
        </w:tc>
        <w:tc>
          <w:tcPr>
            <w:tcW w:w="3544" w:type="dxa"/>
            <w:tcBorders>
              <w:bottom w:val="single" w:sz="4" w:space="0" w:color="auto"/>
            </w:tcBorders>
            <w:shd w:val="clear" w:color="auto" w:fill="D0CECE" w:themeFill="background2" w:themeFillShade="E6"/>
          </w:tcPr>
          <w:p w14:paraId="7FE3BBB6" w14:textId="77777777" w:rsidR="00DF6837" w:rsidRPr="002E06CC" w:rsidRDefault="00DF6837" w:rsidP="002E06CC">
            <w:pPr>
              <w:shd w:val="clear" w:color="auto" w:fill="FFC000" w:themeFill="accent4"/>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75%</w:t>
            </w:r>
          </w:p>
        </w:tc>
      </w:tr>
      <w:tr w:rsidR="00DF6837" w:rsidRPr="002E06CC" w14:paraId="6264FA26" w14:textId="77777777" w:rsidTr="00B62A65">
        <w:trPr>
          <w:jc w:val="center"/>
        </w:trPr>
        <w:tc>
          <w:tcPr>
            <w:tcW w:w="311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3810EB" w14:textId="77777777" w:rsidR="00DF6837" w:rsidRPr="002E06CC" w:rsidRDefault="00DF6837" w:rsidP="002E06CC">
            <w:pPr>
              <w:shd w:val="clear" w:color="auto" w:fill="5B9BD5" w:themeFill="accent1"/>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Programme Budget Spent (%)</w:t>
            </w:r>
          </w:p>
        </w:tc>
        <w:tc>
          <w:tcPr>
            <w:tcW w:w="3544" w:type="dxa"/>
            <w:tcBorders>
              <w:top w:val="single" w:sz="4" w:space="0" w:color="auto"/>
              <w:left w:val="single" w:sz="4" w:space="0" w:color="auto"/>
              <w:bottom w:val="single" w:sz="4" w:space="0" w:color="auto"/>
            </w:tcBorders>
            <w:shd w:val="clear" w:color="auto" w:fill="D0CECE" w:themeFill="background2" w:themeFillShade="E6"/>
          </w:tcPr>
          <w:p w14:paraId="5EEDC32A"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107.95% (R570 000/R528 000)</w:t>
            </w:r>
          </w:p>
        </w:tc>
      </w:tr>
    </w:tbl>
    <w:p w14:paraId="56DD6B94" w14:textId="77777777" w:rsidR="00DF6837" w:rsidRPr="002E06CC" w:rsidRDefault="00DF6837" w:rsidP="002E06CC">
      <w:pPr>
        <w:autoSpaceDE w:val="0"/>
        <w:autoSpaceDN w:val="0"/>
        <w:adjustRightInd w:val="0"/>
        <w:spacing w:line="360" w:lineRule="auto"/>
        <w:jc w:val="both"/>
        <w:rPr>
          <w:rFonts w:ascii="Times New Roman" w:hAnsi="Times New Roman" w:cs="Times New Roman"/>
          <w:b/>
          <w:i/>
          <w:sz w:val="24"/>
          <w:szCs w:val="24"/>
        </w:rPr>
      </w:pPr>
    </w:p>
    <w:p w14:paraId="0774FC90" w14:textId="77777777" w:rsidR="00DF6837" w:rsidRPr="002E06CC" w:rsidRDefault="00DF6837" w:rsidP="002E06CC">
      <w:pPr>
        <w:autoSpaceDE w:val="0"/>
        <w:autoSpaceDN w:val="0"/>
        <w:adjustRightInd w:val="0"/>
        <w:spacing w:line="360" w:lineRule="auto"/>
        <w:jc w:val="both"/>
        <w:rPr>
          <w:rFonts w:ascii="Times New Roman" w:hAnsi="Times New Roman" w:cs="Times New Roman"/>
          <w:i/>
          <w:iCs/>
          <w:sz w:val="24"/>
          <w:szCs w:val="24"/>
        </w:rPr>
      </w:pPr>
      <w:r w:rsidRPr="002E06CC">
        <w:rPr>
          <w:rFonts w:ascii="Times New Roman" w:hAnsi="Times New Roman" w:cs="Times New Roman"/>
          <w:b/>
          <w:i/>
          <w:sz w:val="24"/>
          <w:szCs w:val="24"/>
        </w:rPr>
        <w:t>5.3</w:t>
      </w:r>
      <w:r w:rsidRPr="002E06CC">
        <w:rPr>
          <w:rFonts w:ascii="Times New Roman" w:hAnsi="Times New Roman" w:cs="Times New Roman"/>
          <w:b/>
          <w:i/>
          <w:sz w:val="24"/>
          <w:szCs w:val="24"/>
        </w:rPr>
        <w:tab/>
        <w:t xml:space="preserve">Programme 3: </w:t>
      </w:r>
      <w:r w:rsidRPr="002E06CC">
        <w:rPr>
          <w:rFonts w:ascii="Times New Roman" w:hAnsi="Times New Roman" w:cs="Times New Roman"/>
          <w:b/>
          <w:i/>
          <w:iCs/>
          <w:sz w:val="24"/>
          <w:szCs w:val="24"/>
        </w:rPr>
        <w:t>Maximising the Tourist Potential</w:t>
      </w:r>
    </w:p>
    <w:p w14:paraId="2E09D417" w14:textId="77777777" w:rsidR="00DF6837" w:rsidRPr="002E06CC" w:rsidRDefault="00DF6837" w:rsidP="002E06CC">
      <w:pPr>
        <w:autoSpaceDE w:val="0"/>
        <w:autoSpaceDN w:val="0"/>
        <w:adjustRightInd w:val="0"/>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 xml:space="preserve">Five of the six APP targets were met, </w:t>
      </w:r>
      <w:r w:rsidRPr="002E06CC">
        <w:rPr>
          <w:rFonts w:ascii="Times New Roman" w:hAnsi="Times New Roman" w:cs="Times New Roman"/>
          <w:bCs/>
          <w:sz w:val="24"/>
          <w:szCs w:val="24"/>
        </w:rPr>
        <w:t>a success rate of 83.33 %</w:t>
      </w:r>
      <w:r w:rsidRPr="002E06CC">
        <w:rPr>
          <w:rFonts w:ascii="Times New Roman" w:hAnsi="Times New Roman" w:cs="Times New Roman"/>
          <w:sz w:val="24"/>
          <w:szCs w:val="24"/>
        </w:rPr>
        <w:t xml:space="preserve">, against underspending of R24 000 versus an underspending of R11 000 in the previous financial year. </w:t>
      </w:r>
    </w:p>
    <w:tbl>
      <w:tblPr>
        <w:tblStyle w:val="TableGrid"/>
        <w:tblW w:w="0" w:type="auto"/>
        <w:jc w:val="center"/>
        <w:tblLook w:val="04A0" w:firstRow="1" w:lastRow="0" w:firstColumn="1" w:lastColumn="0" w:noHBand="0" w:noVBand="1"/>
      </w:tblPr>
      <w:tblGrid>
        <w:gridCol w:w="3114"/>
        <w:gridCol w:w="3544"/>
      </w:tblGrid>
      <w:tr w:rsidR="00DF6837" w:rsidRPr="002E06CC" w14:paraId="7E836F5A" w14:textId="77777777" w:rsidTr="00B62A65">
        <w:trPr>
          <w:jc w:val="center"/>
        </w:trPr>
        <w:tc>
          <w:tcPr>
            <w:tcW w:w="3114" w:type="dxa"/>
            <w:shd w:val="clear" w:color="auto" w:fill="D0CECE" w:themeFill="background2" w:themeFillShade="E6"/>
          </w:tcPr>
          <w:p w14:paraId="4A1A3D89" w14:textId="77777777" w:rsidR="00DF6837" w:rsidRPr="002E06CC" w:rsidRDefault="00DF6837" w:rsidP="002E06CC">
            <w:pPr>
              <w:shd w:val="clear" w:color="auto" w:fill="5B9BD5" w:themeFill="accent1"/>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 xml:space="preserve">Programme 3 targets </w:t>
            </w:r>
          </w:p>
        </w:tc>
        <w:tc>
          <w:tcPr>
            <w:tcW w:w="3544" w:type="dxa"/>
            <w:shd w:val="clear" w:color="auto" w:fill="D0CECE" w:themeFill="background2" w:themeFillShade="E6"/>
          </w:tcPr>
          <w:p w14:paraId="6BB7A009" w14:textId="77777777" w:rsidR="00DF6837" w:rsidRPr="002E06CC" w:rsidRDefault="00DF6837" w:rsidP="002E06CC">
            <w:pPr>
              <w:shd w:val="clear" w:color="auto" w:fill="FFC000" w:themeFill="accent4"/>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6</w:t>
            </w:r>
          </w:p>
        </w:tc>
      </w:tr>
      <w:tr w:rsidR="00DF6837" w:rsidRPr="002E06CC" w14:paraId="1324B777" w14:textId="77777777" w:rsidTr="00B62A65">
        <w:trPr>
          <w:jc w:val="center"/>
        </w:trPr>
        <w:tc>
          <w:tcPr>
            <w:tcW w:w="3114" w:type="dxa"/>
            <w:shd w:val="clear" w:color="auto" w:fill="D0CECE" w:themeFill="background2" w:themeFillShade="E6"/>
          </w:tcPr>
          <w:p w14:paraId="1353DA17" w14:textId="77777777" w:rsidR="00DF6837" w:rsidRPr="002E06CC" w:rsidRDefault="00DF6837" w:rsidP="002E06CC">
            <w:pPr>
              <w:shd w:val="clear" w:color="auto" w:fill="5B9BD5" w:themeFill="accent1"/>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Targets achieved</w:t>
            </w:r>
          </w:p>
        </w:tc>
        <w:tc>
          <w:tcPr>
            <w:tcW w:w="3544" w:type="dxa"/>
            <w:shd w:val="clear" w:color="auto" w:fill="D0CECE" w:themeFill="background2" w:themeFillShade="E6"/>
          </w:tcPr>
          <w:p w14:paraId="12E26AB7" w14:textId="77777777" w:rsidR="00DF6837" w:rsidRPr="002E06CC" w:rsidRDefault="00DF6837" w:rsidP="002E06CC">
            <w:pPr>
              <w:shd w:val="clear" w:color="auto" w:fill="FFC000" w:themeFill="accent4"/>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5/6</w:t>
            </w:r>
          </w:p>
        </w:tc>
      </w:tr>
      <w:tr w:rsidR="00DF6837" w:rsidRPr="002E06CC" w14:paraId="7FE8B794" w14:textId="77777777" w:rsidTr="00B62A65">
        <w:trPr>
          <w:jc w:val="center"/>
        </w:trPr>
        <w:tc>
          <w:tcPr>
            <w:tcW w:w="3114" w:type="dxa"/>
            <w:shd w:val="clear" w:color="auto" w:fill="D0CECE" w:themeFill="background2" w:themeFillShade="E6"/>
          </w:tcPr>
          <w:p w14:paraId="029F0090" w14:textId="77777777" w:rsidR="00DF6837" w:rsidRPr="002E06CC" w:rsidRDefault="00DF6837" w:rsidP="002E06CC">
            <w:pPr>
              <w:shd w:val="clear" w:color="auto" w:fill="5B9BD5" w:themeFill="accent1"/>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 xml:space="preserve">Targets not achieved </w:t>
            </w:r>
          </w:p>
        </w:tc>
        <w:tc>
          <w:tcPr>
            <w:tcW w:w="3544" w:type="dxa"/>
            <w:shd w:val="clear" w:color="auto" w:fill="D0CECE" w:themeFill="background2" w:themeFillShade="E6"/>
          </w:tcPr>
          <w:p w14:paraId="28E54DDC" w14:textId="77777777" w:rsidR="00DF6837" w:rsidRPr="002E06CC" w:rsidRDefault="00DF6837" w:rsidP="002E06CC">
            <w:pPr>
              <w:shd w:val="clear" w:color="auto" w:fill="FFC000" w:themeFill="accent4"/>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1/6</w:t>
            </w:r>
          </w:p>
        </w:tc>
      </w:tr>
      <w:tr w:rsidR="00DF6837" w:rsidRPr="002E06CC" w14:paraId="68FE31CD" w14:textId="77777777" w:rsidTr="00B62A65">
        <w:trPr>
          <w:jc w:val="center"/>
        </w:trPr>
        <w:tc>
          <w:tcPr>
            <w:tcW w:w="3114" w:type="dxa"/>
            <w:tcBorders>
              <w:bottom w:val="nil"/>
            </w:tcBorders>
            <w:shd w:val="clear" w:color="auto" w:fill="D0CECE" w:themeFill="background2" w:themeFillShade="E6"/>
          </w:tcPr>
          <w:p w14:paraId="1DD7A4A0" w14:textId="77777777" w:rsidR="00DF6837" w:rsidRPr="002E06CC" w:rsidRDefault="00DF6837" w:rsidP="002E06CC">
            <w:pPr>
              <w:shd w:val="clear" w:color="auto" w:fill="5B9BD5" w:themeFill="accent1"/>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Success rate</w:t>
            </w:r>
          </w:p>
        </w:tc>
        <w:tc>
          <w:tcPr>
            <w:tcW w:w="3544" w:type="dxa"/>
            <w:tcBorders>
              <w:bottom w:val="single" w:sz="4" w:space="0" w:color="auto"/>
            </w:tcBorders>
            <w:shd w:val="clear" w:color="auto" w:fill="D0CECE" w:themeFill="background2" w:themeFillShade="E6"/>
          </w:tcPr>
          <w:p w14:paraId="74D34B57" w14:textId="77777777" w:rsidR="00DF6837" w:rsidRPr="002E06CC" w:rsidRDefault="00DF6837" w:rsidP="002E06CC">
            <w:pPr>
              <w:shd w:val="clear" w:color="auto" w:fill="FFC000" w:themeFill="accent4"/>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83.33%</w:t>
            </w:r>
          </w:p>
        </w:tc>
      </w:tr>
      <w:tr w:rsidR="00DF6837" w:rsidRPr="002E06CC" w14:paraId="4E1F318B" w14:textId="77777777" w:rsidTr="00B62A65">
        <w:trPr>
          <w:jc w:val="center"/>
        </w:trPr>
        <w:tc>
          <w:tcPr>
            <w:tcW w:w="3114" w:type="dxa"/>
            <w:tcBorders>
              <w:top w:val="nil"/>
              <w:left w:val="nil"/>
              <w:bottom w:val="nil"/>
              <w:right w:val="nil"/>
            </w:tcBorders>
            <w:shd w:val="clear" w:color="auto" w:fill="D0CECE" w:themeFill="background2" w:themeFillShade="E6"/>
          </w:tcPr>
          <w:p w14:paraId="7AC98692" w14:textId="77777777" w:rsidR="00DF6837" w:rsidRPr="002E06CC" w:rsidRDefault="00DF6837" w:rsidP="002E06CC">
            <w:pPr>
              <w:shd w:val="clear" w:color="auto" w:fill="5B9BD5" w:themeFill="accent1"/>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Programme Budget Spent (%)</w:t>
            </w:r>
          </w:p>
        </w:tc>
        <w:tc>
          <w:tcPr>
            <w:tcW w:w="3544" w:type="dxa"/>
            <w:tcBorders>
              <w:left w:val="nil"/>
            </w:tcBorders>
            <w:shd w:val="clear" w:color="auto" w:fill="D0CECE" w:themeFill="background2" w:themeFillShade="E6"/>
          </w:tcPr>
          <w:p w14:paraId="203C8DF8"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61.9% (R39 000/R63 000)</w:t>
            </w:r>
          </w:p>
        </w:tc>
      </w:tr>
    </w:tbl>
    <w:p w14:paraId="1DBC8228" w14:textId="77777777" w:rsidR="00DF6837" w:rsidRPr="002E06CC" w:rsidRDefault="00DF6837" w:rsidP="002E06CC">
      <w:pPr>
        <w:autoSpaceDE w:val="0"/>
        <w:autoSpaceDN w:val="0"/>
        <w:adjustRightInd w:val="0"/>
        <w:spacing w:line="360" w:lineRule="auto"/>
        <w:jc w:val="both"/>
        <w:rPr>
          <w:rFonts w:ascii="Times New Roman" w:hAnsi="Times New Roman" w:cs="Times New Roman"/>
          <w:sz w:val="24"/>
          <w:szCs w:val="24"/>
        </w:rPr>
      </w:pPr>
    </w:p>
    <w:p w14:paraId="63D9F825" w14:textId="77777777" w:rsidR="00DF6837" w:rsidRPr="002E06CC" w:rsidRDefault="00DF6837" w:rsidP="002E06CC">
      <w:pPr>
        <w:spacing w:line="360" w:lineRule="auto"/>
        <w:jc w:val="both"/>
        <w:rPr>
          <w:rFonts w:ascii="Times New Roman" w:hAnsi="Times New Roman" w:cs="Times New Roman"/>
          <w:b/>
          <w:i/>
          <w:sz w:val="24"/>
          <w:szCs w:val="24"/>
        </w:rPr>
      </w:pPr>
      <w:r w:rsidRPr="002E06CC">
        <w:rPr>
          <w:rFonts w:ascii="Times New Roman" w:hAnsi="Times New Roman" w:cs="Times New Roman"/>
          <w:b/>
          <w:i/>
          <w:sz w:val="24"/>
          <w:szCs w:val="24"/>
        </w:rPr>
        <w:t>5.4</w:t>
      </w:r>
      <w:r w:rsidRPr="002E06CC">
        <w:rPr>
          <w:rFonts w:ascii="Times New Roman" w:hAnsi="Times New Roman" w:cs="Times New Roman"/>
          <w:b/>
          <w:i/>
          <w:sz w:val="24"/>
          <w:szCs w:val="24"/>
        </w:rPr>
        <w:tab/>
        <w:t xml:space="preserve">Programme 4: </w:t>
      </w:r>
      <w:r w:rsidRPr="002E06CC">
        <w:rPr>
          <w:rFonts w:ascii="Times New Roman" w:hAnsi="Times New Roman" w:cs="Times New Roman"/>
          <w:b/>
          <w:i/>
          <w:iCs/>
          <w:sz w:val="24"/>
          <w:szCs w:val="24"/>
        </w:rPr>
        <w:t xml:space="preserve">Increased Public Profile and Positive Perception Across all Sectors of the </w:t>
      </w:r>
      <w:r w:rsidRPr="002E06CC">
        <w:rPr>
          <w:rFonts w:ascii="Times New Roman" w:hAnsi="Times New Roman" w:cs="Times New Roman"/>
          <w:b/>
          <w:i/>
          <w:iCs/>
          <w:sz w:val="24"/>
          <w:szCs w:val="24"/>
        </w:rPr>
        <w:tab/>
        <w:t xml:space="preserve">Community </w:t>
      </w:r>
    </w:p>
    <w:p w14:paraId="3C118573" w14:textId="77777777" w:rsidR="00DF6837" w:rsidRPr="002E06CC" w:rsidRDefault="00DF6837" w:rsidP="002E06CC">
      <w:pPr>
        <w:autoSpaceDE w:val="0"/>
        <w:autoSpaceDN w:val="0"/>
        <w:adjustRightInd w:val="0"/>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One of the targets was missed namely “</w:t>
      </w:r>
      <w:r w:rsidRPr="002E06CC">
        <w:rPr>
          <w:rFonts w:ascii="Times New Roman" w:hAnsi="Times New Roman" w:cs="Times New Roman"/>
          <w:i/>
          <w:sz w:val="24"/>
          <w:szCs w:val="24"/>
        </w:rPr>
        <w:t>Number of student learnerships and internships offered per annum”</w:t>
      </w:r>
      <w:r w:rsidRPr="002E06CC">
        <w:rPr>
          <w:rFonts w:ascii="Times New Roman" w:hAnsi="Times New Roman" w:cs="Times New Roman"/>
          <w:sz w:val="24"/>
          <w:szCs w:val="24"/>
        </w:rPr>
        <w:t xml:space="preserve"> against overspending of R 15 000 (R42 00 in FY 2016/17). </w:t>
      </w:r>
    </w:p>
    <w:tbl>
      <w:tblPr>
        <w:tblStyle w:val="TableGrid"/>
        <w:tblW w:w="0" w:type="auto"/>
        <w:jc w:val="center"/>
        <w:tblLook w:val="04A0" w:firstRow="1" w:lastRow="0" w:firstColumn="1" w:lastColumn="0" w:noHBand="0" w:noVBand="1"/>
      </w:tblPr>
      <w:tblGrid>
        <w:gridCol w:w="3114"/>
        <w:gridCol w:w="3544"/>
      </w:tblGrid>
      <w:tr w:rsidR="00DF6837" w:rsidRPr="002E06CC" w14:paraId="363B141C" w14:textId="77777777" w:rsidTr="00B62A65">
        <w:trPr>
          <w:jc w:val="center"/>
        </w:trPr>
        <w:tc>
          <w:tcPr>
            <w:tcW w:w="3114" w:type="dxa"/>
            <w:shd w:val="clear" w:color="auto" w:fill="D0CECE" w:themeFill="background2" w:themeFillShade="E6"/>
          </w:tcPr>
          <w:p w14:paraId="073956BC" w14:textId="77777777" w:rsidR="00DF6837" w:rsidRPr="002E06CC" w:rsidRDefault="00DF6837" w:rsidP="002E06CC">
            <w:pPr>
              <w:shd w:val="clear" w:color="auto" w:fill="5B9BD5" w:themeFill="accent1"/>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 xml:space="preserve">Programme 4 targets </w:t>
            </w:r>
          </w:p>
        </w:tc>
        <w:tc>
          <w:tcPr>
            <w:tcW w:w="3544" w:type="dxa"/>
            <w:shd w:val="clear" w:color="auto" w:fill="D0CECE" w:themeFill="background2" w:themeFillShade="E6"/>
          </w:tcPr>
          <w:p w14:paraId="3DC1287D" w14:textId="77777777" w:rsidR="00DF6837" w:rsidRPr="002E06CC" w:rsidRDefault="00DF6837" w:rsidP="002E06CC">
            <w:pPr>
              <w:shd w:val="clear" w:color="auto" w:fill="FFC000" w:themeFill="accent4"/>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4</w:t>
            </w:r>
          </w:p>
        </w:tc>
      </w:tr>
      <w:tr w:rsidR="00DF6837" w:rsidRPr="002E06CC" w14:paraId="1D90951D" w14:textId="77777777" w:rsidTr="00B62A65">
        <w:trPr>
          <w:jc w:val="center"/>
        </w:trPr>
        <w:tc>
          <w:tcPr>
            <w:tcW w:w="3114" w:type="dxa"/>
            <w:shd w:val="clear" w:color="auto" w:fill="D0CECE" w:themeFill="background2" w:themeFillShade="E6"/>
          </w:tcPr>
          <w:p w14:paraId="137F41B4" w14:textId="77777777" w:rsidR="00DF6837" w:rsidRPr="002E06CC" w:rsidRDefault="00DF6837" w:rsidP="002E06CC">
            <w:pPr>
              <w:shd w:val="clear" w:color="auto" w:fill="5B9BD5" w:themeFill="accent1"/>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Targets achieved</w:t>
            </w:r>
          </w:p>
        </w:tc>
        <w:tc>
          <w:tcPr>
            <w:tcW w:w="3544" w:type="dxa"/>
            <w:shd w:val="clear" w:color="auto" w:fill="D0CECE" w:themeFill="background2" w:themeFillShade="E6"/>
          </w:tcPr>
          <w:p w14:paraId="14084D77" w14:textId="77777777" w:rsidR="00DF6837" w:rsidRPr="002E06CC" w:rsidRDefault="00DF6837" w:rsidP="002E06CC">
            <w:pPr>
              <w:shd w:val="clear" w:color="auto" w:fill="FFC000" w:themeFill="accent4"/>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3/4</w:t>
            </w:r>
          </w:p>
        </w:tc>
      </w:tr>
      <w:tr w:rsidR="00DF6837" w:rsidRPr="002E06CC" w14:paraId="09B950A8" w14:textId="77777777" w:rsidTr="00B62A65">
        <w:trPr>
          <w:jc w:val="center"/>
        </w:trPr>
        <w:tc>
          <w:tcPr>
            <w:tcW w:w="3114" w:type="dxa"/>
            <w:shd w:val="clear" w:color="auto" w:fill="D0CECE" w:themeFill="background2" w:themeFillShade="E6"/>
          </w:tcPr>
          <w:p w14:paraId="4EB54CEE" w14:textId="77777777" w:rsidR="00DF6837" w:rsidRPr="002E06CC" w:rsidRDefault="00DF6837" w:rsidP="002E06CC">
            <w:pPr>
              <w:shd w:val="clear" w:color="auto" w:fill="5B9BD5" w:themeFill="accent1"/>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 xml:space="preserve">Targets not achieved </w:t>
            </w:r>
          </w:p>
        </w:tc>
        <w:tc>
          <w:tcPr>
            <w:tcW w:w="3544" w:type="dxa"/>
            <w:shd w:val="clear" w:color="auto" w:fill="D0CECE" w:themeFill="background2" w:themeFillShade="E6"/>
          </w:tcPr>
          <w:p w14:paraId="1C5526AC" w14:textId="77777777" w:rsidR="00DF6837" w:rsidRPr="002E06CC" w:rsidRDefault="00DF6837" w:rsidP="002E06CC">
            <w:pPr>
              <w:shd w:val="clear" w:color="auto" w:fill="FFC000" w:themeFill="accent4"/>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1/4</w:t>
            </w:r>
          </w:p>
        </w:tc>
      </w:tr>
      <w:tr w:rsidR="00DF6837" w:rsidRPr="002E06CC" w14:paraId="1D5A2AEE" w14:textId="77777777" w:rsidTr="00B62A65">
        <w:trPr>
          <w:jc w:val="center"/>
        </w:trPr>
        <w:tc>
          <w:tcPr>
            <w:tcW w:w="3114" w:type="dxa"/>
            <w:tcBorders>
              <w:bottom w:val="nil"/>
            </w:tcBorders>
            <w:shd w:val="clear" w:color="auto" w:fill="D0CECE" w:themeFill="background2" w:themeFillShade="E6"/>
          </w:tcPr>
          <w:p w14:paraId="2557EB0A" w14:textId="77777777" w:rsidR="00DF6837" w:rsidRPr="002E06CC" w:rsidRDefault="00DF6837" w:rsidP="002E06CC">
            <w:pPr>
              <w:shd w:val="clear" w:color="auto" w:fill="5B9BD5" w:themeFill="accent1"/>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Success rate</w:t>
            </w:r>
          </w:p>
        </w:tc>
        <w:tc>
          <w:tcPr>
            <w:tcW w:w="3544" w:type="dxa"/>
            <w:tcBorders>
              <w:bottom w:val="single" w:sz="4" w:space="0" w:color="auto"/>
            </w:tcBorders>
            <w:shd w:val="clear" w:color="auto" w:fill="D0CECE" w:themeFill="background2" w:themeFillShade="E6"/>
          </w:tcPr>
          <w:p w14:paraId="38E0A657" w14:textId="77777777" w:rsidR="00DF6837" w:rsidRPr="002E06CC" w:rsidRDefault="00DF6837" w:rsidP="002E06CC">
            <w:pPr>
              <w:shd w:val="clear" w:color="auto" w:fill="FFC000" w:themeFill="accent4"/>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75%</w:t>
            </w:r>
          </w:p>
        </w:tc>
      </w:tr>
      <w:tr w:rsidR="00DF6837" w:rsidRPr="002E06CC" w14:paraId="5998012F" w14:textId="77777777" w:rsidTr="00B62A65">
        <w:trPr>
          <w:jc w:val="center"/>
        </w:trPr>
        <w:tc>
          <w:tcPr>
            <w:tcW w:w="3114" w:type="dxa"/>
            <w:tcBorders>
              <w:top w:val="nil"/>
              <w:left w:val="nil"/>
              <w:bottom w:val="nil"/>
              <w:right w:val="nil"/>
            </w:tcBorders>
            <w:shd w:val="clear" w:color="auto" w:fill="D0CECE" w:themeFill="background2" w:themeFillShade="E6"/>
          </w:tcPr>
          <w:p w14:paraId="272D9F57" w14:textId="77777777" w:rsidR="00DF6837" w:rsidRPr="002E06CC" w:rsidRDefault="00DF6837" w:rsidP="002E06CC">
            <w:pPr>
              <w:shd w:val="clear" w:color="auto" w:fill="5B9BD5" w:themeFill="accent1"/>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Programme Budget Spent (%)</w:t>
            </w:r>
          </w:p>
        </w:tc>
        <w:tc>
          <w:tcPr>
            <w:tcW w:w="3544" w:type="dxa"/>
            <w:tcBorders>
              <w:left w:val="nil"/>
            </w:tcBorders>
            <w:shd w:val="clear" w:color="auto" w:fill="D0CECE" w:themeFill="background2" w:themeFillShade="E6"/>
          </w:tcPr>
          <w:p w14:paraId="1C468CE5"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105.68% (R279 000/R264 000)</w:t>
            </w:r>
          </w:p>
        </w:tc>
      </w:tr>
    </w:tbl>
    <w:p w14:paraId="377259AB" w14:textId="77777777" w:rsidR="00DF6837" w:rsidRPr="002E06CC" w:rsidRDefault="00DF6837" w:rsidP="002E06CC">
      <w:pPr>
        <w:spacing w:line="360" w:lineRule="auto"/>
        <w:jc w:val="both"/>
        <w:rPr>
          <w:rFonts w:ascii="Times New Roman" w:hAnsi="Times New Roman" w:cs="Times New Roman"/>
          <w:b/>
          <w:sz w:val="24"/>
          <w:szCs w:val="24"/>
        </w:rPr>
      </w:pPr>
    </w:p>
    <w:p w14:paraId="38E6B6AF" w14:textId="77777777" w:rsidR="00DF6837" w:rsidRPr="002E06CC" w:rsidRDefault="00DF6837"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6.</w:t>
      </w:r>
      <w:r w:rsidRPr="002E06CC">
        <w:rPr>
          <w:rFonts w:ascii="Times New Roman" w:hAnsi="Times New Roman" w:cs="Times New Roman"/>
          <w:b/>
          <w:sz w:val="24"/>
          <w:szCs w:val="24"/>
        </w:rPr>
        <w:tab/>
        <w:t>GOVERNANCE</w:t>
      </w:r>
    </w:p>
    <w:p w14:paraId="05FB2EF2" w14:textId="77777777" w:rsidR="00DF6837" w:rsidRPr="002E06CC" w:rsidRDefault="00DF6837" w:rsidP="002E06CC">
      <w:pPr>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 xml:space="preserve">The Annual Report refers to various issues under this section, </w:t>
      </w:r>
      <w:r w:rsidRPr="002E06CC">
        <w:rPr>
          <w:rFonts w:ascii="Times New Roman" w:hAnsi="Times New Roman" w:cs="Times New Roman"/>
          <w:i/>
          <w:sz w:val="24"/>
          <w:szCs w:val="24"/>
        </w:rPr>
        <w:t>inter alia</w:t>
      </w:r>
      <w:r w:rsidRPr="002E06CC">
        <w:rPr>
          <w:rFonts w:ascii="Times New Roman" w:hAnsi="Times New Roman" w:cs="Times New Roman"/>
          <w:sz w:val="24"/>
          <w:szCs w:val="24"/>
        </w:rPr>
        <w:t xml:space="preserve"> its engagements with the Portfolio Committee, that it operates as a Schedule 3A Public Entity, and it states that a Risk Register has been developed to determine the effectiveness of its risk management strategy and to identify new and emerging risks.</w:t>
      </w:r>
    </w:p>
    <w:p w14:paraId="1044A573" w14:textId="77777777" w:rsidR="00DF6837" w:rsidRPr="002E06CC" w:rsidRDefault="00DF6837"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6.1</w:t>
      </w:r>
      <w:r w:rsidRPr="002E06CC">
        <w:rPr>
          <w:rFonts w:ascii="Times New Roman" w:hAnsi="Times New Roman" w:cs="Times New Roman"/>
          <w:b/>
          <w:sz w:val="24"/>
          <w:szCs w:val="24"/>
        </w:rPr>
        <w:tab/>
        <w:t xml:space="preserve">Risk Management </w:t>
      </w:r>
    </w:p>
    <w:p w14:paraId="348BF4B6" w14:textId="77777777" w:rsidR="00DF6837" w:rsidRPr="002E06CC" w:rsidRDefault="00DF6837" w:rsidP="002E06CC">
      <w:pPr>
        <w:autoSpaceDE w:val="0"/>
        <w:autoSpaceDN w:val="0"/>
        <w:adjustRightInd w:val="0"/>
        <w:spacing w:line="360" w:lineRule="auto"/>
        <w:jc w:val="both"/>
        <w:rPr>
          <w:rFonts w:ascii="Times New Roman" w:hAnsi="Times New Roman" w:cs="Times New Roman"/>
          <w:i/>
          <w:sz w:val="24"/>
          <w:szCs w:val="24"/>
        </w:rPr>
      </w:pPr>
      <w:r w:rsidRPr="002E06CC">
        <w:rPr>
          <w:rFonts w:ascii="Times New Roman" w:hAnsi="Times New Roman" w:cs="Times New Roman"/>
          <w:sz w:val="24"/>
          <w:szCs w:val="24"/>
        </w:rPr>
        <w:t>The Annual Report states that “</w:t>
      </w:r>
      <w:r w:rsidRPr="002E06CC">
        <w:rPr>
          <w:rFonts w:ascii="Times New Roman" w:hAnsi="Times New Roman" w:cs="Times New Roman"/>
          <w:i/>
          <w:sz w:val="24"/>
          <w:szCs w:val="24"/>
        </w:rPr>
        <w:t xml:space="preserve">The management of the organization is performed on an “enterprise risk management” basis i.e. the most important risks that would potentially compromise our ability to attain our strategic objectives are articulated in a Risk Register, ranked and regularly evaluated.” </w:t>
      </w:r>
    </w:p>
    <w:p w14:paraId="7837ABFA" w14:textId="77777777" w:rsidR="00DF6837" w:rsidRPr="002E06CC" w:rsidRDefault="00DF6837" w:rsidP="002E06CC">
      <w:pPr>
        <w:autoSpaceDE w:val="0"/>
        <w:autoSpaceDN w:val="0"/>
        <w:adjustRightInd w:val="0"/>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The strategic risks identified include:</w:t>
      </w:r>
    </w:p>
    <w:p w14:paraId="0ACD8910" w14:textId="77777777" w:rsidR="00DF6837" w:rsidRPr="002E06CC" w:rsidRDefault="00DF6837" w:rsidP="002E06CC">
      <w:pPr>
        <w:pStyle w:val="ListParagraph"/>
        <w:numPr>
          <w:ilvl w:val="0"/>
          <w:numId w:val="27"/>
        </w:numPr>
        <w:autoSpaceDE w:val="0"/>
        <w:autoSpaceDN w:val="0"/>
        <w:adjustRightInd w:val="0"/>
        <w:spacing w:after="0" w:line="360" w:lineRule="auto"/>
        <w:jc w:val="both"/>
        <w:rPr>
          <w:rFonts w:ascii="Times New Roman" w:eastAsiaTheme="minorHAnsi" w:hAnsi="Times New Roman"/>
          <w:sz w:val="24"/>
          <w:szCs w:val="24"/>
        </w:rPr>
      </w:pPr>
      <w:r w:rsidRPr="002E06CC">
        <w:rPr>
          <w:rFonts w:ascii="Times New Roman" w:eastAsiaTheme="minorHAnsi" w:hAnsi="Times New Roman"/>
          <w:sz w:val="24"/>
          <w:szCs w:val="24"/>
        </w:rPr>
        <w:t>Managing negative perceptions caused by hitherto unfounded claims of corporate infringements against the CCB and the winding down of the Castle Military Museum Foundation;</w:t>
      </w:r>
    </w:p>
    <w:p w14:paraId="0A0FEC61" w14:textId="77777777" w:rsidR="00DF6837" w:rsidRPr="002E06CC" w:rsidRDefault="00DF6837" w:rsidP="002E06CC">
      <w:pPr>
        <w:pStyle w:val="ListParagraph"/>
        <w:numPr>
          <w:ilvl w:val="0"/>
          <w:numId w:val="27"/>
        </w:numPr>
        <w:autoSpaceDE w:val="0"/>
        <w:autoSpaceDN w:val="0"/>
        <w:adjustRightInd w:val="0"/>
        <w:spacing w:after="0" w:line="360" w:lineRule="auto"/>
        <w:jc w:val="both"/>
        <w:rPr>
          <w:rFonts w:ascii="Times New Roman" w:eastAsiaTheme="minorHAnsi" w:hAnsi="Times New Roman"/>
          <w:sz w:val="24"/>
          <w:szCs w:val="24"/>
        </w:rPr>
      </w:pPr>
      <w:r w:rsidRPr="002E06CC">
        <w:rPr>
          <w:rFonts w:ascii="Times New Roman" w:eastAsiaTheme="minorHAnsi" w:hAnsi="Times New Roman"/>
          <w:sz w:val="24"/>
          <w:szCs w:val="24"/>
        </w:rPr>
        <w:t xml:space="preserve">The glaring shortcomings and contradictions in the Castle Control Board’s founding Act through an urgent and thorough legislative review; </w:t>
      </w:r>
    </w:p>
    <w:p w14:paraId="1FEBF63E" w14:textId="77777777" w:rsidR="00DF6837" w:rsidRPr="002E06CC" w:rsidRDefault="00DF6837" w:rsidP="002E06CC">
      <w:pPr>
        <w:pStyle w:val="ListParagraph"/>
        <w:numPr>
          <w:ilvl w:val="0"/>
          <w:numId w:val="27"/>
        </w:numPr>
        <w:autoSpaceDE w:val="0"/>
        <w:autoSpaceDN w:val="0"/>
        <w:adjustRightInd w:val="0"/>
        <w:spacing w:after="0" w:line="360" w:lineRule="auto"/>
        <w:jc w:val="both"/>
        <w:rPr>
          <w:rFonts w:ascii="Times New Roman" w:eastAsiaTheme="minorHAnsi" w:hAnsi="Times New Roman"/>
          <w:sz w:val="24"/>
          <w:szCs w:val="24"/>
        </w:rPr>
      </w:pPr>
      <w:r w:rsidRPr="002E06CC">
        <w:rPr>
          <w:rFonts w:ascii="Times New Roman" w:eastAsiaTheme="minorHAnsi" w:hAnsi="Times New Roman"/>
          <w:sz w:val="24"/>
          <w:szCs w:val="24"/>
        </w:rPr>
        <w:t xml:space="preserve">The institutional and governance arrangements of the Castle Control Board </w:t>
      </w:r>
      <w:r w:rsidRPr="002E06CC">
        <w:rPr>
          <w:rFonts w:ascii="Times New Roman" w:eastAsiaTheme="minorHAnsi" w:hAnsi="Times New Roman"/>
          <w:i/>
          <w:sz w:val="24"/>
          <w:szCs w:val="24"/>
        </w:rPr>
        <w:t>inter alia</w:t>
      </w:r>
      <w:r w:rsidRPr="002E06CC">
        <w:rPr>
          <w:rFonts w:ascii="Times New Roman" w:eastAsiaTheme="minorHAnsi" w:hAnsi="Times New Roman"/>
          <w:sz w:val="24"/>
          <w:szCs w:val="24"/>
        </w:rPr>
        <w:t xml:space="preserve"> the composition of its Board, the signing of a shareholder’s agreement with the Ministry and the activating of the partnerships with other government departments.</w:t>
      </w:r>
    </w:p>
    <w:p w14:paraId="3A527A6C" w14:textId="77777777" w:rsidR="00DF6837" w:rsidRPr="002E06CC" w:rsidRDefault="00DF6837" w:rsidP="002E06CC">
      <w:pPr>
        <w:pStyle w:val="ListParagraph"/>
        <w:numPr>
          <w:ilvl w:val="0"/>
          <w:numId w:val="27"/>
        </w:numPr>
        <w:tabs>
          <w:tab w:val="left" w:pos="284"/>
          <w:tab w:val="left" w:pos="426"/>
        </w:tabs>
        <w:autoSpaceDE w:val="0"/>
        <w:autoSpaceDN w:val="0"/>
        <w:adjustRightInd w:val="0"/>
        <w:spacing w:after="0" w:line="360" w:lineRule="auto"/>
        <w:jc w:val="both"/>
        <w:rPr>
          <w:rFonts w:ascii="Times New Roman" w:eastAsiaTheme="minorHAnsi" w:hAnsi="Times New Roman"/>
          <w:sz w:val="24"/>
          <w:szCs w:val="24"/>
        </w:rPr>
      </w:pPr>
      <w:r w:rsidRPr="002E06CC">
        <w:rPr>
          <w:rFonts w:ascii="Times New Roman" w:eastAsiaTheme="minorHAnsi" w:hAnsi="Times New Roman"/>
          <w:sz w:val="24"/>
          <w:szCs w:val="24"/>
        </w:rPr>
        <w:t xml:space="preserve"> Marketing and promoting the Castle of Good Hope not only as a heritage-educational site but also as a highly sought-after venue open for tourism, conference and events business whilst ensuring that these two elements are well-balanced;</w:t>
      </w:r>
    </w:p>
    <w:p w14:paraId="092F492B" w14:textId="77777777" w:rsidR="00DF6837" w:rsidRPr="002E06CC" w:rsidRDefault="00DF6837" w:rsidP="002E06CC">
      <w:pPr>
        <w:pStyle w:val="ListParagraph"/>
        <w:numPr>
          <w:ilvl w:val="0"/>
          <w:numId w:val="27"/>
        </w:numPr>
        <w:tabs>
          <w:tab w:val="left" w:pos="426"/>
        </w:tabs>
        <w:autoSpaceDE w:val="0"/>
        <w:autoSpaceDN w:val="0"/>
        <w:adjustRightInd w:val="0"/>
        <w:spacing w:after="0" w:line="360" w:lineRule="auto"/>
        <w:jc w:val="both"/>
        <w:rPr>
          <w:rFonts w:ascii="Times New Roman" w:eastAsiaTheme="minorHAnsi" w:hAnsi="Times New Roman"/>
          <w:sz w:val="24"/>
          <w:szCs w:val="24"/>
        </w:rPr>
      </w:pPr>
      <w:r w:rsidRPr="002E06CC">
        <w:rPr>
          <w:rFonts w:ascii="Times New Roman" w:eastAsiaTheme="minorHAnsi" w:hAnsi="Times New Roman"/>
          <w:sz w:val="24"/>
          <w:szCs w:val="24"/>
        </w:rPr>
        <w:t xml:space="preserve">The safety and security concerns of staff and visitors to the Castle; and </w:t>
      </w:r>
    </w:p>
    <w:p w14:paraId="7616B87B" w14:textId="77777777" w:rsidR="00DF6837" w:rsidRPr="002E06CC" w:rsidRDefault="00DF6837" w:rsidP="002E06CC">
      <w:pPr>
        <w:pStyle w:val="ListParagraph"/>
        <w:numPr>
          <w:ilvl w:val="0"/>
          <w:numId w:val="27"/>
        </w:numPr>
        <w:tabs>
          <w:tab w:val="left" w:pos="426"/>
        </w:tabs>
        <w:autoSpaceDE w:val="0"/>
        <w:autoSpaceDN w:val="0"/>
        <w:adjustRightInd w:val="0"/>
        <w:spacing w:after="0" w:line="360" w:lineRule="auto"/>
        <w:jc w:val="both"/>
        <w:rPr>
          <w:rFonts w:ascii="Times New Roman" w:eastAsiaTheme="minorHAnsi" w:hAnsi="Times New Roman"/>
          <w:sz w:val="24"/>
          <w:szCs w:val="24"/>
        </w:rPr>
      </w:pPr>
      <w:r w:rsidRPr="002E06CC">
        <w:rPr>
          <w:rFonts w:ascii="Times New Roman" w:eastAsiaTheme="minorHAnsi" w:hAnsi="Times New Roman"/>
          <w:sz w:val="24"/>
          <w:szCs w:val="24"/>
        </w:rPr>
        <w:t>Finalising the space-allocation, utilisation and sustainability of the Castle Control Board.</w:t>
      </w:r>
    </w:p>
    <w:p w14:paraId="60B039EC" w14:textId="77777777" w:rsidR="00DF6837" w:rsidRPr="002E06CC" w:rsidRDefault="00DF6837" w:rsidP="002E06CC">
      <w:pPr>
        <w:spacing w:line="360" w:lineRule="auto"/>
        <w:jc w:val="both"/>
        <w:rPr>
          <w:rFonts w:ascii="Times New Roman" w:hAnsi="Times New Roman" w:cs="Times New Roman"/>
          <w:b/>
          <w:sz w:val="24"/>
          <w:szCs w:val="24"/>
        </w:rPr>
      </w:pPr>
    </w:p>
    <w:p w14:paraId="63AAFAA8" w14:textId="77777777" w:rsidR="00DF6837" w:rsidRPr="002E06CC" w:rsidRDefault="00DF6837"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6.2</w:t>
      </w:r>
      <w:r w:rsidRPr="002E06CC">
        <w:rPr>
          <w:rFonts w:ascii="Times New Roman" w:hAnsi="Times New Roman" w:cs="Times New Roman"/>
          <w:b/>
          <w:sz w:val="24"/>
          <w:szCs w:val="24"/>
        </w:rPr>
        <w:tab/>
        <w:t>Fraud and corruption</w:t>
      </w:r>
    </w:p>
    <w:p w14:paraId="315EFCC3" w14:textId="77777777" w:rsidR="00DF6837" w:rsidRPr="002E06CC" w:rsidRDefault="00DF6837" w:rsidP="002E06CC">
      <w:pPr>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 xml:space="preserve">As in the previous Annual Report, CCB states that it does not have an anti-criminality plan but has a fully-fledged Fraud Prevention Policy. It aims to make losses due to fraud and corruption intolerable and will institute training covering these aspects.  It states that criminal activities would more likely be internally induced, and feels that the Department’s guidelines in this regard are sufficient to deal with the issue.  </w:t>
      </w:r>
    </w:p>
    <w:p w14:paraId="241396BD" w14:textId="77777777" w:rsidR="00DF6837" w:rsidRPr="002E06CC" w:rsidRDefault="00DF6837"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7.</w:t>
      </w:r>
      <w:r w:rsidRPr="002E06CC">
        <w:rPr>
          <w:rFonts w:ascii="Times New Roman" w:hAnsi="Times New Roman" w:cs="Times New Roman"/>
          <w:b/>
          <w:sz w:val="24"/>
          <w:szCs w:val="24"/>
        </w:rPr>
        <w:tab/>
        <w:t xml:space="preserve">HUMAN RESOURCES </w:t>
      </w:r>
    </w:p>
    <w:p w14:paraId="1E8A9898" w14:textId="77777777" w:rsidR="00DF6837" w:rsidRPr="002E06CC" w:rsidRDefault="00DF6837" w:rsidP="002E06CC">
      <w:pPr>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 xml:space="preserve">The CCB has a team of 16 full time CCB remunerated staff members. 3 museum artists paid by the DOD, 26 short term staff (interns) and 12 casuals, bringing the staff complement to 57, while the CCB indicates that they had 54 staff members for the FY2017/18. </w:t>
      </w:r>
    </w:p>
    <w:p w14:paraId="460CC115" w14:textId="77777777" w:rsidR="00DF6837" w:rsidRPr="002E06CC" w:rsidRDefault="00DF6837" w:rsidP="002E06CC">
      <w:pPr>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 xml:space="preserve">The total expenditure for employees is R5 797 000 (R5 939 000 in FY2016/17) of the Castle’s total expenditure of R8 453 000 (R9 939 000 in FY 2016/17) which represents a 68.57% (54 % in FY2016/17) of personnel expenditure as a percentage of total expenditure. </w:t>
      </w:r>
    </w:p>
    <w:p w14:paraId="72580F81" w14:textId="77777777" w:rsidR="00DF6837" w:rsidRPr="002E06CC" w:rsidRDefault="00DF6837"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7.1</w:t>
      </w:r>
      <w:r w:rsidRPr="002E06CC">
        <w:rPr>
          <w:rFonts w:ascii="Times New Roman" w:hAnsi="Times New Roman" w:cs="Times New Roman"/>
          <w:b/>
          <w:sz w:val="24"/>
          <w:szCs w:val="24"/>
        </w:rPr>
        <w:tab/>
        <w:t>Performance rewards</w:t>
      </w:r>
    </w:p>
    <w:p w14:paraId="3757AFA4" w14:textId="77777777" w:rsidR="00DF6837" w:rsidRPr="002E06CC" w:rsidRDefault="00DF6837" w:rsidP="002E06CC">
      <w:pPr>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Provision</w:t>
      </w:r>
      <w:r w:rsidRPr="002E06CC">
        <w:rPr>
          <w:rFonts w:ascii="Times New Roman" w:hAnsi="Times New Roman" w:cs="Times New Roman"/>
          <w:b/>
          <w:sz w:val="24"/>
          <w:szCs w:val="24"/>
        </w:rPr>
        <w:t xml:space="preserve"> </w:t>
      </w:r>
      <w:r w:rsidRPr="002E06CC">
        <w:rPr>
          <w:rFonts w:ascii="Times New Roman" w:hAnsi="Times New Roman" w:cs="Times New Roman"/>
          <w:sz w:val="24"/>
          <w:szCs w:val="24"/>
        </w:rPr>
        <w:t>is being made for performance rewards of R386 553 (R368 935 in FY2016/17). These are for three employee categories composed of R169 000 (R161 000 FY 2016/17) (Top management), R209 000 (R179 000 FY 2016/17) (Senior Management) and R9 000 (R21 000 FY 2016/17)</w:t>
      </w:r>
      <w:r w:rsidR="00646E8F" w:rsidRPr="002E06CC">
        <w:rPr>
          <w:rFonts w:ascii="Times New Roman" w:hAnsi="Times New Roman" w:cs="Times New Roman"/>
          <w:sz w:val="24"/>
          <w:szCs w:val="24"/>
        </w:rPr>
        <w:t xml:space="preserve"> </w:t>
      </w:r>
      <w:r w:rsidRPr="002E06CC">
        <w:rPr>
          <w:rFonts w:ascii="Times New Roman" w:hAnsi="Times New Roman" w:cs="Times New Roman"/>
          <w:sz w:val="24"/>
          <w:szCs w:val="24"/>
        </w:rPr>
        <w:t>(professional qualified), although these are indicated as provisional amounts.</w:t>
      </w:r>
    </w:p>
    <w:p w14:paraId="39F9F015" w14:textId="77777777" w:rsidR="00DF6837" w:rsidRPr="002E06CC" w:rsidRDefault="00DF6837" w:rsidP="002E06CC">
      <w:pPr>
        <w:spacing w:line="360" w:lineRule="auto"/>
        <w:jc w:val="both"/>
        <w:rPr>
          <w:rFonts w:ascii="Times New Roman" w:hAnsi="Times New Roman" w:cs="Times New Roman"/>
          <w:i/>
          <w:sz w:val="24"/>
          <w:szCs w:val="24"/>
        </w:rPr>
      </w:pPr>
      <w:r w:rsidRPr="002E06CC">
        <w:rPr>
          <w:rFonts w:ascii="Times New Roman" w:hAnsi="Times New Roman" w:cs="Times New Roman"/>
          <w:i/>
          <w:sz w:val="24"/>
          <w:szCs w:val="24"/>
        </w:rPr>
        <w:t>“Performance Bonuses accrue to senior managers and have been provided for at a maximum allowable amount according to the employment contracts and performance contracts of those individuals who may qualify or be considered for a bonus. The actual amount payable cannot be determined until performance evaluation processes have been duly completed by the Board. Any bonus that may be or become payable would ordinarily be paid within the next 12 months.”</w:t>
      </w:r>
    </w:p>
    <w:p w14:paraId="447C36BC" w14:textId="77777777" w:rsidR="00DF6837" w:rsidRPr="002E06CC" w:rsidRDefault="00DF6837" w:rsidP="002E06CC">
      <w:pPr>
        <w:spacing w:line="360" w:lineRule="auto"/>
        <w:jc w:val="both"/>
        <w:rPr>
          <w:rFonts w:ascii="Times New Roman" w:hAnsi="Times New Roman" w:cs="Times New Roman"/>
          <w:sz w:val="24"/>
          <w:szCs w:val="24"/>
        </w:rPr>
      </w:pPr>
    </w:p>
    <w:p w14:paraId="6C4CB3B8"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 xml:space="preserve">Table 3: Remuneration of key management </w:t>
      </w:r>
    </w:p>
    <w:tbl>
      <w:tblPr>
        <w:tblStyle w:val="TableGrid"/>
        <w:tblW w:w="0" w:type="auto"/>
        <w:jc w:val="center"/>
        <w:tblLook w:val="04A0" w:firstRow="1" w:lastRow="0" w:firstColumn="1" w:lastColumn="0" w:noHBand="0" w:noVBand="1"/>
      </w:tblPr>
      <w:tblGrid>
        <w:gridCol w:w="2772"/>
        <w:gridCol w:w="1290"/>
        <w:gridCol w:w="1290"/>
        <w:gridCol w:w="1304"/>
      </w:tblGrid>
      <w:tr w:rsidR="00DF6837" w:rsidRPr="002E06CC" w14:paraId="35529A6E" w14:textId="77777777" w:rsidTr="00646E8F">
        <w:trPr>
          <w:jc w:val="center"/>
        </w:trPr>
        <w:tc>
          <w:tcPr>
            <w:tcW w:w="2772" w:type="dxa"/>
            <w:tcBorders>
              <w:bottom w:val="single" w:sz="4" w:space="0" w:color="auto"/>
            </w:tcBorders>
            <w:shd w:val="clear" w:color="auto" w:fill="ED7D31" w:themeFill="accent2"/>
          </w:tcPr>
          <w:p w14:paraId="5597897C" w14:textId="77777777" w:rsidR="00DF6837" w:rsidRPr="002E06CC" w:rsidRDefault="00DF6837" w:rsidP="002E06CC">
            <w:pPr>
              <w:spacing w:line="360" w:lineRule="auto"/>
              <w:jc w:val="both"/>
              <w:rPr>
                <w:rFonts w:ascii="Times New Roman" w:hAnsi="Times New Roman" w:cs="Times New Roman"/>
                <w:b/>
                <w:sz w:val="24"/>
                <w:szCs w:val="24"/>
              </w:rPr>
            </w:pPr>
          </w:p>
        </w:tc>
        <w:tc>
          <w:tcPr>
            <w:tcW w:w="1290" w:type="dxa"/>
            <w:shd w:val="clear" w:color="auto" w:fill="ED7D31" w:themeFill="accent2"/>
          </w:tcPr>
          <w:p w14:paraId="31824CC3"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2016</w:t>
            </w:r>
          </w:p>
        </w:tc>
        <w:tc>
          <w:tcPr>
            <w:tcW w:w="1290" w:type="dxa"/>
            <w:shd w:val="clear" w:color="auto" w:fill="ED7D31" w:themeFill="accent2"/>
          </w:tcPr>
          <w:p w14:paraId="6EC7B233"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2017</w:t>
            </w:r>
          </w:p>
        </w:tc>
        <w:tc>
          <w:tcPr>
            <w:tcW w:w="1304" w:type="dxa"/>
            <w:tcBorders>
              <w:bottom w:val="single" w:sz="4" w:space="0" w:color="auto"/>
            </w:tcBorders>
            <w:shd w:val="clear" w:color="auto" w:fill="ED7D31" w:themeFill="accent2"/>
          </w:tcPr>
          <w:p w14:paraId="7E0C34CD"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2018</w:t>
            </w:r>
          </w:p>
        </w:tc>
      </w:tr>
      <w:tr w:rsidR="00DF6837" w:rsidRPr="002E06CC" w14:paraId="5B210D57" w14:textId="77777777" w:rsidTr="00B62A65">
        <w:trPr>
          <w:jc w:val="center"/>
        </w:trPr>
        <w:tc>
          <w:tcPr>
            <w:tcW w:w="2772" w:type="dxa"/>
            <w:shd w:val="clear" w:color="auto" w:fill="D0CECE" w:themeFill="background2" w:themeFillShade="E6"/>
          </w:tcPr>
          <w:p w14:paraId="3CFB2E7A" w14:textId="77777777" w:rsidR="00DF6837" w:rsidRPr="002E06CC" w:rsidRDefault="00DF6837"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CEO: Remuneration</w:t>
            </w:r>
          </w:p>
        </w:tc>
        <w:tc>
          <w:tcPr>
            <w:tcW w:w="1290" w:type="dxa"/>
            <w:shd w:val="clear" w:color="auto" w:fill="D0CECE" w:themeFill="background2" w:themeFillShade="E6"/>
          </w:tcPr>
          <w:p w14:paraId="0B32C0DC"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825  869</w:t>
            </w:r>
          </w:p>
        </w:tc>
        <w:tc>
          <w:tcPr>
            <w:tcW w:w="1290" w:type="dxa"/>
            <w:shd w:val="clear" w:color="auto" w:fill="D0CECE" w:themeFill="background2" w:themeFillShade="E6"/>
          </w:tcPr>
          <w:p w14:paraId="351D76CA"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903 476</w:t>
            </w:r>
          </w:p>
        </w:tc>
        <w:tc>
          <w:tcPr>
            <w:tcW w:w="1304" w:type="dxa"/>
            <w:shd w:val="clear" w:color="auto" w:fill="D0CECE" w:themeFill="background2" w:themeFillShade="E6"/>
          </w:tcPr>
          <w:p w14:paraId="4662E612"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985 920</w:t>
            </w:r>
          </w:p>
        </w:tc>
      </w:tr>
      <w:tr w:rsidR="00DF6837" w:rsidRPr="002E06CC" w14:paraId="63D2E2D3" w14:textId="77777777" w:rsidTr="00B62A65">
        <w:trPr>
          <w:jc w:val="center"/>
        </w:trPr>
        <w:tc>
          <w:tcPr>
            <w:tcW w:w="2772" w:type="dxa"/>
            <w:shd w:val="clear" w:color="auto" w:fill="D0CECE" w:themeFill="background2" w:themeFillShade="E6"/>
          </w:tcPr>
          <w:p w14:paraId="1E09A36A" w14:textId="77777777" w:rsidR="00DF6837" w:rsidRPr="002E06CC" w:rsidRDefault="00DF6837" w:rsidP="002E06CC">
            <w:pPr>
              <w:spacing w:line="360" w:lineRule="auto"/>
              <w:jc w:val="both"/>
              <w:rPr>
                <w:rFonts w:ascii="Times New Roman" w:hAnsi="Times New Roman" w:cs="Times New Roman"/>
                <w:sz w:val="24"/>
                <w:szCs w:val="24"/>
              </w:rPr>
            </w:pPr>
            <w:r w:rsidRPr="002E06CC">
              <w:rPr>
                <w:rFonts w:ascii="Times New Roman" w:hAnsi="Times New Roman" w:cs="Times New Roman"/>
                <w:b/>
                <w:sz w:val="24"/>
                <w:szCs w:val="24"/>
              </w:rPr>
              <w:t xml:space="preserve">CEO: </w:t>
            </w:r>
            <w:r w:rsidRPr="002E06CC">
              <w:rPr>
                <w:rFonts w:ascii="Times New Roman" w:hAnsi="Times New Roman" w:cs="Times New Roman"/>
                <w:sz w:val="24"/>
                <w:szCs w:val="24"/>
              </w:rPr>
              <w:t xml:space="preserve"> Performance Bonus</w:t>
            </w:r>
          </w:p>
        </w:tc>
        <w:tc>
          <w:tcPr>
            <w:tcW w:w="1290" w:type="dxa"/>
            <w:shd w:val="clear" w:color="auto" w:fill="D0CECE" w:themeFill="background2" w:themeFillShade="E6"/>
          </w:tcPr>
          <w:p w14:paraId="72CEE70E"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165 174</w:t>
            </w:r>
          </w:p>
        </w:tc>
        <w:tc>
          <w:tcPr>
            <w:tcW w:w="1290" w:type="dxa"/>
            <w:shd w:val="clear" w:color="auto" w:fill="D0CECE" w:themeFill="background2" w:themeFillShade="E6"/>
          </w:tcPr>
          <w:p w14:paraId="06830438"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90 347</w:t>
            </w:r>
          </w:p>
        </w:tc>
        <w:tc>
          <w:tcPr>
            <w:tcW w:w="1304" w:type="dxa"/>
            <w:shd w:val="clear" w:color="auto" w:fill="D0CECE" w:themeFill="background2" w:themeFillShade="E6"/>
          </w:tcPr>
          <w:p w14:paraId="6B457CD5"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98 592</w:t>
            </w:r>
          </w:p>
        </w:tc>
      </w:tr>
      <w:tr w:rsidR="00DF6837" w:rsidRPr="002E06CC" w14:paraId="085DDF9B" w14:textId="77777777" w:rsidTr="00B62A65">
        <w:trPr>
          <w:jc w:val="center"/>
        </w:trPr>
        <w:tc>
          <w:tcPr>
            <w:tcW w:w="2772" w:type="dxa"/>
            <w:shd w:val="clear" w:color="auto" w:fill="D0CECE" w:themeFill="background2" w:themeFillShade="E6"/>
          </w:tcPr>
          <w:p w14:paraId="2C54A4C7" w14:textId="77777777" w:rsidR="00DF6837" w:rsidRPr="002E06CC" w:rsidRDefault="00DF6837"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CFO: Remuneration</w:t>
            </w:r>
          </w:p>
        </w:tc>
        <w:tc>
          <w:tcPr>
            <w:tcW w:w="1290" w:type="dxa"/>
            <w:shd w:val="clear" w:color="auto" w:fill="D0CECE" w:themeFill="background2" w:themeFillShade="E6"/>
          </w:tcPr>
          <w:p w14:paraId="46421DE4"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644 636</w:t>
            </w:r>
          </w:p>
        </w:tc>
        <w:tc>
          <w:tcPr>
            <w:tcW w:w="1290" w:type="dxa"/>
            <w:shd w:val="clear" w:color="auto" w:fill="D0CECE" w:themeFill="background2" w:themeFillShade="E6"/>
          </w:tcPr>
          <w:p w14:paraId="7181851F"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705 246</w:t>
            </w:r>
          </w:p>
        </w:tc>
        <w:tc>
          <w:tcPr>
            <w:tcW w:w="1304" w:type="dxa"/>
            <w:shd w:val="clear" w:color="auto" w:fill="D0CECE" w:themeFill="background2" w:themeFillShade="E6"/>
          </w:tcPr>
          <w:p w14:paraId="10DCF98A"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794 127</w:t>
            </w:r>
          </w:p>
        </w:tc>
      </w:tr>
      <w:tr w:rsidR="00DF6837" w:rsidRPr="002E06CC" w14:paraId="6FCD9032" w14:textId="77777777" w:rsidTr="00B62A65">
        <w:trPr>
          <w:jc w:val="center"/>
        </w:trPr>
        <w:tc>
          <w:tcPr>
            <w:tcW w:w="2772" w:type="dxa"/>
            <w:shd w:val="clear" w:color="auto" w:fill="D0CECE" w:themeFill="background2" w:themeFillShade="E6"/>
          </w:tcPr>
          <w:p w14:paraId="1457E0D4" w14:textId="77777777" w:rsidR="00DF6837" w:rsidRPr="002E06CC" w:rsidRDefault="00DF6837" w:rsidP="002E06CC">
            <w:pPr>
              <w:spacing w:line="360" w:lineRule="auto"/>
              <w:jc w:val="both"/>
              <w:rPr>
                <w:rFonts w:ascii="Times New Roman" w:hAnsi="Times New Roman" w:cs="Times New Roman"/>
                <w:sz w:val="24"/>
                <w:szCs w:val="24"/>
              </w:rPr>
            </w:pPr>
            <w:r w:rsidRPr="002E06CC">
              <w:rPr>
                <w:rFonts w:ascii="Times New Roman" w:hAnsi="Times New Roman" w:cs="Times New Roman"/>
                <w:b/>
                <w:sz w:val="24"/>
                <w:szCs w:val="24"/>
              </w:rPr>
              <w:t xml:space="preserve">CFO: </w:t>
            </w:r>
            <w:r w:rsidRPr="002E06CC">
              <w:rPr>
                <w:rFonts w:ascii="Times New Roman" w:hAnsi="Times New Roman" w:cs="Times New Roman"/>
                <w:sz w:val="24"/>
                <w:szCs w:val="24"/>
              </w:rPr>
              <w:t xml:space="preserve"> Performance Bonus</w:t>
            </w:r>
          </w:p>
        </w:tc>
        <w:tc>
          <w:tcPr>
            <w:tcW w:w="1290" w:type="dxa"/>
            <w:shd w:val="clear" w:color="auto" w:fill="D0CECE" w:themeFill="background2" w:themeFillShade="E6"/>
          </w:tcPr>
          <w:p w14:paraId="0A58DC3E"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128 927</w:t>
            </w:r>
          </w:p>
        </w:tc>
        <w:tc>
          <w:tcPr>
            <w:tcW w:w="1290" w:type="dxa"/>
            <w:shd w:val="clear" w:color="auto" w:fill="D0CECE" w:themeFill="background2" w:themeFillShade="E6"/>
          </w:tcPr>
          <w:p w14:paraId="0E05E4FB"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70 524</w:t>
            </w:r>
          </w:p>
        </w:tc>
        <w:tc>
          <w:tcPr>
            <w:tcW w:w="1304" w:type="dxa"/>
            <w:shd w:val="clear" w:color="auto" w:fill="D0CECE" w:themeFill="background2" w:themeFillShade="E6"/>
          </w:tcPr>
          <w:p w14:paraId="132E3C57"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79 413</w:t>
            </w:r>
          </w:p>
        </w:tc>
      </w:tr>
    </w:tbl>
    <w:p w14:paraId="3C21D004" w14:textId="77777777" w:rsidR="00DF6837" w:rsidRPr="002E06CC" w:rsidRDefault="00DF6837" w:rsidP="002E06CC">
      <w:pPr>
        <w:spacing w:line="360" w:lineRule="auto"/>
        <w:jc w:val="center"/>
        <w:rPr>
          <w:rFonts w:ascii="Times New Roman" w:hAnsi="Times New Roman" w:cs="Times New Roman"/>
          <w:b/>
          <w:sz w:val="24"/>
          <w:szCs w:val="24"/>
        </w:rPr>
      </w:pPr>
    </w:p>
    <w:p w14:paraId="7835FB0C"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Table 4: Performance rewards</w:t>
      </w:r>
    </w:p>
    <w:tbl>
      <w:tblPr>
        <w:tblStyle w:val="TableGrid"/>
        <w:tblW w:w="0" w:type="auto"/>
        <w:tblLook w:val="04A0" w:firstRow="1" w:lastRow="0" w:firstColumn="1" w:lastColumn="0" w:noHBand="0" w:noVBand="1"/>
      </w:tblPr>
      <w:tblGrid>
        <w:gridCol w:w="2689"/>
        <w:gridCol w:w="1981"/>
        <w:gridCol w:w="2267"/>
        <w:gridCol w:w="2685"/>
      </w:tblGrid>
      <w:tr w:rsidR="00DF6837" w:rsidRPr="002E06CC" w14:paraId="7DD155BA" w14:textId="77777777" w:rsidTr="00646E8F">
        <w:tc>
          <w:tcPr>
            <w:tcW w:w="2689" w:type="dxa"/>
            <w:tcBorders>
              <w:bottom w:val="single" w:sz="4" w:space="0" w:color="auto"/>
            </w:tcBorders>
            <w:shd w:val="clear" w:color="auto" w:fill="ED7D31" w:themeFill="accent2"/>
          </w:tcPr>
          <w:p w14:paraId="49ECF425" w14:textId="77777777" w:rsidR="00DF6837" w:rsidRPr="002E06CC" w:rsidRDefault="00DF6837"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Employment category</w:t>
            </w:r>
          </w:p>
        </w:tc>
        <w:tc>
          <w:tcPr>
            <w:tcW w:w="1981" w:type="dxa"/>
            <w:shd w:val="clear" w:color="auto" w:fill="ED7D31" w:themeFill="accent2"/>
          </w:tcPr>
          <w:p w14:paraId="225F01CA"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Performance reward (R’000)</w:t>
            </w:r>
          </w:p>
        </w:tc>
        <w:tc>
          <w:tcPr>
            <w:tcW w:w="2267" w:type="dxa"/>
            <w:shd w:val="clear" w:color="auto" w:fill="ED7D31" w:themeFill="accent2"/>
          </w:tcPr>
          <w:p w14:paraId="31D46DC3"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Personnel expenditure (R’000)</w:t>
            </w:r>
          </w:p>
        </w:tc>
        <w:tc>
          <w:tcPr>
            <w:tcW w:w="2685" w:type="dxa"/>
            <w:tcBorders>
              <w:bottom w:val="single" w:sz="4" w:space="0" w:color="auto"/>
            </w:tcBorders>
            <w:shd w:val="clear" w:color="auto" w:fill="ED7D31" w:themeFill="accent2"/>
          </w:tcPr>
          <w:p w14:paraId="3D83A157"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 performance reward to total personnel cost</w:t>
            </w:r>
          </w:p>
        </w:tc>
      </w:tr>
      <w:tr w:rsidR="00DF6837" w:rsidRPr="002E06CC" w14:paraId="2CAEE720" w14:textId="77777777" w:rsidTr="00B62A65">
        <w:tc>
          <w:tcPr>
            <w:tcW w:w="2689" w:type="dxa"/>
            <w:shd w:val="clear" w:color="auto" w:fill="D0CECE" w:themeFill="background2" w:themeFillShade="E6"/>
          </w:tcPr>
          <w:p w14:paraId="62D2B994" w14:textId="77777777" w:rsidR="00DF6837" w:rsidRPr="002E06CC" w:rsidRDefault="00DF6837"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 xml:space="preserve">Top Management </w:t>
            </w:r>
          </w:p>
        </w:tc>
        <w:tc>
          <w:tcPr>
            <w:tcW w:w="1981" w:type="dxa"/>
            <w:shd w:val="clear" w:color="auto" w:fill="D0CECE" w:themeFill="background2" w:themeFillShade="E6"/>
          </w:tcPr>
          <w:p w14:paraId="49264A17"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R169</w:t>
            </w:r>
          </w:p>
        </w:tc>
        <w:tc>
          <w:tcPr>
            <w:tcW w:w="2267" w:type="dxa"/>
            <w:shd w:val="clear" w:color="auto" w:fill="D0CECE" w:themeFill="background2" w:themeFillShade="E6"/>
          </w:tcPr>
          <w:p w14:paraId="5CF540B3"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R1 896</w:t>
            </w:r>
          </w:p>
        </w:tc>
        <w:tc>
          <w:tcPr>
            <w:tcW w:w="2685" w:type="dxa"/>
            <w:shd w:val="clear" w:color="auto" w:fill="D0CECE" w:themeFill="background2" w:themeFillShade="E6"/>
          </w:tcPr>
          <w:p w14:paraId="47C005E4"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8.9 (3.0% FY 2016/17)</w:t>
            </w:r>
          </w:p>
        </w:tc>
      </w:tr>
      <w:tr w:rsidR="00DF6837" w:rsidRPr="002E06CC" w14:paraId="2A6E3D84" w14:textId="77777777" w:rsidTr="00B62A65">
        <w:tc>
          <w:tcPr>
            <w:tcW w:w="2689" w:type="dxa"/>
            <w:shd w:val="clear" w:color="auto" w:fill="D0CECE" w:themeFill="background2" w:themeFillShade="E6"/>
          </w:tcPr>
          <w:p w14:paraId="4CE594A9" w14:textId="77777777" w:rsidR="00DF6837" w:rsidRPr="002E06CC" w:rsidRDefault="00DF6837"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 xml:space="preserve">Senior Management </w:t>
            </w:r>
          </w:p>
        </w:tc>
        <w:tc>
          <w:tcPr>
            <w:tcW w:w="1981" w:type="dxa"/>
            <w:shd w:val="clear" w:color="auto" w:fill="D0CECE" w:themeFill="background2" w:themeFillShade="E6"/>
          </w:tcPr>
          <w:p w14:paraId="1E84EFAA"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R209</w:t>
            </w:r>
          </w:p>
        </w:tc>
        <w:tc>
          <w:tcPr>
            <w:tcW w:w="2267" w:type="dxa"/>
            <w:shd w:val="clear" w:color="auto" w:fill="D0CECE" w:themeFill="background2" w:themeFillShade="E6"/>
          </w:tcPr>
          <w:p w14:paraId="6CEAFF2F"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R1 179</w:t>
            </w:r>
          </w:p>
        </w:tc>
        <w:tc>
          <w:tcPr>
            <w:tcW w:w="2685" w:type="dxa"/>
            <w:shd w:val="clear" w:color="auto" w:fill="D0CECE" w:themeFill="background2" w:themeFillShade="E6"/>
          </w:tcPr>
          <w:p w14:paraId="0E4C9148"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17.7% (3.3% FY 2016/17</w:t>
            </w:r>
          </w:p>
        </w:tc>
      </w:tr>
      <w:tr w:rsidR="00DF6837" w:rsidRPr="002E06CC" w14:paraId="6D6E5868" w14:textId="77777777" w:rsidTr="00B62A65">
        <w:tc>
          <w:tcPr>
            <w:tcW w:w="2689" w:type="dxa"/>
            <w:shd w:val="clear" w:color="auto" w:fill="D0CECE" w:themeFill="background2" w:themeFillShade="E6"/>
          </w:tcPr>
          <w:p w14:paraId="623AB9EE" w14:textId="77777777" w:rsidR="00DF6837" w:rsidRPr="002E06CC" w:rsidRDefault="00DF6837"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 xml:space="preserve">Professionally qualified </w:t>
            </w:r>
          </w:p>
        </w:tc>
        <w:tc>
          <w:tcPr>
            <w:tcW w:w="1981" w:type="dxa"/>
            <w:shd w:val="clear" w:color="auto" w:fill="D0CECE" w:themeFill="background2" w:themeFillShade="E6"/>
          </w:tcPr>
          <w:p w14:paraId="01FBDC85"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R9</w:t>
            </w:r>
          </w:p>
        </w:tc>
        <w:tc>
          <w:tcPr>
            <w:tcW w:w="2267" w:type="dxa"/>
            <w:shd w:val="clear" w:color="auto" w:fill="D0CECE" w:themeFill="background2" w:themeFillShade="E6"/>
          </w:tcPr>
          <w:p w14:paraId="364793DD"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R532</w:t>
            </w:r>
          </w:p>
        </w:tc>
        <w:tc>
          <w:tcPr>
            <w:tcW w:w="2685" w:type="dxa"/>
            <w:shd w:val="clear" w:color="auto" w:fill="D0CECE" w:themeFill="background2" w:themeFillShade="E6"/>
          </w:tcPr>
          <w:p w14:paraId="73004BF1" w14:textId="77777777" w:rsidR="00DF6837" w:rsidRPr="002E06CC" w:rsidRDefault="00DF6837"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1.7% (0.4% FY 2016/17</w:t>
            </w:r>
          </w:p>
        </w:tc>
      </w:tr>
      <w:tr w:rsidR="00DF6837" w:rsidRPr="002E06CC" w14:paraId="67958EAD" w14:textId="77777777" w:rsidTr="00B62A65">
        <w:tc>
          <w:tcPr>
            <w:tcW w:w="2689" w:type="dxa"/>
            <w:shd w:val="clear" w:color="auto" w:fill="D0CECE" w:themeFill="background2" w:themeFillShade="E6"/>
          </w:tcPr>
          <w:p w14:paraId="3D42715D" w14:textId="77777777" w:rsidR="00DF6837" w:rsidRPr="002E06CC" w:rsidRDefault="00DF6837"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TOTAL</w:t>
            </w:r>
          </w:p>
        </w:tc>
        <w:tc>
          <w:tcPr>
            <w:tcW w:w="1981" w:type="dxa"/>
            <w:shd w:val="clear" w:color="auto" w:fill="D0CECE" w:themeFill="background2" w:themeFillShade="E6"/>
          </w:tcPr>
          <w:p w14:paraId="3903BFB2"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R387</w:t>
            </w:r>
          </w:p>
        </w:tc>
        <w:tc>
          <w:tcPr>
            <w:tcW w:w="2267" w:type="dxa"/>
            <w:shd w:val="clear" w:color="auto" w:fill="D0CECE" w:themeFill="background2" w:themeFillShade="E6"/>
          </w:tcPr>
          <w:p w14:paraId="5FDDF15E"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R3 607</w:t>
            </w:r>
          </w:p>
        </w:tc>
        <w:tc>
          <w:tcPr>
            <w:tcW w:w="2685" w:type="dxa"/>
            <w:shd w:val="clear" w:color="auto" w:fill="D0CECE" w:themeFill="background2" w:themeFillShade="E6"/>
          </w:tcPr>
          <w:p w14:paraId="60819DF4" w14:textId="77777777" w:rsidR="00DF6837" w:rsidRPr="002E06CC" w:rsidRDefault="00DF6837"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 xml:space="preserve">10.7 (6.7% </w:t>
            </w:r>
            <w:r w:rsidRPr="002E06CC">
              <w:rPr>
                <w:rFonts w:ascii="Times New Roman" w:hAnsi="Times New Roman" w:cs="Times New Roman"/>
                <w:sz w:val="24"/>
                <w:szCs w:val="24"/>
              </w:rPr>
              <w:t>FY 2016/17)</w:t>
            </w:r>
          </w:p>
        </w:tc>
      </w:tr>
    </w:tbl>
    <w:p w14:paraId="6F8F7868" w14:textId="77777777" w:rsidR="00DF6837" w:rsidRPr="002E06CC" w:rsidRDefault="00DF6837" w:rsidP="002E06CC">
      <w:pPr>
        <w:spacing w:line="360" w:lineRule="auto"/>
        <w:jc w:val="both"/>
        <w:rPr>
          <w:rFonts w:ascii="Times New Roman" w:hAnsi="Times New Roman" w:cs="Times New Roman"/>
          <w:b/>
          <w:sz w:val="24"/>
          <w:szCs w:val="24"/>
        </w:rPr>
      </w:pPr>
    </w:p>
    <w:p w14:paraId="6E0B2DC2" w14:textId="77777777" w:rsidR="00DF6837" w:rsidRPr="002E06CC" w:rsidRDefault="00DF6837"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7.2</w:t>
      </w:r>
      <w:r w:rsidRPr="002E06CC">
        <w:rPr>
          <w:rFonts w:ascii="Times New Roman" w:hAnsi="Times New Roman" w:cs="Times New Roman"/>
          <w:b/>
          <w:sz w:val="24"/>
          <w:szCs w:val="24"/>
        </w:rPr>
        <w:tab/>
        <w:t>Employee related costs</w:t>
      </w:r>
    </w:p>
    <w:p w14:paraId="3DE74E9B" w14:textId="77777777" w:rsidR="00DF6837" w:rsidRPr="002E06CC" w:rsidRDefault="00DF6837" w:rsidP="002E06CC">
      <w:pPr>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 xml:space="preserve">The Report indicates that the cost related to employees for FY 2017/18 was R5 796 662 as opposed to R5 393 000 for FY 2016/17 and R3 361 566 in FY2015/16.  It was R3 092 162 in FY 2014/15 and R1 775 000 in FY 2013/14. </w:t>
      </w:r>
    </w:p>
    <w:p w14:paraId="6DBF7622" w14:textId="77777777" w:rsidR="00DF6837" w:rsidRPr="002E06CC" w:rsidRDefault="00DF6837" w:rsidP="002E06CC">
      <w:pPr>
        <w:spacing w:after="0" w:line="360" w:lineRule="auto"/>
        <w:jc w:val="both"/>
        <w:outlineLvl w:val="0"/>
        <w:rPr>
          <w:rFonts w:ascii="Times New Roman" w:eastAsia="Arial Unicode MS" w:hAnsi="Times New Roman" w:cs="Times New Roman"/>
          <w:b/>
          <w:caps/>
          <w:sz w:val="24"/>
          <w:szCs w:val="24"/>
          <w:u w:color="000000"/>
          <w:lang w:eastAsia="en-ZA"/>
        </w:rPr>
      </w:pPr>
      <w:r w:rsidRPr="002E06CC">
        <w:rPr>
          <w:rFonts w:ascii="Times New Roman" w:eastAsia="Arial Unicode MS" w:hAnsi="Times New Roman" w:cs="Times New Roman"/>
          <w:b/>
          <w:caps/>
          <w:sz w:val="24"/>
          <w:szCs w:val="24"/>
          <w:u w:color="000000"/>
          <w:lang w:eastAsia="en-ZA"/>
        </w:rPr>
        <w:t>8.</w:t>
      </w:r>
      <w:r w:rsidRPr="002E06CC">
        <w:rPr>
          <w:rFonts w:ascii="Times New Roman" w:eastAsia="Arial Unicode MS" w:hAnsi="Times New Roman" w:cs="Times New Roman"/>
          <w:b/>
          <w:caps/>
          <w:sz w:val="24"/>
          <w:szCs w:val="24"/>
          <w:u w:color="000000"/>
          <w:lang w:eastAsia="en-ZA"/>
        </w:rPr>
        <w:tab/>
        <w:t>COMMITTEE OBSERVATIONS: CASTLE CONTROL BOARD</w:t>
      </w:r>
    </w:p>
    <w:p w14:paraId="6523F0C8" w14:textId="77777777" w:rsidR="00DF6837" w:rsidRPr="002E06CC" w:rsidRDefault="00DF6837" w:rsidP="002E06CC">
      <w:pPr>
        <w:spacing w:after="0" w:line="360" w:lineRule="auto"/>
        <w:jc w:val="both"/>
        <w:outlineLvl w:val="0"/>
        <w:rPr>
          <w:rFonts w:ascii="Times New Roman" w:eastAsia="Arial Unicode MS" w:hAnsi="Times New Roman" w:cs="Times New Roman"/>
          <w:b/>
          <w:caps/>
          <w:sz w:val="24"/>
          <w:szCs w:val="24"/>
          <w:u w:color="000000"/>
          <w:lang w:eastAsia="en-ZA"/>
        </w:rPr>
      </w:pPr>
    </w:p>
    <w:p w14:paraId="2ED9215E"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eastAsia="en-ZA"/>
        </w:rPr>
      </w:pPr>
      <w:r w:rsidRPr="002E06CC">
        <w:rPr>
          <w:rFonts w:ascii="Times New Roman" w:eastAsia="Arial Unicode MS" w:hAnsi="Times New Roman" w:cs="Times New Roman"/>
          <w:sz w:val="24"/>
          <w:szCs w:val="24"/>
          <w:u w:color="000000"/>
          <w:lang w:eastAsia="en-ZA"/>
        </w:rPr>
        <w:t>The following Observation were made regarding the CCB</w:t>
      </w:r>
      <w:r w:rsidR="000E48D5" w:rsidRPr="002E06CC">
        <w:rPr>
          <w:rFonts w:ascii="Times New Roman" w:eastAsia="Arial Unicode MS" w:hAnsi="Times New Roman" w:cs="Times New Roman"/>
          <w:sz w:val="24"/>
          <w:szCs w:val="24"/>
          <w:u w:color="000000"/>
          <w:lang w:eastAsia="en-ZA"/>
        </w:rPr>
        <w:t>:</w:t>
      </w:r>
    </w:p>
    <w:p w14:paraId="5AE1DE86"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eastAsia="en-ZA"/>
        </w:rPr>
      </w:pPr>
    </w:p>
    <w:p w14:paraId="2622B08B" w14:textId="77777777" w:rsidR="00DF6837" w:rsidRPr="002E06CC" w:rsidRDefault="00DF6837" w:rsidP="002E06CC">
      <w:pPr>
        <w:pStyle w:val="ListParagraph"/>
        <w:numPr>
          <w:ilvl w:val="0"/>
          <w:numId w:val="36"/>
        </w:numPr>
        <w:autoSpaceDE w:val="0"/>
        <w:autoSpaceDN w:val="0"/>
        <w:adjustRightInd w:val="0"/>
        <w:spacing w:after="0" w:line="360" w:lineRule="auto"/>
        <w:jc w:val="both"/>
        <w:rPr>
          <w:rFonts w:ascii="Times New Roman" w:eastAsia="Arial Unicode MS" w:hAnsi="Times New Roman"/>
          <w:sz w:val="24"/>
          <w:szCs w:val="24"/>
          <w:u w:color="000000"/>
          <w:lang w:eastAsia="en-ZA"/>
        </w:rPr>
      </w:pPr>
      <w:r w:rsidRPr="002E06CC">
        <w:rPr>
          <w:rFonts w:ascii="Times New Roman" w:hAnsi="Times New Roman"/>
          <w:sz w:val="24"/>
          <w:szCs w:val="24"/>
          <w:u w:color="000000"/>
          <w:lang w:eastAsia="en-ZA"/>
        </w:rPr>
        <w:t xml:space="preserve">The Auditor-General and the Committee have expressed concern about the viability of the CCB as a </w:t>
      </w:r>
      <w:r w:rsidRPr="002E06CC">
        <w:rPr>
          <w:rFonts w:ascii="Times New Roman" w:hAnsi="Times New Roman"/>
          <w:i/>
          <w:sz w:val="24"/>
          <w:szCs w:val="24"/>
          <w:u w:color="000000"/>
          <w:lang w:eastAsia="en-ZA"/>
        </w:rPr>
        <w:t>Going concern</w:t>
      </w:r>
      <w:r w:rsidRPr="002E06CC">
        <w:rPr>
          <w:rFonts w:ascii="Times New Roman" w:hAnsi="Times New Roman"/>
          <w:sz w:val="24"/>
          <w:szCs w:val="24"/>
          <w:u w:color="000000"/>
          <w:lang w:eastAsia="en-ZA"/>
        </w:rPr>
        <w:t xml:space="preserve"> for various reasons including that the </w:t>
      </w:r>
      <w:r w:rsidRPr="002E06CC">
        <w:rPr>
          <w:rFonts w:ascii="Times New Roman" w:hAnsi="Times New Roman"/>
          <w:sz w:val="24"/>
          <w:szCs w:val="24"/>
        </w:rPr>
        <w:t xml:space="preserve">entity incurred a net loss of R 2 630 141, and that its current liabilities exceeded its current assets by R 236 296, in the year under review. </w:t>
      </w:r>
      <w:r w:rsidR="000E48D5" w:rsidRPr="002E06CC">
        <w:rPr>
          <w:rFonts w:ascii="Times New Roman" w:hAnsi="Times New Roman"/>
          <w:sz w:val="24"/>
          <w:szCs w:val="24"/>
        </w:rPr>
        <w:t>The Committee further noted with concern the intention to request “</w:t>
      </w:r>
      <w:r w:rsidR="000E48D5" w:rsidRPr="002E06CC">
        <w:rPr>
          <w:rFonts w:ascii="Times New Roman" w:hAnsi="Times New Roman"/>
          <w:i/>
          <w:sz w:val="24"/>
          <w:szCs w:val="24"/>
        </w:rPr>
        <w:t>direct funding grant from National Treasury</w:t>
      </w:r>
      <w:r w:rsidR="000E48D5" w:rsidRPr="002E06CC">
        <w:rPr>
          <w:rFonts w:ascii="Times New Roman" w:hAnsi="Times New Roman"/>
          <w:sz w:val="24"/>
          <w:szCs w:val="24"/>
        </w:rPr>
        <w:t xml:space="preserve">.” </w:t>
      </w:r>
    </w:p>
    <w:p w14:paraId="1BDB939F" w14:textId="77777777" w:rsidR="00DF6837" w:rsidRPr="002E06CC" w:rsidRDefault="00DF6837" w:rsidP="002E06CC">
      <w:pPr>
        <w:pStyle w:val="ListParagraph"/>
        <w:numPr>
          <w:ilvl w:val="0"/>
          <w:numId w:val="36"/>
        </w:numPr>
        <w:spacing w:after="0" w:line="360" w:lineRule="auto"/>
        <w:jc w:val="both"/>
        <w:outlineLvl w:val="0"/>
        <w:rPr>
          <w:rFonts w:ascii="Times New Roman" w:eastAsia="Arial Unicode MS" w:hAnsi="Times New Roman"/>
          <w:sz w:val="24"/>
          <w:szCs w:val="24"/>
          <w:u w:color="000000"/>
          <w:lang w:eastAsia="en-ZA"/>
        </w:rPr>
      </w:pPr>
      <w:r w:rsidRPr="002E06CC">
        <w:rPr>
          <w:rFonts w:ascii="Times New Roman" w:hAnsi="Times New Roman"/>
          <w:sz w:val="24"/>
          <w:szCs w:val="24"/>
        </w:rPr>
        <w:t>The Committee enquired about the progress made with the security and safety aspects of both visitors and staff at the CGH, given that this has been raised as a strategic risk over the last three years.</w:t>
      </w:r>
    </w:p>
    <w:p w14:paraId="51BB0D68" w14:textId="77777777" w:rsidR="00DF6837" w:rsidRPr="002E06CC" w:rsidRDefault="00DF6837" w:rsidP="002E06CC">
      <w:pPr>
        <w:pStyle w:val="ListParagraph"/>
        <w:numPr>
          <w:ilvl w:val="0"/>
          <w:numId w:val="36"/>
        </w:numPr>
        <w:spacing w:after="0" w:line="360" w:lineRule="auto"/>
        <w:jc w:val="both"/>
        <w:outlineLvl w:val="0"/>
        <w:rPr>
          <w:rFonts w:ascii="Times New Roman" w:eastAsia="Arial Unicode MS" w:hAnsi="Times New Roman"/>
          <w:sz w:val="24"/>
          <w:szCs w:val="24"/>
          <w:u w:color="000000"/>
          <w:lang w:eastAsia="en-ZA"/>
        </w:rPr>
      </w:pPr>
      <w:r w:rsidRPr="002E06CC">
        <w:rPr>
          <w:rFonts w:ascii="Times New Roman" w:hAnsi="Times New Roman"/>
          <w:sz w:val="24"/>
          <w:szCs w:val="24"/>
        </w:rPr>
        <w:t>The Committee, as in the previous financial year, observed the amounts provisio</w:t>
      </w:r>
      <w:r w:rsidR="00BD3EF3" w:rsidRPr="002E06CC">
        <w:rPr>
          <w:rFonts w:ascii="Times New Roman" w:hAnsi="Times New Roman"/>
          <w:sz w:val="24"/>
          <w:szCs w:val="24"/>
        </w:rPr>
        <w:t>nally allocated as performance re</w:t>
      </w:r>
      <w:r w:rsidRPr="002E06CC">
        <w:rPr>
          <w:rFonts w:ascii="Times New Roman" w:hAnsi="Times New Roman"/>
          <w:sz w:val="24"/>
          <w:szCs w:val="24"/>
        </w:rPr>
        <w:t xml:space="preserve">wards for especially the CEO and the CFO. It </w:t>
      </w:r>
      <w:r w:rsidRPr="002E06CC">
        <w:rPr>
          <w:rFonts w:ascii="Times New Roman" w:eastAsia="Arial Unicode MS" w:hAnsi="Times New Roman"/>
          <w:sz w:val="24"/>
          <w:szCs w:val="24"/>
          <w:u w:color="000000"/>
          <w:lang w:eastAsia="en-ZA"/>
        </w:rPr>
        <w:t>reiterated that it was not again</w:t>
      </w:r>
      <w:r w:rsidR="00BD3EF3" w:rsidRPr="002E06CC">
        <w:rPr>
          <w:rFonts w:ascii="Times New Roman" w:eastAsia="Arial Unicode MS" w:hAnsi="Times New Roman"/>
          <w:sz w:val="24"/>
          <w:szCs w:val="24"/>
          <w:u w:color="000000"/>
          <w:lang w:eastAsia="en-ZA"/>
        </w:rPr>
        <w:t>st the awarding of performance re</w:t>
      </w:r>
      <w:r w:rsidRPr="002E06CC">
        <w:rPr>
          <w:rFonts w:ascii="Times New Roman" w:eastAsia="Arial Unicode MS" w:hAnsi="Times New Roman"/>
          <w:sz w:val="24"/>
          <w:szCs w:val="24"/>
          <w:u w:color="000000"/>
          <w:lang w:eastAsia="en-ZA"/>
        </w:rPr>
        <w:t xml:space="preserve">wards, but wanted to know the amounts paid to the CEO and CFO in the three preceding financial years. </w:t>
      </w:r>
    </w:p>
    <w:p w14:paraId="0FFE3609" w14:textId="77777777" w:rsidR="00DF6837" w:rsidRPr="002E06CC" w:rsidRDefault="00DF6837" w:rsidP="002E06CC">
      <w:pPr>
        <w:pStyle w:val="ListParagraph"/>
        <w:numPr>
          <w:ilvl w:val="0"/>
          <w:numId w:val="36"/>
        </w:numPr>
        <w:spacing w:after="0" w:line="360" w:lineRule="auto"/>
        <w:jc w:val="both"/>
        <w:outlineLvl w:val="0"/>
        <w:rPr>
          <w:rFonts w:ascii="Times New Roman" w:eastAsia="Arial Unicode MS" w:hAnsi="Times New Roman"/>
          <w:sz w:val="24"/>
          <w:szCs w:val="24"/>
          <w:u w:color="000000"/>
          <w:lang w:eastAsia="en-ZA"/>
        </w:rPr>
      </w:pPr>
      <w:r w:rsidRPr="002E06CC">
        <w:rPr>
          <w:rFonts w:ascii="Times New Roman" w:hAnsi="Times New Roman"/>
          <w:sz w:val="24"/>
          <w:szCs w:val="24"/>
        </w:rPr>
        <w:t>Given that the A-G found that material losses of R 270 000 were incurred as a result of a write-off of irrecoverable trade debtors, the Committee requested more information on this issue, especially since R220 000 of the amount, was due to a transaction with the Department of Military Veterans.</w:t>
      </w:r>
    </w:p>
    <w:p w14:paraId="266BB649" w14:textId="77777777" w:rsidR="00DF6837" w:rsidRPr="002E06CC" w:rsidRDefault="00DF6837" w:rsidP="002E06CC">
      <w:pPr>
        <w:pStyle w:val="ListParagraph"/>
        <w:numPr>
          <w:ilvl w:val="0"/>
          <w:numId w:val="36"/>
        </w:numPr>
        <w:spacing w:after="0" w:line="360" w:lineRule="auto"/>
        <w:jc w:val="both"/>
        <w:outlineLvl w:val="0"/>
        <w:rPr>
          <w:rFonts w:ascii="Times New Roman" w:eastAsia="Arial Unicode MS" w:hAnsi="Times New Roman"/>
          <w:sz w:val="24"/>
          <w:szCs w:val="24"/>
          <w:u w:color="000000"/>
          <w:lang w:eastAsia="en-ZA"/>
        </w:rPr>
      </w:pPr>
      <w:r w:rsidRPr="002E06CC">
        <w:rPr>
          <w:rFonts w:ascii="Times New Roman" w:eastAsia="Arial Unicode MS" w:hAnsi="Times New Roman"/>
          <w:sz w:val="24"/>
          <w:szCs w:val="24"/>
          <w:u w:color="000000"/>
          <w:lang w:eastAsia="en-ZA"/>
        </w:rPr>
        <w:t xml:space="preserve">The Committee observed that the </w:t>
      </w:r>
      <w:r w:rsidRPr="002E06CC">
        <w:rPr>
          <w:rFonts w:ascii="Times New Roman" w:eastAsiaTheme="minorHAnsi" w:hAnsi="Times New Roman"/>
          <w:sz w:val="24"/>
          <w:szCs w:val="24"/>
        </w:rPr>
        <w:t>winding down of the Castle Military Museum Foundation was listed as a strategic risk and required more information on this issue.</w:t>
      </w:r>
    </w:p>
    <w:p w14:paraId="0D3CDF25" w14:textId="77777777" w:rsidR="00DF6837" w:rsidRPr="002E06CC" w:rsidRDefault="00DF6837" w:rsidP="002E06CC">
      <w:pPr>
        <w:pStyle w:val="ListParagraph"/>
        <w:numPr>
          <w:ilvl w:val="0"/>
          <w:numId w:val="36"/>
        </w:numPr>
        <w:spacing w:after="0" w:line="360" w:lineRule="auto"/>
        <w:jc w:val="both"/>
        <w:outlineLvl w:val="0"/>
        <w:rPr>
          <w:rFonts w:ascii="Times New Roman" w:eastAsia="Arial Unicode MS" w:hAnsi="Times New Roman"/>
          <w:sz w:val="24"/>
          <w:szCs w:val="24"/>
          <w:u w:color="000000"/>
          <w:lang w:eastAsia="en-ZA"/>
        </w:rPr>
      </w:pPr>
      <w:r w:rsidRPr="002E06CC">
        <w:rPr>
          <w:rFonts w:ascii="Times New Roman" w:eastAsiaTheme="minorHAnsi" w:hAnsi="Times New Roman"/>
          <w:sz w:val="24"/>
          <w:szCs w:val="24"/>
        </w:rPr>
        <w:t xml:space="preserve">The ring-fenced R4.5 million “subsidy” from the Department of Defence for </w:t>
      </w:r>
      <w:r w:rsidRPr="002E06CC">
        <w:rPr>
          <w:rFonts w:ascii="Times New Roman" w:hAnsi="Times New Roman"/>
          <w:sz w:val="24"/>
          <w:szCs w:val="24"/>
        </w:rPr>
        <w:t>emergency, preventative and general maintenance and repairs</w:t>
      </w:r>
      <w:r w:rsidRPr="002E06CC">
        <w:rPr>
          <w:rFonts w:ascii="Times New Roman" w:eastAsiaTheme="minorHAnsi" w:hAnsi="Times New Roman"/>
          <w:sz w:val="24"/>
          <w:szCs w:val="24"/>
        </w:rPr>
        <w:t xml:space="preserve"> at the CGH to the CCB was received for the first time in the year under review and the Committee requested more information in this regard.</w:t>
      </w:r>
    </w:p>
    <w:p w14:paraId="734952FF" w14:textId="77777777" w:rsidR="00DF6837" w:rsidRPr="002E06CC" w:rsidRDefault="00DF6837" w:rsidP="002E06CC">
      <w:pPr>
        <w:pStyle w:val="ListParagraph"/>
        <w:numPr>
          <w:ilvl w:val="0"/>
          <w:numId w:val="36"/>
        </w:numPr>
        <w:spacing w:after="0" w:line="360" w:lineRule="auto"/>
        <w:jc w:val="both"/>
        <w:outlineLvl w:val="0"/>
        <w:rPr>
          <w:rFonts w:ascii="Times New Roman" w:eastAsia="Arial Unicode MS" w:hAnsi="Times New Roman"/>
          <w:sz w:val="24"/>
          <w:szCs w:val="24"/>
          <w:u w:color="000000"/>
          <w:lang w:eastAsia="en-ZA"/>
        </w:rPr>
      </w:pPr>
      <w:r w:rsidRPr="002E06CC">
        <w:rPr>
          <w:rFonts w:ascii="Times New Roman" w:eastAsiaTheme="minorHAnsi" w:hAnsi="Times New Roman"/>
          <w:sz w:val="24"/>
          <w:szCs w:val="24"/>
        </w:rPr>
        <w:t xml:space="preserve">The Committee observed the numerous number of heritage events, events and film shoots and exhibitions at the CGH and wanted to know the criteria for utilising the facility for these purposes. </w:t>
      </w:r>
    </w:p>
    <w:p w14:paraId="5F02088E" w14:textId="77777777" w:rsidR="00DF6837" w:rsidRPr="002E06CC" w:rsidRDefault="00DF6837" w:rsidP="002E06CC">
      <w:pPr>
        <w:pStyle w:val="ListParagraph"/>
        <w:numPr>
          <w:ilvl w:val="0"/>
          <w:numId w:val="36"/>
        </w:numPr>
        <w:spacing w:after="0" w:line="360" w:lineRule="auto"/>
        <w:jc w:val="both"/>
        <w:outlineLvl w:val="0"/>
        <w:rPr>
          <w:rFonts w:ascii="Times New Roman" w:eastAsia="Arial Unicode MS" w:hAnsi="Times New Roman"/>
          <w:sz w:val="24"/>
          <w:szCs w:val="24"/>
          <w:u w:color="000000"/>
          <w:lang w:eastAsia="en-ZA"/>
        </w:rPr>
      </w:pPr>
      <w:r w:rsidRPr="002E06CC">
        <w:rPr>
          <w:rFonts w:ascii="Times New Roman" w:eastAsiaTheme="minorHAnsi" w:hAnsi="Times New Roman"/>
          <w:sz w:val="24"/>
          <w:szCs w:val="24"/>
        </w:rPr>
        <w:t>The listing of the “</w:t>
      </w:r>
      <w:r w:rsidRPr="002E06CC">
        <w:rPr>
          <w:rFonts w:ascii="Times New Roman" w:hAnsi="Times New Roman"/>
          <w:i/>
          <w:sz w:val="24"/>
          <w:szCs w:val="24"/>
        </w:rPr>
        <w:t>signing of a shareholder’s agreement with the Ministry and the activating of the partnerships with other government departments</w:t>
      </w:r>
      <w:r w:rsidRPr="002E06CC">
        <w:rPr>
          <w:rFonts w:ascii="Times New Roman" w:hAnsi="Times New Roman"/>
          <w:sz w:val="24"/>
          <w:szCs w:val="24"/>
        </w:rPr>
        <w:t xml:space="preserve">” was listed as a strategic risk and the Committee wanted this clarified. </w:t>
      </w:r>
    </w:p>
    <w:p w14:paraId="6C0F1C9B" w14:textId="77777777" w:rsidR="00DF6837" w:rsidRPr="002E06CC" w:rsidRDefault="00DF6837" w:rsidP="002E06CC">
      <w:pPr>
        <w:pStyle w:val="ListParagraph"/>
        <w:numPr>
          <w:ilvl w:val="0"/>
          <w:numId w:val="36"/>
        </w:numPr>
        <w:spacing w:after="0" w:line="360" w:lineRule="auto"/>
        <w:jc w:val="both"/>
        <w:outlineLvl w:val="0"/>
        <w:rPr>
          <w:rFonts w:ascii="Times New Roman" w:eastAsia="Arial Unicode MS" w:hAnsi="Times New Roman"/>
          <w:sz w:val="24"/>
          <w:szCs w:val="24"/>
          <w:u w:color="000000"/>
          <w:lang w:eastAsia="en-ZA"/>
        </w:rPr>
      </w:pPr>
      <w:r w:rsidRPr="002E06CC">
        <w:rPr>
          <w:rFonts w:ascii="Times New Roman" w:hAnsi="Times New Roman"/>
          <w:sz w:val="24"/>
          <w:szCs w:val="24"/>
        </w:rPr>
        <w:t xml:space="preserve">As with the 2016/17 Budgetary Review and Recommendation Report and the 2017/18 Budget Report, the Committee observed that the much-vaunted </w:t>
      </w:r>
      <w:r w:rsidRPr="002E06CC">
        <w:rPr>
          <w:rFonts w:ascii="Times New Roman" w:eastAsia="Arial Unicode MS" w:hAnsi="Times New Roman"/>
          <w:sz w:val="24"/>
          <w:szCs w:val="24"/>
          <w:u w:color="000000"/>
          <w:lang w:eastAsia="en-ZA"/>
        </w:rPr>
        <w:t>Revenue Optimisation Strategy is not delivering the revenue projected and questioned the projections and viability of the Revenue Optimisation Strategy.</w:t>
      </w:r>
    </w:p>
    <w:p w14:paraId="1AC94B2A" w14:textId="77777777" w:rsidR="000E48D5" w:rsidRPr="002E06CC" w:rsidRDefault="000E48D5" w:rsidP="002E06CC">
      <w:pPr>
        <w:pStyle w:val="ListParagraph"/>
        <w:numPr>
          <w:ilvl w:val="0"/>
          <w:numId w:val="36"/>
        </w:numPr>
        <w:spacing w:after="0" w:line="360" w:lineRule="auto"/>
        <w:jc w:val="both"/>
        <w:outlineLvl w:val="0"/>
        <w:rPr>
          <w:rFonts w:ascii="Times New Roman" w:eastAsia="Arial Unicode MS" w:hAnsi="Times New Roman"/>
          <w:sz w:val="24"/>
          <w:szCs w:val="24"/>
          <w:u w:color="000000"/>
          <w:lang w:eastAsia="en-ZA"/>
        </w:rPr>
      </w:pPr>
      <w:r w:rsidRPr="002E06CC">
        <w:rPr>
          <w:rFonts w:ascii="Times New Roman" w:eastAsia="Arial Unicode MS" w:hAnsi="Times New Roman"/>
          <w:sz w:val="24"/>
          <w:szCs w:val="24"/>
          <w:u w:color="000000"/>
          <w:lang w:eastAsia="en-ZA"/>
        </w:rPr>
        <w:t>The Committee requested more information on the Strategic risk related to “</w:t>
      </w:r>
      <w:r w:rsidRPr="002E06CC">
        <w:rPr>
          <w:rFonts w:ascii="Times New Roman" w:eastAsiaTheme="minorHAnsi" w:hAnsi="Times New Roman"/>
          <w:i/>
          <w:sz w:val="24"/>
          <w:szCs w:val="24"/>
        </w:rPr>
        <w:t>negative perceptions caused by hitherto unfounded claims of corporate infringements against the CCB</w:t>
      </w:r>
      <w:r w:rsidRPr="002E06CC">
        <w:rPr>
          <w:rFonts w:ascii="Times New Roman" w:eastAsiaTheme="minorHAnsi" w:hAnsi="Times New Roman"/>
          <w:sz w:val="24"/>
          <w:szCs w:val="24"/>
        </w:rPr>
        <w:t>.”</w:t>
      </w:r>
    </w:p>
    <w:p w14:paraId="3755509E" w14:textId="77777777" w:rsidR="00DF6837" w:rsidRPr="002E06CC" w:rsidRDefault="00DF6837" w:rsidP="002E06CC">
      <w:pPr>
        <w:pStyle w:val="ListParagraph"/>
        <w:numPr>
          <w:ilvl w:val="0"/>
          <w:numId w:val="36"/>
        </w:numPr>
        <w:spacing w:after="0" w:line="360" w:lineRule="auto"/>
        <w:jc w:val="both"/>
        <w:outlineLvl w:val="0"/>
        <w:rPr>
          <w:rFonts w:ascii="Times New Roman" w:eastAsia="Arial Unicode MS" w:hAnsi="Times New Roman"/>
          <w:sz w:val="24"/>
          <w:szCs w:val="24"/>
          <w:u w:color="000000"/>
          <w:lang w:eastAsia="en-ZA"/>
        </w:rPr>
      </w:pPr>
      <w:r w:rsidRPr="002E06CC">
        <w:rPr>
          <w:rFonts w:ascii="Times New Roman" w:hAnsi="Times New Roman"/>
          <w:sz w:val="24"/>
          <w:szCs w:val="24"/>
        </w:rPr>
        <w:t xml:space="preserve">One of the most pressing issues observed by the Committee - in addition to the poor return of the Revenue Optimisation Strategy and the concerns regarding the </w:t>
      </w:r>
      <w:r w:rsidRPr="002E06CC">
        <w:rPr>
          <w:rFonts w:ascii="Times New Roman" w:hAnsi="Times New Roman"/>
          <w:i/>
          <w:sz w:val="24"/>
          <w:szCs w:val="24"/>
        </w:rPr>
        <w:t>Going Concern</w:t>
      </w:r>
      <w:r w:rsidRPr="002E06CC">
        <w:rPr>
          <w:rFonts w:ascii="Times New Roman" w:hAnsi="Times New Roman"/>
          <w:sz w:val="24"/>
          <w:szCs w:val="24"/>
        </w:rPr>
        <w:t xml:space="preserve">– was the high cost of employees. The total expenditure for employees was R5 797 000 versus the Revenue collected of R5 823 000 and which represents 68.57% of the total expenditure of R8 453 000. The Committee requires more information on this issue and especially how the CCB plan to address it. </w:t>
      </w:r>
    </w:p>
    <w:p w14:paraId="5F028661" w14:textId="77777777" w:rsidR="00DF6837" w:rsidRPr="002E06CC" w:rsidRDefault="00DF6837" w:rsidP="002E06CC">
      <w:pPr>
        <w:spacing w:after="0" w:line="360" w:lineRule="auto"/>
        <w:jc w:val="both"/>
        <w:outlineLvl w:val="0"/>
        <w:rPr>
          <w:rFonts w:ascii="Times New Roman" w:eastAsia="Arial Unicode MS" w:hAnsi="Times New Roman" w:cs="Times New Roman"/>
          <w:b/>
          <w:caps/>
          <w:sz w:val="24"/>
          <w:szCs w:val="24"/>
          <w:u w:color="000000"/>
          <w:lang w:eastAsia="en-ZA"/>
        </w:rPr>
      </w:pPr>
    </w:p>
    <w:p w14:paraId="7EEA0DED" w14:textId="77777777" w:rsidR="00DF6837" w:rsidRPr="002E06CC" w:rsidRDefault="00DF6837" w:rsidP="002E06CC">
      <w:pPr>
        <w:spacing w:after="0" w:line="360" w:lineRule="auto"/>
        <w:jc w:val="both"/>
        <w:outlineLvl w:val="0"/>
        <w:rPr>
          <w:rFonts w:ascii="Times New Roman" w:eastAsia="Arial Unicode MS" w:hAnsi="Times New Roman" w:cs="Times New Roman"/>
          <w:b/>
          <w:caps/>
          <w:sz w:val="24"/>
          <w:szCs w:val="24"/>
          <w:u w:color="000000"/>
          <w:lang w:eastAsia="en-ZA"/>
        </w:rPr>
      </w:pPr>
      <w:r w:rsidRPr="002E06CC">
        <w:rPr>
          <w:rFonts w:ascii="Times New Roman" w:eastAsia="Arial Unicode MS" w:hAnsi="Times New Roman" w:cs="Times New Roman"/>
          <w:b/>
          <w:caps/>
          <w:sz w:val="24"/>
          <w:szCs w:val="24"/>
          <w:u w:color="000000"/>
          <w:lang w:eastAsia="en-ZA"/>
        </w:rPr>
        <w:t>7.</w:t>
      </w:r>
      <w:r w:rsidRPr="002E06CC">
        <w:rPr>
          <w:rFonts w:ascii="Times New Roman" w:eastAsia="Arial Unicode MS" w:hAnsi="Times New Roman" w:cs="Times New Roman"/>
          <w:b/>
          <w:caps/>
          <w:sz w:val="24"/>
          <w:szCs w:val="24"/>
          <w:u w:color="000000"/>
          <w:lang w:eastAsia="en-ZA"/>
        </w:rPr>
        <w:tab/>
        <w:t>COMMITTEE Recommendations</w:t>
      </w:r>
    </w:p>
    <w:p w14:paraId="7425435E" w14:textId="77777777" w:rsidR="00DF6837" w:rsidRPr="002E06CC" w:rsidRDefault="00DF6837" w:rsidP="002E06CC">
      <w:pPr>
        <w:spacing w:after="0" w:line="360" w:lineRule="auto"/>
        <w:jc w:val="both"/>
        <w:outlineLvl w:val="0"/>
        <w:rPr>
          <w:rFonts w:ascii="Times New Roman" w:eastAsia="Arial Unicode MS" w:hAnsi="Times New Roman" w:cs="Times New Roman"/>
          <w:b/>
          <w:caps/>
          <w:sz w:val="24"/>
          <w:szCs w:val="24"/>
          <w:u w:color="000000"/>
          <w:lang w:eastAsia="en-ZA"/>
        </w:rPr>
      </w:pPr>
    </w:p>
    <w:p w14:paraId="54965A2B"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eastAsia="en-ZA"/>
        </w:rPr>
      </w:pPr>
      <w:r w:rsidRPr="002E06CC">
        <w:rPr>
          <w:rFonts w:ascii="Times New Roman" w:eastAsia="Arial Unicode MS" w:hAnsi="Times New Roman" w:cs="Times New Roman"/>
          <w:sz w:val="24"/>
          <w:szCs w:val="24"/>
          <w:u w:color="000000"/>
          <w:lang w:eastAsia="en-ZA"/>
        </w:rPr>
        <w:t>The Committee made the following Recommendations regarding the CCB:</w:t>
      </w:r>
    </w:p>
    <w:p w14:paraId="270E088D" w14:textId="77777777" w:rsidR="00DF6837" w:rsidRPr="002E06CC" w:rsidRDefault="00DF6837" w:rsidP="002E06CC">
      <w:pPr>
        <w:spacing w:after="0" w:line="360" w:lineRule="auto"/>
        <w:jc w:val="both"/>
        <w:outlineLvl w:val="0"/>
        <w:rPr>
          <w:rFonts w:ascii="Times New Roman" w:eastAsia="Arial Unicode MS" w:hAnsi="Times New Roman" w:cs="Times New Roman"/>
          <w:sz w:val="24"/>
          <w:szCs w:val="24"/>
          <w:u w:color="000000"/>
          <w:lang w:eastAsia="en-ZA"/>
        </w:rPr>
      </w:pPr>
    </w:p>
    <w:p w14:paraId="606AD666" w14:textId="77777777" w:rsidR="00DF6837" w:rsidRPr="002E06CC" w:rsidRDefault="00DF6837" w:rsidP="002E06CC">
      <w:pPr>
        <w:pStyle w:val="ListParagraph"/>
        <w:numPr>
          <w:ilvl w:val="0"/>
          <w:numId w:val="37"/>
        </w:numPr>
        <w:spacing w:after="0" w:line="360" w:lineRule="auto"/>
        <w:jc w:val="both"/>
        <w:outlineLvl w:val="0"/>
        <w:rPr>
          <w:rFonts w:ascii="Times New Roman" w:hAnsi="Times New Roman"/>
          <w:sz w:val="24"/>
          <w:szCs w:val="24"/>
        </w:rPr>
      </w:pPr>
      <w:r w:rsidRPr="002E06CC">
        <w:rPr>
          <w:rFonts w:ascii="Times New Roman" w:hAnsi="Times New Roman"/>
          <w:sz w:val="24"/>
          <w:szCs w:val="24"/>
          <w:u w:color="000000"/>
          <w:lang w:eastAsia="en-ZA"/>
        </w:rPr>
        <w:t xml:space="preserve">Although the CCB indicated that they have a remedial plan to address the </w:t>
      </w:r>
      <w:r w:rsidRPr="002E06CC">
        <w:rPr>
          <w:rFonts w:ascii="Times New Roman" w:hAnsi="Times New Roman"/>
          <w:i/>
          <w:sz w:val="24"/>
          <w:szCs w:val="24"/>
          <w:u w:color="000000"/>
          <w:lang w:eastAsia="en-ZA"/>
        </w:rPr>
        <w:t>Going Concern</w:t>
      </w:r>
      <w:r w:rsidRPr="002E06CC">
        <w:rPr>
          <w:rFonts w:ascii="Times New Roman" w:hAnsi="Times New Roman"/>
          <w:sz w:val="24"/>
          <w:szCs w:val="24"/>
          <w:u w:color="000000"/>
          <w:lang w:eastAsia="en-ZA"/>
        </w:rPr>
        <w:t xml:space="preserve"> issues, the Committee recommend</w:t>
      </w:r>
      <w:r w:rsidR="00D87A0F" w:rsidRPr="002E06CC">
        <w:rPr>
          <w:rFonts w:ascii="Times New Roman" w:hAnsi="Times New Roman"/>
          <w:sz w:val="24"/>
          <w:szCs w:val="24"/>
          <w:u w:color="000000"/>
          <w:lang w:eastAsia="en-ZA"/>
        </w:rPr>
        <w:t>ed</w:t>
      </w:r>
      <w:r w:rsidRPr="002E06CC">
        <w:rPr>
          <w:rFonts w:ascii="Times New Roman" w:hAnsi="Times New Roman"/>
          <w:sz w:val="24"/>
          <w:szCs w:val="24"/>
          <w:u w:color="000000"/>
          <w:lang w:eastAsia="en-ZA"/>
        </w:rPr>
        <w:t xml:space="preserve"> that the CCB should further enhance its efforts to raise the revenue levels and to depend less on external sources of funding such as a the R4.5m subsidy, utilisation of the historic surplus, and the mooted possibility of a direct funding grant from National Treasury. </w:t>
      </w:r>
      <w:r w:rsidR="000E48D5" w:rsidRPr="002E06CC">
        <w:rPr>
          <w:rFonts w:ascii="Times New Roman" w:hAnsi="Times New Roman"/>
          <w:sz w:val="24"/>
          <w:szCs w:val="24"/>
          <w:u w:color="000000"/>
          <w:lang w:eastAsia="en-ZA"/>
        </w:rPr>
        <w:t>The Committee further recommend</w:t>
      </w:r>
      <w:r w:rsidR="00D87A0F" w:rsidRPr="002E06CC">
        <w:rPr>
          <w:rFonts w:ascii="Times New Roman" w:hAnsi="Times New Roman"/>
          <w:sz w:val="24"/>
          <w:szCs w:val="24"/>
          <w:u w:color="000000"/>
          <w:lang w:eastAsia="en-ZA"/>
        </w:rPr>
        <w:t>ed</w:t>
      </w:r>
      <w:r w:rsidR="000E48D5" w:rsidRPr="002E06CC">
        <w:rPr>
          <w:rFonts w:ascii="Times New Roman" w:hAnsi="Times New Roman"/>
          <w:sz w:val="24"/>
          <w:szCs w:val="24"/>
          <w:u w:color="000000"/>
          <w:lang w:eastAsia="en-ZA"/>
        </w:rPr>
        <w:t xml:space="preserve"> that it should be co</w:t>
      </w:r>
      <w:r w:rsidR="00D87A0F" w:rsidRPr="002E06CC">
        <w:rPr>
          <w:rFonts w:ascii="Times New Roman" w:hAnsi="Times New Roman"/>
          <w:sz w:val="24"/>
          <w:szCs w:val="24"/>
          <w:u w:color="000000"/>
          <w:lang w:eastAsia="en-ZA"/>
        </w:rPr>
        <w:t xml:space="preserve">nsulted before a request for a direct funding grant from National Treasury, is submitted. </w:t>
      </w:r>
    </w:p>
    <w:p w14:paraId="7DAFE456" w14:textId="77777777" w:rsidR="00DF6837" w:rsidRPr="002E06CC" w:rsidRDefault="00DF6837" w:rsidP="002E06CC">
      <w:pPr>
        <w:pStyle w:val="ListParagraph"/>
        <w:numPr>
          <w:ilvl w:val="0"/>
          <w:numId w:val="37"/>
        </w:numPr>
        <w:spacing w:after="0" w:line="360" w:lineRule="auto"/>
        <w:jc w:val="both"/>
        <w:outlineLvl w:val="0"/>
        <w:rPr>
          <w:rFonts w:ascii="Times New Roman" w:hAnsi="Times New Roman"/>
          <w:sz w:val="24"/>
          <w:szCs w:val="24"/>
        </w:rPr>
      </w:pPr>
      <w:r w:rsidRPr="002E06CC">
        <w:rPr>
          <w:rFonts w:ascii="Times New Roman" w:hAnsi="Times New Roman"/>
          <w:sz w:val="24"/>
          <w:szCs w:val="24"/>
        </w:rPr>
        <w:t xml:space="preserve">The Committee commended the CCB for the progress made with ensuring that the CGH is safer and more secure for staff and visitors but stressed that these efforts should be sustained to prevent negative publicity in this regard. </w:t>
      </w:r>
    </w:p>
    <w:p w14:paraId="5FD7BCEA" w14:textId="77777777" w:rsidR="00DF6837" w:rsidRPr="002E06CC" w:rsidRDefault="00DF6837" w:rsidP="002E06CC">
      <w:pPr>
        <w:pStyle w:val="ListParagraph"/>
        <w:numPr>
          <w:ilvl w:val="0"/>
          <w:numId w:val="37"/>
        </w:numPr>
        <w:spacing w:after="0" w:line="360" w:lineRule="auto"/>
        <w:jc w:val="both"/>
        <w:outlineLvl w:val="0"/>
        <w:rPr>
          <w:rFonts w:ascii="Times New Roman" w:hAnsi="Times New Roman"/>
          <w:sz w:val="24"/>
          <w:szCs w:val="24"/>
        </w:rPr>
      </w:pPr>
      <w:r w:rsidRPr="002E06CC">
        <w:rPr>
          <w:rFonts w:ascii="Times New Roman" w:hAnsi="Times New Roman"/>
          <w:sz w:val="24"/>
          <w:szCs w:val="24"/>
        </w:rPr>
        <w:t xml:space="preserve">The CCB indicated that given the dire financial status of the CCB for the year under review, it is unlikely that performance rewards will be paid. The Committee stressed that in future, the CCB should indicate the amounts paid out for the preceding financial years in order to establish what transpired in this regard. Specifically, the CCB should provide the Committee with the amounts for the performance rewards for the three preceding years the 2017/18 financial year. </w:t>
      </w:r>
    </w:p>
    <w:p w14:paraId="727738A4" w14:textId="77777777" w:rsidR="00DF6837" w:rsidRPr="002E06CC" w:rsidRDefault="00DF6837" w:rsidP="002E06CC">
      <w:pPr>
        <w:pStyle w:val="ListParagraph"/>
        <w:numPr>
          <w:ilvl w:val="0"/>
          <w:numId w:val="37"/>
        </w:numPr>
        <w:spacing w:after="0" w:line="360" w:lineRule="auto"/>
        <w:jc w:val="both"/>
        <w:outlineLvl w:val="0"/>
        <w:rPr>
          <w:rFonts w:ascii="Times New Roman" w:hAnsi="Times New Roman"/>
          <w:sz w:val="24"/>
          <w:szCs w:val="24"/>
        </w:rPr>
      </w:pPr>
      <w:r w:rsidRPr="002E06CC">
        <w:rPr>
          <w:rFonts w:ascii="Times New Roman" w:hAnsi="Times New Roman"/>
          <w:sz w:val="24"/>
          <w:szCs w:val="24"/>
        </w:rPr>
        <w:t xml:space="preserve">The CCB explained that the amount of R220 000 incurred as irrecoverable related the cancelation of a training and refurbishment project that DMV wanted to recover as the amount they paid to the service provider through the CCB. The Committee expressed its concern regarding the transaction and implored the CCB to ensure that such transactions are managed in terms of acceptable accounting procedures and that the Auditor-General’s approval is sourced. </w:t>
      </w:r>
    </w:p>
    <w:p w14:paraId="62C4F166" w14:textId="77777777" w:rsidR="00DF6837" w:rsidRPr="002E06CC" w:rsidRDefault="00DF6837" w:rsidP="002E06CC">
      <w:pPr>
        <w:pStyle w:val="ListParagraph"/>
        <w:numPr>
          <w:ilvl w:val="0"/>
          <w:numId w:val="37"/>
        </w:numPr>
        <w:spacing w:after="0" w:line="360" w:lineRule="auto"/>
        <w:jc w:val="both"/>
        <w:outlineLvl w:val="0"/>
        <w:rPr>
          <w:rFonts w:ascii="Times New Roman" w:hAnsi="Times New Roman"/>
          <w:sz w:val="24"/>
          <w:szCs w:val="24"/>
        </w:rPr>
      </w:pPr>
      <w:r w:rsidRPr="002E06CC">
        <w:rPr>
          <w:rFonts w:ascii="Times New Roman" w:hAnsi="Times New Roman"/>
          <w:sz w:val="24"/>
          <w:szCs w:val="24"/>
        </w:rPr>
        <w:t xml:space="preserve">The CCB indicated that the </w:t>
      </w:r>
      <w:r w:rsidRPr="002E06CC">
        <w:rPr>
          <w:rFonts w:ascii="Times New Roman" w:eastAsiaTheme="minorHAnsi" w:hAnsi="Times New Roman"/>
          <w:sz w:val="24"/>
          <w:szCs w:val="24"/>
        </w:rPr>
        <w:t>Castle Military Museum Foundation was a private institution and that its closure will not have any impact on the Castle. The Committee requested that the CCB kept it informed about developments in this regard to ensure that this remain the case.</w:t>
      </w:r>
    </w:p>
    <w:p w14:paraId="386DBFC7" w14:textId="77777777" w:rsidR="00DF6837" w:rsidRPr="002E06CC" w:rsidRDefault="00DF6837" w:rsidP="002E06CC">
      <w:pPr>
        <w:pStyle w:val="ListParagraph"/>
        <w:numPr>
          <w:ilvl w:val="0"/>
          <w:numId w:val="37"/>
        </w:numPr>
        <w:spacing w:after="0" w:line="360" w:lineRule="auto"/>
        <w:jc w:val="both"/>
        <w:outlineLvl w:val="0"/>
        <w:rPr>
          <w:rFonts w:ascii="Times New Roman" w:hAnsi="Times New Roman"/>
          <w:sz w:val="24"/>
          <w:szCs w:val="24"/>
        </w:rPr>
      </w:pPr>
      <w:r w:rsidRPr="002E06CC">
        <w:rPr>
          <w:rFonts w:ascii="Times New Roman" w:hAnsi="Times New Roman"/>
          <w:sz w:val="24"/>
          <w:szCs w:val="24"/>
        </w:rPr>
        <w:t xml:space="preserve">The ring-fenced R4.5 m annual “subsidy” is to be managed by the Chief of Logistics of the SANDF through the General Support Base (GSB) in Simonstown and the CCB will not have direct access to it. The Committee encouraged the CCB to ensure that the subsidy is indeed utilised for this purpose to facilitate the sustainability and good condition of the CGH after more than R100 million has been spent on renovating it. </w:t>
      </w:r>
    </w:p>
    <w:p w14:paraId="65631A72" w14:textId="77777777" w:rsidR="00DF6837" w:rsidRPr="002E06CC" w:rsidRDefault="00DF6837" w:rsidP="002E06CC">
      <w:pPr>
        <w:pStyle w:val="ListParagraph"/>
        <w:numPr>
          <w:ilvl w:val="0"/>
          <w:numId w:val="37"/>
        </w:numPr>
        <w:autoSpaceDE w:val="0"/>
        <w:autoSpaceDN w:val="0"/>
        <w:adjustRightInd w:val="0"/>
        <w:spacing w:after="0" w:line="360" w:lineRule="auto"/>
        <w:jc w:val="both"/>
        <w:outlineLvl w:val="0"/>
        <w:rPr>
          <w:rFonts w:ascii="Times New Roman" w:hAnsi="Times New Roman"/>
          <w:sz w:val="24"/>
          <w:szCs w:val="24"/>
        </w:rPr>
      </w:pPr>
      <w:r w:rsidRPr="002E06CC">
        <w:rPr>
          <w:rFonts w:ascii="Times New Roman" w:hAnsi="Times New Roman"/>
          <w:sz w:val="24"/>
          <w:szCs w:val="24"/>
        </w:rPr>
        <w:t>The CCB indicated that hiring of the facility is done through a deposit and that the amount is determined by the kind of activity, the number of people expected, that cancelation fees are required when applicable, and that damages are compensated for when incurred. The Committee recommended that such the renting out of the facility should be strictly and properly recorded in order to ensure that the CCB gets the full amount due to it. The Committee also recommended that the CCB should target "upper market clientele” to further enhance the image of the CGH as a destination for events and functions around Cape Town.</w:t>
      </w:r>
    </w:p>
    <w:p w14:paraId="25FA697F" w14:textId="77777777" w:rsidR="00DF6837" w:rsidRPr="002E06CC" w:rsidRDefault="00DF6837" w:rsidP="002E06CC">
      <w:pPr>
        <w:pStyle w:val="ListParagraph"/>
        <w:numPr>
          <w:ilvl w:val="0"/>
          <w:numId w:val="37"/>
        </w:numPr>
        <w:autoSpaceDE w:val="0"/>
        <w:autoSpaceDN w:val="0"/>
        <w:adjustRightInd w:val="0"/>
        <w:spacing w:after="0" w:line="360" w:lineRule="auto"/>
        <w:jc w:val="both"/>
        <w:outlineLvl w:val="0"/>
        <w:rPr>
          <w:rFonts w:ascii="Times New Roman" w:hAnsi="Times New Roman"/>
          <w:sz w:val="24"/>
          <w:szCs w:val="24"/>
        </w:rPr>
      </w:pPr>
      <w:r w:rsidRPr="002E06CC">
        <w:rPr>
          <w:rFonts w:ascii="Times New Roman" w:hAnsi="Times New Roman"/>
          <w:sz w:val="24"/>
          <w:szCs w:val="24"/>
        </w:rPr>
        <w:t xml:space="preserve">The CCB indicated that the signing of a shareholder’s agreement with the Ministry would provide the CCB with a legal basis to engage other government departments, as their legal basis for doing so, can currently be queried. The Committee wants the CCB to keep it abreast of developments in this regard and should challenges be encountered, the Committee is willing to assist. </w:t>
      </w:r>
    </w:p>
    <w:p w14:paraId="12ADFE10" w14:textId="77777777" w:rsidR="00DF6837" w:rsidRPr="002E06CC" w:rsidRDefault="00DF6837" w:rsidP="002E06CC">
      <w:pPr>
        <w:pStyle w:val="ListParagraph"/>
        <w:numPr>
          <w:ilvl w:val="0"/>
          <w:numId w:val="37"/>
        </w:numPr>
        <w:autoSpaceDE w:val="0"/>
        <w:autoSpaceDN w:val="0"/>
        <w:adjustRightInd w:val="0"/>
        <w:spacing w:after="0" w:line="360" w:lineRule="auto"/>
        <w:jc w:val="both"/>
        <w:outlineLvl w:val="0"/>
        <w:rPr>
          <w:rFonts w:ascii="Times New Roman" w:hAnsi="Times New Roman"/>
          <w:sz w:val="24"/>
          <w:szCs w:val="24"/>
        </w:rPr>
      </w:pPr>
      <w:r w:rsidRPr="002E06CC">
        <w:rPr>
          <w:rFonts w:ascii="Times New Roman" w:hAnsi="Times New Roman"/>
          <w:sz w:val="24"/>
          <w:szCs w:val="24"/>
        </w:rPr>
        <w:t xml:space="preserve">The CCB indicated that there is an improvement in the revenue generated, but the Committee recommended that serious and urgent attention be paid to this strategy given that the financial sustainability of the CGH is being doubted. The Committee also wants the CCB to submit its revenue projections, regarding the ticket sales, functions, Iziko’s share of ticket sales, </w:t>
      </w:r>
      <w:r w:rsidR="0012600B" w:rsidRPr="002E06CC">
        <w:rPr>
          <w:rFonts w:ascii="Times New Roman" w:hAnsi="Times New Roman"/>
          <w:sz w:val="24"/>
          <w:szCs w:val="24"/>
        </w:rPr>
        <w:t>centres</w:t>
      </w:r>
      <w:r w:rsidRPr="002E06CC">
        <w:rPr>
          <w:rFonts w:ascii="Times New Roman" w:hAnsi="Times New Roman"/>
          <w:sz w:val="24"/>
          <w:szCs w:val="24"/>
        </w:rPr>
        <w:t xml:space="preserve">, etc, to the Committee as a matter of urgency. </w:t>
      </w:r>
    </w:p>
    <w:p w14:paraId="37F865E2" w14:textId="77777777" w:rsidR="000E48D5" w:rsidRPr="002E06CC" w:rsidRDefault="000E48D5" w:rsidP="002E06CC">
      <w:pPr>
        <w:pStyle w:val="ListParagraph"/>
        <w:numPr>
          <w:ilvl w:val="0"/>
          <w:numId w:val="37"/>
        </w:numPr>
        <w:autoSpaceDE w:val="0"/>
        <w:autoSpaceDN w:val="0"/>
        <w:adjustRightInd w:val="0"/>
        <w:spacing w:after="0" w:line="360" w:lineRule="auto"/>
        <w:jc w:val="both"/>
        <w:outlineLvl w:val="0"/>
        <w:rPr>
          <w:rFonts w:ascii="Times New Roman" w:hAnsi="Times New Roman"/>
          <w:sz w:val="24"/>
          <w:szCs w:val="24"/>
        </w:rPr>
      </w:pPr>
      <w:r w:rsidRPr="002E06CC">
        <w:rPr>
          <w:rFonts w:ascii="Times New Roman" w:hAnsi="Times New Roman"/>
          <w:sz w:val="24"/>
          <w:szCs w:val="24"/>
        </w:rPr>
        <w:t xml:space="preserve">Given that the Minister launched an investigation into the </w:t>
      </w:r>
      <w:r w:rsidRPr="002E06CC">
        <w:rPr>
          <w:rFonts w:ascii="Times New Roman" w:eastAsiaTheme="minorHAnsi" w:hAnsi="Times New Roman"/>
          <w:sz w:val="24"/>
          <w:szCs w:val="24"/>
        </w:rPr>
        <w:t xml:space="preserve">claims of corporate infringements against the CCB, the </w:t>
      </w:r>
      <w:r w:rsidRPr="002E06CC">
        <w:rPr>
          <w:rFonts w:ascii="Times New Roman" w:hAnsi="Times New Roman"/>
          <w:sz w:val="24"/>
          <w:szCs w:val="24"/>
        </w:rPr>
        <w:t xml:space="preserve">Committee recommends that the Minister shares the Report with the Committee, as soon as it has been completed. </w:t>
      </w:r>
    </w:p>
    <w:p w14:paraId="4F69602C" w14:textId="77777777" w:rsidR="00DF6837" w:rsidRPr="002E06CC" w:rsidRDefault="00DF6837" w:rsidP="002E06CC">
      <w:pPr>
        <w:pStyle w:val="ListParagraph"/>
        <w:numPr>
          <w:ilvl w:val="0"/>
          <w:numId w:val="37"/>
        </w:numPr>
        <w:autoSpaceDE w:val="0"/>
        <w:autoSpaceDN w:val="0"/>
        <w:adjustRightInd w:val="0"/>
        <w:spacing w:after="0" w:line="360" w:lineRule="auto"/>
        <w:jc w:val="both"/>
        <w:outlineLvl w:val="0"/>
        <w:rPr>
          <w:rFonts w:ascii="Times New Roman" w:hAnsi="Times New Roman"/>
          <w:sz w:val="24"/>
          <w:szCs w:val="24"/>
        </w:rPr>
      </w:pPr>
      <w:r w:rsidRPr="002E06CC">
        <w:rPr>
          <w:rFonts w:ascii="Times New Roman" w:hAnsi="Times New Roman"/>
          <w:sz w:val="24"/>
          <w:szCs w:val="24"/>
        </w:rPr>
        <w:t>The CCB stated that it will seriously engage with the cost of employees and gave the Committee the assurance that the Human Resources component has now been settled. The Committee recommended to the CCB that it should explore additional avenues for revenue collection and that current revenue streams should be further exploited to address th</w:t>
      </w:r>
      <w:r w:rsidR="0062342D" w:rsidRPr="002E06CC">
        <w:rPr>
          <w:rFonts w:ascii="Times New Roman" w:hAnsi="Times New Roman"/>
          <w:sz w:val="24"/>
          <w:szCs w:val="24"/>
        </w:rPr>
        <w:t xml:space="preserve">eir dire financial </w:t>
      </w:r>
      <w:r w:rsidRPr="002E06CC">
        <w:rPr>
          <w:rFonts w:ascii="Times New Roman" w:hAnsi="Times New Roman"/>
          <w:sz w:val="24"/>
          <w:szCs w:val="24"/>
        </w:rPr>
        <w:t>situation</w:t>
      </w:r>
      <w:r w:rsidR="0062342D" w:rsidRPr="002E06CC">
        <w:rPr>
          <w:rFonts w:ascii="Times New Roman" w:hAnsi="Times New Roman"/>
          <w:sz w:val="24"/>
          <w:szCs w:val="24"/>
        </w:rPr>
        <w:t>. The</w:t>
      </w:r>
      <w:r w:rsidRPr="002E06CC">
        <w:rPr>
          <w:rFonts w:ascii="Times New Roman" w:hAnsi="Times New Roman"/>
          <w:sz w:val="24"/>
          <w:szCs w:val="24"/>
        </w:rPr>
        <w:t xml:space="preserve"> Committee will monitor the CCB closely in this regard. </w:t>
      </w:r>
    </w:p>
    <w:p w14:paraId="189B665B" w14:textId="77777777" w:rsidR="0012600B" w:rsidRPr="002E06CC" w:rsidRDefault="0012600B" w:rsidP="002E06CC">
      <w:pPr>
        <w:spacing w:after="200" w:line="360" w:lineRule="auto"/>
        <w:jc w:val="both"/>
        <w:outlineLvl w:val="0"/>
        <w:rPr>
          <w:rFonts w:ascii="Times New Roman" w:eastAsia="Calibri" w:hAnsi="Times New Roman" w:cs="Times New Roman"/>
          <w:b/>
          <w:sz w:val="24"/>
          <w:szCs w:val="24"/>
        </w:rPr>
      </w:pPr>
    </w:p>
    <w:p w14:paraId="1CB279E4" w14:textId="77777777" w:rsidR="00461FCB" w:rsidRPr="002E06CC" w:rsidRDefault="00461FCB" w:rsidP="002E06CC">
      <w:pPr>
        <w:spacing w:after="0" w:line="360" w:lineRule="auto"/>
        <w:jc w:val="both"/>
        <w:outlineLvl w:val="0"/>
        <w:rPr>
          <w:rFonts w:ascii="Times New Roman" w:eastAsia="Arial Unicode MS" w:hAnsi="Times New Roman" w:cs="Times New Roman"/>
          <w:b/>
          <w:caps/>
          <w:sz w:val="24"/>
          <w:szCs w:val="24"/>
          <w:u w:color="000000"/>
          <w:lang w:val="en-US"/>
        </w:rPr>
      </w:pPr>
      <w:r w:rsidRPr="002E06CC">
        <w:rPr>
          <w:rFonts w:ascii="Times New Roman" w:eastAsia="Arial Unicode MS" w:hAnsi="Times New Roman" w:cs="Times New Roman"/>
          <w:b/>
          <w:sz w:val="24"/>
          <w:szCs w:val="24"/>
          <w:u w:color="000000"/>
          <w:lang w:eastAsia="en-ZA"/>
        </w:rPr>
        <w:t xml:space="preserve">PART B: ARMAMENTS CORPORATION OF SOUTH AFRICA (ARMSCOR) </w:t>
      </w:r>
    </w:p>
    <w:p w14:paraId="05FAE896" w14:textId="77777777" w:rsidR="00461FCB" w:rsidRPr="002E06CC" w:rsidRDefault="00461FCB" w:rsidP="002E06CC">
      <w:pPr>
        <w:numPr>
          <w:ilvl w:val="0"/>
          <w:numId w:val="1"/>
        </w:numPr>
        <w:spacing w:after="0" w:line="360" w:lineRule="auto"/>
        <w:ind w:hanging="393"/>
        <w:jc w:val="both"/>
        <w:outlineLvl w:val="0"/>
        <w:rPr>
          <w:rFonts w:ascii="Times New Roman" w:eastAsia="Arial Unicode MS" w:hAnsi="Times New Roman" w:cs="Times New Roman"/>
          <w:b/>
          <w:caps/>
          <w:sz w:val="24"/>
          <w:szCs w:val="24"/>
          <w:u w:color="000000"/>
          <w:lang w:val="en-US"/>
        </w:rPr>
      </w:pPr>
    </w:p>
    <w:p w14:paraId="05B98448" w14:textId="77777777" w:rsidR="00461FCB" w:rsidRPr="002E06CC" w:rsidRDefault="00461FCB" w:rsidP="002E06CC">
      <w:pPr>
        <w:numPr>
          <w:ilvl w:val="0"/>
          <w:numId w:val="1"/>
        </w:numPr>
        <w:spacing w:after="0" w:line="360" w:lineRule="auto"/>
        <w:ind w:hanging="393"/>
        <w:jc w:val="both"/>
        <w:outlineLvl w:val="0"/>
        <w:rPr>
          <w:rFonts w:ascii="Times New Roman" w:eastAsia="Arial Unicode MS" w:hAnsi="Times New Roman" w:cs="Times New Roman"/>
          <w:b/>
          <w:caps/>
          <w:sz w:val="24"/>
          <w:szCs w:val="24"/>
          <w:u w:color="000000"/>
          <w:lang w:val="en-US"/>
        </w:rPr>
      </w:pPr>
      <w:r w:rsidRPr="002E06CC">
        <w:rPr>
          <w:rFonts w:ascii="Times New Roman" w:eastAsia="Arial Unicode MS" w:hAnsi="Times New Roman" w:cs="Times New Roman"/>
          <w:b/>
          <w:caps/>
          <w:sz w:val="24"/>
          <w:szCs w:val="24"/>
          <w:u w:color="000000"/>
          <w:lang w:val="en-US"/>
        </w:rPr>
        <w:t>1.</w:t>
      </w:r>
      <w:r w:rsidRPr="002E06CC">
        <w:rPr>
          <w:rFonts w:ascii="Times New Roman" w:eastAsia="Arial Unicode MS" w:hAnsi="Times New Roman" w:cs="Times New Roman"/>
          <w:b/>
          <w:caps/>
          <w:sz w:val="24"/>
          <w:szCs w:val="24"/>
          <w:u w:color="000000"/>
          <w:lang w:val="en-US"/>
        </w:rPr>
        <w:tab/>
        <w:t xml:space="preserve">Introduction </w:t>
      </w:r>
    </w:p>
    <w:p w14:paraId="39148411" w14:textId="77777777" w:rsidR="00461FCB" w:rsidRPr="002E06CC" w:rsidRDefault="00461FCB" w:rsidP="002E06CC">
      <w:pPr>
        <w:spacing w:after="0" w:line="360" w:lineRule="auto"/>
        <w:jc w:val="both"/>
        <w:outlineLvl w:val="0"/>
        <w:rPr>
          <w:rFonts w:ascii="Times New Roman" w:eastAsia="Arial Unicode MS" w:hAnsi="Times New Roman" w:cs="Times New Roman"/>
          <w:sz w:val="24"/>
          <w:szCs w:val="24"/>
          <w:u w:color="000000"/>
          <w:lang w:val="en-US"/>
        </w:rPr>
      </w:pPr>
    </w:p>
    <w:p w14:paraId="631B45B5" w14:textId="77777777" w:rsidR="00461FCB" w:rsidRPr="002E06CC" w:rsidRDefault="00461FCB" w:rsidP="002E06CC">
      <w:pPr>
        <w:spacing w:after="0" w:line="360" w:lineRule="auto"/>
        <w:jc w:val="both"/>
        <w:outlineLvl w:val="0"/>
        <w:rPr>
          <w:rFonts w:ascii="Times New Roman" w:eastAsia="Arial Unicode MS" w:hAnsi="Times New Roman" w:cs="Times New Roman"/>
          <w:b/>
          <w:sz w:val="24"/>
          <w:szCs w:val="24"/>
          <w:u w:color="000000"/>
          <w:lang w:val="en-US"/>
        </w:rPr>
      </w:pPr>
      <w:r w:rsidRPr="002E06CC">
        <w:rPr>
          <w:rFonts w:ascii="Times New Roman" w:eastAsia="Arial Unicode MS" w:hAnsi="Times New Roman" w:cs="Times New Roman"/>
          <w:b/>
          <w:sz w:val="24"/>
          <w:szCs w:val="24"/>
          <w:u w:color="000000"/>
          <w:lang w:val="en-US"/>
        </w:rPr>
        <w:tab/>
        <w:t>Description of core functions of the entity</w:t>
      </w:r>
    </w:p>
    <w:p w14:paraId="284E202D" w14:textId="77777777" w:rsidR="00461FCB" w:rsidRPr="002E06CC" w:rsidRDefault="00461FCB" w:rsidP="002E06CC">
      <w:pPr>
        <w:spacing w:after="0" w:line="360" w:lineRule="auto"/>
        <w:jc w:val="both"/>
        <w:outlineLvl w:val="0"/>
        <w:rPr>
          <w:rFonts w:ascii="Times New Roman" w:eastAsia="Arial Unicode MS" w:hAnsi="Times New Roman" w:cs="Times New Roman"/>
          <w:sz w:val="24"/>
          <w:szCs w:val="24"/>
          <w:u w:color="000000"/>
          <w:lang w:val="en-US"/>
        </w:rPr>
      </w:pPr>
    </w:p>
    <w:p w14:paraId="583515A5" w14:textId="77777777" w:rsidR="00461FCB" w:rsidRPr="002E06CC" w:rsidRDefault="00461FCB" w:rsidP="002E06CC">
      <w:pPr>
        <w:spacing w:after="0" w:line="360" w:lineRule="auto"/>
        <w:jc w:val="both"/>
        <w:outlineLvl w:val="0"/>
        <w:rPr>
          <w:rFonts w:ascii="Times New Roman" w:hAnsi="Times New Roman" w:cs="Times New Roman"/>
          <w:sz w:val="24"/>
          <w:szCs w:val="24"/>
          <w:lang w:val="en-GB"/>
        </w:rPr>
      </w:pPr>
      <w:r w:rsidRPr="002E06CC">
        <w:rPr>
          <w:rFonts w:ascii="Times New Roman" w:hAnsi="Times New Roman" w:cs="Times New Roman"/>
          <w:sz w:val="24"/>
          <w:szCs w:val="24"/>
          <w:lang w:val="en-GB"/>
        </w:rPr>
        <w:t>Armscor was established in terms of the Armaments Production and Development Act (No. 57 of 1968) to satisfy the requirements of the South African National Defence Force (SANDF) in respect of Defence Matériel. The Armscor Act (No. 51 of 2003) was enacted to provide for the continued existence of Armscor, and to provide for the functions, accountability and finances of the Corporation, as well as for matters connected therewith.</w:t>
      </w:r>
    </w:p>
    <w:p w14:paraId="078C36BB" w14:textId="77777777" w:rsidR="00461FCB" w:rsidRPr="002E06CC" w:rsidRDefault="00461FCB" w:rsidP="002E06CC">
      <w:pPr>
        <w:spacing w:after="0" w:line="360" w:lineRule="auto"/>
        <w:jc w:val="both"/>
        <w:outlineLvl w:val="0"/>
        <w:rPr>
          <w:rFonts w:ascii="Times New Roman" w:hAnsi="Times New Roman" w:cs="Times New Roman"/>
          <w:sz w:val="24"/>
          <w:szCs w:val="24"/>
          <w:lang w:val="en-GB"/>
        </w:rPr>
      </w:pPr>
    </w:p>
    <w:p w14:paraId="291C6AF8" w14:textId="77777777" w:rsidR="00461FCB" w:rsidRPr="002E06CC" w:rsidRDefault="00461FCB" w:rsidP="002E06CC">
      <w:pPr>
        <w:spacing w:after="0" w:line="360" w:lineRule="auto"/>
        <w:jc w:val="both"/>
        <w:outlineLvl w:val="0"/>
        <w:rPr>
          <w:rFonts w:ascii="Times New Roman" w:hAnsi="Times New Roman" w:cs="Times New Roman"/>
          <w:b/>
          <w:sz w:val="24"/>
          <w:szCs w:val="24"/>
        </w:rPr>
      </w:pPr>
      <w:r w:rsidRPr="002E06CC">
        <w:rPr>
          <w:rFonts w:ascii="Times New Roman" w:eastAsia="Arial Unicode MS" w:hAnsi="Times New Roman" w:cs="Times New Roman"/>
          <w:b/>
          <w:sz w:val="24"/>
          <w:szCs w:val="24"/>
          <w:u w:color="000000"/>
          <w:lang w:val="en-US"/>
        </w:rPr>
        <w:t>1.2</w:t>
      </w:r>
      <w:r w:rsidRPr="002E06CC">
        <w:rPr>
          <w:rFonts w:ascii="Times New Roman" w:eastAsia="Arial Unicode MS" w:hAnsi="Times New Roman" w:cs="Times New Roman"/>
          <w:b/>
          <w:sz w:val="24"/>
          <w:szCs w:val="24"/>
          <w:u w:color="000000"/>
          <w:lang w:val="en-US"/>
        </w:rPr>
        <w:tab/>
      </w:r>
      <w:r w:rsidRPr="002E06CC">
        <w:rPr>
          <w:rFonts w:ascii="Times New Roman" w:hAnsi="Times New Roman" w:cs="Times New Roman"/>
          <w:b/>
          <w:sz w:val="24"/>
          <w:szCs w:val="24"/>
        </w:rPr>
        <w:t xml:space="preserve">Mandate of Committee </w:t>
      </w:r>
    </w:p>
    <w:p w14:paraId="42406710" w14:textId="77777777" w:rsidR="00461FCB" w:rsidRPr="002E06CC" w:rsidRDefault="00461FCB" w:rsidP="002E06CC">
      <w:pPr>
        <w:spacing w:after="0" w:line="360" w:lineRule="auto"/>
        <w:jc w:val="both"/>
        <w:rPr>
          <w:rFonts w:ascii="Times New Roman" w:hAnsi="Times New Roman" w:cs="Times New Roman"/>
          <w:sz w:val="24"/>
          <w:szCs w:val="24"/>
        </w:rPr>
      </w:pPr>
    </w:p>
    <w:p w14:paraId="3BBEA8C7" w14:textId="77777777" w:rsidR="00461FCB" w:rsidRPr="002E06CC" w:rsidRDefault="00461FCB" w:rsidP="002E06CC">
      <w:pPr>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 xml:space="preserve">The Portfolio Committee on Defence and Military Veterans (PCODMV) is mandated to oversee Armscor to ensure that it fulfils its mandate through the monitoring of the implementation of legislation and adherence to policies, such as the </w:t>
      </w:r>
      <w:r w:rsidRPr="002E06CC">
        <w:rPr>
          <w:rFonts w:ascii="Times New Roman" w:hAnsi="Times New Roman" w:cs="Times New Roman"/>
          <w:sz w:val="24"/>
          <w:szCs w:val="24"/>
          <w:lang w:val="en-GB"/>
        </w:rPr>
        <w:t>Armaments Production and Development Act (No. 57 of 1968) and the Armscor Act (No. 51 of 2003).</w:t>
      </w:r>
    </w:p>
    <w:p w14:paraId="1C5DBD93" w14:textId="77777777" w:rsidR="00461FCB" w:rsidRPr="002E06CC" w:rsidRDefault="00461FCB" w:rsidP="002E06CC">
      <w:pPr>
        <w:spacing w:after="0" w:line="360" w:lineRule="auto"/>
        <w:jc w:val="both"/>
        <w:outlineLvl w:val="0"/>
        <w:rPr>
          <w:rFonts w:ascii="Times New Roman" w:eastAsia="Arial Unicode MS" w:hAnsi="Times New Roman" w:cs="Times New Roman"/>
          <w:b/>
          <w:sz w:val="24"/>
          <w:szCs w:val="24"/>
          <w:u w:color="000000"/>
          <w:lang w:val="en-US"/>
        </w:rPr>
      </w:pPr>
      <w:r w:rsidRPr="002E06CC">
        <w:rPr>
          <w:rFonts w:ascii="Times New Roman" w:eastAsia="Arial Unicode MS" w:hAnsi="Times New Roman" w:cs="Times New Roman"/>
          <w:b/>
          <w:sz w:val="24"/>
          <w:szCs w:val="24"/>
          <w:u w:color="000000"/>
          <w:lang w:val="en-US"/>
        </w:rPr>
        <w:t>1.3</w:t>
      </w:r>
      <w:r w:rsidRPr="002E06CC">
        <w:rPr>
          <w:rFonts w:ascii="Times New Roman" w:eastAsia="Arial Unicode MS" w:hAnsi="Times New Roman" w:cs="Times New Roman"/>
          <w:b/>
          <w:sz w:val="24"/>
          <w:szCs w:val="24"/>
          <w:u w:color="000000"/>
          <w:lang w:val="en-US"/>
        </w:rPr>
        <w:tab/>
        <w:t xml:space="preserve">Purpose of the BRR Report </w:t>
      </w:r>
    </w:p>
    <w:p w14:paraId="533E7DBA" w14:textId="77777777" w:rsidR="00461FCB" w:rsidRPr="002E06CC" w:rsidRDefault="00461FCB" w:rsidP="002E06CC">
      <w:pPr>
        <w:spacing w:after="0" w:line="360" w:lineRule="auto"/>
        <w:jc w:val="both"/>
        <w:outlineLvl w:val="0"/>
        <w:rPr>
          <w:rFonts w:ascii="Times New Roman" w:eastAsia="Arial Unicode MS" w:hAnsi="Times New Roman" w:cs="Times New Roman"/>
          <w:sz w:val="24"/>
          <w:szCs w:val="24"/>
          <w:u w:color="000000"/>
          <w:lang w:eastAsia="en-ZA"/>
        </w:rPr>
      </w:pPr>
    </w:p>
    <w:p w14:paraId="1F6A33CC" w14:textId="77777777" w:rsidR="00461FCB" w:rsidRPr="002E06CC" w:rsidRDefault="00461FCB" w:rsidP="002E06CC">
      <w:pPr>
        <w:spacing w:after="0" w:line="360" w:lineRule="auto"/>
        <w:jc w:val="both"/>
        <w:outlineLvl w:val="0"/>
        <w:rPr>
          <w:rFonts w:ascii="Times New Roman" w:eastAsia="Arial Unicode MS" w:hAnsi="Times New Roman" w:cs="Times New Roman"/>
          <w:sz w:val="24"/>
          <w:szCs w:val="24"/>
          <w:u w:color="000000"/>
          <w:lang w:eastAsia="en-ZA"/>
        </w:rPr>
      </w:pPr>
      <w:r w:rsidRPr="002E06CC">
        <w:rPr>
          <w:rFonts w:ascii="Times New Roman" w:eastAsia="Arial Unicode MS" w:hAnsi="Times New Roman" w:cs="Times New Roman"/>
          <w:sz w:val="24"/>
          <w:szCs w:val="24"/>
          <w:u w:color="000000"/>
          <w:lang w:eastAsia="en-ZA"/>
        </w:rPr>
        <w:t xml:space="preserve">Section 5 (2) of the Money Bills Procedures and Related Matters Amendment Act (No. 9 of 2009) allows for each Committee to compile a budgetary review and recommendation report (BRRR) which must be tabled in the National Assembly.  Section 5(3) provides for a budgetary review and recommendation report to contain the following: </w:t>
      </w:r>
    </w:p>
    <w:p w14:paraId="4851C9D0" w14:textId="77777777" w:rsidR="00461FCB" w:rsidRPr="002E06CC" w:rsidRDefault="00461FCB" w:rsidP="002E06CC">
      <w:pPr>
        <w:spacing w:after="0" w:line="360" w:lineRule="auto"/>
        <w:jc w:val="both"/>
        <w:outlineLvl w:val="0"/>
        <w:rPr>
          <w:rFonts w:ascii="Times New Roman" w:eastAsia="Arial Unicode MS" w:hAnsi="Times New Roman" w:cs="Times New Roman"/>
          <w:sz w:val="24"/>
          <w:szCs w:val="24"/>
          <w:u w:color="000000"/>
          <w:lang w:eastAsia="en-ZA"/>
        </w:rPr>
      </w:pPr>
    </w:p>
    <w:p w14:paraId="04B80CF4" w14:textId="77777777" w:rsidR="00461FCB" w:rsidRPr="002E06CC" w:rsidRDefault="00461FCB" w:rsidP="002E06CC">
      <w:pPr>
        <w:numPr>
          <w:ilvl w:val="0"/>
          <w:numId w:val="10"/>
        </w:numPr>
        <w:spacing w:after="0" w:line="360" w:lineRule="auto"/>
        <w:jc w:val="both"/>
        <w:outlineLvl w:val="0"/>
        <w:rPr>
          <w:rFonts w:ascii="Times New Roman" w:eastAsia="Arial Unicode MS" w:hAnsi="Times New Roman" w:cs="Times New Roman"/>
          <w:sz w:val="24"/>
          <w:szCs w:val="24"/>
          <w:u w:color="000000"/>
          <w:lang w:eastAsia="en-ZA"/>
        </w:rPr>
      </w:pPr>
      <w:r w:rsidRPr="002E06CC">
        <w:rPr>
          <w:rFonts w:ascii="Times New Roman" w:eastAsia="Arial Unicode MS" w:hAnsi="Times New Roman" w:cs="Times New Roman"/>
          <w:sz w:val="24"/>
          <w:szCs w:val="24"/>
          <w:u w:color="000000"/>
          <w:lang w:eastAsia="en-ZA"/>
        </w:rPr>
        <w:t>an assessment of the department’s service delivery performance given available resources;</w:t>
      </w:r>
    </w:p>
    <w:p w14:paraId="23D59EB2" w14:textId="77777777" w:rsidR="00461FCB" w:rsidRPr="002E06CC" w:rsidRDefault="00461FCB" w:rsidP="002E06CC">
      <w:pPr>
        <w:numPr>
          <w:ilvl w:val="0"/>
          <w:numId w:val="10"/>
        </w:numPr>
        <w:spacing w:after="0" w:line="360" w:lineRule="auto"/>
        <w:jc w:val="both"/>
        <w:outlineLvl w:val="0"/>
        <w:rPr>
          <w:rFonts w:ascii="Times New Roman" w:eastAsia="Arial Unicode MS" w:hAnsi="Times New Roman" w:cs="Times New Roman"/>
          <w:sz w:val="24"/>
          <w:szCs w:val="24"/>
          <w:u w:color="000000"/>
          <w:lang w:eastAsia="en-ZA"/>
        </w:rPr>
      </w:pPr>
      <w:r w:rsidRPr="002E06CC">
        <w:rPr>
          <w:rFonts w:ascii="Times New Roman" w:eastAsia="Arial Unicode MS" w:hAnsi="Times New Roman" w:cs="Times New Roman"/>
          <w:sz w:val="24"/>
          <w:szCs w:val="24"/>
          <w:u w:color="000000"/>
          <w:lang w:eastAsia="en-ZA"/>
        </w:rPr>
        <w:t>an assessment on the effectiveness and efficiency of departments use and forward allocation of available resource; and</w:t>
      </w:r>
    </w:p>
    <w:p w14:paraId="5535D307" w14:textId="77777777" w:rsidR="00461FCB" w:rsidRPr="002E06CC" w:rsidRDefault="00461FCB" w:rsidP="002E06CC">
      <w:pPr>
        <w:numPr>
          <w:ilvl w:val="0"/>
          <w:numId w:val="10"/>
        </w:numPr>
        <w:spacing w:after="0" w:line="360" w:lineRule="auto"/>
        <w:jc w:val="both"/>
        <w:outlineLvl w:val="0"/>
        <w:rPr>
          <w:rFonts w:ascii="Times New Roman" w:eastAsia="Arial Unicode MS" w:hAnsi="Times New Roman" w:cs="Times New Roman"/>
          <w:sz w:val="24"/>
          <w:szCs w:val="24"/>
          <w:u w:color="000000"/>
          <w:lang w:eastAsia="en-ZA"/>
        </w:rPr>
      </w:pPr>
      <w:r w:rsidRPr="002E06CC">
        <w:rPr>
          <w:rFonts w:ascii="Times New Roman" w:eastAsia="Arial Unicode MS" w:hAnsi="Times New Roman" w:cs="Times New Roman"/>
          <w:sz w:val="24"/>
          <w:szCs w:val="24"/>
          <w:u w:color="000000"/>
          <w:lang w:eastAsia="en-ZA"/>
        </w:rPr>
        <w:t>recommendations on the forward use of resources</w:t>
      </w:r>
    </w:p>
    <w:p w14:paraId="0CED8E82" w14:textId="77777777" w:rsidR="00461FCB" w:rsidRPr="002E06CC" w:rsidRDefault="00461FCB" w:rsidP="002E06CC">
      <w:pPr>
        <w:spacing w:after="0" w:line="360" w:lineRule="auto"/>
        <w:jc w:val="both"/>
        <w:outlineLvl w:val="0"/>
        <w:rPr>
          <w:rFonts w:ascii="Times New Roman" w:eastAsia="Arial Unicode MS" w:hAnsi="Times New Roman" w:cs="Times New Roman"/>
          <w:sz w:val="24"/>
          <w:szCs w:val="24"/>
          <w:u w:color="000000"/>
          <w:lang w:eastAsia="en-ZA"/>
        </w:rPr>
      </w:pPr>
    </w:p>
    <w:p w14:paraId="1080D856" w14:textId="77777777" w:rsidR="00461FCB" w:rsidRPr="002E06CC" w:rsidRDefault="00461FCB" w:rsidP="002E06CC">
      <w:pPr>
        <w:spacing w:after="0" w:line="360" w:lineRule="auto"/>
        <w:jc w:val="both"/>
        <w:outlineLvl w:val="0"/>
        <w:rPr>
          <w:rFonts w:ascii="Times New Roman" w:eastAsia="Arial Unicode MS" w:hAnsi="Times New Roman" w:cs="Times New Roman"/>
          <w:sz w:val="24"/>
          <w:szCs w:val="24"/>
          <w:u w:color="000000"/>
          <w:lang w:eastAsia="en-ZA"/>
        </w:rPr>
      </w:pPr>
      <w:r w:rsidRPr="002E06CC">
        <w:rPr>
          <w:rFonts w:ascii="Times New Roman" w:eastAsia="Arial Unicode MS" w:hAnsi="Times New Roman" w:cs="Times New Roman"/>
          <w:sz w:val="24"/>
          <w:szCs w:val="24"/>
          <w:u w:color="000000"/>
          <w:lang w:eastAsia="en-ZA"/>
        </w:rPr>
        <w:t>The above is done in October of each year, and the BRRR is also a source documents for the Standing/Select Committees on Appropriations/Finance when they make recommendations to the Houses of Parliament on the Medium-Term Budget Policy Statement (MTBPS). The comprehensive review and analysis of the previous financial year’s performance, as well as performance to date, form part of this process.</w:t>
      </w:r>
    </w:p>
    <w:p w14:paraId="39F81D2E" w14:textId="77777777" w:rsidR="00461FCB" w:rsidRPr="002E06CC" w:rsidRDefault="00461FCB" w:rsidP="002E06CC">
      <w:pPr>
        <w:spacing w:after="0" w:line="360" w:lineRule="auto"/>
        <w:jc w:val="both"/>
        <w:outlineLvl w:val="0"/>
        <w:rPr>
          <w:rFonts w:ascii="Times New Roman" w:eastAsia="Arial Unicode MS" w:hAnsi="Times New Roman" w:cs="Times New Roman"/>
          <w:sz w:val="24"/>
          <w:szCs w:val="24"/>
          <w:u w:color="000000"/>
          <w:lang w:eastAsia="en-ZA"/>
        </w:rPr>
      </w:pPr>
    </w:p>
    <w:p w14:paraId="7E84418D" w14:textId="77777777" w:rsidR="00461FCB" w:rsidRPr="002E06CC" w:rsidRDefault="00461FCB" w:rsidP="002E06CC">
      <w:pPr>
        <w:spacing w:after="0" w:line="360" w:lineRule="auto"/>
        <w:jc w:val="both"/>
        <w:outlineLvl w:val="0"/>
        <w:rPr>
          <w:rFonts w:ascii="Times New Roman" w:eastAsia="Arial Unicode MS" w:hAnsi="Times New Roman" w:cs="Times New Roman"/>
          <w:b/>
          <w:sz w:val="24"/>
          <w:szCs w:val="24"/>
          <w:u w:color="000000"/>
          <w:lang w:val="en-US"/>
        </w:rPr>
      </w:pPr>
      <w:r w:rsidRPr="002E06CC">
        <w:rPr>
          <w:rFonts w:ascii="Times New Roman" w:eastAsia="Arial Unicode MS" w:hAnsi="Times New Roman" w:cs="Times New Roman"/>
          <w:b/>
          <w:sz w:val="24"/>
          <w:szCs w:val="24"/>
          <w:u w:color="000000"/>
          <w:lang w:eastAsia="en-ZA"/>
        </w:rPr>
        <w:t>1.4</w:t>
      </w:r>
      <w:r w:rsidRPr="002E06CC">
        <w:rPr>
          <w:rFonts w:ascii="Times New Roman" w:eastAsia="Arial Unicode MS" w:hAnsi="Times New Roman" w:cs="Times New Roman"/>
          <w:b/>
          <w:sz w:val="24"/>
          <w:szCs w:val="24"/>
          <w:u w:color="000000"/>
          <w:lang w:eastAsia="en-ZA"/>
        </w:rPr>
        <w:tab/>
      </w:r>
      <w:r w:rsidRPr="002E06CC">
        <w:rPr>
          <w:rFonts w:ascii="Times New Roman" w:eastAsia="Arial Unicode MS" w:hAnsi="Times New Roman" w:cs="Times New Roman"/>
          <w:b/>
          <w:sz w:val="24"/>
          <w:szCs w:val="24"/>
          <w:u w:color="000000"/>
          <w:lang w:val="en-US"/>
        </w:rPr>
        <w:t>Methodology in compiling the report</w:t>
      </w:r>
    </w:p>
    <w:p w14:paraId="32D3C83E" w14:textId="77777777" w:rsidR="00461FCB" w:rsidRPr="002E06CC" w:rsidRDefault="00461FCB" w:rsidP="002E06CC">
      <w:pPr>
        <w:spacing w:after="0" w:line="360" w:lineRule="auto"/>
        <w:jc w:val="both"/>
        <w:outlineLvl w:val="0"/>
        <w:rPr>
          <w:rFonts w:ascii="Times New Roman" w:eastAsia="Arial Unicode MS" w:hAnsi="Times New Roman" w:cs="Times New Roman"/>
          <w:b/>
          <w:sz w:val="24"/>
          <w:szCs w:val="24"/>
          <w:u w:color="000000"/>
          <w:lang w:eastAsia="en-ZA"/>
        </w:rPr>
      </w:pPr>
    </w:p>
    <w:p w14:paraId="01B5BC7B" w14:textId="77777777" w:rsidR="00461FCB" w:rsidRPr="002E06CC" w:rsidRDefault="00461FCB" w:rsidP="002E06CC">
      <w:pPr>
        <w:pStyle w:val="ListParagraph"/>
        <w:spacing w:after="0" w:line="360" w:lineRule="auto"/>
        <w:ind w:left="0"/>
        <w:jc w:val="both"/>
        <w:rPr>
          <w:rFonts w:ascii="Times New Roman" w:hAnsi="Times New Roman"/>
          <w:sz w:val="24"/>
          <w:szCs w:val="24"/>
        </w:rPr>
      </w:pPr>
      <w:r w:rsidRPr="002E06CC">
        <w:rPr>
          <w:rFonts w:ascii="Times New Roman" w:hAnsi="Times New Roman"/>
          <w:sz w:val="24"/>
          <w:szCs w:val="24"/>
        </w:rPr>
        <w:t>The Report is compiled from the various activities of the Committee. It is inclusive of the Committee’s meetings, oversight visits, reports on budget votes, strategic</w:t>
      </w:r>
      <w:r w:rsidR="00515CC3" w:rsidRPr="002E06CC">
        <w:rPr>
          <w:rFonts w:ascii="Times New Roman" w:hAnsi="Times New Roman"/>
          <w:sz w:val="24"/>
          <w:szCs w:val="24"/>
        </w:rPr>
        <w:t>/corporate</w:t>
      </w:r>
      <w:r w:rsidRPr="002E06CC">
        <w:rPr>
          <w:rFonts w:ascii="Times New Roman" w:hAnsi="Times New Roman"/>
          <w:sz w:val="24"/>
          <w:szCs w:val="24"/>
        </w:rPr>
        <w:t xml:space="preserve"> plans, annual performance plans and annual reports, as well as previously published Committee reports.</w:t>
      </w:r>
    </w:p>
    <w:p w14:paraId="340C78E0" w14:textId="77777777" w:rsidR="00461FCB" w:rsidRPr="002E06CC" w:rsidRDefault="00461FCB" w:rsidP="002E06CC">
      <w:pPr>
        <w:pStyle w:val="ListParagraph"/>
        <w:spacing w:after="0" w:line="360" w:lineRule="auto"/>
        <w:ind w:left="0"/>
        <w:jc w:val="both"/>
        <w:rPr>
          <w:rFonts w:ascii="Times New Roman" w:hAnsi="Times New Roman"/>
          <w:sz w:val="24"/>
          <w:szCs w:val="24"/>
        </w:rPr>
      </w:pPr>
    </w:p>
    <w:p w14:paraId="5D85FA13" w14:textId="77777777" w:rsidR="00461FCB" w:rsidRPr="002E06CC" w:rsidRDefault="00461FCB" w:rsidP="002E06CC">
      <w:pPr>
        <w:pStyle w:val="ListParagraph"/>
        <w:spacing w:after="0" w:line="360" w:lineRule="auto"/>
        <w:ind w:left="0"/>
        <w:jc w:val="both"/>
        <w:rPr>
          <w:rFonts w:ascii="Times New Roman" w:hAnsi="Times New Roman"/>
          <w:b/>
          <w:sz w:val="24"/>
          <w:szCs w:val="24"/>
        </w:rPr>
      </w:pPr>
      <w:r w:rsidRPr="002E06CC">
        <w:rPr>
          <w:rFonts w:ascii="Times New Roman" w:hAnsi="Times New Roman"/>
          <w:b/>
          <w:sz w:val="24"/>
          <w:szCs w:val="24"/>
        </w:rPr>
        <w:t>1.5</w:t>
      </w:r>
      <w:r w:rsidRPr="002E06CC">
        <w:rPr>
          <w:rFonts w:ascii="Times New Roman" w:hAnsi="Times New Roman"/>
          <w:b/>
          <w:sz w:val="24"/>
          <w:szCs w:val="24"/>
        </w:rPr>
        <w:tab/>
        <w:t>Dates of oversight visits</w:t>
      </w:r>
    </w:p>
    <w:p w14:paraId="77D78D6E" w14:textId="77777777" w:rsidR="00461FCB" w:rsidRPr="002E06CC" w:rsidRDefault="00461FCB" w:rsidP="002E06CC">
      <w:pPr>
        <w:pStyle w:val="ListParagraph"/>
        <w:spacing w:after="0" w:line="360" w:lineRule="auto"/>
        <w:ind w:left="0"/>
        <w:jc w:val="both"/>
        <w:rPr>
          <w:rFonts w:ascii="Times New Roman" w:hAnsi="Times New Roman"/>
          <w:sz w:val="24"/>
          <w:szCs w:val="24"/>
        </w:rPr>
      </w:pPr>
    </w:p>
    <w:p w14:paraId="2359AFB2" w14:textId="77777777" w:rsidR="00461FCB" w:rsidRPr="002E06CC" w:rsidRDefault="00461FCB" w:rsidP="002E06CC">
      <w:pPr>
        <w:pStyle w:val="ListParagraph"/>
        <w:spacing w:after="0" w:line="360" w:lineRule="auto"/>
        <w:ind w:left="0"/>
        <w:jc w:val="both"/>
        <w:rPr>
          <w:rFonts w:ascii="Times New Roman" w:hAnsi="Times New Roman"/>
          <w:sz w:val="24"/>
          <w:szCs w:val="24"/>
        </w:rPr>
      </w:pPr>
      <w:r w:rsidRPr="002E06CC">
        <w:rPr>
          <w:rFonts w:ascii="Times New Roman" w:hAnsi="Times New Roman"/>
          <w:sz w:val="24"/>
          <w:szCs w:val="24"/>
        </w:rPr>
        <w:t>The PCODMV did not conduct an</w:t>
      </w:r>
      <w:r w:rsidR="00515CC3" w:rsidRPr="002E06CC">
        <w:rPr>
          <w:rFonts w:ascii="Times New Roman" w:hAnsi="Times New Roman"/>
          <w:sz w:val="24"/>
          <w:szCs w:val="24"/>
        </w:rPr>
        <w:t>y</w:t>
      </w:r>
      <w:r w:rsidRPr="002E06CC">
        <w:rPr>
          <w:rFonts w:ascii="Times New Roman" w:hAnsi="Times New Roman"/>
          <w:sz w:val="24"/>
          <w:szCs w:val="24"/>
        </w:rPr>
        <w:t xml:space="preserve"> </w:t>
      </w:r>
      <w:r w:rsidR="00515CC3" w:rsidRPr="002E06CC">
        <w:rPr>
          <w:rFonts w:ascii="Times New Roman" w:hAnsi="Times New Roman"/>
          <w:sz w:val="24"/>
          <w:szCs w:val="24"/>
        </w:rPr>
        <w:t>o</w:t>
      </w:r>
      <w:r w:rsidRPr="002E06CC">
        <w:rPr>
          <w:rFonts w:ascii="Times New Roman" w:hAnsi="Times New Roman"/>
          <w:sz w:val="24"/>
          <w:szCs w:val="24"/>
        </w:rPr>
        <w:t>versight visit</w:t>
      </w:r>
      <w:r w:rsidR="00515CC3" w:rsidRPr="002E06CC">
        <w:rPr>
          <w:rFonts w:ascii="Times New Roman" w:hAnsi="Times New Roman"/>
          <w:sz w:val="24"/>
          <w:szCs w:val="24"/>
        </w:rPr>
        <w:t>s</w:t>
      </w:r>
      <w:r w:rsidRPr="002E06CC">
        <w:rPr>
          <w:rFonts w:ascii="Times New Roman" w:hAnsi="Times New Roman"/>
          <w:sz w:val="24"/>
          <w:szCs w:val="24"/>
        </w:rPr>
        <w:t xml:space="preserve"> to Armscor </w:t>
      </w:r>
      <w:r w:rsidR="00515CC3" w:rsidRPr="002E06CC">
        <w:rPr>
          <w:rFonts w:ascii="Times New Roman" w:hAnsi="Times New Roman"/>
          <w:sz w:val="24"/>
          <w:szCs w:val="24"/>
        </w:rPr>
        <w:t>or related facilities in 2017/18</w:t>
      </w:r>
      <w:r w:rsidRPr="002E06CC">
        <w:rPr>
          <w:rFonts w:ascii="Times New Roman" w:hAnsi="Times New Roman"/>
          <w:sz w:val="24"/>
          <w:szCs w:val="24"/>
        </w:rPr>
        <w:t>.</w:t>
      </w:r>
    </w:p>
    <w:p w14:paraId="42B60785" w14:textId="77777777" w:rsidR="00461FCB" w:rsidRPr="002E06CC" w:rsidRDefault="00461FCB" w:rsidP="002E06CC">
      <w:pPr>
        <w:spacing w:after="0" w:line="360" w:lineRule="auto"/>
        <w:jc w:val="both"/>
        <w:outlineLvl w:val="0"/>
        <w:rPr>
          <w:rFonts w:ascii="Times New Roman" w:eastAsia="Arial Unicode MS" w:hAnsi="Times New Roman" w:cs="Times New Roman"/>
          <w:sz w:val="24"/>
          <w:szCs w:val="24"/>
          <w:u w:color="000000"/>
          <w:lang w:eastAsia="en-ZA"/>
        </w:rPr>
      </w:pPr>
    </w:p>
    <w:p w14:paraId="5C4B5A92" w14:textId="77777777" w:rsidR="00461FCB" w:rsidRPr="002E06CC" w:rsidRDefault="00461FCB" w:rsidP="002E06CC">
      <w:pPr>
        <w:spacing w:after="0" w:line="360" w:lineRule="auto"/>
        <w:jc w:val="both"/>
        <w:outlineLvl w:val="0"/>
        <w:rPr>
          <w:rFonts w:ascii="Times New Roman" w:eastAsia="Arial Unicode MS" w:hAnsi="Times New Roman" w:cs="Times New Roman"/>
          <w:b/>
          <w:sz w:val="24"/>
          <w:szCs w:val="24"/>
          <w:u w:color="000000"/>
          <w:lang w:eastAsia="en-ZA"/>
        </w:rPr>
      </w:pPr>
      <w:r w:rsidRPr="002E06CC">
        <w:rPr>
          <w:rFonts w:ascii="Times New Roman" w:eastAsia="Arial Unicode MS" w:hAnsi="Times New Roman" w:cs="Times New Roman"/>
          <w:b/>
          <w:sz w:val="24"/>
          <w:szCs w:val="24"/>
          <w:u w:color="000000"/>
          <w:lang w:eastAsia="en-ZA"/>
        </w:rPr>
        <w:t xml:space="preserve">1.6 </w:t>
      </w:r>
      <w:r w:rsidRPr="002E06CC">
        <w:rPr>
          <w:rFonts w:ascii="Times New Roman" w:eastAsia="Arial Unicode MS" w:hAnsi="Times New Roman" w:cs="Times New Roman"/>
          <w:b/>
          <w:sz w:val="24"/>
          <w:szCs w:val="24"/>
          <w:u w:color="000000"/>
          <w:lang w:eastAsia="en-ZA"/>
        </w:rPr>
        <w:tab/>
        <w:t>Information used to compile the Report</w:t>
      </w:r>
    </w:p>
    <w:p w14:paraId="51DE8A66" w14:textId="77777777" w:rsidR="00461FCB" w:rsidRPr="002E06CC" w:rsidRDefault="00461FCB" w:rsidP="002E06CC">
      <w:pPr>
        <w:spacing w:after="0" w:line="360" w:lineRule="auto"/>
        <w:jc w:val="both"/>
        <w:outlineLvl w:val="0"/>
        <w:rPr>
          <w:rFonts w:ascii="Times New Roman" w:eastAsia="Arial Unicode MS" w:hAnsi="Times New Roman" w:cs="Times New Roman"/>
          <w:b/>
          <w:sz w:val="24"/>
          <w:szCs w:val="24"/>
          <w:u w:color="000000"/>
          <w:lang w:eastAsia="en-ZA"/>
        </w:rPr>
      </w:pPr>
    </w:p>
    <w:p w14:paraId="61705274" w14:textId="77777777" w:rsidR="00461FCB" w:rsidRPr="002E06CC" w:rsidRDefault="00515CC3" w:rsidP="002E06CC">
      <w:pPr>
        <w:spacing w:after="0" w:line="360" w:lineRule="auto"/>
        <w:jc w:val="both"/>
        <w:outlineLvl w:val="0"/>
        <w:rPr>
          <w:rFonts w:ascii="Times New Roman" w:eastAsia="Arial Unicode MS" w:hAnsi="Times New Roman" w:cs="Times New Roman"/>
          <w:sz w:val="24"/>
          <w:szCs w:val="24"/>
          <w:u w:color="000000"/>
          <w:lang w:eastAsia="en-ZA"/>
        </w:rPr>
      </w:pPr>
      <w:r w:rsidRPr="002E06CC">
        <w:rPr>
          <w:rFonts w:ascii="Times New Roman" w:eastAsia="Arial Unicode MS" w:hAnsi="Times New Roman" w:cs="Times New Roman"/>
          <w:sz w:val="24"/>
          <w:szCs w:val="24"/>
          <w:u w:color="000000"/>
          <w:lang w:eastAsia="en-ZA"/>
        </w:rPr>
        <w:t>I</w:t>
      </w:r>
      <w:r w:rsidR="00461FCB" w:rsidRPr="002E06CC">
        <w:rPr>
          <w:rFonts w:ascii="Times New Roman" w:eastAsia="Arial Unicode MS" w:hAnsi="Times New Roman" w:cs="Times New Roman"/>
          <w:sz w:val="24"/>
          <w:szCs w:val="24"/>
          <w:u w:color="000000"/>
          <w:lang w:eastAsia="en-ZA"/>
        </w:rPr>
        <w:t>nformation used in the assessment of the service delivery and financial performance include</w:t>
      </w:r>
      <w:r w:rsidRPr="002E06CC">
        <w:rPr>
          <w:rFonts w:ascii="Times New Roman" w:eastAsia="Arial Unicode MS" w:hAnsi="Times New Roman" w:cs="Times New Roman"/>
          <w:sz w:val="24"/>
          <w:szCs w:val="24"/>
          <w:u w:color="000000"/>
          <w:lang w:eastAsia="en-ZA"/>
        </w:rPr>
        <w:t>s</w:t>
      </w:r>
      <w:r w:rsidR="00461FCB" w:rsidRPr="002E06CC">
        <w:rPr>
          <w:rFonts w:ascii="Times New Roman" w:eastAsia="Arial Unicode MS" w:hAnsi="Times New Roman" w:cs="Times New Roman"/>
          <w:sz w:val="24"/>
          <w:szCs w:val="24"/>
          <w:u w:color="000000"/>
          <w:lang w:eastAsia="en-ZA"/>
        </w:rPr>
        <w:t xml:space="preserve"> the</w:t>
      </w:r>
      <w:r w:rsidRPr="002E06CC">
        <w:rPr>
          <w:rFonts w:ascii="Times New Roman" w:eastAsia="Arial Unicode MS" w:hAnsi="Times New Roman" w:cs="Times New Roman"/>
          <w:sz w:val="24"/>
          <w:szCs w:val="24"/>
          <w:u w:color="000000"/>
          <w:lang w:eastAsia="en-ZA"/>
        </w:rPr>
        <w:t xml:space="preserve"> following</w:t>
      </w:r>
      <w:r w:rsidR="00461FCB" w:rsidRPr="002E06CC">
        <w:rPr>
          <w:rFonts w:ascii="Times New Roman" w:eastAsia="Arial Unicode MS" w:hAnsi="Times New Roman" w:cs="Times New Roman"/>
          <w:sz w:val="24"/>
          <w:szCs w:val="24"/>
          <w:u w:color="000000"/>
          <w:lang w:eastAsia="en-ZA"/>
        </w:rPr>
        <w:t>:</w:t>
      </w:r>
    </w:p>
    <w:p w14:paraId="2D181F75" w14:textId="77777777" w:rsidR="00461FCB" w:rsidRPr="002E06CC" w:rsidRDefault="00461FCB" w:rsidP="002E06CC">
      <w:pPr>
        <w:spacing w:after="0" w:line="360" w:lineRule="auto"/>
        <w:jc w:val="both"/>
        <w:outlineLvl w:val="0"/>
        <w:rPr>
          <w:rFonts w:ascii="Times New Roman" w:eastAsia="Arial Unicode MS" w:hAnsi="Times New Roman" w:cs="Times New Roman"/>
          <w:sz w:val="24"/>
          <w:szCs w:val="24"/>
          <w:u w:color="000000"/>
          <w:lang w:eastAsia="en-ZA"/>
        </w:rPr>
      </w:pPr>
    </w:p>
    <w:p w14:paraId="117B93E3" w14:textId="77777777" w:rsidR="00461FCB" w:rsidRPr="002E06CC" w:rsidRDefault="00461FCB" w:rsidP="002E06CC">
      <w:pPr>
        <w:numPr>
          <w:ilvl w:val="0"/>
          <w:numId w:val="2"/>
        </w:numPr>
        <w:spacing w:after="0" w:line="360" w:lineRule="auto"/>
        <w:jc w:val="both"/>
        <w:outlineLvl w:val="0"/>
        <w:rPr>
          <w:rFonts w:ascii="Times New Roman" w:eastAsia="Arial Unicode MS" w:hAnsi="Times New Roman" w:cs="Times New Roman"/>
          <w:sz w:val="24"/>
          <w:szCs w:val="24"/>
          <w:u w:color="000000"/>
          <w:lang w:eastAsia="en-ZA"/>
        </w:rPr>
      </w:pPr>
      <w:r w:rsidRPr="002E06CC">
        <w:rPr>
          <w:rFonts w:ascii="Times New Roman" w:eastAsia="Arial Unicode MS" w:hAnsi="Times New Roman" w:cs="Times New Roman"/>
          <w:sz w:val="24"/>
          <w:szCs w:val="24"/>
          <w:u w:color="000000"/>
          <w:lang w:eastAsia="en-ZA"/>
        </w:rPr>
        <w:t>Committee reports on the 201</w:t>
      </w:r>
      <w:r w:rsidR="00515CC3" w:rsidRPr="002E06CC">
        <w:rPr>
          <w:rFonts w:ascii="Times New Roman" w:eastAsia="Arial Unicode MS" w:hAnsi="Times New Roman" w:cs="Times New Roman"/>
          <w:sz w:val="24"/>
          <w:szCs w:val="24"/>
          <w:u w:color="000000"/>
          <w:lang w:eastAsia="en-ZA"/>
        </w:rPr>
        <w:t>7</w:t>
      </w:r>
      <w:r w:rsidRPr="002E06CC">
        <w:rPr>
          <w:rFonts w:ascii="Times New Roman" w:eastAsia="Arial Unicode MS" w:hAnsi="Times New Roman" w:cs="Times New Roman"/>
          <w:sz w:val="24"/>
          <w:szCs w:val="24"/>
          <w:u w:color="000000"/>
          <w:lang w:eastAsia="en-ZA"/>
        </w:rPr>
        <w:t>/1</w:t>
      </w:r>
      <w:r w:rsidR="00515CC3" w:rsidRPr="002E06CC">
        <w:rPr>
          <w:rFonts w:ascii="Times New Roman" w:eastAsia="Arial Unicode MS" w:hAnsi="Times New Roman" w:cs="Times New Roman"/>
          <w:sz w:val="24"/>
          <w:szCs w:val="24"/>
          <w:u w:color="000000"/>
          <w:lang w:eastAsia="en-ZA"/>
        </w:rPr>
        <w:t>8</w:t>
      </w:r>
      <w:r w:rsidRPr="002E06CC">
        <w:rPr>
          <w:rFonts w:ascii="Times New Roman" w:eastAsia="Arial Unicode MS" w:hAnsi="Times New Roman" w:cs="Times New Roman"/>
          <w:sz w:val="24"/>
          <w:szCs w:val="24"/>
          <w:u w:color="000000"/>
          <w:lang w:eastAsia="en-ZA"/>
        </w:rPr>
        <w:t xml:space="preserve"> budget hearings, strategic</w:t>
      </w:r>
      <w:r w:rsidR="00515CC3" w:rsidRPr="002E06CC">
        <w:rPr>
          <w:rFonts w:ascii="Times New Roman" w:eastAsia="Arial Unicode MS" w:hAnsi="Times New Roman" w:cs="Times New Roman"/>
          <w:sz w:val="24"/>
          <w:szCs w:val="24"/>
          <w:u w:color="000000"/>
          <w:lang w:eastAsia="en-ZA"/>
        </w:rPr>
        <w:t>/corporate</w:t>
      </w:r>
      <w:r w:rsidRPr="002E06CC">
        <w:rPr>
          <w:rFonts w:ascii="Times New Roman" w:eastAsia="Arial Unicode MS" w:hAnsi="Times New Roman" w:cs="Times New Roman"/>
          <w:sz w:val="24"/>
          <w:szCs w:val="24"/>
          <w:u w:color="000000"/>
          <w:lang w:eastAsia="en-ZA"/>
        </w:rPr>
        <w:t xml:space="preserve"> plans and annual report;</w:t>
      </w:r>
    </w:p>
    <w:p w14:paraId="4CE530C6" w14:textId="77777777" w:rsidR="00461FCB" w:rsidRPr="002E06CC" w:rsidRDefault="00461FCB" w:rsidP="002E06CC">
      <w:pPr>
        <w:numPr>
          <w:ilvl w:val="0"/>
          <w:numId w:val="2"/>
        </w:numPr>
        <w:spacing w:after="0" w:line="360" w:lineRule="auto"/>
        <w:jc w:val="both"/>
        <w:outlineLvl w:val="0"/>
        <w:rPr>
          <w:rFonts w:ascii="Times New Roman" w:eastAsia="Arial Unicode MS" w:hAnsi="Times New Roman" w:cs="Times New Roman"/>
          <w:sz w:val="24"/>
          <w:szCs w:val="24"/>
          <w:u w:color="000000"/>
          <w:lang w:eastAsia="en-ZA"/>
        </w:rPr>
      </w:pPr>
      <w:r w:rsidRPr="002E06CC">
        <w:rPr>
          <w:rFonts w:ascii="Times New Roman" w:eastAsia="Arial Unicode MS" w:hAnsi="Times New Roman" w:cs="Times New Roman"/>
          <w:sz w:val="24"/>
          <w:szCs w:val="24"/>
          <w:u w:color="000000"/>
          <w:lang w:eastAsia="en-ZA"/>
        </w:rPr>
        <w:t>The National Development Plan;</w:t>
      </w:r>
    </w:p>
    <w:p w14:paraId="0F8CF672" w14:textId="77777777" w:rsidR="00461FCB" w:rsidRPr="002E06CC" w:rsidRDefault="00515CC3" w:rsidP="002E06CC">
      <w:pPr>
        <w:numPr>
          <w:ilvl w:val="0"/>
          <w:numId w:val="2"/>
        </w:numPr>
        <w:spacing w:after="0" w:line="360" w:lineRule="auto"/>
        <w:jc w:val="both"/>
        <w:outlineLvl w:val="0"/>
        <w:rPr>
          <w:rFonts w:ascii="Times New Roman" w:eastAsia="Arial Unicode MS" w:hAnsi="Times New Roman" w:cs="Times New Roman"/>
          <w:sz w:val="24"/>
          <w:szCs w:val="24"/>
          <w:u w:color="000000"/>
          <w:lang w:eastAsia="en-ZA"/>
        </w:rPr>
      </w:pPr>
      <w:r w:rsidRPr="002E06CC">
        <w:rPr>
          <w:rFonts w:ascii="Times New Roman" w:eastAsia="Arial Unicode MS" w:hAnsi="Times New Roman" w:cs="Times New Roman"/>
          <w:sz w:val="24"/>
          <w:szCs w:val="24"/>
          <w:u w:color="000000"/>
          <w:lang w:eastAsia="en-ZA"/>
        </w:rPr>
        <w:t>The 2017</w:t>
      </w:r>
      <w:r w:rsidR="00461FCB" w:rsidRPr="002E06CC">
        <w:rPr>
          <w:rFonts w:ascii="Times New Roman" w:eastAsia="Arial Unicode MS" w:hAnsi="Times New Roman" w:cs="Times New Roman"/>
          <w:sz w:val="24"/>
          <w:szCs w:val="24"/>
          <w:u w:color="000000"/>
          <w:lang w:eastAsia="en-ZA"/>
        </w:rPr>
        <w:t xml:space="preserve"> Estimates of National Expenditure;</w:t>
      </w:r>
    </w:p>
    <w:p w14:paraId="2DD73713" w14:textId="77777777" w:rsidR="00461FCB" w:rsidRPr="002E06CC" w:rsidRDefault="00515CC3" w:rsidP="002E06CC">
      <w:pPr>
        <w:pStyle w:val="ListParagraph"/>
        <w:numPr>
          <w:ilvl w:val="0"/>
          <w:numId w:val="2"/>
        </w:numPr>
        <w:spacing w:after="0" w:line="360" w:lineRule="auto"/>
        <w:jc w:val="both"/>
        <w:outlineLvl w:val="0"/>
        <w:rPr>
          <w:rFonts w:ascii="Times New Roman" w:eastAsia="Arial Unicode MS" w:hAnsi="Times New Roman"/>
          <w:sz w:val="24"/>
          <w:szCs w:val="24"/>
          <w:u w:color="000000"/>
          <w:lang w:eastAsia="en-ZA"/>
        </w:rPr>
      </w:pPr>
      <w:r w:rsidRPr="002E06CC">
        <w:rPr>
          <w:rFonts w:ascii="Times New Roman" w:eastAsia="Arial Unicode MS" w:hAnsi="Times New Roman"/>
          <w:sz w:val="24"/>
          <w:szCs w:val="24"/>
          <w:u w:color="000000"/>
          <w:lang w:eastAsia="en-ZA"/>
        </w:rPr>
        <w:t>The 2017</w:t>
      </w:r>
      <w:r w:rsidR="00461FCB" w:rsidRPr="002E06CC">
        <w:rPr>
          <w:rFonts w:ascii="Times New Roman" w:eastAsia="Arial Unicode MS" w:hAnsi="Times New Roman"/>
          <w:sz w:val="24"/>
          <w:szCs w:val="24"/>
          <w:u w:color="000000"/>
          <w:lang w:eastAsia="en-ZA"/>
        </w:rPr>
        <w:t xml:space="preserve"> Budget Speech of the Minister of Finance;</w:t>
      </w:r>
    </w:p>
    <w:p w14:paraId="3468AE91" w14:textId="77777777" w:rsidR="00461FCB" w:rsidRPr="002E06CC" w:rsidRDefault="00515CC3" w:rsidP="002E06CC">
      <w:pPr>
        <w:pStyle w:val="ListParagraph"/>
        <w:numPr>
          <w:ilvl w:val="0"/>
          <w:numId w:val="2"/>
        </w:numPr>
        <w:spacing w:after="0" w:line="360" w:lineRule="auto"/>
        <w:jc w:val="both"/>
        <w:outlineLvl w:val="0"/>
        <w:rPr>
          <w:rFonts w:ascii="Times New Roman" w:eastAsia="Arial Unicode MS" w:hAnsi="Times New Roman"/>
          <w:sz w:val="24"/>
          <w:szCs w:val="24"/>
          <w:u w:color="000000"/>
          <w:lang w:eastAsia="en-ZA"/>
        </w:rPr>
      </w:pPr>
      <w:r w:rsidRPr="002E06CC">
        <w:rPr>
          <w:rFonts w:ascii="Times New Roman" w:eastAsia="Arial Unicode MS" w:hAnsi="Times New Roman"/>
          <w:sz w:val="24"/>
          <w:szCs w:val="24"/>
          <w:u w:color="000000"/>
          <w:lang w:eastAsia="en-ZA"/>
        </w:rPr>
        <w:t>The 2017</w:t>
      </w:r>
      <w:r w:rsidR="00461FCB" w:rsidRPr="002E06CC">
        <w:rPr>
          <w:rFonts w:ascii="Times New Roman" w:eastAsia="Arial Unicode MS" w:hAnsi="Times New Roman"/>
          <w:sz w:val="24"/>
          <w:szCs w:val="24"/>
          <w:u w:color="000000"/>
          <w:lang w:eastAsia="en-ZA"/>
        </w:rPr>
        <w:t xml:space="preserve"> State of the Nation address; and</w:t>
      </w:r>
    </w:p>
    <w:p w14:paraId="2EFDC246" w14:textId="77777777" w:rsidR="00461FCB" w:rsidRPr="002E06CC" w:rsidRDefault="00461FCB" w:rsidP="002E06CC">
      <w:pPr>
        <w:pStyle w:val="ListParagraph"/>
        <w:numPr>
          <w:ilvl w:val="0"/>
          <w:numId w:val="2"/>
        </w:numPr>
        <w:spacing w:after="0" w:line="360" w:lineRule="auto"/>
        <w:jc w:val="both"/>
        <w:outlineLvl w:val="0"/>
        <w:rPr>
          <w:rFonts w:ascii="Times New Roman" w:eastAsia="Arial Unicode MS" w:hAnsi="Times New Roman"/>
          <w:sz w:val="24"/>
          <w:szCs w:val="24"/>
          <w:u w:color="000000"/>
          <w:lang w:eastAsia="en-ZA"/>
        </w:rPr>
      </w:pPr>
      <w:r w:rsidRPr="002E06CC">
        <w:rPr>
          <w:rFonts w:ascii="Times New Roman" w:eastAsia="Arial Unicode MS" w:hAnsi="Times New Roman"/>
          <w:sz w:val="24"/>
          <w:szCs w:val="24"/>
          <w:u w:color="000000"/>
          <w:lang w:eastAsia="en-ZA"/>
        </w:rPr>
        <w:t>The A</w:t>
      </w:r>
      <w:r w:rsidR="00515CC3" w:rsidRPr="002E06CC">
        <w:rPr>
          <w:rFonts w:ascii="Times New Roman" w:eastAsia="Arial Unicode MS" w:hAnsi="Times New Roman"/>
          <w:sz w:val="24"/>
          <w:szCs w:val="24"/>
          <w:u w:color="000000"/>
          <w:lang w:eastAsia="en-ZA"/>
        </w:rPr>
        <w:t>uditor-General Report on Armscor</w:t>
      </w:r>
    </w:p>
    <w:p w14:paraId="5812C9DA" w14:textId="77777777" w:rsidR="00461FCB" w:rsidRPr="002E06CC" w:rsidRDefault="00461FCB" w:rsidP="002E06CC">
      <w:pPr>
        <w:spacing w:after="0" w:line="360" w:lineRule="auto"/>
        <w:ind w:left="720"/>
        <w:jc w:val="both"/>
        <w:outlineLvl w:val="0"/>
        <w:rPr>
          <w:rFonts w:ascii="Times New Roman" w:eastAsia="Arial Unicode MS" w:hAnsi="Times New Roman" w:cs="Times New Roman"/>
          <w:sz w:val="24"/>
          <w:szCs w:val="24"/>
          <w:u w:color="000000"/>
          <w:lang w:eastAsia="en-ZA"/>
        </w:rPr>
      </w:pPr>
    </w:p>
    <w:p w14:paraId="63D6828A" w14:textId="77777777" w:rsidR="00461FCB" w:rsidRPr="002E06CC" w:rsidRDefault="00461FCB" w:rsidP="002E06CC">
      <w:pPr>
        <w:spacing w:after="0" w:line="360" w:lineRule="auto"/>
        <w:jc w:val="both"/>
        <w:outlineLvl w:val="0"/>
        <w:rPr>
          <w:rFonts w:ascii="Times New Roman" w:eastAsia="Arial Unicode MS" w:hAnsi="Times New Roman" w:cs="Times New Roman"/>
          <w:b/>
          <w:sz w:val="24"/>
          <w:szCs w:val="24"/>
          <w:u w:color="000000"/>
          <w:lang w:val="en-US"/>
        </w:rPr>
      </w:pPr>
      <w:r w:rsidRPr="002E06CC">
        <w:rPr>
          <w:rFonts w:ascii="Times New Roman" w:eastAsia="Arial Unicode MS" w:hAnsi="Times New Roman" w:cs="Times New Roman"/>
          <w:b/>
          <w:sz w:val="24"/>
          <w:szCs w:val="24"/>
          <w:u w:color="000000"/>
          <w:lang w:val="en-US"/>
        </w:rPr>
        <w:t>1.7</w:t>
      </w:r>
      <w:r w:rsidRPr="002E06CC">
        <w:rPr>
          <w:rFonts w:ascii="Times New Roman" w:eastAsia="Arial Unicode MS" w:hAnsi="Times New Roman" w:cs="Times New Roman"/>
          <w:b/>
          <w:sz w:val="24"/>
          <w:szCs w:val="24"/>
          <w:u w:color="000000"/>
          <w:lang w:val="en-US"/>
        </w:rPr>
        <w:tab/>
        <w:t>Structure of the Report</w:t>
      </w:r>
    </w:p>
    <w:p w14:paraId="375AD9E0" w14:textId="77777777" w:rsidR="00461FCB" w:rsidRPr="002E06CC" w:rsidRDefault="00461FCB" w:rsidP="002E06CC">
      <w:pPr>
        <w:spacing w:after="0" w:line="360" w:lineRule="auto"/>
        <w:jc w:val="both"/>
        <w:outlineLvl w:val="0"/>
        <w:rPr>
          <w:rFonts w:ascii="Times New Roman" w:eastAsia="Arial Unicode MS" w:hAnsi="Times New Roman" w:cs="Times New Roman"/>
          <w:sz w:val="24"/>
          <w:szCs w:val="24"/>
          <w:u w:color="000000"/>
          <w:lang w:val="en-US" w:eastAsia="en-ZA"/>
        </w:rPr>
      </w:pPr>
    </w:p>
    <w:p w14:paraId="336535E0" w14:textId="77777777" w:rsidR="00461FCB" w:rsidRPr="002E06CC" w:rsidRDefault="00461FCB" w:rsidP="002E06CC">
      <w:pPr>
        <w:spacing w:after="0" w:line="360" w:lineRule="auto"/>
        <w:jc w:val="both"/>
        <w:outlineLvl w:val="0"/>
        <w:rPr>
          <w:rFonts w:ascii="Times New Roman" w:eastAsia="Arial Unicode MS" w:hAnsi="Times New Roman" w:cs="Times New Roman"/>
          <w:sz w:val="24"/>
          <w:szCs w:val="24"/>
          <w:u w:color="000000"/>
          <w:lang w:val="en-US" w:eastAsia="en-ZA"/>
        </w:rPr>
      </w:pPr>
      <w:r w:rsidRPr="002E06CC">
        <w:rPr>
          <w:rFonts w:ascii="Times New Roman" w:eastAsia="Arial Unicode MS" w:hAnsi="Times New Roman" w:cs="Times New Roman"/>
          <w:sz w:val="24"/>
          <w:szCs w:val="24"/>
          <w:u w:color="000000"/>
          <w:lang w:val="en-US" w:eastAsia="en-ZA"/>
        </w:rPr>
        <w:t>This report comprises seven sections:</w:t>
      </w:r>
    </w:p>
    <w:p w14:paraId="4CD0A180" w14:textId="77777777" w:rsidR="00461FCB" w:rsidRPr="002E06CC" w:rsidRDefault="00461FCB" w:rsidP="002E06CC">
      <w:pPr>
        <w:spacing w:after="0" w:line="360" w:lineRule="auto"/>
        <w:jc w:val="both"/>
        <w:outlineLvl w:val="0"/>
        <w:rPr>
          <w:rFonts w:ascii="Times New Roman" w:eastAsia="Arial Unicode MS" w:hAnsi="Times New Roman" w:cs="Times New Roman"/>
          <w:sz w:val="24"/>
          <w:szCs w:val="24"/>
          <w:u w:color="000000"/>
          <w:lang w:val="en-US" w:eastAsia="en-ZA"/>
        </w:rPr>
      </w:pPr>
    </w:p>
    <w:p w14:paraId="7AD07E25" w14:textId="77777777" w:rsidR="00461FCB" w:rsidRPr="002E06CC" w:rsidRDefault="00461FCB" w:rsidP="002E06CC">
      <w:pPr>
        <w:pStyle w:val="ListParagraph"/>
        <w:numPr>
          <w:ilvl w:val="0"/>
          <w:numId w:val="5"/>
        </w:numPr>
        <w:spacing w:after="0" w:line="360" w:lineRule="auto"/>
        <w:ind w:left="720"/>
        <w:jc w:val="both"/>
        <w:outlineLvl w:val="0"/>
        <w:rPr>
          <w:rFonts w:ascii="Times New Roman" w:eastAsia="Arial Unicode MS" w:hAnsi="Times New Roman"/>
          <w:sz w:val="24"/>
          <w:szCs w:val="24"/>
          <w:u w:color="000000"/>
          <w:lang w:val="en-US" w:eastAsia="en-ZA"/>
        </w:rPr>
      </w:pPr>
      <w:r w:rsidRPr="002E06CC">
        <w:rPr>
          <w:rFonts w:ascii="Times New Roman" w:eastAsia="Arial Unicode MS" w:hAnsi="Times New Roman"/>
          <w:sz w:val="24"/>
          <w:szCs w:val="24"/>
          <w:u w:color="000000"/>
          <w:lang w:val="en-US" w:eastAsia="en-ZA"/>
        </w:rPr>
        <w:t xml:space="preserve">Section 1: Introduction – sets out the mandate of the Committee, the purpose of this report (BRRR) and the process to develop this report. </w:t>
      </w:r>
    </w:p>
    <w:p w14:paraId="2B8438B2" w14:textId="77777777" w:rsidR="00461FCB" w:rsidRPr="002E06CC" w:rsidRDefault="00461FCB" w:rsidP="002E06CC">
      <w:pPr>
        <w:pStyle w:val="ListParagraph"/>
        <w:numPr>
          <w:ilvl w:val="0"/>
          <w:numId w:val="4"/>
        </w:numPr>
        <w:spacing w:after="0" w:line="360" w:lineRule="auto"/>
        <w:ind w:left="720"/>
        <w:jc w:val="both"/>
        <w:outlineLvl w:val="0"/>
        <w:rPr>
          <w:rFonts w:ascii="Times New Roman" w:eastAsia="Arial Unicode MS" w:hAnsi="Times New Roman"/>
          <w:sz w:val="24"/>
          <w:szCs w:val="24"/>
          <w:u w:color="000000"/>
          <w:lang w:val="en-US" w:eastAsia="en-ZA"/>
        </w:rPr>
      </w:pPr>
      <w:r w:rsidRPr="002E06CC">
        <w:rPr>
          <w:rFonts w:ascii="Times New Roman" w:eastAsia="Arial Unicode MS" w:hAnsi="Times New Roman"/>
          <w:sz w:val="24"/>
          <w:szCs w:val="24"/>
          <w:u w:color="000000"/>
          <w:lang w:val="en-US" w:eastAsia="en-ZA"/>
        </w:rPr>
        <w:t xml:space="preserve">Section 2: Provides an overview of the key relevant policy focus areas. </w:t>
      </w:r>
    </w:p>
    <w:p w14:paraId="0A7FC3D5" w14:textId="77777777" w:rsidR="00461FCB" w:rsidRPr="002E06CC" w:rsidRDefault="00461FCB" w:rsidP="002E06CC">
      <w:pPr>
        <w:pStyle w:val="ListParagraph"/>
        <w:numPr>
          <w:ilvl w:val="0"/>
          <w:numId w:val="4"/>
        </w:numPr>
        <w:spacing w:after="0" w:line="360" w:lineRule="auto"/>
        <w:ind w:left="720"/>
        <w:jc w:val="both"/>
        <w:outlineLvl w:val="0"/>
        <w:rPr>
          <w:rFonts w:ascii="Times New Roman" w:eastAsia="Arial Unicode MS" w:hAnsi="Times New Roman"/>
          <w:sz w:val="24"/>
          <w:szCs w:val="24"/>
          <w:u w:color="000000"/>
          <w:lang w:eastAsia="en-ZA"/>
        </w:rPr>
      </w:pPr>
      <w:r w:rsidRPr="002E06CC">
        <w:rPr>
          <w:rFonts w:ascii="Times New Roman" w:eastAsia="Arial Unicode MS" w:hAnsi="Times New Roman"/>
          <w:sz w:val="24"/>
          <w:szCs w:val="24"/>
          <w:u w:color="000000"/>
          <w:lang w:val="en-US" w:eastAsia="en-ZA"/>
        </w:rPr>
        <w:t xml:space="preserve">Section 3: Provides an overview and summary of </w:t>
      </w:r>
      <w:r w:rsidRPr="002E06CC">
        <w:rPr>
          <w:rFonts w:ascii="Times New Roman" w:eastAsia="Arial Unicode MS" w:hAnsi="Times New Roman"/>
          <w:sz w:val="24"/>
          <w:szCs w:val="24"/>
          <w:u w:color="000000"/>
          <w:lang w:eastAsia="en-ZA"/>
        </w:rPr>
        <w:t xml:space="preserve">previous key financial and performance recommendations of </w:t>
      </w:r>
      <w:r w:rsidR="00C41877" w:rsidRPr="002E06CC">
        <w:rPr>
          <w:rFonts w:ascii="Times New Roman" w:eastAsia="Arial Unicode MS" w:hAnsi="Times New Roman"/>
          <w:sz w:val="24"/>
          <w:szCs w:val="24"/>
          <w:u w:color="000000"/>
          <w:lang w:eastAsia="en-ZA"/>
        </w:rPr>
        <w:t xml:space="preserve">the </w:t>
      </w:r>
      <w:r w:rsidRPr="002E06CC">
        <w:rPr>
          <w:rFonts w:ascii="Times New Roman" w:eastAsia="Arial Unicode MS" w:hAnsi="Times New Roman"/>
          <w:sz w:val="24"/>
          <w:szCs w:val="24"/>
          <w:u w:color="000000"/>
          <w:lang w:eastAsia="en-ZA"/>
        </w:rPr>
        <w:t>Committee</w:t>
      </w:r>
      <w:r w:rsidRPr="002E06CC">
        <w:rPr>
          <w:rFonts w:ascii="Times New Roman" w:eastAsia="Arial Unicode MS" w:hAnsi="Times New Roman"/>
          <w:b/>
          <w:sz w:val="24"/>
          <w:szCs w:val="24"/>
          <w:u w:color="000000"/>
          <w:lang w:eastAsia="en-ZA"/>
        </w:rPr>
        <w:t xml:space="preserve"> </w:t>
      </w:r>
      <w:r w:rsidRPr="002E06CC">
        <w:rPr>
          <w:rFonts w:ascii="Times New Roman" w:eastAsia="Arial Unicode MS" w:hAnsi="Times New Roman"/>
          <w:sz w:val="24"/>
          <w:szCs w:val="24"/>
          <w:u w:color="000000"/>
          <w:lang w:eastAsia="en-ZA"/>
        </w:rPr>
        <w:t>(201</w:t>
      </w:r>
      <w:r w:rsidR="00C41877" w:rsidRPr="002E06CC">
        <w:rPr>
          <w:rFonts w:ascii="Times New Roman" w:eastAsia="Arial Unicode MS" w:hAnsi="Times New Roman"/>
          <w:sz w:val="24"/>
          <w:szCs w:val="24"/>
          <w:u w:color="000000"/>
          <w:lang w:eastAsia="en-ZA"/>
        </w:rPr>
        <w:t>6</w:t>
      </w:r>
      <w:r w:rsidRPr="002E06CC">
        <w:rPr>
          <w:rFonts w:ascii="Times New Roman" w:eastAsia="Arial Unicode MS" w:hAnsi="Times New Roman"/>
          <w:sz w:val="24"/>
          <w:szCs w:val="24"/>
          <w:u w:color="000000"/>
          <w:lang w:eastAsia="en-ZA"/>
        </w:rPr>
        <w:t>/1</w:t>
      </w:r>
      <w:r w:rsidR="00C41877" w:rsidRPr="002E06CC">
        <w:rPr>
          <w:rFonts w:ascii="Times New Roman" w:eastAsia="Arial Unicode MS" w:hAnsi="Times New Roman"/>
          <w:sz w:val="24"/>
          <w:szCs w:val="24"/>
          <w:u w:color="000000"/>
          <w:lang w:eastAsia="en-ZA"/>
        </w:rPr>
        <w:t>7</w:t>
      </w:r>
      <w:r w:rsidRPr="002E06CC">
        <w:rPr>
          <w:rFonts w:ascii="Times New Roman" w:eastAsia="Arial Unicode MS" w:hAnsi="Times New Roman"/>
          <w:sz w:val="24"/>
          <w:szCs w:val="24"/>
          <w:u w:color="000000"/>
          <w:lang w:eastAsia="en-ZA"/>
        </w:rPr>
        <w:t>).</w:t>
      </w:r>
    </w:p>
    <w:p w14:paraId="62887A93" w14:textId="77777777" w:rsidR="00461FCB" w:rsidRPr="002E06CC" w:rsidRDefault="00461FCB" w:rsidP="002E06CC">
      <w:pPr>
        <w:pStyle w:val="ListParagraph"/>
        <w:numPr>
          <w:ilvl w:val="0"/>
          <w:numId w:val="4"/>
        </w:numPr>
        <w:spacing w:after="0" w:line="360" w:lineRule="auto"/>
        <w:ind w:left="720"/>
        <w:jc w:val="both"/>
        <w:outlineLvl w:val="0"/>
        <w:rPr>
          <w:rFonts w:ascii="Times New Roman" w:eastAsia="Arial Unicode MS" w:hAnsi="Times New Roman"/>
          <w:sz w:val="24"/>
          <w:szCs w:val="24"/>
          <w:u w:color="000000"/>
          <w:lang w:val="en-US" w:eastAsia="en-ZA"/>
        </w:rPr>
      </w:pPr>
      <w:r w:rsidRPr="002E06CC">
        <w:rPr>
          <w:rFonts w:ascii="Times New Roman" w:eastAsia="Arial Unicode MS" w:hAnsi="Times New Roman"/>
          <w:sz w:val="24"/>
          <w:szCs w:val="24"/>
          <w:u w:color="000000"/>
          <w:lang w:val="en-US" w:eastAsia="en-ZA"/>
        </w:rPr>
        <w:t>Section 4: Provides a broad overview and assessment of financial performance of the Department for 201</w:t>
      </w:r>
      <w:r w:rsidR="00C41877" w:rsidRPr="002E06CC">
        <w:rPr>
          <w:rFonts w:ascii="Times New Roman" w:eastAsia="Arial Unicode MS" w:hAnsi="Times New Roman"/>
          <w:sz w:val="24"/>
          <w:szCs w:val="24"/>
          <w:u w:color="000000"/>
          <w:lang w:val="en-US" w:eastAsia="en-ZA"/>
        </w:rPr>
        <w:t>7</w:t>
      </w:r>
      <w:r w:rsidRPr="002E06CC">
        <w:rPr>
          <w:rFonts w:ascii="Times New Roman" w:eastAsia="Arial Unicode MS" w:hAnsi="Times New Roman"/>
          <w:sz w:val="24"/>
          <w:szCs w:val="24"/>
          <w:u w:color="000000"/>
          <w:lang w:val="en-US" w:eastAsia="en-ZA"/>
        </w:rPr>
        <w:t>/1</w:t>
      </w:r>
      <w:r w:rsidR="00C41877" w:rsidRPr="002E06CC">
        <w:rPr>
          <w:rFonts w:ascii="Times New Roman" w:eastAsia="Arial Unicode MS" w:hAnsi="Times New Roman"/>
          <w:sz w:val="24"/>
          <w:szCs w:val="24"/>
          <w:u w:color="000000"/>
          <w:lang w:val="en-US" w:eastAsia="en-ZA"/>
        </w:rPr>
        <w:t>8</w:t>
      </w:r>
      <w:r w:rsidRPr="002E06CC">
        <w:rPr>
          <w:rFonts w:ascii="Times New Roman" w:eastAsia="Arial Unicode MS" w:hAnsi="Times New Roman"/>
          <w:sz w:val="24"/>
          <w:szCs w:val="24"/>
          <w:u w:color="000000"/>
          <w:lang w:val="en-US" w:eastAsia="en-ZA"/>
        </w:rPr>
        <w:t xml:space="preserve">. </w:t>
      </w:r>
    </w:p>
    <w:p w14:paraId="28D33C16" w14:textId="77777777" w:rsidR="00461FCB" w:rsidRPr="002E06CC" w:rsidRDefault="00461FCB" w:rsidP="002E06CC">
      <w:pPr>
        <w:pStyle w:val="ListParagraph"/>
        <w:numPr>
          <w:ilvl w:val="0"/>
          <w:numId w:val="4"/>
        </w:numPr>
        <w:spacing w:after="0" w:line="360" w:lineRule="auto"/>
        <w:ind w:left="720"/>
        <w:jc w:val="both"/>
        <w:outlineLvl w:val="0"/>
        <w:rPr>
          <w:rFonts w:ascii="Times New Roman" w:eastAsia="Arial Unicode MS" w:hAnsi="Times New Roman"/>
          <w:sz w:val="24"/>
          <w:szCs w:val="24"/>
          <w:u w:color="000000"/>
          <w:lang w:val="en-US" w:eastAsia="en-ZA"/>
        </w:rPr>
      </w:pPr>
      <w:r w:rsidRPr="002E06CC">
        <w:rPr>
          <w:rFonts w:ascii="Times New Roman" w:eastAsia="Arial Unicode MS" w:hAnsi="Times New Roman"/>
          <w:sz w:val="24"/>
          <w:szCs w:val="24"/>
          <w:u w:color="000000"/>
          <w:lang w:val="en-US" w:eastAsia="en-ZA"/>
        </w:rPr>
        <w:t xml:space="preserve">Section 5: Overview of performance.  </w:t>
      </w:r>
    </w:p>
    <w:p w14:paraId="4AB4D3EF" w14:textId="77777777" w:rsidR="00461FCB" w:rsidRPr="002E06CC" w:rsidRDefault="00461FCB" w:rsidP="002E06CC">
      <w:pPr>
        <w:pStyle w:val="ListParagraph"/>
        <w:numPr>
          <w:ilvl w:val="0"/>
          <w:numId w:val="4"/>
        </w:numPr>
        <w:spacing w:after="0" w:line="360" w:lineRule="auto"/>
        <w:ind w:left="720"/>
        <w:jc w:val="both"/>
        <w:outlineLvl w:val="0"/>
        <w:rPr>
          <w:rFonts w:ascii="Times New Roman" w:eastAsia="Arial Unicode MS" w:hAnsi="Times New Roman"/>
          <w:sz w:val="24"/>
          <w:szCs w:val="24"/>
          <w:u w:color="000000"/>
          <w:lang w:val="en-US" w:eastAsia="en-ZA"/>
        </w:rPr>
      </w:pPr>
      <w:r w:rsidRPr="002E06CC">
        <w:rPr>
          <w:rFonts w:ascii="Times New Roman" w:eastAsia="Arial Unicode MS" w:hAnsi="Times New Roman"/>
          <w:sz w:val="24"/>
          <w:szCs w:val="24"/>
          <w:u w:color="000000"/>
          <w:lang w:val="en-US" w:eastAsia="en-ZA"/>
        </w:rPr>
        <w:t xml:space="preserve">Section 6: Key Committee findings.  </w:t>
      </w:r>
    </w:p>
    <w:p w14:paraId="16335DA8" w14:textId="77777777" w:rsidR="00461FCB" w:rsidRPr="002E06CC" w:rsidRDefault="00461FCB" w:rsidP="002E06CC">
      <w:pPr>
        <w:pStyle w:val="ListParagraph"/>
        <w:numPr>
          <w:ilvl w:val="0"/>
          <w:numId w:val="4"/>
        </w:numPr>
        <w:spacing w:after="0" w:line="360" w:lineRule="auto"/>
        <w:ind w:left="720"/>
        <w:jc w:val="both"/>
        <w:outlineLvl w:val="0"/>
        <w:rPr>
          <w:rFonts w:ascii="Times New Roman" w:eastAsia="Arial Unicode MS" w:hAnsi="Times New Roman"/>
          <w:sz w:val="24"/>
          <w:szCs w:val="24"/>
          <w:u w:color="000000"/>
          <w:lang w:val="en-US" w:eastAsia="en-ZA"/>
        </w:rPr>
      </w:pPr>
      <w:r w:rsidRPr="002E06CC">
        <w:rPr>
          <w:rFonts w:ascii="Times New Roman" w:eastAsia="Arial Unicode MS" w:hAnsi="Times New Roman"/>
          <w:sz w:val="24"/>
          <w:szCs w:val="24"/>
          <w:u w:color="000000"/>
          <w:lang w:val="en-US" w:eastAsia="en-ZA"/>
        </w:rPr>
        <w:t>Section 7: K</w:t>
      </w:r>
      <w:r w:rsidR="00C41877" w:rsidRPr="002E06CC">
        <w:rPr>
          <w:rFonts w:ascii="Times New Roman" w:eastAsia="Arial Unicode MS" w:hAnsi="Times New Roman"/>
          <w:sz w:val="24"/>
          <w:szCs w:val="24"/>
          <w:u w:color="000000"/>
          <w:lang w:val="en-US" w:eastAsia="en-ZA"/>
        </w:rPr>
        <w:t>ey</w:t>
      </w:r>
      <w:r w:rsidRPr="002E06CC">
        <w:rPr>
          <w:rFonts w:ascii="Times New Roman" w:eastAsia="Arial Unicode MS" w:hAnsi="Times New Roman"/>
          <w:sz w:val="24"/>
          <w:szCs w:val="24"/>
          <w:u w:color="000000"/>
          <w:lang w:eastAsia="en-ZA"/>
        </w:rPr>
        <w:t xml:space="preserve"> recommendations.</w:t>
      </w:r>
    </w:p>
    <w:p w14:paraId="4B9CA3BD" w14:textId="77777777" w:rsidR="00461FCB" w:rsidRPr="002E06CC" w:rsidRDefault="00461FCB" w:rsidP="002E06CC">
      <w:pPr>
        <w:spacing w:after="0" w:line="360" w:lineRule="auto"/>
        <w:jc w:val="both"/>
        <w:outlineLvl w:val="0"/>
        <w:rPr>
          <w:rFonts w:ascii="Times New Roman" w:eastAsia="Arial Unicode MS" w:hAnsi="Times New Roman" w:cs="Times New Roman"/>
          <w:b/>
          <w:sz w:val="24"/>
          <w:szCs w:val="24"/>
          <w:u w:color="000000"/>
          <w:lang w:val="en-US" w:eastAsia="en-ZA"/>
        </w:rPr>
      </w:pPr>
    </w:p>
    <w:p w14:paraId="53425BDB" w14:textId="77777777" w:rsidR="00461FCB" w:rsidRPr="002E06CC" w:rsidRDefault="00461FCB" w:rsidP="002E06CC">
      <w:pPr>
        <w:spacing w:after="0" w:line="360" w:lineRule="auto"/>
        <w:jc w:val="both"/>
        <w:outlineLvl w:val="0"/>
        <w:rPr>
          <w:rFonts w:ascii="Times New Roman" w:eastAsia="Arial Unicode MS" w:hAnsi="Times New Roman" w:cs="Times New Roman"/>
          <w:b/>
          <w:caps/>
          <w:sz w:val="24"/>
          <w:szCs w:val="24"/>
          <w:u w:color="000000"/>
          <w:lang w:val="en-US"/>
        </w:rPr>
      </w:pPr>
      <w:r w:rsidRPr="002E06CC">
        <w:rPr>
          <w:rFonts w:ascii="Times New Roman" w:eastAsia="Arial Unicode MS" w:hAnsi="Times New Roman" w:cs="Times New Roman"/>
          <w:b/>
          <w:caps/>
          <w:sz w:val="24"/>
          <w:szCs w:val="24"/>
          <w:u w:color="000000"/>
          <w:lang w:val="en-US"/>
        </w:rPr>
        <w:t>2.</w:t>
      </w:r>
      <w:r w:rsidRPr="002E06CC">
        <w:rPr>
          <w:rFonts w:ascii="Times New Roman" w:eastAsia="Arial Unicode MS" w:hAnsi="Times New Roman" w:cs="Times New Roman"/>
          <w:b/>
          <w:caps/>
          <w:sz w:val="24"/>
          <w:szCs w:val="24"/>
          <w:u w:color="000000"/>
          <w:lang w:val="en-US"/>
        </w:rPr>
        <w:tab/>
        <w:t xml:space="preserve">Overview of the key relevant policy focus areas </w:t>
      </w:r>
    </w:p>
    <w:p w14:paraId="33CAC45D" w14:textId="77777777" w:rsidR="00461FCB" w:rsidRPr="002E06CC" w:rsidRDefault="00461FCB" w:rsidP="002E06CC">
      <w:pPr>
        <w:pStyle w:val="ListParagraph"/>
        <w:spacing w:after="0" w:line="360" w:lineRule="auto"/>
        <w:ind w:left="360"/>
        <w:jc w:val="both"/>
        <w:outlineLvl w:val="0"/>
        <w:rPr>
          <w:rFonts w:ascii="Times New Roman" w:eastAsia="Arial Unicode MS" w:hAnsi="Times New Roman"/>
          <w:b/>
          <w:caps/>
          <w:sz w:val="24"/>
          <w:szCs w:val="24"/>
          <w:u w:color="000000"/>
          <w:lang w:val="en-US"/>
        </w:rPr>
      </w:pPr>
    </w:p>
    <w:p w14:paraId="04DBFB88" w14:textId="77777777" w:rsidR="00461FCB" w:rsidRPr="002E06CC" w:rsidRDefault="00461FCB" w:rsidP="002E06CC">
      <w:pPr>
        <w:spacing w:after="0" w:line="360" w:lineRule="auto"/>
        <w:jc w:val="both"/>
        <w:outlineLvl w:val="0"/>
        <w:rPr>
          <w:rFonts w:ascii="Times New Roman" w:eastAsia="Arial Unicode MS" w:hAnsi="Times New Roman" w:cs="Times New Roman"/>
          <w:sz w:val="24"/>
          <w:szCs w:val="24"/>
          <w:u w:color="000000"/>
          <w:lang w:val="en-US"/>
        </w:rPr>
      </w:pPr>
      <w:r w:rsidRPr="002E06CC">
        <w:rPr>
          <w:rFonts w:ascii="Times New Roman" w:eastAsia="Arial Unicode MS" w:hAnsi="Times New Roman" w:cs="Times New Roman"/>
          <w:b/>
          <w:sz w:val="24"/>
          <w:szCs w:val="24"/>
          <w:u w:color="000000"/>
          <w:lang w:val="en-US"/>
        </w:rPr>
        <w:t>2.1</w:t>
      </w:r>
      <w:r w:rsidRPr="002E06CC">
        <w:rPr>
          <w:rFonts w:ascii="Times New Roman" w:eastAsia="Arial Unicode MS" w:hAnsi="Times New Roman" w:cs="Times New Roman"/>
          <w:sz w:val="24"/>
          <w:szCs w:val="24"/>
          <w:u w:color="000000"/>
          <w:lang w:val="en-US"/>
        </w:rPr>
        <w:tab/>
      </w:r>
      <w:r w:rsidRPr="002E06CC">
        <w:rPr>
          <w:rFonts w:ascii="Times New Roman" w:eastAsia="Arial Unicode MS" w:hAnsi="Times New Roman" w:cs="Times New Roman"/>
          <w:b/>
          <w:sz w:val="24"/>
          <w:szCs w:val="24"/>
          <w:u w:color="000000"/>
          <w:lang w:val="en-US"/>
        </w:rPr>
        <w:t>State of the Nation Address</w:t>
      </w:r>
      <w:r w:rsidRPr="002E06CC">
        <w:rPr>
          <w:rFonts w:ascii="Times New Roman" w:eastAsia="Arial Unicode MS" w:hAnsi="Times New Roman" w:cs="Times New Roman"/>
          <w:sz w:val="24"/>
          <w:szCs w:val="24"/>
          <w:u w:color="000000"/>
          <w:lang w:val="en-US"/>
        </w:rPr>
        <w:t xml:space="preserve"> </w:t>
      </w:r>
    </w:p>
    <w:p w14:paraId="064D386C" w14:textId="77777777" w:rsidR="00461FCB" w:rsidRPr="002E06CC" w:rsidRDefault="00461FCB" w:rsidP="002E06CC">
      <w:pPr>
        <w:autoSpaceDE w:val="0"/>
        <w:autoSpaceDN w:val="0"/>
        <w:adjustRightInd w:val="0"/>
        <w:spacing w:after="0" w:line="360" w:lineRule="auto"/>
        <w:jc w:val="both"/>
        <w:rPr>
          <w:rFonts w:ascii="Times New Roman" w:hAnsi="Times New Roman" w:cs="Times New Roman"/>
          <w:sz w:val="24"/>
          <w:szCs w:val="24"/>
        </w:rPr>
      </w:pPr>
    </w:p>
    <w:p w14:paraId="5B7A3A8F" w14:textId="77777777" w:rsidR="00461FCB" w:rsidRPr="002E06CC" w:rsidRDefault="00461FCB" w:rsidP="002E06CC">
      <w:pPr>
        <w:autoSpaceDE w:val="0"/>
        <w:autoSpaceDN w:val="0"/>
        <w:adjustRightInd w:val="0"/>
        <w:spacing w:after="0" w:line="360" w:lineRule="auto"/>
        <w:jc w:val="both"/>
        <w:rPr>
          <w:rFonts w:ascii="Times New Roman" w:hAnsi="Times New Roman" w:cs="Times New Roman"/>
          <w:sz w:val="24"/>
          <w:szCs w:val="24"/>
        </w:rPr>
      </w:pPr>
      <w:r w:rsidRPr="002E06CC">
        <w:rPr>
          <w:rFonts w:ascii="Times New Roman" w:hAnsi="Times New Roman" w:cs="Times New Roman"/>
          <w:sz w:val="24"/>
          <w:szCs w:val="24"/>
        </w:rPr>
        <w:t xml:space="preserve">In the State of the Nation Addresses </w:t>
      </w:r>
      <w:r w:rsidR="009F10A4" w:rsidRPr="002E06CC">
        <w:rPr>
          <w:rFonts w:ascii="Times New Roman" w:hAnsi="Times New Roman" w:cs="Times New Roman"/>
          <w:sz w:val="24"/>
          <w:szCs w:val="24"/>
        </w:rPr>
        <w:t>of 9</w:t>
      </w:r>
      <w:r w:rsidRPr="002E06CC">
        <w:rPr>
          <w:rFonts w:ascii="Times New Roman" w:hAnsi="Times New Roman" w:cs="Times New Roman"/>
          <w:sz w:val="24"/>
          <w:szCs w:val="24"/>
        </w:rPr>
        <w:t xml:space="preserve"> February 201</w:t>
      </w:r>
      <w:r w:rsidR="009F10A4" w:rsidRPr="002E06CC">
        <w:rPr>
          <w:rFonts w:ascii="Times New Roman" w:hAnsi="Times New Roman" w:cs="Times New Roman"/>
          <w:sz w:val="24"/>
          <w:szCs w:val="24"/>
        </w:rPr>
        <w:t>7</w:t>
      </w:r>
      <w:r w:rsidRPr="002E06CC">
        <w:rPr>
          <w:rFonts w:ascii="Times New Roman" w:hAnsi="Times New Roman" w:cs="Times New Roman"/>
          <w:sz w:val="24"/>
          <w:szCs w:val="24"/>
        </w:rPr>
        <w:t xml:space="preserve">, the President </w:t>
      </w:r>
      <w:r w:rsidR="009F10A4" w:rsidRPr="002E06CC">
        <w:rPr>
          <w:rFonts w:ascii="Times New Roman" w:hAnsi="Times New Roman" w:cs="Times New Roman"/>
          <w:sz w:val="24"/>
          <w:szCs w:val="24"/>
        </w:rPr>
        <w:t xml:space="preserve">noted several aspects that relates directly and indirectly to Armscor, including the following: </w:t>
      </w:r>
    </w:p>
    <w:p w14:paraId="7B256A0B" w14:textId="77777777" w:rsidR="00461FCB" w:rsidRPr="002E06CC" w:rsidRDefault="00461FCB" w:rsidP="002E06CC">
      <w:pPr>
        <w:autoSpaceDE w:val="0"/>
        <w:autoSpaceDN w:val="0"/>
        <w:adjustRightInd w:val="0"/>
        <w:spacing w:after="0" w:line="360" w:lineRule="auto"/>
        <w:jc w:val="both"/>
        <w:rPr>
          <w:rFonts w:ascii="Times New Roman" w:hAnsi="Times New Roman" w:cs="Times New Roman"/>
          <w:sz w:val="24"/>
          <w:szCs w:val="24"/>
        </w:rPr>
      </w:pPr>
    </w:p>
    <w:p w14:paraId="65622FFD" w14:textId="77777777" w:rsidR="00461FCB" w:rsidRPr="002E06CC" w:rsidRDefault="009F10A4" w:rsidP="002E06CC">
      <w:pPr>
        <w:pStyle w:val="ListParagraph"/>
        <w:numPr>
          <w:ilvl w:val="0"/>
          <w:numId w:val="28"/>
        </w:numPr>
        <w:autoSpaceDE w:val="0"/>
        <w:autoSpaceDN w:val="0"/>
        <w:adjustRightInd w:val="0"/>
        <w:spacing w:after="0" w:line="360" w:lineRule="auto"/>
        <w:jc w:val="both"/>
        <w:rPr>
          <w:rFonts w:ascii="Times New Roman" w:hAnsi="Times New Roman"/>
          <w:sz w:val="24"/>
          <w:szCs w:val="24"/>
        </w:rPr>
      </w:pPr>
      <w:r w:rsidRPr="002E06CC">
        <w:rPr>
          <w:rFonts w:ascii="Times New Roman" w:hAnsi="Times New Roman"/>
          <w:b/>
          <w:bCs/>
          <w:sz w:val="24"/>
          <w:szCs w:val="24"/>
          <w:lang w:val="en-US"/>
        </w:rPr>
        <w:t>Armscor Dockyard:</w:t>
      </w:r>
      <w:r w:rsidRPr="002E06CC">
        <w:rPr>
          <w:rFonts w:ascii="Times New Roman" w:hAnsi="Times New Roman"/>
          <w:bCs/>
          <w:sz w:val="24"/>
          <w:szCs w:val="24"/>
          <w:lang w:val="en-US"/>
        </w:rPr>
        <w:t xml:space="preserve"> The President noted the role of the SA Navy in Operation Phakisa, aimed at </w:t>
      </w:r>
      <w:r w:rsidRPr="002E06CC">
        <w:rPr>
          <w:rFonts w:ascii="Times New Roman" w:hAnsi="Times New Roman"/>
          <w:bCs/>
          <w:sz w:val="24"/>
          <w:szCs w:val="24"/>
          <w:lang w:val="en-GB"/>
        </w:rPr>
        <w:t>growing the Oceans Economy from an estimated Gross Domestic Product (GDP) contribution of R54 billion in 2010 to R129.177 billion by 2033. The President specifically noted the SA Navy/ARMSCOR/Denel partnership at the Simon’s Town Dockyard which will be responsible for the maintenance and repair of all government-owned vessels</w:t>
      </w:r>
    </w:p>
    <w:p w14:paraId="02D7F0D4" w14:textId="77777777" w:rsidR="009F10A4" w:rsidRPr="002E06CC" w:rsidRDefault="009F10A4" w:rsidP="002E06CC">
      <w:pPr>
        <w:pStyle w:val="ListParagraph"/>
        <w:autoSpaceDE w:val="0"/>
        <w:autoSpaceDN w:val="0"/>
        <w:adjustRightInd w:val="0"/>
        <w:spacing w:after="0" w:line="360" w:lineRule="auto"/>
        <w:jc w:val="both"/>
        <w:rPr>
          <w:rFonts w:ascii="Times New Roman" w:hAnsi="Times New Roman"/>
          <w:sz w:val="24"/>
          <w:szCs w:val="24"/>
        </w:rPr>
      </w:pPr>
    </w:p>
    <w:p w14:paraId="313EA86B" w14:textId="77777777" w:rsidR="00A94E96" w:rsidRPr="002E06CC" w:rsidRDefault="009F10A4" w:rsidP="002E06CC">
      <w:pPr>
        <w:pStyle w:val="ListParagraph"/>
        <w:numPr>
          <w:ilvl w:val="0"/>
          <w:numId w:val="28"/>
        </w:numPr>
        <w:spacing w:line="360" w:lineRule="auto"/>
        <w:jc w:val="both"/>
        <w:rPr>
          <w:rFonts w:ascii="Times New Roman" w:hAnsi="Times New Roman"/>
          <w:sz w:val="24"/>
          <w:szCs w:val="24"/>
        </w:rPr>
      </w:pPr>
      <w:r w:rsidRPr="002E06CC">
        <w:rPr>
          <w:rFonts w:ascii="Times New Roman" w:hAnsi="Times New Roman"/>
          <w:b/>
          <w:sz w:val="24"/>
          <w:szCs w:val="24"/>
        </w:rPr>
        <w:t>The Armscor Alkantpan facility.</w:t>
      </w:r>
      <w:r w:rsidRPr="002E06CC">
        <w:rPr>
          <w:rFonts w:ascii="Times New Roman" w:hAnsi="Times New Roman"/>
          <w:sz w:val="24"/>
          <w:szCs w:val="24"/>
        </w:rPr>
        <w:t xml:space="preserve"> The Square Kilometre Array (SKA) project in the Northern Cape was noted for continuing to make important contributions to socio-economic development in South Africa. It was stated previously that Armscor’s Alkantpan facility falls within the radio-frequency field of this project and may impact thereupon. As such, an agreement between Armscor and the SKA is urgently required.</w:t>
      </w:r>
    </w:p>
    <w:p w14:paraId="4BCFDB94" w14:textId="77777777" w:rsidR="00A94E96" w:rsidRPr="002E06CC" w:rsidRDefault="00A94E96" w:rsidP="002E06CC">
      <w:pPr>
        <w:pStyle w:val="ListParagraph"/>
        <w:spacing w:line="360" w:lineRule="auto"/>
        <w:jc w:val="both"/>
        <w:rPr>
          <w:rFonts w:ascii="Times New Roman" w:hAnsi="Times New Roman"/>
          <w:sz w:val="24"/>
          <w:szCs w:val="24"/>
        </w:rPr>
      </w:pPr>
    </w:p>
    <w:p w14:paraId="00278AEC" w14:textId="77777777" w:rsidR="009F10A4" w:rsidRPr="002E06CC" w:rsidRDefault="009F10A4" w:rsidP="002E06CC">
      <w:pPr>
        <w:pStyle w:val="ListParagraph"/>
        <w:numPr>
          <w:ilvl w:val="0"/>
          <w:numId w:val="28"/>
        </w:numPr>
        <w:spacing w:line="360" w:lineRule="auto"/>
        <w:jc w:val="both"/>
        <w:rPr>
          <w:rFonts w:ascii="Times New Roman" w:hAnsi="Times New Roman"/>
          <w:sz w:val="24"/>
          <w:szCs w:val="24"/>
        </w:rPr>
      </w:pPr>
      <w:r w:rsidRPr="002E06CC">
        <w:rPr>
          <w:rFonts w:ascii="Times New Roman" w:hAnsi="Times New Roman"/>
          <w:b/>
          <w:sz w:val="24"/>
          <w:szCs w:val="24"/>
        </w:rPr>
        <w:t>Broad-based Black Economic Empowerment.</w:t>
      </w:r>
      <w:r w:rsidRPr="002E06CC">
        <w:rPr>
          <w:rFonts w:ascii="Times New Roman" w:hAnsi="Times New Roman"/>
          <w:sz w:val="24"/>
          <w:szCs w:val="24"/>
        </w:rPr>
        <w:t xml:space="preserve"> The furthering of Broad-based Black Economic Empowerment and Small, Medium and Micro-</w:t>
      </w:r>
      <w:r w:rsidR="00BD3EF3" w:rsidRPr="002E06CC">
        <w:rPr>
          <w:rFonts w:ascii="Times New Roman" w:hAnsi="Times New Roman"/>
          <w:sz w:val="24"/>
          <w:szCs w:val="24"/>
        </w:rPr>
        <w:t>Sized</w:t>
      </w:r>
      <w:r w:rsidRPr="002E06CC">
        <w:rPr>
          <w:rFonts w:ascii="Times New Roman" w:hAnsi="Times New Roman"/>
          <w:sz w:val="24"/>
          <w:szCs w:val="24"/>
        </w:rPr>
        <w:t xml:space="preserve"> Enterprises (SMME)</w:t>
      </w:r>
      <w:r w:rsidR="00A94E96" w:rsidRPr="002E06CC">
        <w:rPr>
          <w:rFonts w:ascii="Times New Roman" w:hAnsi="Times New Roman"/>
          <w:sz w:val="24"/>
          <w:szCs w:val="24"/>
        </w:rPr>
        <w:t xml:space="preserve"> was noted as crucial by the President</w:t>
      </w:r>
      <w:r w:rsidRPr="002E06CC">
        <w:rPr>
          <w:rFonts w:ascii="Times New Roman" w:hAnsi="Times New Roman"/>
          <w:sz w:val="24"/>
          <w:szCs w:val="24"/>
        </w:rPr>
        <w:t xml:space="preserve">. This relates to a large extent to local procurement. With regards to local procurement, it is crucial that both the SANDF and Armscor, which is responsible for the acquisition of defence materiel for the SANDF, adhere to this requirement. </w:t>
      </w:r>
    </w:p>
    <w:p w14:paraId="08091E29" w14:textId="77777777" w:rsidR="00461FCB" w:rsidRPr="002E06CC" w:rsidRDefault="00461FCB" w:rsidP="002E06CC">
      <w:pPr>
        <w:spacing w:line="360" w:lineRule="auto"/>
        <w:jc w:val="both"/>
        <w:rPr>
          <w:rFonts w:ascii="Times New Roman" w:eastAsia="Calibri" w:hAnsi="Times New Roman" w:cs="Times New Roman"/>
          <w:b/>
          <w:sz w:val="24"/>
          <w:szCs w:val="24"/>
        </w:rPr>
      </w:pPr>
      <w:r w:rsidRPr="002E06CC">
        <w:rPr>
          <w:rFonts w:ascii="Times New Roman" w:eastAsia="Arial Unicode MS" w:hAnsi="Times New Roman" w:cs="Times New Roman"/>
          <w:b/>
          <w:sz w:val="24"/>
          <w:szCs w:val="24"/>
          <w:u w:color="000000"/>
          <w:lang w:val="en-US"/>
        </w:rPr>
        <w:t>2.2</w:t>
      </w:r>
      <w:r w:rsidRPr="002E06CC">
        <w:rPr>
          <w:rFonts w:ascii="Times New Roman" w:eastAsia="Arial Unicode MS" w:hAnsi="Times New Roman" w:cs="Times New Roman"/>
          <w:b/>
          <w:sz w:val="24"/>
          <w:szCs w:val="24"/>
          <w:u w:color="000000"/>
          <w:lang w:val="en-US"/>
        </w:rPr>
        <w:tab/>
      </w:r>
      <w:r w:rsidRPr="002E06CC">
        <w:rPr>
          <w:rFonts w:ascii="Times New Roman" w:eastAsia="Calibri" w:hAnsi="Times New Roman" w:cs="Times New Roman"/>
          <w:b/>
          <w:sz w:val="24"/>
          <w:szCs w:val="24"/>
        </w:rPr>
        <w:t xml:space="preserve">National Development Plan (NDP) </w:t>
      </w:r>
    </w:p>
    <w:p w14:paraId="60D6B4A1" w14:textId="77777777" w:rsidR="00461FCB" w:rsidRPr="002E06CC" w:rsidRDefault="00461FCB" w:rsidP="002E06CC">
      <w:pPr>
        <w:autoSpaceDE w:val="0"/>
        <w:autoSpaceDN w:val="0"/>
        <w:adjustRightInd w:val="0"/>
        <w:spacing w:after="0" w:line="360" w:lineRule="auto"/>
        <w:jc w:val="both"/>
        <w:rPr>
          <w:rFonts w:ascii="Times New Roman" w:hAnsi="Times New Roman" w:cs="Times New Roman"/>
          <w:sz w:val="24"/>
          <w:szCs w:val="24"/>
        </w:rPr>
      </w:pPr>
      <w:r w:rsidRPr="002E06CC">
        <w:rPr>
          <w:rFonts w:ascii="Times New Roman" w:hAnsi="Times New Roman" w:cs="Times New Roman"/>
          <w:sz w:val="24"/>
          <w:szCs w:val="24"/>
        </w:rPr>
        <w:t>The National Development Plan (NDP) identifies Small medium and micro sized enterprises (SMMEs) as key</w:t>
      </w:r>
    </w:p>
    <w:p w14:paraId="27DC7360" w14:textId="77777777" w:rsidR="0069261A" w:rsidRPr="002E06CC" w:rsidRDefault="00461FCB" w:rsidP="002E06CC">
      <w:pPr>
        <w:autoSpaceDE w:val="0"/>
        <w:autoSpaceDN w:val="0"/>
        <w:adjustRightInd w:val="0"/>
        <w:spacing w:after="0" w:line="360" w:lineRule="auto"/>
        <w:jc w:val="both"/>
        <w:rPr>
          <w:rFonts w:ascii="Times New Roman" w:hAnsi="Times New Roman" w:cs="Times New Roman"/>
          <w:sz w:val="24"/>
          <w:szCs w:val="24"/>
        </w:rPr>
      </w:pPr>
      <w:r w:rsidRPr="002E06CC">
        <w:rPr>
          <w:rFonts w:ascii="Times New Roman" w:hAnsi="Times New Roman" w:cs="Times New Roman"/>
          <w:sz w:val="24"/>
          <w:szCs w:val="24"/>
        </w:rPr>
        <w:t>areas for development. Armscor</w:t>
      </w:r>
      <w:r w:rsidR="0069261A" w:rsidRPr="002E06CC">
        <w:rPr>
          <w:rFonts w:ascii="Times New Roman" w:hAnsi="Times New Roman" w:cs="Times New Roman"/>
          <w:sz w:val="24"/>
          <w:szCs w:val="24"/>
        </w:rPr>
        <w:t xml:space="preserve"> continues to</w:t>
      </w:r>
      <w:r w:rsidRPr="002E06CC">
        <w:rPr>
          <w:rFonts w:ascii="Times New Roman" w:hAnsi="Times New Roman" w:cs="Times New Roman"/>
          <w:sz w:val="24"/>
          <w:szCs w:val="24"/>
        </w:rPr>
        <w:t xml:space="preserve"> play its part in this arena, and strives to increase fairness in the playing field between the established big players in defence, related industries, and the new smaller entrants. </w:t>
      </w:r>
      <w:r w:rsidR="0069261A" w:rsidRPr="002E06CC">
        <w:rPr>
          <w:rFonts w:ascii="Times New Roman" w:hAnsi="Times New Roman" w:cs="Times New Roman"/>
          <w:sz w:val="24"/>
          <w:szCs w:val="24"/>
        </w:rPr>
        <w:t xml:space="preserve">In this regard, Armscor set itself the target to ‘Support Industry on development of SMMEs by reviewing RFO and Conditions of Contracts to include ESD requirement as prescribed in the Defence Sector Charter.’ Armscor </w:t>
      </w:r>
      <w:r w:rsidR="00882AC7" w:rsidRPr="002E06CC">
        <w:rPr>
          <w:rFonts w:ascii="Times New Roman" w:hAnsi="Times New Roman" w:cs="Times New Roman"/>
          <w:sz w:val="24"/>
          <w:szCs w:val="24"/>
        </w:rPr>
        <w:t>achieved its target in this regard.</w:t>
      </w:r>
    </w:p>
    <w:p w14:paraId="4F42EDD6" w14:textId="77777777" w:rsidR="00882AC7" w:rsidRPr="002E06CC" w:rsidRDefault="00882AC7" w:rsidP="002E06CC">
      <w:pPr>
        <w:autoSpaceDE w:val="0"/>
        <w:autoSpaceDN w:val="0"/>
        <w:adjustRightInd w:val="0"/>
        <w:spacing w:after="0" w:line="360" w:lineRule="auto"/>
        <w:jc w:val="both"/>
        <w:rPr>
          <w:rFonts w:ascii="Times New Roman" w:hAnsi="Times New Roman" w:cs="Times New Roman"/>
          <w:sz w:val="24"/>
          <w:szCs w:val="24"/>
        </w:rPr>
      </w:pPr>
    </w:p>
    <w:p w14:paraId="55AAFAEA" w14:textId="77777777" w:rsidR="00882AC7" w:rsidRPr="002E06CC" w:rsidRDefault="00882AC7" w:rsidP="002E06CC">
      <w:pPr>
        <w:autoSpaceDE w:val="0"/>
        <w:autoSpaceDN w:val="0"/>
        <w:adjustRightInd w:val="0"/>
        <w:spacing w:after="0" w:line="360" w:lineRule="auto"/>
        <w:jc w:val="both"/>
        <w:rPr>
          <w:rFonts w:ascii="Times New Roman" w:hAnsi="Times New Roman" w:cs="Times New Roman"/>
          <w:sz w:val="24"/>
          <w:szCs w:val="24"/>
        </w:rPr>
      </w:pPr>
      <w:r w:rsidRPr="002E06CC">
        <w:rPr>
          <w:rFonts w:ascii="Times New Roman" w:hAnsi="Times New Roman" w:cs="Times New Roman"/>
          <w:sz w:val="24"/>
          <w:szCs w:val="24"/>
        </w:rPr>
        <w:t xml:space="preserve">In addition, Armscor </w:t>
      </w:r>
      <w:r w:rsidR="00A94E96" w:rsidRPr="002E06CC">
        <w:rPr>
          <w:rFonts w:ascii="Times New Roman" w:hAnsi="Times New Roman" w:cs="Times New Roman"/>
          <w:sz w:val="24"/>
          <w:szCs w:val="24"/>
        </w:rPr>
        <w:t xml:space="preserve">aimed to </w:t>
      </w:r>
      <w:r w:rsidRPr="002E06CC">
        <w:rPr>
          <w:rFonts w:ascii="Times New Roman" w:hAnsi="Times New Roman" w:cs="Times New Roman"/>
          <w:sz w:val="24"/>
          <w:szCs w:val="24"/>
        </w:rPr>
        <w:t>focus on the following NDP aspects:</w:t>
      </w:r>
    </w:p>
    <w:p w14:paraId="1B68CA7D" w14:textId="77777777" w:rsidR="00882AC7" w:rsidRPr="002E06CC" w:rsidRDefault="00882AC7" w:rsidP="002E06CC">
      <w:pPr>
        <w:autoSpaceDE w:val="0"/>
        <w:autoSpaceDN w:val="0"/>
        <w:adjustRightInd w:val="0"/>
        <w:spacing w:after="0" w:line="360" w:lineRule="auto"/>
        <w:jc w:val="both"/>
        <w:rPr>
          <w:rFonts w:ascii="Times New Roman" w:hAnsi="Times New Roman" w:cs="Times New Roman"/>
          <w:sz w:val="24"/>
          <w:szCs w:val="24"/>
        </w:rPr>
      </w:pPr>
    </w:p>
    <w:p w14:paraId="1E2CCAF8" w14:textId="77777777" w:rsidR="00882AC7" w:rsidRPr="002E06CC" w:rsidRDefault="00882AC7" w:rsidP="002E06CC">
      <w:pPr>
        <w:pStyle w:val="ListParagraph"/>
        <w:numPr>
          <w:ilvl w:val="0"/>
          <w:numId w:val="29"/>
        </w:numPr>
        <w:autoSpaceDE w:val="0"/>
        <w:autoSpaceDN w:val="0"/>
        <w:adjustRightInd w:val="0"/>
        <w:spacing w:after="0" w:line="360" w:lineRule="auto"/>
        <w:jc w:val="both"/>
        <w:rPr>
          <w:rFonts w:ascii="Times New Roman" w:hAnsi="Times New Roman"/>
          <w:sz w:val="24"/>
          <w:szCs w:val="24"/>
        </w:rPr>
      </w:pPr>
      <w:r w:rsidRPr="002E06CC">
        <w:rPr>
          <w:rFonts w:ascii="Times New Roman" w:hAnsi="Times New Roman"/>
          <w:sz w:val="24"/>
          <w:szCs w:val="24"/>
        </w:rPr>
        <w:t>Sharpening South Africa’s innovative edge by continuing its contribution to global scientific and technological advancement;</w:t>
      </w:r>
    </w:p>
    <w:p w14:paraId="3773505B" w14:textId="77777777" w:rsidR="00882AC7" w:rsidRPr="002E06CC" w:rsidRDefault="00882AC7" w:rsidP="002E06CC">
      <w:pPr>
        <w:pStyle w:val="ListParagraph"/>
        <w:numPr>
          <w:ilvl w:val="0"/>
          <w:numId w:val="29"/>
        </w:numPr>
        <w:autoSpaceDE w:val="0"/>
        <w:autoSpaceDN w:val="0"/>
        <w:adjustRightInd w:val="0"/>
        <w:spacing w:after="0" w:line="360" w:lineRule="auto"/>
        <w:jc w:val="both"/>
        <w:rPr>
          <w:rFonts w:ascii="Times New Roman" w:hAnsi="Times New Roman"/>
          <w:sz w:val="24"/>
          <w:szCs w:val="24"/>
        </w:rPr>
      </w:pPr>
      <w:r w:rsidRPr="002E06CC">
        <w:rPr>
          <w:rFonts w:ascii="Times New Roman" w:hAnsi="Times New Roman"/>
          <w:sz w:val="24"/>
          <w:szCs w:val="24"/>
        </w:rPr>
        <w:t>Implementing greater investment in Research and Development (R&amp;D) and better use of existing resources;</w:t>
      </w:r>
    </w:p>
    <w:p w14:paraId="5DDE78BE" w14:textId="77777777" w:rsidR="00882AC7" w:rsidRPr="002E06CC" w:rsidRDefault="00882AC7" w:rsidP="002E06CC">
      <w:pPr>
        <w:pStyle w:val="ListParagraph"/>
        <w:numPr>
          <w:ilvl w:val="0"/>
          <w:numId w:val="29"/>
        </w:numPr>
        <w:autoSpaceDE w:val="0"/>
        <w:autoSpaceDN w:val="0"/>
        <w:adjustRightInd w:val="0"/>
        <w:spacing w:after="0" w:line="360" w:lineRule="auto"/>
        <w:jc w:val="both"/>
        <w:rPr>
          <w:rFonts w:ascii="Times New Roman" w:hAnsi="Times New Roman"/>
          <w:sz w:val="24"/>
          <w:szCs w:val="24"/>
        </w:rPr>
      </w:pPr>
      <w:r w:rsidRPr="002E06CC">
        <w:rPr>
          <w:rFonts w:ascii="Times New Roman" w:hAnsi="Times New Roman"/>
          <w:sz w:val="24"/>
          <w:szCs w:val="24"/>
        </w:rPr>
        <w:t xml:space="preserve">Facilitating innovation and enhanced co-operation between public service, technology institutions and the private sector in areas of </w:t>
      </w:r>
      <w:r w:rsidR="00A94E96" w:rsidRPr="002E06CC">
        <w:rPr>
          <w:rFonts w:ascii="Times New Roman" w:hAnsi="Times New Roman"/>
          <w:sz w:val="24"/>
          <w:szCs w:val="24"/>
        </w:rPr>
        <w:t>potential</w:t>
      </w:r>
      <w:r w:rsidRPr="002E06CC">
        <w:rPr>
          <w:rFonts w:ascii="Times New Roman" w:hAnsi="Times New Roman"/>
          <w:sz w:val="24"/>
          <w:szCs w:val="24"/>
        </w:rPr>
        <w:t xml:space="preserve"> dual use (military and civilian application); and</w:t>
      </w:r>
    </w:p>
    <w:p w14:paraId="3ACAE804" w14:textId="77777777" w:rsidR="00882AC7" w:rsidRPr="002E06CC" w:rsidRDefault="00882AC7" w:rsidP="002E06CC">
      <w:pPr>
        <w:pStyle w:val="ListParagraph"/>
        <w:numPr>
          <w:ilvl w:val="0"/>
          <w:numId w:val="29"/>
        </w:numPr>
        <w:autoSpaceDE w:val="0"/>
        <w:autoSpaceDN w:val="0"/>
        <w:adjustRightInd w:val="0"/>
        <w:spacing w:after="0" w:line="360" w:lineRule="auto"/>
        <w:jc w:val="both"/>
        <w:rPr>
          <w:rFonts w:ascii="Times New Roman" w:hAnsi="Times New Roman"/>
          <w:sz w:val="24"/>
          <w:szCs w:val="24"/>
        </w:rPr>
      </w:pPr>
      <w:r w:rsidRPr="002E06CC">
        <w:rPr>
          <w:rFonts w:ascii="Times New Roman" w:hAnsi="Times New Roman"/>
          <w:sz w:val="24"/>
          <w:szCs w:val="24"/>
        </w:rPr>
        <w:t>Committing to procurement approaches that stimulate domestic industry and job creation.</w:t>
      </w:r>
    </w:p>
    <w:p w14:paraId="1533B6E0" w14:textId="77777777" w:rsidR="0069261A" w:rsidRPr="002E06CC" w:rsidRDefault="0069261A" w:rsidP="002E06CC">
      <w:pPr>
        <w:autoSpaceDE w:val="0"/>
        <w:autoSpaceDN w:val="0"/>
        <w:adjustRightInd w:val="0"/>
        <w:spacing w:after="0" w:line="360" w:lineRule="auto"/>
        <w:jc w:val="both"/>
        <w:rPr>
          <w:rFonts w:ascii="Times New Roman" w:hAnsi="Times New Roman" w:cs="Times New Roman"/>
          <w:sz w:val="24"/>
          <w:szCs w:val="24"/>
        </w:rPr>
      </w:pPr>
    </w:p>
    <w:p w14:paraId="7BFB658B" w14:textId="77777777" w:rsidR="00461FCB" w:rsidRPr="002E06CC" w:rsidRDefault="00461FCB" w:rsidP="002E06CC">
      <w:pPr>
        <w:spacing w:line="360" w:lineRule="auto"/>
        <w:jc w:val="both"/>
        <w:rPr>
          <w:rFonts w:ascii="Times New Roman" w:eastAsia="Calibri" w:hAnsi="Times New Roman" w:cs="Times New Roman"/>
          <w:b/>
          <w:i/>
          <w:sz w:val="24"/>
          <w:szCs w:val="24"/>
        </w:rPr>
      </w:pPr>
      <w:r w:rsidRPr="002E06CC">
        <w:rPr>
          <w:rFonts w:ascii="Times New Roman" w:eastAsia="Calibri" w:hAnsi="Times New Roman" w:cs="Times New Roman"/>
          <w:b/>
          <w:sz w:val="24"/>
          <w:szCs w:val="24"/>
        </w:rPr>
        <w:t>2.3</w:t>
      </w:r>
      <w:r w:rsidRPr="002E06CC">
        <w:rPr>
          <w:rFonts w:ascii="Times New Roman" w:eastAsia="Calibri" w:hAnsi="Times New Roman" w:cs="Times New Roman"/>
          <w:b/>
          <w:sz w:val="24"/>
          <w:szCs w:val="24"/>
        </w:rPr>
        <w:tab/>
        <w:t>Medium Term Strategic Framework (MTSF) 2014 - 2019</w:t>
      </w:r>
      <w:r w:rsidRPr="002E06CC">
        <w:rPr>
          <w:rFonts w:ascii="Times New Roman" w:eastAsia="Calibri" w:hAnsi="Times New Roman" w:cs="Times New Roman"/>
          <w:b/>
          <w:i/>
          <w:sz w:val="24"/>
          <w:szCs w:val="24"/>
        </w:rPr>
        <w:t xml:space="preserve"> </w:t>
      </w:r>
    </w:p>
    <w:p w14:paraId="76739235" w14:textId="77777777" w:rsidR="00461FCB" w:rsidRPr="002E06CC" w:rsidRDefault="00461FCB" w:rsidP="002E06CC">
      <w:pPr>
        <w:spacing w:line="360" w:lineRule="auto"/>
        <w:jc w:val="both"/>
        <w:rPr>
          <w:rFonts w:ascii="Times New Roman" w:eastAsia="Calibri" w:hAnsi="Times New Roman" w:cs="Times New Roman"/>
          <w:sz w:val="24"/>
          <w:szCs w:val="24"/>
        </w:rPr>
      </w:pPr>
      <w:r w:rsidRPr="002E06CC">
        <w:rPr>
          <w:rFonts w:ascii="Times New Roman" w:eastAsia="Calibri" w:hAnsi="Times New Roman" w:cs="Times New Roman"/>
          <w:sz w:val="24"/>
          <w:szCs w:val="24"/>
        </w:rPr>
        <w:t>Armscor’s Strategic Priorities are aligned to several MTSF outcomes, including Outcomes</w:t>
      </w:r>
      <w:r w:rsidR="00A94E96" w:rsidRPr="002E06CC">
        <w:rPr>
          <w:rFonts w:ascii="Times New Roman" w:eastAsia="Calibri" w:hAnsi="Times New Roman" w:cs="Times New Roman"/>
          <w:sz w:val="24"/>
          <w:szCs w:val="24"/>
        </w:rPr>
        <w:t xml:space="preserve"> 2, 3, 4, 5, 11 and 12. For 2017</w:t>
      </w:r>
      <w:r w:rsidRPr="002E06CC">
        <w:rPr>
          <w:rFonts w:ascii="Times New Roman" w:eastAsia="Calibri" w:hAnsi="Times New Roman" w:cs="Times New Roman"/>
          <w:sz w:val="24"/>
          <w:szCs w:val="24"/>
        </w:rPr>
        <w:t>/1</w:t>
      </w:r>
      <w:r w:rsidR="00A94E96" w:rsidRPr="002E06CC">
        <w:rPr>
          <w:rFonts w:ascii="Times New Roman" w:eastAsia="Calibri" w:hAnsi="Times New Roman" w:cs="Times New Roman"/>
          <w:sz w:val="24"/>
          <w:szCs w:val="24"/>
        </w:rPr>
        <w:t>8</w:t>
      </w:r>
      <w:r w:rsidRPr="002E06CC">
        <w:rPr>
          <w:rFonts w:ascii="Times New Roman" w:eastAsia="Calibri" w:hAnsi="Times New Roman" w:cs="Times New Roman"/>
          <w:sz w:val="24"/>
          <w:szCs w:val="24"/>
        </w:rPr>
        <w:t>, Armscor contributed to the following MTSF outcomes:</w:t>
      </w:r>
    </w:p>
    <w:p w14:paraId="4ABD0040" w14:textId="77777777" w:rsidR="00461FCB" w:rsidRPr="002E06CC" w:rsidRDefault="00461FCB" w:rsidP="002E06CC">
      <w:pPr>
        <w:autoSpaceDE w:val="0"/>
        <w:autoSpaceDN w:val="0"/>
        <w:adjustRightInd w:val="0"/>
        <w:spacing w:after="0" w:line="360" w:lineRule="auto"/>
        <w:jc w:val="both"/>
        <w:rPr>
          <w:rFonts w:ascii="Times New Roman" w:hAnsi="Times New Roman" w:cs="Times New Roman"/>
          <w:sz w:val="24"/>
          <w:szCs w:val="24"/>
        </w:rPr>
      </w:pPr>
      <w:r w:rsidRPr="002E06CC">
        <w:rPr>
          <w:rFonts w:ascii="Times New Roman" w:eastAsia="Calibri" w:hAnsi="Times New Roman" w:cs="Times New Roman"/>
          <w:b/>
          <w:i/>
          <w:sz w:val="24"/>
          <w:szCs w:val="24"/>
        </w:rPr>
        <w:t>Outcome 4: Decent employment through inclusive economic growth.</w:t>
      </w:r>
      <w:r w:rsidRPr="002E06CC">
        <w:rPr>
          <w:rFonts w:ascii="Times New Roman" w:eastAsia="Calibri" w:hAnsi="Times New Roman" w:cs="Times New Roman"/>
          <w:i/>
          <w:sz w:val="24"/>
          <w:szCs w:val="24"/>
        </w:rPr>
        <w:t xml:space="preserve"> </w:t>
      </w:r>
      <w:r w:rsidRPr="002E06CC">
        <w:rPr>
          <w:rFonts w:ascii="Times New Roman" w:eastAsia="Calibri" w:hAnsi="Times New Roman" w:cs="Times New Roman"/>
          <w:sz w:val="24"/>
          <w:szCs w:val="24"/>
        </w:rPr>
        <w:t xml:space="preserve">Armscor continued to employ </w:t>
      </w:r>
      <w:r w:rsidR="001C0C8D" w:rsidRPr="002E06CC">
        <w:rPr>
          <w:rFonts w:ascii="Times New Roman" w:eastAsia="Calibri" w:hAnsi="Times New Roman" w:cs="Times New Roman"/>
          <w:sz w:val="24"/>
          <w:szCs w:val="24"/>
        </w:rPr>
        <w:t xml:space="preserve">1 463 members during 2017/18, which is a decrease from the </w:t>
      </w:r>
      <w:r w:rsidRPr="002E06CC">
        <w:rPr>
          <w:rFonts w:ascii="Times New Roman" w:eastAsia="Calibri" w:hAnsi="Times New Roman" w:cs="Times New Roman"/>
          <w:sz w:val="24"/>
          <w:szCs w:val="24"/>
        </w:rPr>
        <w:t xml:space="preserve">1 502 members during the </w:t>
      </w:r>
      <w:r w:rsidR="001C0C8D" w:rsidRPr="002E06CC">
        <w:rPr>
          <w:rFonts w:ascii="Times New Roman" w:eastAsia="Calibri" w:hAnsi="Times New Roman" w:cs="Times New Roman"/>
          <w:sz w:val="24"/>
          <w:szCs w:val="24"/>
        </w:rPr>
        <w:t>previous financial year</w:t>
      </w:r>
      <w:r w:rsidRPr="002E06CC">
        <w:rPr>
          <w:rFonts w:ascii="Times New Roman" w:eastAsia="Calibri" w:hAnsi="Times New Roman" w:cs="Times New Roman"/>
          <w:sz w:val="24"/>
          <w:szCs w:val="24"/>
        </w:rPr>
        <w:t xml:space="preserve">. </w:t>
      </w:r>
      <w:r w:rsidR="001C0C8D" w:rsidRPr="002E06CC">
        <w:rPr>
          <w:rFonts w:ascii="Times New Roman" w:eastAsia="Calibri" w:hAnsi="Times New Roman" w:cs="Times New Roman"/>
          <w:sz w:val="24"/>
          <w:szCs w:val="24"/>
        </w:rPr>
        <w:t>The corporation also granted Defence Industrial Participation (DIP) c</w:t>
      </w:r>
      <w:r w:rsidRPr="002E06CC">
        <w:rPr>
          <w:rFonts w:ascii="Times New Roman" w:hAnsi="Times New Roman" w:cs="Times New Roman"/>
          <w:sz w:val="24"/>
          <w:szCs w:val="24"/>
        </w:rPr>
        <w:t>redits to the value of R</w:t>
      </w:r>
      <w:r w:rsidR="001C0C8D" w:rsidRPr="002E06CC">
        <w:rPr>
          <w:rFonts w:ascii="Times New Roman" w:hAnsi="Times New Roman" w:cs="Times New Roman"/>
          <w:sz w:val="24"/>
          <w:szCs w:val="24"/>
        </w:rPr>
        <w:t>157 million d</w:t>
      </w:r>
      <w:r w:rsidRPr="002E06CC">
        <w:rPr>
          <w:rFonts w:ascii="Times New Roman" w:hAnsi="Times New Roman" w:cs="Times New Roman"/>
          <w:sz w:val="24"/>
          <w:szCs w:val="24"/>
        </w:rPr>
        <w:t>uring 201</w:t>
      </w:r>
      <w:r w:rsidR="001C0C8D" w:rsidRPr="002E06CC">
        <w:rPr>
          <w:rFonts w:ascii="Times New Roman" w:hAnsi="Times New Roman" w:cs="Times New Roman"/>
          <w:sz w:val="24"/>
          <w:szCs w:val="24"/>
        </w:rPr>
        <w:t>7</w:t>
      </w:r>
      <w:r w:rsidRPr="002E06CC">
        <w:rPr>
          <w:rFonts w:ascii="Times New Roman" w:hAnsi="Times New Roman" w:cs="Times New Roman"/>
          <w:sz w:val="24"/>
          <w:szCs w:val="24"/>
        </w:rPr>
        <w:t>/1</w:t>
      </w:r>
      <w:r w:rsidR="001C0C8D" w:rsidRPr="002E06CC">
        <w:rPr>
          <w:rFonts w:ascii="Times New Roman" w:hAnsi="Times New Roman" w:cs="Times New Roman"/>
          <w:sz w:val="24"/>
          <w:szCs w:val="24"/>
        </w:rPr>
        <w:t>8</w:t>
      </w:r>
      <w:r w:rsidRPr="002E06CC">
        <w:rPr>
          <w:rFonts w:ascii="Times New Roman" w:hAnsi="Times New Roman" w:cs="Times New Roman"/>
          <w:sz w:val="24"/>
          <w:szCs w:val="24"/>
        </w:rPr>
        <w:t xml:space="preserve"> fin</w:t>
      </w:r>
      <w:r w:rsidR="001C0C8D" w:rsidRPr="002E06CC">
        <w:rPr>
          <w:rFonts w:ascii="Times New Roman" w:hAnsi="Times New Roman" w:cs="Times New Roman"/>
          <w:sz w:val="24"/>
          <w:szCs w:val="24"/>
        </w:rPr>
        <w:t>ancial year. This is from the 14</w:t>
      </w:r>
      <w:r w:rsidRPr="002E06CC">
        <w:rPr>
          <w:rFonts w:ascii="Times New Roman" w:hAnsi="Times New Roman" w:cs="Times New Roman"/>
          <w:sz w:val="24"/>
          <w:szCs w:val="24"/>
        </w:rPr>
        <w:t xml:space="preserve"> existing DIP agreements that Armscor is </w:t>
      </w:r>
      <w:r w:rsidR="001C0C8D" w:rsidRPr="002E06CC">
        <w:rPr>
          <w:rFonts w:ascii="Times New Roman" w:hAnsi="Times New Roman" w:cs="Times New Roman"/>
          <w:sz w:val="24"/>
          <w:szCs w:val="24"/>
        </w:rPr>
        <w:t>managed during the year under review. A major concern remains the need to finalise the MDBA DIP agreement that is yet to be offset and stems from the 199</w:t>
      </w:r>
      <w:r w:rsidR="00A94E96" w:rsidRPr="002E06CC">
        <w:rPr>
          <w:rFonts w:ascii="Times New Roman" w:hAnsi="Times New Roman" w:cs="Times New Roman"/>
          <w:sz w:val="24"/>
          <w:szCs w:val="24"/>
        </w:rPr>
        <w:t>9</w:t>
      </w:r>
      <w:r w:rsidR="001C0C8D" w:rsidRPr="002E06CC">
        <w:rPr>
          <w:rFonts w:ascii="Times New Roman" w:hAnsi="Times New Roman" w:cs="Times New Roman"/>
          <w:sz w:val="24"/>
          <w:szCs w:val="24"/>
        </w:rPr>
        <w:t xml:space="preserve"> Strategic Arms Procurement Package.</w:t>
      </w:r>
      <w:r w:rsidRPr="002E06CC">
        <w:rPr>
          <w:rFonts w:ascii="Times New Roman" w:hAnsi="Times New Roman" w:cs="Times New Roman"/>
          <w:sz w:val="24"/>
          <w:szCs w:val="24"/>
        </w:rPr>
        <w:t xml:space="preserve">   </w:t>
      </w:r>
    </w:p>
    <w:p w14:paraId="4FBF80F9" w14:textId="77777777" w:rsidR="00461FCB" w:rsidRPr="002E06CC" w:rsidRDefault="00461FCB" w:rsidP="002E06CC">
      <w:pPr>
        <w:autoSpaceDE w:val="0"/>
        <w:autoSpaceDN w:val="0"/>
        <w:adjustRightInd w:val="0"/>
        <w:spacing w:after="0" w:line="360" w:lineRule="auto"/>
        <w:jc w:val="both"/>
        <w:rPr>
          <w:rFonts w:ascii="Times New Roman" w:eastAsia="Calibri" w:hAnsi="Times New Roman" w:cs="Times New Roman"/>
          <w:b/>
          <w:i/>
          <w:sz w:val="24"/>
          <w:szCs w:val="24"/>
        </w:rPr>
      </w:pPr>
    </w:p>
    <w:p w14:paraId="00C3B59D" w14:textId="77777777" w:rsidR="00461FCB" w:rsidRPr="002E06CC" w:rsidRDefault="00461FCB" w:rsidP="002E06CC">
      <w:pPr>
        <w:autoSpaceDE w:val="0"/>
        <w:autoSpaceDN w:val="0"/>
        <w:adjustRightInd w:val="0"/>
        <w:spacing w:after="0" w:line="360" w:lineRule="auto"/>
        <w:jc w:val="both"/>
        <w:rPr>
          <w:rFonts w:ascii="Times New Roman" w:eastAsia="Calibri" w:hAnsi="Times New Roman" w:cs="Times New Roman"/>
          <w:sz w:val="24"/>
          <w:szCs w:val="24"/>
        </w:rPr>
      </w:pPr>
      <w:r w:rsidRPr="002E06CC">
        <w:rPr>
          <w:rFonts w:ascii="Times New Roman" w:eastAsia="Calibri" w:hAnsi="Times New Roman" w:cs="Times New Roman"/>
          <w:b/>
          <w:i/>
          <w:sz w:val="24"/>
          <w:szCs w:val="24"/>
        </w:rPr>
        <w:t>Outcome 5: A skilled and capable workforce to support an inclusive growth path</w:t>
      </w:r>
      <w:r w:rsidRPr="002E06CC">
        <w:rPr>
          <w:rFonts w:ascii="Times New Roman" w:eastAsia="Calibri" w:hAnsi="Times New Roman" w:cs="Times New Roman"/>
          <w:sz w:val="24"/>
          <w:szCs w:val="24"/>
        </w:rPr>
        <w:t xml:space="preserve">. </w:t>
      </w:r>
    </w:p>
    <w:p w14:paraId="6F1B03C0" w14:textId="77777777" w:rsidR="00461FCB" w:rsidRPr="002E06CC" w:rsidRDefault="00461FCB" w:rsidP="002E06CC">
      <w:pPr>
        <w:autoSpaceDE w:val="0"/>
        <w:autoSpaceDN w:val="0"/>
        <w:adjustRightInd w:val="0"/>
        <w:spacing w:after="0" w:line="360" w:lineRule="auto"/>
        <w:jc w:val="both"/>
        <w:rPr>
          <w:rFonts w:ascii="Times New Roman" w:hAnsi="Times New Roman" w:cs="Times New Roman"/>
          <w:sz w:val="24"/>
          <w:szCs w:val="24"/>
        </w:rPr>
      </w:pPr>
      <w:r w:rsidRPr="002E06CC">
        <w:rPr>
          <w:rFonts w:ascii="Times New Roman" w:hAnsi="Times New Roman" w:cs="Times New Roman"/>
          <w:sz w:val="24"/>
          <w:szCs w:val="24"/>
        </w:rPr>
        <w:t xml:space="preserve">Armscor’s most valuable asset is its professional and highly skilled corps of technical personnel. During the review period, Armscor </w:t>
      </w:r>
      <w:r w:rsidR="001C0C8D" w:rsidRPr="002E06CC">
        <w:rPr>
          <w:rFonts w:ascii="Times New Roman" w:hAnsi="Times New Roman" w:cs="Times New Roman"/>
          <w:sz w:val="24"/>
          <w:szCs w:val="24"/>
        </w:rPr>
        <w:t xml:space="preserve">continued </w:t>
      </w:r>
      <w:r w:rsidRPr="002E06CC">
        <w:rPr>
          <w:rFonts w:ascii="Times New Roman" w:hAnsi="Times New Roman" w:cs="Times New Roman"/>
          <w:sz w:val="24"/>
          <w:szCs w:val="24"/>
        </w:rPr>
        <w:t>to provide experience to</w:t>
      </w:r>
      <w:r w:rsidR="001C0C8D" w:rsidRPr="002E06CC">
        <w:rPr>
          <w:rFonts w:ascii="Times New Roman" w:hAnsi="Times New Roman" w:cs="Times New Roman"/>
          <w:sz w:val="24"/>
          <w:szCs w:val="24"/>
        </w:rPr>
        <w:t xml:space="preserve"> young engineers and scientists. </w:t>
      </w:r>
    </w:p>
    <w:p w14:paraId="7A6BD409" w14:textId="77777777" w:rsidR="001C0C8D" w:rsidRPr="002E06CC" w:rsidRDefault="001C0C8D" w:rsidP="002E06CC">
      <w:pPr>
        <w:autoSpaceDE w:val="0"/>
        <w:autoSpaceDN w:val="0"/>
        <w:adjustRightInd w:val="0"/>
        <w:spacing w:after="0" w:line="360" w:lineRule="auto"/>
        <w:jc w:val="both"/>
        <w:rPr>
          <w:rFonts w:ascii="Times New Roman" w:hAnsi="Times New Roman" w:cs="Times New Roman"/>
          <w:sz w:val="24"/>
          <w:szCs w:val="24"/>
        </w:rPr>
      </w:pPr>
    </w:p>
    <w:p w14:paraId="15B2493E" w14:textId="77777777" w:rsidR="00461FCB" w:rsidRPr="002E06CC" w:rsidRDefault="00461FCB" w:rsidP="002E06CC">
      <w:pPr>
        <w:autoSpaceDE w:val="0"/>
        <w:autoSpaceDN w:val="0"/>
        <w:adjustRightInd w:val="0"/>
        <w:spacing w:line="360" w:lineRule="auto"/>
        <w:jc w:val="both"/>
        <w:rPr>
          <w:rFonts w:ascii="Times New Roman" w:eastAsia="Calibri" w:hAnsi="Times New Roman" w:cs="Times New Roman"/>
          <w:sz w:val="24"/>
          <w:szCs w:val="24"/>
        </w:rPr>
      </w:pPr>
      <w:r w:rsidRPr="002E06CC">
        <w:rPr>
          <w:rFonts w:ascii="Times New Roman" w:hAnsi="Times New Roman" w:cs="Times New Roman"/>
          <w:sz w:val="24"/>
          <w:szCs w:val="24"/>
        </w:rPr>
        <w:t xml:space="preserve">Armscor runs a highly successful Research and Development programme which includes, </w:t>
      </w:r>
      <w:r w:rsidRPr="002E06CC">
        <w:rPr>
          <w:rFonts w:ascii="Times New Roman" w:hAnsi="Times New Roman" w:cs="Times New Roman"/>
          <w:i/>
          <w:sz w:val="24"/>
          <w:szCs w:val="24"/>
        </w:rPr>
        <w:t>inter alia</w:t>
      </w:r>
      <w:r w:rsidRPr="002E06CC">
        <w:rPr>
          <w:rFonts w:ascii="Times New Roman" w:hAnsi="Times New Roman" w:cs="Times New Roman"/>
          <w:sz w:val="24"/>
          <w:szCs w:val="24"/>
        </w:rPr>
        <w:t>, the Gerotek test facilities, projects in Armour development, Protechnik Laboratories, Ergonomics technologies, Hazmat protective systems and the institute for Maritime Technology. Technology funding for 2015/16 totalled R</w:t>
      </w:r>
      <w:r w:rsidR="001C0C8D" w:rsidRPr="002E06CC">
        <w:rPr>
          <w:rFonts w:ascii="Times New Roman" w:hAnsi="Times New Roman" w:cs="Times New Roman"/>
          <w:sz w:val="24"/>
          <w:szCs w:val="24"/>
        </w:rPr>
        <w:t>775</w:t>
      </w:r>
      <w:r w:rsidRPr="002E06CC">
        <w:rPr>
          <w:rFonts w:ascii="Times New Roman" w:hAnsi="Times New Roman" w:cs="Times New Roman"/>
          <w:sz w:val="24"/>
          <w:szCs w:val="24"/>
        </w:rPr>
        <w:t xml:space="preserve"> million and for 201</w:t>
      </w:r>
      <w:r w:rsidR="001C0C8D" w:rsidRPr="002E06CC">
        <w:rPr>
          <w:rFonts w:ascii="Times New Roman" w:hAnsi="Times New Roman" w:cs="Times New Roman"/>
          <w:sz w:val="24"/>
          <w:szCs w:val="24"/>
        </w:rPr>
        <w:t>7/</w:t>
      </w:r>
      <w:r w:rsidR="00A94E96" w:rsidRPr="002E06CC">
        <w:rPr>
          <w:rFonts w:ascii="Times New Roman" w:hAnsi="Times New Roman" w:cs="Times New Roman"/>
          <w:sz w:val="24"/>
          <w:szCs w:val="24"/>
        </w:rPr>
        <w:t>18</w:t>
      </w:r>
      <w:r w:rsidRPr="002E06CC">
        <w:rPr>
          <w:rFonts w:ascii="Times New Roman" w:hAnsi="Times New Roman" w:cs="Times New Roman"/>
          <w:sz w:val="24"/>
          <w:szCs w:val="24"/>
        </w:rPr>
        <w:t xml:space="preserve"> it </w:t>
      </w:r>
      <w:r w:rsidR="00A94E96" w:rsidRPr="002E06CC">
        <w:rPr>
          <w:rFonts w:ascii="Times New Roman" w:hAnsi="Times New Roman" w:cs="Times New Roman"/>
          <w:sz w:val="24"/>
          <w:szCs w:val="24"/>
        </w:rPr>
        <w:t>increased to</w:t>
      </w:r>
      <w:r w:rsidRPr="002E06CC">
        <w:rPr>
          <w:rFonts w:ascii="Times New Roman" w:hAnsi="Times New Roman" w:cs="Times New Roman"/>
          <w:sz w:val="24"/>
          <w:szCs w:val="24"/>
        </w:rPr>
        <w:t xml:space="preserve"> R854</w:t>
      </w:r>
      <w:r w:rsidR="00A94E96" w:rsidRPr="002E06CC">
        <w:rPr>
          <w:rFonts w:ascii="Times New Roman" w:hAnsi="Times New Roman" w:cs="Times New Roman"/>
          <w:sz w:val="24"/>
          <w:szCs w:val="24"/>
        </w:rPr>
        <w:t xml:space="preserve"> </w:t>
      </w:r>
      <w:r w:rsidRPr="002E06CC">
        <w:rPr>
          <w:rFonts w:ascii="Times New Roman" w:hAnsi="Times New Roman" w:cs="Times New Roman"/>
          <w:sz w:val="24"/>
          <w:szCs w:val="24"/>
        </w:rPr>
        <w:t>m</w:t>
      </w:r>
      <w:r w:rsidR="00A94E96" w:rsidRPr="002E06CC">
        <w:rPr>
          <w:rFonts w:ascii="Times New Roman" w:hAnsi="Times New Roman" w:cs="Times New Roman"/>
          <w:sz w:val="24"/>
          <w:szCs w:val="24"/>
        </w:rPr>
        <w:t>illion</w:t>
      </w:r>
      <w:r w:rsidRPr="002E06CC">
        <w:rPr>
          <w:rFonts w:ascii="Times New Roman" w:hAnsi="Times New Roman" w:cs="Times New Roman"/>
          <w:sz w:val="24"/>
          <w:szCs w:val="24"/>
        </w:rPr>
        <w:t>.</w:t>
      </w:r>
    </w:p>
    <w:p w14:paraId="73B09F9E" w14:textId="77777777" w:rsidR="0012600B" w:rsidRPr="002E06CC" w:rsidRDefault="0012600B" w:rsidP="002E06CC">
      <w:pPr>
        <w:pStyle w:val="ListParagraph"/>
        <w:spacing w:line="360" w:lineRule="auto"/>
        <w:ind w:left="0"/>
        <w:jc w:val="both"/>
        <w:rPr>
          <w:rFonts w:ascii="Times New Roman" w:hAnsi="Times New Roman"/>
          <w:b/>
          <w:sz w:val="24"/>
          <w:szCs w:val="24"/>
        </w:rPr>
      </w:pPr>
    </w:p>
    <w:p w14:paraId="59E87745" w14:textId="77777777" w:rsidR="0012600B" w:rsidRPr="002E06CC" w:rsidRDefault="0012600B" w:rsidP="002E06CC">
      <w:pPr>
        <w:pStyle w:val="ListParagraph"/>
        <w:spacing w:line="360" w:lineRule="auto"/>
        <w:ind w:left="0"/>
        <w:jc w:val="both"/>
        <w:rPr>
          <w:rFonts w:ascii="Times New Roman" w:hAnsi="Times New Roman"/>
          <w:b/>
          <w:sz w:val="24"/>
          <w:szCs w:val="24"/>
        </w:rPr>
      </w:pPr>
    </w:p>
    <w:p w14:paraId="46346A1B" w14:textId="77777777" w:rsidR="00461FCB" w:rsidRPr="002E06CC" w:rsidRDefault="00461FCB" w:rsidP="002E06CC">
      <w:pPr>
        <w:pStyle w:val="ListParagraph"/>
        <w:spacing w:line="360" w:lineRule="auto"/>
        <w:ind w:left="0"/>
        <w:jc w:val="both"/>
        <w:rPr>
          <w:rFonts w:ascii="Times New Roman" w:hAnsi="Times New Roman"/>
          <w:b/>
          <w:sz w:val="24"/>
          <w:szCs w:val="24"/>
        </w:rPr>
      </w:pPr>
      <w:r w:rsidRPr="002E06CC">
        <w:rPr>
          <w:rFonts w:ascii="Times New Roman" w:hAnsi="Times New Roman"/>
          <w:b/>
          <w:sz w:val="24"/>
          <w:szCs w:val="24"/>
        </w:rPr>
        <w:t>2.4</w:t>
      </w:r>
      <w:r w:rsidRPr="002E06CC">
        <w:rPr>
          <w:rFonts w:ascii="Times New Roman" w:hAnsi="Times New Roman"/>
          <w:b/>
          <w:sz w:val="24"/>
          <w:szCs w:val="24"/>
        </w:rPr>
        <w:tab/>
        <w:t xml:space="preserve">Strategic Objectives </w:t>
      </w:r>
    </w:p>
    <w:p w14:paraId="63D7780E" w14:textId="77777777" w:rsidR="001C0C8D" w:rsidRPr="002E06CC" w:rsidRDefault="001C0C8D" w:rsidP="002E06CC">
      <w:pPr>
        <w:spacing w:after="0" w:line="360" w:lineRule="auto"/>
        <w:jc w:val="both"/>
        <w:outlineLvl w:val="0"/>
        <w:rPr>
          <w:rFonts w:ascii="Times New Roman" w:eastAsia="FuturaT-Light" w:hAnsi="Times New Roman" w:cs="Times New Roman"/>
          <w:sz w:val="24"/>
          <w:szCs w:val="24"/>
        </w:rPr>
      </w:pPr>
      <w:r w:rsidRPr="002E06CC">
        <w:rPr>
          <w:rFonts w:ascii="Times New Roman" w:eastAsia="FuturaT-Light" w:hAnsi="Times New Roman" w:cs="Times New Roman"/>
          <w:sz w:val="24"/>
          <w:szCs w:val="24"/>
        </w:rPr>
        <w:t>The period under review experienced a further drive towards transformation of Armscor at a strategic level. The turnaround implementation phase introduced the following:</w:t>
      </w:r>
    </w:p>
    <w:p w14:paraId="5C25A0A7" w14:textId="77777777" w:rsidR="001C0C8D" w:rsidRPr="002E06CC" w:rsidRDefault="001C0C8D" w:rsidP="002E06CC">
      <w:pPr>
        <w:spacing w:after="0" w:line="360" w:lineRule="auto"/>
        <w:jc w:val="both"/>
        <w:outlineLvl w:val="0"/>
        <w:rPr>
          <w:rFonts w:ascii="Times New Roman" w:eastAsia="FuturaT-Light" w:hAnsi="Times New Roman" w:cs="Times New Roman"/>
          <w:sz w:val="24"/>
          <w:szCs w:val="24"/>
        </w:rPr>
      </w:pPr>
    </w:p>
    <w:p w14:paraId="2A911244" w14:textId="77777777" w:rsidR="001C0C8D" w:rsidRPr="002E06CC" w:rsidRDefault="001C0C8D" w:rsidP="002E06CC">
      <w:pPr>
        <w:pStyle w:val="ListParagraph"/>
        <w:numPr>
          <w:ilvl w:val="0"/>
          <w:numId w:val="30"/>
        </w:numPr>
        <w:spacing w:after="0" w:line="360" w:lineRule="auto"/>
        <w:jc w:val="both"/>
        <w:outlineLvl w:val="0"/>
        <w:rPr>
          <w:rFonts w:ascii="Times New Roman" w:eastAsia="FuturaT-Light" w:hAnsi="Times New Roman"/>
          <w:sz w:val="24"/>
          <w:szCs w:val="24"/>
        </w:rPr>
      </w:pPr>
      <w:r w:rsidRPr="002E06CC">
        <w:rPr>
          <w:rFonts w:ascii="Times New Roman" w:eastAsia="FuturaT-Light" w:hAnsi="Times New Roman"/>
          <w:sz w:val="24"/>
          <w:szCs w:val="24"/>
        </w:rPr>
        <w:t>A new Armscor Vision</w:t>
      </w:r>
    </w:p>
    <w:p w14:paraId="1A768E40" w14:textId="77777777" w:rsidR="001C0C8D" w:rsidRPr="002E06CC" w:rsidRDefault="001C0C8D" w:rsidP="002E06CC">
      <w:pPr>
        <w:pStyle w:val="ListParagraph"/>
        <w:numPr>
          <w:ilvl w:val="0"/>
          <w:numId w:val="30"/>
        </w:numPr>
        <w:spacing w:after="0" w:line="360" w:lineRule="auto"/>
        <w:jc w:val="both"/>
        <w:outlineLvl w:val="0"/>
        <w:rPr>
          <w:rFonts w:ascii="Times New Roman" w:eastAsia="FuturaT-Light" w:hAnsi="Times New Roman"/>
          <w:sz w:val="24"/>
          <w:szCs w:val="24"/>
        </w:rPr>
      </w:pPr>
      <w:r w:rsidRPr="002E06CC">
        <w:rPr>
          <w:rFonts w:ascii="Times New Roman" w:eastAsia="FuturaT-Light" w:hAnsi="Times New Roman"/>
          <w:sz w:val="24"/>
          <w:szCs w:val="24"/>
        </w:rPr>
        <w:t>The adoption of four Strategic Objectives</w:t>
      </w:r>
    </w:p>
    <w:p w14:paraId="513BF508" w14:textId="77777777" w:rsidR="00461FCB" w:rsidRPr="002E06CC" w:rsidRDefault="001C0C8D" w:rsidP="002E06CC">
      <w:pPr>
        <w:pStyle w:val="ListParagraph"/>
        <w:numPr>
          <w:ilvl w:val="0"/>
          <w:numId w:val="30"/>
        </w:numPr>
        <w:spacing w:after="0" w:line="360" w:lineRule="auto"/>
        <w:jc w:val="both"/>
        <w:outlineLvl w:val="0"/>
        <w:rPr>
          <w:rFonts w:ascii="Times New Roman" w:eastAsia="Arial Unicode MS" w:hAnsi="Times New Roman"/>
          <w:b/>
          <w:sz w:val="24"/>
          <w:szCs w:val="24"/>
          <w:u w:color="000000"/>
          <w:lang w:val="en-US"/>
        </w:rPr>
      </w:pPr>
      <w:r w:rsidRPr="002E06CC">
        <w:rPr>
          <w:rFonts w:ascii="Times New Roman" w:eastAsia="FuturaT-Light" w:hAnsi="Times New Roman"/>
          <w:sz w:val="24"/>
          <w:szCs w:val="24"/>
        </w:rPr>
        <w:t>A new Organisational Structure, which aimed to reduce the Executive Committee, group functions together and the establishment of a Business Enablement Unit, Supply Chain Management department and Enterprise Project Management Office.</w:t>
      </w:r>
    </w:p>
    <w:p w14:paraId="04340E33" w14:textId="77777777" w:rsidR="0036670B" w:rsidRPr="002E06CC" w:rsidRDefault="0036670B" w:rsidP="002E06CC">
      <w:pPr>
        <w:spacing w:after="0" w:line="360" w:lineRule="auto"/>
        <w:jc w:val="both"/>
        <w:outlineLvl w:val="0"/>
        <w:rPr>
          <w:rFonts w:ascii="Times New Roman" w:eastAsia="FuturaT-Light" w:hAnsi="Times New Roman" w:cs="Times New Roman"/>
          <w:sz w:val="24"/>
          <w:szCs w:val="24"/>
        </w:rPr>
      </w:pPr>
    </w:p>
    <w:p w14:paraId="5C116948" w14:textId="77777777" w:rsidR="0036670B" w:rsidRPr="002E06CC" w:rsidRDefault="0036670B" w:rsidP="002E06CC">
      <w:pPr>
        <w:spacing w:after="0" w:line="360" w:lineRule="auto"/>
        <w:jc w:val="both"/>
        <w:outlineLvl w:val="0"/>
        <w:rPr>
          <w:rFonts w:ascii="Times New Roman" w:eastAsia="FuturaT-Light" w:hAnsi="Times New Roman" w:cs="Times New Roman"/>
          <w:sz w:val="24"/>
          <w:szCs w:val="24"/>
        </w:rPr>
      </w:pPr>
      <w:r w:rsidRPr="002E06CC">
        <w:rPr>
          <w:rFonts w:ascii="Times New Roman" w:eastAsia="FuturaT-Light" w:hAnsi="Times New Roman" w:cs="Times New Roman"/>
          <w:sz w:val="24"/>
          <w:szCs w:val="24"/>
        </w:rPr>
        <w:t xml:space="preserve">Based on the review above, Armscor </w:t>
      </w:r>
      <w:r w:rsidR="00025724" w:rsidRPr="002E06CC">
        <w:rPr>
          <w:rFonts w:ascii="Times New Roman" w:eastAsia="FuturaT-Light" w:hAnsi="Times New Roman" w:cs="Times New Roman"/>
          <w:sz w:val="24"/>
          <w:szCs w:val="24"/>
        </w:rPr>
        <w:t xml:space="preserve">revised </w:t>
      </w:r>
      <w:r w:rsidRPr="002E06CC">
        <w:rPr>
          <w:rFonts w:ascii="Times New Roman" w:eastAsia="FuturaT-Light" w:hAnsi="Times New Roman" w:cs="Times New Roman"/>
          <w:sz w:val="24"/>
          <w:szCs w:val="24"/>
        </w:rPr>
        <w:t>the Strategic Objectives to align them to Armscor’s strategy with a focus on building a self-sustaining business, which includes:</w:t>
      </w:r>
    </w:p>
    <w:p w14:paraId="2300D62F" w14:textId="77777777" w:rsidR="0036670B" w:rsidRPr="002E06CC" w:rsidRDefault="0036670B" w:rsidP="002E06CC">
      <w:pPr>
        <w:pStyle w:val="ListParagraph"/>
        <w:numPr>
          <w:ilvl w:val="0"/>
          <w:numId w:val="31"/>
        </w:numPr>
        <w:spacing w:after="0" w:line="360" w:lineRule="auto"/>
        <w:jc w:val="both"/>
        <w:outlineLvl w:val="0"/>
        <w:rPr>
          <w:rFonts w:ascii="Times New Roman" w:eastAsia="FuturaT-Light" w:hAnsi="Times New Roman"/>
          <w:sz w:val="24"/>
          <w:szCs w:val="24"/>
        </w:rPr>
      </w:pPr>
      <w:r w:rsidRPr="002E06CC">
        <w:rPr>
          <w:rFonts w:ascii="Times New Roman" w:eastAsia="FuturaT-Light" w:hAnsi="Times New Roman"/>
          <w:sz w:val="24"/>
          <w:szCs w:val="24"/>
        </w:rPr>
        <w:t>Revenue Generation</w:t>
      </w:r>
    </w:p>
    <w:p w14:paraId="7225998B" w14:textId="77777777" w:rsidR="0036670B" w:rsidRPr="002E06CC" w:rsidRDefault="0036670B" w:rsidP="002E06CC">
      <w:pPr>
        <w:pStyle w:val="ListParagraph"/>
        <w:numPr>
          <w:ilvl w:val="0"/>
          <w:numId w:val="31"/>
        </w:numPr>
        <w:spacing w:after="0" w:line="360" w:lineRule="auto"/>
        <w:jc w:val="both"/>
        <w:outlineLvl w:val="0"/>
        <w:rPr>
          <w:rFonts w:ascii="Times New Roman" w:eastAsia="FuturaT-Light" w:hAnsi="Times New Roman"/>
          <w:sz w:val="24"/>
          <w:szCs w:val="24"/>
        </w:rPr>
      </w:pPr>
      <w:r w:rsidRPr="002E06CC">
        <w:rPr>
          <w:rFonts w:ascii="Times New Roman" w:eastAsia="FuturaT-Light" w:hAnsi="Times New Roman"/>
          <w:sz w:val="24"/>
          <w:szCs w:val="24"/>
        </w:rPr>
        <w:t>Cost Management</w:t>
      </w:r>
    </w:p>
    <w:p w14:paraId="27806CD9" w14:textId="77777777" w:rsidR="0036670B" w:rsidRPr="002E06CC" w:rsidRDefault="0036670B" w:rsidP="002E06CC">
      <w:pPr>
        <w:pStyle w:val="ListParagraph"/>
        <w:numPr>
          <w:ilvl w:val="0"/>
          <w:numId w:val="31"/>
        </w:numPr>
        <w:spacing w:after="0" w:line="360" w:lineRule="auto"/>
        <w:jc w:val="both"/>
        <w:outlineLvl w:val="0"/>
        <w:rPr>
          <w:rFonts w:ascii="Times New Roman" w:eastAsia="FuturaT-Light" w:hAnsi="Times New Roman"/>
          <w:sz w:val="24"/>
          <w:szCs w:val="24"/>
        </w:rPr>
      </w:pPr>
      <w:r w:rsidRPr="002E06CC">
        <w:rPr>
          <w:rFonts w:ascii="Times New Roman" w:eastAsia="FuturaT-Light" w:hAnsi="Times New Roman"/>
          <w:sz w:val="24"/>
          <w:szCs w:val="24"/>
        </w:rPr>
        <w:t>Efficient and Effective Delivery</w:t>
      </w:r>
    </w:p>
    <w:p w14:paraId="04DC8459" w14:textId="77777777" w:rsidR="0036670B" w:rsidRPr="002E06CC" w:rsidRDefault="0036670B" w:rsidP="002E06CC">
      <w:pPr>
        <w:pStyle w:val="ListParagraph"/>
        <w:numPr>
          <w:ilvl w:val="0"/>
          <w:numId w:val="31"/>
        </w:numPr>
        <w:spacing w:after="0" w:line="360" w:lineRule="auto"/>
        <w:jc w:val="both"/>
        <w:outlineLvl w:val="0"/>
        <w:rPr>
          <w:rFonts w:ascii="Times New Roman" w:eastAsia="FuturaT-Light" w:hAnsi="Times New Roman"/>
          <w:sz w:val="24"/>
          <w:szCs w:val="24"/>
        </w:rPr>
      </w:pPr>
      <w:r w:rsidRPr="002E06CC">
        <w:rPr>
          <w:rFonts w:ascii="Times New Roman" w:eastAsia="FuturaT-Light" w:hAnsi="Times New Roman"/>
          <w:sz w:val="24"/>
          <w:szCs w:val="24"/>
        </w:rPr>
        <w:t>Stakeholder Management</w:t>
      </w:r>
    </w:p>
    <w:p w14:paraId="1ACDF0B3" w14:textId="77777777" w:rsidR="0036670B" w:rsidRPr="002E06CC" w:rsidRDefault="0036670B" w:rsidP="002E06CC">
      <w:pPr>
        <w:pStyle w:val="ListParagraph"/>
        <w:spacing w:after="0" w:line="360" w:lineRule="auto"/>
        <w:jc w:val="both"/>
        <w:outlineLvl w:val="0"/>
        <w:rPr>
          <w:rFonts w:ascii="Times New Roman" w:eastAsia="FuturaT-Light" w:hAnsi="Times New Roman"/>
          <w:sz w:val="24"/>
          <w:szCs w:val="24"/>
        </w:rPr>
      </w:pPr>
    </w:p>
    <w:p w14:paraId="6997B680" w14:textId="77777777" w:rsidR="00461FCB" w:rsidRPr="002E06CC" w:rsidRDefault="00461FCB" w:rsidP="002E06CC">
      <w:pPr>
        <w:spacing w:after="0" w:line="360" w:lineRule="auto"/>
        <w:jc w:val="both"/>
        <w:outlineLvl w:val="0"/>
        <w:rPr>
          <w:rFonts w:ascii="Times New Roman" w:eastAsia="Arial Unicode MS" w:hAnsi="Times New Roman" w:cs="Times New Roman"/>
          <w:b/>
          <w:sz w:val="24"/>
          <w:szCs w:val="24"/>
          <w:u w:color="000000"/>
          <w:lang w:val="en-US"/>
        </w:rPr>
      </w:pPr>
      <w:r w:rsidRPr="002E06CC">
        <w:rPr>
          <w:rFonts w:ascii="Times New Roman" w:eastAsia="Arial Unicode MS" w:hAnsi="Times New Roman" w:cs="Times New Roman"/>
          <w:b/>
          <w:sz w:val="24"/>
          <w:szCs w:val="24"/>
          <w:u w:color="000000"/>
          <w:lang w:val="en-US"/>
        </w:rPr>
        <w:t>2.</w:t>
      </w:r>
      <w:r w:rsidR="0036670B" w:rsidRPr="002E06CC">
        <w:rPr>
          <w:rFonts w:ascii="Times New Roman" w:eastAsia="Arial Unicode MS" w:hAnsi="Times New Roman" w:cs="Times New Roman"/>
          <w:b/>
          <w:sz w:val="24"/>
          <w:szCs w:val="24"/>
          <w:u w:color="000000"/>
          <w:lang w:val="en-US"/>
        </w:rPr>
        <w:t>5</w:t>
      </w:r>
      <w:r w:rsidRPr="002E06CC">
        <w:rPr>
          <w:rFonts w:ascii="Times New Roman" w:eastAsia="Arial Unicode MS" w:hAnsi="Times New Roman" w:cs="Times New Roman"/>
          <w:b/>
          <w:sz w:val="24"/>
          <w:szCs w:val="24"/>
          <w:u w:color="000000"/>
          <w:lang w:val="en-US"/>
        </w:rPr>
        <w:tab/>
        <w:t>Overview of A</w:t>
      </w:r>
      <w:r w:rsidR="00025724" w:rsidRPr="002E06CC">
        <w:rPr>
          <w:rFonts w:ascii="Times New Roman" w:eastAsia="Arial Unicode MS" w:hAnsi="Times New Roman" w:cs="Times New Roman"/>
          <w:b/>
          <w:sz w:val="24"/>
          <w:szCs w:val="24"/>
          <w:u w:color="000000"/>
          <w:lang w:val="en-US"/>
        </w:rPr>
        <w:t>rmscor’s Corporate Plan for 2017</w:t>
      </w:r>
      <w:r w:rsidRPr="002E06CC">
        <w:rPr>
          <w:rFonts w:ascii="Times New Roman" w:eastAsia="Arial Unicode MS" w:hAnsi="Times New Roman" w:cs="Times New Roman"/>
          <w:b/>
          <w:sz w:val="24"/>
          <w:szCs w:val="24"/>
          <w:u w:color="000000"/>
          <w:lang w:val="en-US"/>
        </w:rPr>
        <w:t>/1</w:t>
      </w:r>
      <w:r w:rsidR="00025724" w:rsidRPr="002E06CC">
        <w:rPr>
          <w:rFonts w:ascii="Times New Roman" w:eastAsia="Arial Unicode MS" w:hAnsi="Times New Roman" w:cs="Times New Roman"/>
          <w:b/>
          <w:sz w:val="24"/>
          <w:szCs w:val="24"/>
          <w:u w:color="000000"/>
          <w:lang w:val="en-US"/>
        </w:rPr>
        <w:t>8</w:t>
      </w:r>
    </w:p>
    <w:p w14:paraId="7C414488" w14:textId="77777777" w:rsidR="00461FCB" w:rsidRPr="002E06CC" w:rsidRDefault="00461FCB" w:rsidP="002E06CC">
      <w:pPr>
        <w:spacing w:after="0" w:line="360" w:lineRule="auto"/>
        <w:jc w:val="both"/>
        <w:outlineLvl w:val="0"/>
        <w:rPr>
          <w:rFonts w:ascii="Times New Roman" w:eastAsia="Arial Unicode MS" w:hAnsi="Times New Roman" w:cs="Times New Roman"/>
          <w:b/>
          <w:sz w:val="24"/>
          <w:szCs w:val="24"/>
          <w:u w:color="000000"/>
          <w:lang w:val="en-US"/>
        </w:rPr>
      </w:pPr>
    </w:p>
    <w:p w14:paraId="6EEF1528" w14:textId="77777777" w:rsidR="00461FCB" w:rsidRPr="002E06CC" w:rsidRDefault="00025724" w:rsidP="002E06CC">
      <w:pPr>
        <w:autoSpaceDE w:val="0"/>
        <w:autoSpaceDN w:val="0"/>
        <w:adjustRightInd w:val="0"/>
        <w:spacing w:after="0" w:line="360" w:lineRule="auto"/>
        <w:jc w:val="both"/>
        <w:rPr>
          <w:rFonts w:ascii="Times New Roman" w:hAnsi="Times New Roman" w:cs="Times New Roman"/>
          <w:bCs/>
          <w:sz w:val="24"/>
          <w:szCs w:val="24"/>
        </w:rPr>
      </w:pPr>
      <w:r w:rsidRPr="002E06CC">
        <w:rPr>
          <w:rFonts w:ascii="Times New Roman" w:hAnsi="Times New Roman" w:cs="Times New Roman"/>
          <w:bCs/>
          <w:sz w:val="24"/>
          <w:szCs w:val="24"/>
        </w:rPr>
        <w:t>The Corporate Plan 2017</w:t>
      </w:r>
      <w:r w:rsidR="00461FCB" w:rsidRPr="002E06CC">
        <w:rPr>
          <w:rFonts w:ascii="Times New Roman" w:hAnsi="Times New Roman" w:cs="Times New Roman"/>
          <w:bCs/>
          <w:sz w:val="24"/>
          <w:szCs w:val="24"/>
        </w:rPr>
        <w:t xml:space="preserve"> highlights the main focus areas as outlined in its Strategic Plan. It aims to:</w:t>
      </w:r>
    </w:p>
    <w:p w14:paraId="650B9431" w14:textId="77777777" w:rsidR="00461FCB" w:rsidRPr="002E06CC" w:rsidRDefault="00461FCB" w:rsidP="002E06CC">
      <w:pPr>
        <w:autoSpaceDE w:val="0"/>
        <w:autoSpaceDN w:val="0"/>
        <w:adjustRightInd w:val="0"/>
        <w:spacing w:after="0" w:line="360" w:lineRule="auto"/>
        <w:jc w:val="both"/>
        <w:rPr>
          <w:rFonts w:ascii="Times New Roman" w:hAnsi="Times New Roman" w:cs="Times New Roman"/>
          <w:bCs/>
          <w:sz w:val="24"/>
          <w:szCs w:val="24"/>
        </w:rPr>
      </w:pPr>
    </w:p>
    <w:p w14:paraId="084114F7" w14:textId="77777777" w:rsidR="00461FCB" w:rsidRPr="002E06CC" w:rsidRDefault="000E715E" w:rsidP="002E06CC">
      <w:pPr>
        <w:pStyle w:val="ListParagraph"/>
        <w:numPr>
          <w:ilvl w:val="0"/>
          <w:numId w:val="14"/>
        </w:numPr>
        <w:autoSpaceDE w:val="0"/>
        <w:autoSpaceDN w:val="0"/>
        <w:adjustRightInd w:val="0"/>
        <w:spacing w:after="0" w:line="360" w:lineRule="auto"/>
        <w:jc w:val="both"/>
        <w:rPr>
          <w:rFonts w:ascii="Times New Roman" w:hAnsi="Times New Roman"/>
          <w:bCs/>
          <w:sz w:val="24"/>
          <w:szCs w:val="24"/>
        </w:rPr>
      </w:pPr>
      <w:r w:rsidRPr="002E06CC">
        <w:rPr>
          <w:rFonts w:ascii="Times New Roman" w:eastAsia="FuturaT-Light" w:hAnsi="Times New Roman"/>
          <w:sz w:val="24"/>
          <w:szCs w:val="24"/>
        </w:rPr>
        <w:t>Organisational transformation for efficiency and effectiveness of the turnaround strategy</w:t>
      </w:r>
    </w:p>
    <w:p w14:paraId="43CDF031" w14:textId="77777777" w:rsidR="000E715E" w:rsidRPr="002E06CC" w:rsidRDefault="000E715E" w:rsidP="002E06CC">
      <w:pPr>
        <w:pStyle w:val="ListParagraph"/>
        <w:numPr>
          <w:ilvl w:val="0"/>
          <w:numId w:val="14"/>
        </w:numPr>
        <w:autoSpaceDE w:val="0"/>
        <w:autoSpaceDN w:val="0"/>
        <w:adjustRightInd w:val="0"/>
        <w:spacing w:after="0" w:line="360" w:lineRule="auto"/>
        <w:jc w:val="both"/>
        <w:rPr>
          <w:rFonts w:ascii="Times New Roman" w:hAnsi="Times New Roman"/>
          <w:bCs/>
          <w:sz w:val="24"/>
          <w:szCs w:val="24"/>
        </w:rPr>
      </w:pPr>
      <w:r w:rsidRPr="002E06CC">
        <w:rPr>
          <w:rFonts w:ascii="Times New Roman" w:hAnsi="Times New Roman"/>
          <w:bCs/>
          <w:sz w:val="24"/>
          <w:szCs w:val="24"/>
        </w:rPr>
        <w:t>Business development and commercialisation for financial sustainability, support of national objectives and support of industry.</w:t>
      </w:r>
    </w:p>
    <w:p w14:paraId="4E8464F0" w14:textId="77777777" w:rsidR="000E715E" w:rsidRPr="002E06CC" w:rsidRDefault="000E715E" w:rsidP="002E06CC">
      <w:pPr>
        <w:pStyle w:val="ListParagraph"/>
        <w:numPr>
          <w:ilvl w:val="0"/>
          <w:numId w:val="14"/>
        </w:numPr>
        <w:autoSpaceDE w:val="0"/>
        <w:autoSpaceDN w:val="0"/>
        <w:adjustRightInd w:val="0"/>
        <w:spacing w:after="0" w:line="360" w:lineRule="auto"/>
        <w:jc w:val="both"/>
        <w:rPr>
          <w:rFonts w:ascii="Times New Roman" w:hAnsi="Times New Roman"/>
          <w:bCs/>
          <w:sz w:val="24"/>
          <w:szCs w:val="24"/>
        </w:rPr>
      </w:pPr>
      <w:r w:rsidRPr="002E06CC">
        <w:rPr>
          <w:rFonts w:ascii="Times New Roman" w:hAnsi="Times New Roman"/>
          <w:bCs/>
          <w:sz w:val="24"/>
          <w:szCs w:val="24"/>
        </w:rPr>
        <w:t>National, continental, global growth and expansion of Armscor services in support of its mandate.</w:t>
      </w:r>
    </w:p>
    <w:p w14:paraId="48211C8F" w14:textId="77777777" w:rsidR="000E715E" w:rsidRPr="002E06CC" w:rsidRDefault="000E715E" w:rsidP="002E06CC">
      <w:pPr>
        <w:autoSpaceDE w:val="0"/>
        <w:autoSpaceDN w:val="0"/>
        <w:adjustRightInd w:val="0"/>
        <w:spacing w:after="0" w:line="360" w:lineRule="auto"/>
        <w:jc w:val="both"/>
        <w:rPr>
          <w:rFonts w:ascii="Times New Roman" w:hAnsi="Times New Roman" w:cs="Times New Roman"/>
          <w:bCs/>
          <w:sz w:val="24"/>
          <w:szCs w:val="24"/>
        </w:rPr>
      </w:pPr>
    </w:p>
    <w:p w14:paraId="39517DD4" w14:textId="77777777" w:rsidR="000E715E" w:rsidRPr="002E06CC" w:rsidRDefault="000E715E" w:rsidP="002E06CC">
      <w:pPr>
        <w:autoSpaceDE w:val="0"/>
        <w:autoSpaceDN w:val="0"/>
        <w:adjustRightInd w:val="0"/>
        <w:spacing w:after="0" w:line="360" w:lineRule="auto"/>
        <w:jc w:val="both"/>
        <w:rPr>
          <w:rFonts w:ascii="Times New Roman" w:hAnsi="Times New Roman" w:cs="Times New Roman"/>
          <w:bCs/>
          <w:sz w:val="24"/>
          <w:szCs w:val="24"/>
        </w:rPr>
      </w:pPr>
      <w:r w:rsidRPr="002E06CC">
        <w:rPr>
          <w:rFonts w:ascii="Times New Roman" w:hAnsi="Times New Roman" w:cs="Times New Roman"/>
          <w:bCs/>
          <w:sz w:val="24"/>
          <w:szCs w:val="24"/>
        </w:rPr>
        <w:t xml:space="preserve">The key focus areas should be seen in the context of the Turnaround Strategy and subsequently developed turnaround objectives, including organisational transformation, establishing an efficient and relevant organisation as well as the development of business and commercialisation. </w:t>
      </w:r>
    </w:p>
    <w:p w14:paraId="06550CBB" w14:textId="77777777" w:rsidR="00461FCB" w:rsidRPr="002E06CC" w:rsidRDefault="00461FCB" w:rsidP="002E06CC">
      <w:pPr>
        <w:autoSpaceDE w:val="0"/>
        <w:autoSpaceDN w:val="0"/>
        <w:adjustRightInd w:val="0"/>
        <w:spacing w:after="0" w:line="360" w:lineRule="auto"/>
        <w:jc w:val="both"/>
        <w:rPr>
          <w:rFonts w:ascii="Times New Roman" w:hAnsi="Times New Roman" w:cs="Times New Roman"/>
          <w:b/>
          <w:bCs/>
          <w:sz w:val="24"/>
          <w:szCs w:val="24"/>
        </w:rPr>
      </w:pPr>
    </w:p>
    <w:p w14:paraId="07D605D4" w14:textId="77777777" w:rsidR="00461FCB" w:rsidRPr="002E06CC" w:rsidRDefault="00461FCB" w:rsidP="002E06CC">
      <w:pPr>
        <w:spacing w:after="0" w:line="360" w:lineRule="auto"/>
        <w:jc w:val="both"/>
        <w:outlineLvl w:val="0"/>
        <w:rPr>
          <w:rFonts w:ascii="Times New Roman" w:eastAsia="Arial Unicode MS" w:hAnsi="Times New Roman" w:cs="Times New Roman"/>
          <w:b/>
          <w:caps/>
          <w:sz w:val="24"/>
          <w:szCs w:val="24"/>
          <w:u w:color="000000"/>
          <w:lang w:eastAsia="en-ZA"/>
        </w:rPr>
      </w:pPr>
      <w:r w:rsidRPr="002E06CC">
        <w:rPr>
          <w:rFonts w:ascii="Times New Roman" w:eastAsia="Arial Unicode MS" w:hAnsi="Times New Roman" w:cs="Times New Roman"/>
          <w:b/>
          <w:caps/>
          <w:sz w:val="24"/>
          <w:szCs w:val="24"/>
          <w:u w:color="000000"/>
          <w:lang w:eastAsia="en-ZA"/>
        </w:rPr>
        <w:t>3.</w:t>
      </w:r>
      <w:r w:rsidRPr="002E06CC">
        <w:rPr>
          <w:rFonts w:ascii="Times New Roman" w:eastAsia="Arial Unicode MS" w:hAnsi="Times New Roman" w:cs="Times New Roman"/>
          <w:b/>
          <w:caps/>
          <w:sz w:val="24"/>
          <w:szCs w:val="24"/>
          <w:u w:color="000000"/>
          <w:lang w:eastAsia="en-ZA"/>
        </w:rPr>
        <w:tab/>
        <w:t xml:space="preserve">Summary of previous recommendations of the Committee </w:t>
      </w:r>
    </w:p>
    <w:p w14:paraId="38AA49B8" w14:textId="77777777" w:rsidR="00461FCB" w:rsidRPr="002E06CC" w:rsidRDefault="00461FCB" w:rsidP="002E06CC">
      <w:pPr>
        <w:spacing w:after="0" w:line="360" w:lineRule="auto"/>
        <w:jc w:val="both"/>
        <w:outlineLvl w:val="0"/>
        <w:rPr>
          <w:rFonts w:ascii="Times New Roman" w:eastAsia="Arial Unicode MS" w:hAnsi="Times New Roman" w:cs="Times New Roman"/>
          <w:b/>
          <w:sz w:val="24"/>
          <w:szCs w:val="24"/>
          <w:u w:color="000000"/>
          <w:lang w:eastAsia="en-ZA"/>
        </w:rPr>
      </w:pPr>
    </w:p>
    <w:p w14:paraId="77DAD80E" w14:textId="77777777" w:rsidR="00461FCB" w:rsidRPr="002E06CC" w:rsidRDefault="00461FCB" w:rsidP="002E06CC">
      <w:pPr>
        <w:spacing w:after="0" w:line="360" w:lineRule="auto"/>
        <w:jc w:val="both"/>
        <w:outlineLvl w:val="0"/>
        <w:rPr>
          <w:rFonts w:ascii="Times New Roman" w:eastAsia="Arial Unicode MS" w:hAnsi="Times New Roman" w:cs="Times New Roman"/>
          <w:b/>
          <w:sz w:val="24"/>
          <w:szCs w:val="24"/>
          <w:u w:color="000000"/>
          <w:lang w:eastAsia="en-ZA"/>
        </w:rPr>
      </w:pPr>
      <w:r w:rsidRPr="002E06CC">
        <w:rPr>
          <w:rFonts w:ascii="Times New Roman" w:eastAsia="Arial Unicode MS" w:hAnsi="Times New Roman" w:cs="Times New Roman"/>
          <w:b/>
          <w:sz w:val="24"/>
          <w:szCs w:val="24"/>
          <w:u w:color="000000"/>
          <w:lang w:eastAsia="en-ZA"/>
        </w:rPr>
        <w:t>3.1.</w:t>
      </w:r>
      <w:r w:rsidRPr="002E06CC">
        <w:rPr>
          <w:rFonts w:ascii="Times New Roman" w:eastAsia="Arial Unicode MS" w:hAnsi="Times New Roman" w:cs="Times New Roman"/>
          <w:b/>
          <w:sz w:val="24"/>
          <w:szCs w:val="24"/>
          <w:u w:color="000000"/>
          <w:lang w:eastAsia="en-ZA"/>
        </w:rPr>
        <w:tab/>
        <w:t>201</w:t>
      </w:r>
      <w:r w:rsidR="00C51006" w:rsidRPr="002E06CC">
        <w:rPr>
          <w:rFonts w:ascii="Times New Roman" w:eastAsia="Arial Unicode MS" w:hAnsi="Times New Roman" w:cs="Times New Roman"/>
          <w:b/>
          <w:sz w:val="24"/>
          <w:szCs w:val="24"/>
          <w:u w:color="000000"/>
          <w:lang w:eastAsia="en-ZA"/>
        </w:rPr>
        <w:t>7</w:t>
      </w:r>
      <w:r w:rsidRPr="002E06CC">
        <w:rPr>
          <w:rFonts w:ascii="Times New Roman" w:eastAsia="Arial Unicode MS" w:hAnsi="Times New Roman" w:cs="Times New Roman"/>
          <w:b/>
          <w:sz w:val="24"/>
          <w:szCs w:val="24"/>
          <w:u w:color="000000"/>
          <w:lang w:eastAsia="en-ZA"/>
        </w:rPr>
        <w:t xml:space="preserve"> BRRR Recommendations</w:t>
      </w:r>
    </w:p>
    <w:p w14:paraId="219F847A" w14:textId="77777777" w:rsidR="00461FCB" w:rsidRPr="002E06CC" w:rsidRDefault="00461FCB" w:rsidP="002E06CC">
      <w:pPr>
        <w:spacing w:after="0" w:line="360" w:lineRule="auto"/>
        <w:jc w:val="both"/>
        <w:outlineLvl w:val="0"/>
        <w:rPr>
          <w:rFonts w:ascii="Times New Roman" w:eastAsia="Arial Unicode MS" w:hAnsi="Times New Roman" w:cs="Times New Roman"/>
          <w:sz w:val="24"/>
          <w:szCs w:val="24"/>
          <w:u w:color="000000"/>
          <w:lang w:eastAsia="en-ZA"/>
        </w:rPr>
      </w:pPr>
    </w:p>
    <w:p w14:paraId="7FAA0BAA" w14:textId="77777777" w:rsidR="00FB6DBE" w:rsidRPr="002E06CC" w:rsidRDefault="00461FCB" w:rsidP="002E06CC">
      <w:pPr>
        <w:spacing w:after="200" w:line="360" w:lineRule="auto"/>
        <w:jc w:val="both"/>
        <w:outlineLvl w:val="0"/>
        <w:rPr>
          <w:rFonts w:ascii="Times New Roman" w:eastAsia="Calibri" w:hAnsi="Times New Roman" w:cs="Times New Roman"/>
          <w:sz w:val="24"/>
          <w:szCs w:val="24"/>
        </w:rPr>
      </w:pPr>
      <w:r w:rsidRPr="002E06CC">
        <w:rPr>
          <w:rFonts w:ascii="Times New Roman" w:eastAsia="Calibri" w:hAnsi="Times New Roman" w:cs="Times New Roman"/>
          <w:sz w:val="24"/>
          <w:szCs w:val="24"/>
        </w:rPr>
        <w:t>The PCODMV makes the following recommendations with regards to Armscor:</w:t>
      </w:r>
    </w:p>
    <w:p w14:paraId="398E86AC" w14:textId="77777777" w:rsidR="00FB6DBE" w:rsidRPr="002E06CC" w:rsidRDefault="00FB6DBE" w:rsidP="002E06CC">
      <w:pPr>
        <w:pStyle w:val="ListParagraph"/>
        <w:numPr>
          <w:ilvl w:val="0"/>
          <w:numId w:val="32"/>
        </w:numPr>
        <w:spacing w:line="360" w:lineRule="auto"/>
        <w:jc w:val="both"/>
        <w:outlineLvl w:val="0"/>
        <w:rPr>
          <w:rFonts w:ascii="Times New Roman" w:hAnsi="Times New Roman"/>
          <w:sz w:val="24"/>
          <w:szCs w:val="24"/>
        </w:rPr>
      </w:pPr>
      <w:r w:rsidRPr="002E06CC">
        <w:rPr>
          <w:rFonts w:ascii="Times New Roman" w:hAnsi="Times New Roman"/>
          <w:sz w:val="24"/>
          <w:szCs w:val="24"/>
        </w:rPr>
        <w:t>In the context of limited DOD contracting, the Committee recommends Armscor to continue to exploit commercial opportunities for revenue collection as a means to ensure the sustainability of the Group.</w:t>
      </w:r>
    </w:p>
    <w:p w14:paraId="2BD14F86" w14:textId="77777777" w:rsidR="00FB6DBE" w:rsidRPr="002E06CC" w:rsidRDefault="00FB6DBE" w:rsidP="002E06CC">
      <w:pPr>
        <w:pStyle w:val="ListParagraph"/>
        <w:numPr>
          <w:ilvl w:val="0"/>
          <w:numId w:val="32"/>
        </w:numPr>
        <w:spacing w:line="360" w:lineRule="auto"/>
        <w:jc w:val="both"/>
        <w:outlineLvl w:val="0"/>
        <w:rPr>
          <w:rFonts w:ascii="Times New Roman" w:hAnsi="Times New Roman"/>
          <w:sz w:val="24"/>
          <w:szCs w:val="24"/>
        </w:rPr>
      </w:pPr>
      <w:r w:rsidRPr="002E06CC">
        <w:rPr>
          <w:rFonts w:ascii="Times New Roman" w:hAnsi="Times New Roman"/>
          <w:sz w:val="24"/>
          <w:szCs w:val="24"/>
        </w:rPr>
        <w:t>The Committee notes the cancellation of the contracting for Offshore Patrol Vessels as a major concern as it impacts negatively on the operational capacity of the SA Navy. The Committee recommends that the DOD and Armscor find a lasting solution in this regard to ensure SA Navy’s patrolling capacity. This is of special importance in the context of Operation Phakisa that aims to exploit the ocean’s economy.</w:t>
      </w:r>
    </w:p>
    <w:p w14:paraId="17E495C2" w14:textId="77777777" w:rsidR="00FB6DBE" w:rsidRPr="002E06CC" w:rsidRDefault="00FB6DBE" w:rsidP="002E06CC">
      <w:pPr>
        <w:pStyle w:val="ListParagraph"/>
        <w:numPr>
          <w:ilvl w:val="0"/>
          <w:numId w:val="32"/>
        </w:numPr>
        <w:spacing w:line="360" w:lineRule="auto"/>
        <w:jc w:val="both"/>
        <w:outlineLvl w:val="0"/>
        <w:rPr>
          <w:rFonts w:ascii="Times New Roman" w:hAnsi="Times New Roman"/>
          <w:sz w:val="24"/>
          <w:szCs w:val="24"/>
        </w:rPr>
      </w:pPr>
      <w:r w:rsidRPr="002E06CC">
        <w:rPr>
          <w:rFonts w:ascii="Times New Roman" w:hAnsi="Times New Roman"/>
          <w:sz w:val="24"/>
          <w:szCs w:val="24"/>
        </w:rPr>
        <w:t>The Committee recommends that the DOD and Armscor meet urgently with Denel to ensure that the extended target (March 2019) for the first delivery of Infantry Fighting Vehicles is met. Failure to meet this target impacts negatively on the SANDF’s operational capacity. Armscor and/or the DOD should provide feedback on progress in this regard to the PCDMV within 45 days of the adoption of this report. The Committee will utilise this engagement for future interactions with Denel.</w:t>
      </w:r>
    </w:p>
    <w:p w14:paraId="3751F14B" w14:textId="77777777" w:rsidR="00FB6DBE" w:rsidRPr="002E06CC" w:rsidRDefault="00FB6DBE" w:rsidP="002E06CC">
      <w:pPr>
        <w:pStyle w:val="ListParagraph"/>
        <w:numPr>
          <w:ilvl w:val="0"/>
          <w:numId w:val="32"/>
        </w:numPr>
        <w:spacing w:line="360" w:lineRule="auto"/>
        <w:jc w:val="both"/>
        <w:outlineLvl w:val="0"/>
        <w:rPr>
          <w:rFonts w:ascii="Times New Roman" w:hAnsi="Times New Roman"/>
          <w:sz w:val="24"/>
          <w:szCs w:val="24"/>
        </w:rPr>
      </w:pPr>
      <w:r w:rsidRPr="002E06CC">
        <w:rPr>
          <w:rFonts w:ascii="Times New Roman" w:hAnsi="Times New Roman"/>
          <w:sz w:val="24"/>
          <w:szCs w:val="24"/>
        </w:rPr>
        <w:t>Delays in the transfer of the Dockyard is of a major concern to the Committee. The Committee acknowledges that Armscor awaits Denel’s final position on the potential transfer of the Dockyard. The Committee recommends that the DOD and Armscor meet urgently with Denel to ensure the finalisation of this process or the identification of an alternative management initiative. Armscor and/or the DOD should provide feedback on progress in this regard within 45 days of the adoption of this report, including alternative management structures for the Dockyard. The Committee will use this feedback from the DOD and Armscor for future interactions with Denel.</w:t>
      </w:r>
    </w:p>
    <w:p w14:paraId="5DA29E77" w14:textId="77777777" w:rsidR="00FB6DBE" w:rsidRPr="002E06CC" w:rsidRDefault="00FB6DBE" w:rsidP="002E06CC">
      <w:pPr>
        <w:pStyle w:val="ListParagraph"/>
        <w:numPr>
          <w:ilvl w:val="0"/>
          <w:numId w:val="32"/>
        </w:numPr>
        <w:spacing w:line="360" w:lineRule="auto"/>
        <w:jc w:val="both"/>
        <w:outlineLvl w:val="0"/>
        <w:rPr>
          <w:rFonts w:ascii="Times New Roman" w:hAnsi="Times New Roman"/>
          <w:sz w:val="24"/>
          <w:szCs w:val="24"/>
        </w:rPr>
      </w:pPr>
      <w:r w:rsidRPr="002E06CC">
        <w:rPr>
          <w:rFonts w:ascii="Times New Roman" w:hAnsi="Times New Roman"/>
          <w:sz w:val="24"/>
          <w:szCs w:val="24"/>
        </w:rPr>
        <w:t>The Committee recommends that Armscor implements, as a matter of urgency, its identified corrective measures related to the AG’s Information Technology concerns.</w:t>
      </w:r>
    </w:p>
    <w:p w14:paraId="42A61B5D" w14:textId="77777777" w:rsidR="00FB6DBE" w:rsidRPr="002E06CC" w:rsidRDefault="00FB6DBE" w:rsidP="002E06CC">
      <w:pPr>
        <w:pStyle w:val="ListParagraph"/>
        <w:numPr>
          <w:ilvl w:val="0"/>
          <w:numId w:val="32"/>
        </w:numPr>
        <w:spacing w:line="360" w:lineRule="auto"/>
        <w:jc w:val="both"/>
        <w:outlineLvl w:val="0"/>
        <w:rPr>
          <w:rFonts w:ascii="Times New Roman" w:hAnsi="Times New Roman"/>
          <w:sz w:val="24"/>
          <w:szCs w:val="24"/>
        </w:rPr>
      </w:pPr>
      <w:r w:rsidRPr="002E06CC">
        <w:rPr>
          <w:rFonts w:ascii="Times New Roman" w:hAnsi="Times New Roman"/>
          <w:sz w:val="24"/>
          <w:szCs w:val="24"/>
        </w:rPr>
        <w:t>The Committee notes ongoing initiatives by Armscor to offset the DIP credits with the European Missile Producer, MBDA. It is recommended that the finalisation of this DIP agreement be prioritised for finalisation while ensuring maximum benefit for the state. Feedback in this regard should be provided no later than 1 June 2018.</w:t>
      </w:r>
    </w:p>
    <w:p w14:paraId="79749A58" w14:textId="77777777" w:rsidR="00461FCB" w:rsidRPr="002E06CC" w:rsidRDefault="00FB6DBE" w:rsidP="002E06CC">
      <w:pPr>
        <w:pStyle w:val="ListParagraph"/>
        <w:numPr>
          <w:ilvl w:val="0"/>
          <w:numId w:val="32"/>
        </w:numPr>
        <w:spacing w:line="360" w:lineRule="auto"/>
        <w:jc w:val="both"/>
        <w:outlineLvl w:val="0"/>
        <w:rPr>
          <w:rFonts w:ascii="Times New Roman" w:hAnsi="Times New Roman"/>
          <w:sz w:val="24"/>
          <w:szCs w:val="24"/>
        </w:rPr>
      </w:pPr>
      <w:r w:rsidRPr="002E06CC">
        <w:rPr>
          <w:rFonts w:ascii="Times New Roman" w:hAnsi="Times New Roman"/>
          <w:sz w:val="24"/>
          <w:szCs w:val="24"/>
        </w:rPr>
        <w:t xml:space="preserve">Feedback on the additional 11 DIP agreements and where/how these credits will be utilised should be provided to the Committee no later than 31 March 2018. </w:t>
      </w:r>
    </w:p>
    <w:p w14:paraId="095220D3" w14:textId="77777777" w:rsidR="00FB6DBE" w:rsidRPr="002E06CC" w:rsidRDefault="00FB6DBE" w:rsidP="002E06CC">
      <w:pPr>
        <w:pStyle w:val="ListParagraph"/>
        <w:numPr>
          <w:ilvl w:val="0"/>
          <w:numId w:val="32"/>
        </w:numPr>
        <w:spacing w:line="360" w:lineRule="auto"/>
        <w:jc w:val="both"/>
        <w:outlineLvl w:val="0"/>
        <w:rPr>
          <w:rFonts w:ascii="Times New Roman" w:hAnsi="Times New Roman"/>
          <w:sz w:val="24"/>
          <w:szCs w:val="24"/>
        </w:rPr>
      </w:pPr>
      <w:r w:rsidRPr="002E06CC">
        <w:rPr>
          <w:rFonts w:ascii="Times New Roman" w:hAnsi="Times New Roman"/>
          <w:sz w:val="24"/>
          <w:szCs w:val="24"/>
        </w:rPr>
        <w:t>Armscor should provide feedback on progress with the Truck Africa project no later than 31 March 2018. The Committee recommends that Armscor ensures that the vehicles are suitable for operational areas in</w:t>
      </w:r>
      <w:r w:rsidR="008D38AC" w:rsidRPr="002E06CC">
        <w:rPr>
          <w:rFonts w:ascii="Times New Roman" w:hAnsi="Times New Roman"/>
          <w:sz w:val="24"/>
          <w:szCs w:val="24"/>
        </w:rPr>
        <w:t xml:space="preserve"> </w:t>
      </w:r>
      <w:r w:rsidRPr="002E06CC">
        <w:rPr>
          <w:rFonts w:ascii="Times New Roman" w:hAnsi="Times New Roman"/>
          <w:sz w:val="24"/>
          <w:szCs w:val="24"/>
        </w:rPr>
        <w:t>Africa where the SANDF deploys.</w:t>
      </w:r>
    </w:p>
    <w:p w14:paraId="2EC2060F" w14:textId="77777777" w:rsidR="00FB6DBE" w:rsidRPr="002E06CC" w:rsidRDefault="00FB6DBE" w:rsidP="002E06CC">
      <w:pPr>
        <w:pStyle w:val="ListParagraph"/>
        <w:numPr>
          <w:ilvl w:val="0"/>
          <w:numId w:val="32"/>
        </w:numPr>
        <w:spacing w:line="360" w:lineRule="auto"/>
        <w:jc w:val="both"/>
        <w:outlineLvl w:val="0"/>
        <w:rPr>
          <w:rFonts w:ascii="Times New Roman" w:hAnsi="Times New Roman"/>
          <w:sz w:val="24"/>
          <w:szCs w:val="24"/>
        </w:rPr>
      </w:pPr>
      <w:r w:rsidRPr="002E06CC">
        <w:rPr>
          <w:rFonts w:ascii="Times New Roman" w:hAnsi="Times New Roman"/>
          <w:sz w:val="24"/>
          <w:szCs w:val="24"/>
        </w:rPr>
        <w:t>Armscor should provide feedback on the status of the Defence Industry</w:t>
      </w:r>
      <w:r w:rsidR="008D38AC" w:rsidRPr="002E06CC">
        <w:rPr>
          <w:rFonts w:ascii="Times New Roman" w:hAnsi="Times New Roman"/>
          <w:sz w:val="24"/>
          <w:szCs w:val="24"/>
        </w:rPr>
        <w:t xml:space="preserve"> </w:t>
      </w:r>
      <w:r w:rsidRPr="002E06CC">
        <w:rPr>
          <w:rFonts w:ascii="Times New Roman" w:hAnsi="Times New Roman"/>
          <w:sz w:val="24"/>
          <w:szCs w:val="24"/>
        </w:rPr>
        <w:t>Fund by no later than 31 March 2018.</w:t>
      </w:r>
    </w:p>
    <w:p w14:paraId="646F4B42" w14:textId="77777777" w:rsidR="00FB6DBE" w:rsidRPr="002E06CC" w:rsidRDefault="00FB6DBE" w:rsidP="002E06CC">
      <w:pPr>
        <w:pStyle w:val="ListParagraph"/>
        <w:numPr>
          <w:ilvl w:val="0"/>
          <w:numId w:val="32"/>
        </w:numPr>
        <w:spacing w:line="360" w:lineRule="auto"/>
        <w:jc w:val="both"/>
        <w:outlineLvl w:val="0"/>
        <w:rPr>
          <w:rFonts w:ascii="Times New Roman" w:hAnsi="Times New Roman"/>
          <w:sz w:val="24"/>
          <w:szCs w:val="24"/>
        </w:rPr>
      </w:pPr>
      <w:r w:rsidRPr="002E06CC">
        <w:rPr>
          <w:rFonts w:ascii="Times New Roman" w:hAnsi="Times New Roman"/>
          <w:sz w:val="24"/>
          <w:szCs w:val="24"/>
        </w:rPr>
        <w:t>The Committee recommends that Armscor continues to manage IP in a</w:t>
      </w:r>
      <w:r w:rsidR="008D38AC" w:rsidRPr="002E06CC">
        <w:rPr>
          <w:rFonts w:ascii="Times New Roman" w:hAnsi="Times New Roman"/>
          <w:sz w:val="24"/>
          <w:szCs w:val="24"/>
        </w:rPr>
        <w:t xml:space="preserve"> </w:t>
      </w:r>
      <w:r w:rsidRPr="002E06CC">
        <w:rPr>
          <w:rFonts w:ascii="Times New Roman" w:hAnsi="Times New Roman"/>
          <w:sz w:val="24"/>
          <w:szCs w:val="24"/>
        </w:rPr>
        <w:t>responsible manner for the state, as there are billions worth of IP in Denel,</w:t>
      </w:r>
      <w:r w:rsidR="008D38AC" w:rsidRPr="002E06CC">
        <w:rPr>
          <w:rFonts w:ascii="Times New Roman" w:hAnsi="Times New Roman"/>
          <w:sz w:val="24"/>
          <w:szCs w:val="24"/>
        </w:rPr>
        <w:t xml:space="preserve"> </w:t>
      </w:r>
      <w:r w:rsidRPr="002E06CC">
        <w:rPr>
          <w:rFonts w:ascii="Times New Roman" w:hAnsi="Times New Roman"/>
          <w:sz w:val="24"/>
          <w:szCs w:val="24"/>
        </w:rPr>
        <w:t>and other organisations outside the defence environment, which need to be</w:t>
      </w:r>
      <w:r w:rsidR="008D38AC" w:rsidRPr="002E06CC">
        <w:rPr>
          <w:rFonts w:ascii="Times New Roman" w:hAnsi="Times New Roman"/>
          <w:sz w:val="24"/>
          <w:szCs w:val="24"/>
        </w:rPr>
        <w:t xml:space="preserve"> </w:t>
      </w:r>
      <w:r w:rsidRPr="002E06CC">
        <w:rPr>
          <w:rFonts w:ascii="Times New Roman" w:hAnsi="Times New Roman"/>
          <w:sz w:val="24"/>
          <w:szCs w:val="24"/>
        </w:rPr>
        <w:t>protected. This is to ensure commercialisation where viable as a means of</w:t>
      </w:r>
      <w:r w:rsidR="008D38AC" w:rsidRPr="002E06CC">
        <w:rPr>
          <w:rFonts w:ascii="Times New Roman" w:hAnsi="Times New Roman"/>
          <w:sz w:val="24"/>
          <w:szCs w:val="24"/>
        </w:rPr>
        <w:t xml:space="preserve"> </w:t>
      </w:r>
      <w:r w:rsidRPr="002E06CC">
        <w:rPr>
          <w:rFonts w:ascii="Times New Roman" w:hAnsi="Times New Roman"/>
          <w:sz w:val="24"/>
          <w:szCs w:val="24"/>
        </w:rPr>
        <w:t>gaining revenue. Armscor should report on challenges in this regard no</w:t>
      </w:r>
      <w:r w:rsidR="008D38AC" w:rsidRPr="002E06CC">
        <w:rPr>
          <w:rFonts w:ascii="Times New Roman" w:hAnsi="Times New Roman"/>
          <w:sz w:val="24"/>
          <w:szCs w:val="24"/>
        </w:rPr>
        <w:t xml:space="preserve"> </w:t>
      </w:r>
      <w:r w:rsidRPr="002E06CC">
        <w:rPr>
          <w:rFonts w:ascii="Times New Roman" w:hAnsi="Times New Roman"/>
          <w:sz w:val="24"/>
          <w:szCs w:val="24"/>
        </w:rPr>
        <w:t>later than 31 March 2018. This report should also include whether current</w:t>
      </w:r>
      <w:r w:rsidR="008D38AC" w:rsidRPr="002E06CC">
        <w:rPr>
          <w:rFonts w:ascii="Times New Roman" w:hAnsi="Times New Roman"/>
          <w:sz w:val="24"/>
          <w:szCs w:val="24"/>
        </w:rPr>
        <w:t xml:space="preserve"> </w:t>
      </w:r>
      <w:r w:rsidRPr="002E06CC">
        <w:rPr>
          <w:rFonts w:ascii="Times New Roman" w:hAnsi="Times New Roman"/>
          <w:sz w:val="24"/>
          <w:szCs w:val="24"/>
        </w:rPr>
        <w:t>legislation sufficiently protect defence-related IP and whether there are any</w:t>
      </w:r>
      <w:r w:rsidR="008D38AC" w:rsidRPr="002E06CC">
        <w:rPr>
          <w:rFonts w:ascii="Times New Roman" w:hAnsi="Times New Roman"/>
          <w:sz w:val="24"/>
          <w:szCs w:val="24"/>
        </w:rPr>
        <w:t xml:space="preserve"> </w:t>
      </w:r>
      <w:r w:rsidRPr="002E06CC">
        <w:rPr>
          <w:rFonts w:ascii="Times New Roman" w:hAnsi="Times New Roman"/>
          <w:sz w:val="24"/>
          <w:szCs w:val="24"/>
        </w:rPr>
        <w:t>threats to sovereign IP?</w:t>
      </w:r>
    </w:p>
    <w:p w14:paraId="1CA70CB4" w14:textId="77777777" w:rsidR="008D38AC" w:rsidRPr="002E06CC" w:rsidRDefault="00FB6DBE" w:rsidP="002E06CC">
      <w:pPr>
        <w:pStyle w:val="ListParagraph"/>
        <w:numPr>
          <w:ilvl w:val="0"/>
          <w:numId w:val="32"/>
        </w:numPr>
        <w:spacing w:line="360" w:lineRule="auto"/>
        <w:jc w:val="both"/>
        <w:outlineLvl w:val="0"/>
        <w:rPr>
          <w:rFonts w:ascii="Times New Roman" w:hAnsi="Times New Roman"/>
          <w:sz w:val="24"/>
          <w:szCs w:val="24"/>
        </w:rPr>
      </w:pPr>
      <w:r w:rsidRPr="002E06CC">
        <w:rPr>
          <w:rFonts w:ascii="Times New Roman" w:hAnsi="Times New Roman"/>
          <w:sz w:val="24"/>
          <w:szCs w:val="24"/>
        </w:rPr>
        <w:t>Armscor should provide feedback in relation to progress of (1) Project</w:t>
      </w:r>
      <w:r w:rsidR="008D38AC" w:rsidRPr="002E06CC">
        <w:rPr>
          <w:rFonts w:ascii="Times New Roman" w:hAnsi="Times New Roman"/>
          <w:sz w:val="24"/>
          <w:szCs w:val="24"/>
        </w:rPr>
        <w:t xml:space="preserve"> </w:t>
      </w:r>
      <w:r w:rsidRPr="002E06CC">
        <w:rPr>
          <w:rFonts w:ascii="Times New Roman" w:hAnsi="Times New Roman"/>
          <w:sz w:val="24"/>
          <w:szCs w:val="24"/>
        </w:rPr>
        <w:t>Hotel and (2) Project Biro for the SA Navy. Such reporting should include</w:t>
      </w:r>
      <w:r w:rsidR="008D38AC" w:rsidRPr="002E06CC">
        <w:rPr>
          <w:rFonts w:ascii="Times New Roman" w:hAnsi="Times New Roman"/>
          <w:sz w:val="24"/>
          <w:szCs w:val="24"/>
        </w:rPr>
        <w:t xml:space="preserve"> </w:t>
      </w:r>
      <w:r w:rsidRPr="002E06CC">
        <w:rPr>
          <w:rFonts w:ascii="Times New Roman" w:hAnsi="Times New Roman"/>
          <w:sz w:val="24"/>
          <w:szCs w:val="24"/>
        </w:rPr>
        <w:t>detailed timelines on the production and delivery of these vessels.</w:t>
      </w:r>
      <w:r w:rsidR="008D38AC" w:rsidRPr="002E06CC">
        <w:rPr>
          <w:rFonts w:ascii="Times New Roman" w:hAnsi="Times New Roman"/>
          <w:sz w:val="24"/>
          <w:szCs w:val="24"/>
        </w:rPr>
        <w:t xml:space="preserve"> </w:t>
      </w:r>
      <w:r w:rsidRPr="002E06CC">
        <w:rPr>
          <w:rFonts w:ascii="Times New Roman" w:hAnsi="Times New Roman"/>
          <w:sz w:val="24"/>
          <w:szCs w:val="24"/>
        </w:rPr>
        <w:t>Reporting should be done by no later than 31 March 2018.</w:t>
      </w:r>
    </w:p>
    <w:p w14:paraId="4F9F142E" w14:textId="77777777" w:rsidR="00FB6DBE" w:rsidRPr="002E06CC" w:rsidRDefault="00FB6DBE" w:rsidP="002E06CC">
      <w:pPr>
        <w:pStyle w:val="ListParagraph"/>
        <w:numPr>
          <w:ilvl w:val="0"/>
          <w:numId w:val="32"/>
        </w:numPr>
        <w:spacing w:line="360" w:lineRule="auto"/>
        <w:jc w:val="both"/>
        <w:outlineLvl w:val="0"/>
        <w:rPr>
          <w:rFonts w:ascii="Times New Roman" w:hAnsi="Times New Roman"/>
          <w:sz w:val="24"/>
          <w:szCs w:val="24"/>
        </w:rPr>
      </w:pPr>
      <w:r w:rsidRPr="002E06CC">
        <w:rPr>
          <w:rFonts w:ascii="Times New Roman" w:hAnsi="Times New Roman"/>
          <w:sz w:val="24"/>
          <w:szCs w:val="24"/>
        </w:rPr>
        <w:t>The Committee recommends that Denel, which is currently under the</w:t>
      </w:r>
      <w:r w:rsidR="008D38AC" w:rsidRPr="002E06CC">
        <w:rPr>
          <w:rFonts w:ascii="Times New Roman" w:hAnsi="Times New Roman"/>
          <w:sz w:val="24"/>
          <w:szCs w:val="24"/>
        </w:rPr>
        <w:t xml:space="preserve"> </w:t>
      </w:r>
      <w:r w:rsidRPr="002E06CC">
        <w:rPr>
          <w:rFonts w:ascii="Times New Roman" w:hAnsi="Times New Roman"/>
          <w:sz w:val="24"/>
          <w:szCs w:val="24"/>
        </w:rPr>
        <w:t>Department of Public Enterprises, should migrate to the Ministry of</w:t>
      </w:r>
      <w:r w:rsidR="008D38AC" w:rsidRPr="002E06CC">
        <w:rPr>
          <w:rFonts w:ascii="Times New Roman" w:hAnsi="Times New Roman"/>
          <w:sz w:val="24"/>
          <w:szCs w:val="24"/>
        </w:rPr>
        <w:t xml:space="preserve"> </w:t>
      </w:r>
      <w:r w:rsidRPr="002E06CC">
        <w:rPr>
          <w:rFonts w:ascii="Times New Roman" w:hAnsi="Times New Roman"/>
          <w:sz w:val="24"/>
          <w:szCs w:val="24"/>
        </w:rPr>
        <w:t>Defence and Military Veterans, as recommended by the Presidential</w:t>
      </w:r>
      <w:r w:rsidR="008D38AC" w:rsidRPr="002E06CC">
        <w:rPr>
          <w:rFonts w:ascii="Times New Roman" w:hAnsi="Times New Roman"/>
          <w:sz w:val="24"/>
          <w:szCs w:val="24"/>
        </w:rPr>
        <w:t xml:space="preserve"> </w:t>
      </w:r>
      <w:r w:rsidRPr="002E06CC">
        <w:rPr>
          <w:rFonts w:ascii="Times New Roman" w:hAnsi="Times New Roman"/>
          <w:sz w:val="24"/>
          <w:szCs w:val="24"/>
        </w:rPr>
        <w:t>Committee on review of the State Owned Enterprises in 2012.</w:t>
      </w:r>
    </w:p>
    <w:p w14:paraId="24D60ACB" w14:textId="77777777" w:rsidR="00461FCB" w:rsidRPr="002E06CC" w:rsidRDefault="00461FCB" w:rsidP="002E06CC">
      <w:pPr>
        <w:spacing w:after="0" w:line="360" w:lineRule="auto"/>
        <w:jc w:val="both"/>
        <w:outlineLvl w:val="0"/>
        <w:rPr>
          <w:rFonts w:ascii="Times New Roman" w:eastAsia="Arial Unicode MS" w:hAnsi="Times New Roman" w:cs="Times New Roman"/>
          <w:b/>
          <w:i/>
          <w:sz w:val="24"/>
          <w:szCs w:val="24"/>
          <w:u w:color="000000"/>
          <w:lang w:eastAsia="en-ZA"/>
        </w:rPr>
      </w:pPr>
      <w:r w:rsidRPr="002E06CC">
        <w:rPr>
          <w:rFonts w:ascii="Times New Roman" w:eastAsia="Arial Unicode MS" w:hAnsi="Times New Roman" w:cs="Times New Roman"/>
          <w:b/>
          <w:sz w:val="24"/>
          <w:szCs w:val="24"/>
          <w:u w:color="000000"/>
          <w:lang w:eastAsia="en-ZA"/>
        </w:rPr>
        <w:t>3.2</w:t>
      </w:r>
      <w:r w:rsidRPr="002E06CC">
        <w:rPr>
          <w:rFonts w:ascii="Times New Roman" w:eastAsia="Arial Unicode MS" w:hAnsi="Times New Roman" w:cs="Times New Roman"/>
          <w:b/>
          <w:sz w:val="24"/>
          <w:szCs w:val="24"/>
          <w:u w:color="000000"/>
          <w:lang w:eastAsia="en-ZA"/>
        </w:rPr>
        <w:tab/>
        <w:t>Response by Department and Minister of Finance:</w:t>
      </w:r>
    </w:p>
    <w:p w14:paraId="4268DEAB" w14:textId="77777777" w:rsidR="00461FCB" w:rsidRPr="002E06CC" w:rsidRDefault="00461FCB" w:rsidP="002E06CC">
      <w:pPr>
        <w:spacing w:after="0" w:line="360" w:lineRule="auto"/>
        <w:jc w:val="both"/>
        <w:outlineLvl w:val="0"/>
        <w:rPr>
          <w:rFonts w:ascii="Times New Roman" w:eastAsia="Arial Unicode MS" w:hAnsi="Times New Roman" w:cs="Times New Roman"/>
          <w:sz w:val="24"/>
          <w:szCs w:val="24"/>
          <w:u w:color="000000"/>
          <w:lang w:eastAsia="en-ZA"/>
        </w:rPr>
      </w:pPr>
    </w:p>
    <w:p w14:paraId="4C33268E" w14:textId="77777777" w:rsidR="00461FCB" w:rsidRPr="002E06CC" w:rsidRDefault="00461FCB" w:rsidP="002E06CC">
      <w:pPr>
        <w:spacing w:after="0" w:line="360" w:lineRule="auto"/>
        <w:jc w:val="both"/>
        <w:outlineLvl w:val="0"/>
        <w:rPr>
          <w:rFonts w:ascii="Times New Roman" w:eastAsia="Arial Unicode MS" w:hAnsi="Times New Roman" w:cs="Times New Roman"/>
          <w:sz w:val="24"/>
          <w:szCs w:val="24"/>
          <w:u w:color="000000"/>
          <w:lang w:eastAsia="en-ZA"/>
        </w:rPr>
      </w:pPr>
      <w:r w:rsidRPr="002E06CC">
        <w:rPr>
          <w:rFonts w:ascii="Times New Roman" w:eastAsia="Arial Unicode MS" w:hAnsi="Times New Roman" w:cs="Times New Roman"/>
          <w:sz w:val="24"/>
          <w:szCs w:val="24"/>
          <w:u w:color="000000"/>
          <w:lang w:eastAsia="en-ZA"/>
        </w:rPr>
        <w:t>No responses were made with regard to Armscor by the Minister of Finance in response to the 201</w:t>
      </w:r>
      <w:r w:rsidR="008D38AC" w:rsidRPr="002E06CC">
        <w:rPr>
          <w:rFonts w:ascii="Times New Roman" w:eastAsia="Arial Unicode MS" w:hAnsi="Times New Roman" w:cs="Times New Roman"/>
          <w:sz w:val="24"/>
          <w:szCs w:val="24"/>
          <w:u w:color="000000"/>
          <w:lang w:eastAsia="en-ZA"/>
        </w:rPr>
        <w:t>7</w:t>
      </w:r>
      <w:r w:rsidRPr="002E06CC">
        <w:rPr>
          <w:rFonts w:ascii="Times New Roman" w:eastAsia="Arial Unicode MS" w:hAnsi="Times New Roman" w:cs="Times New Roman"/>
          <w:sz w:val="24"/>
          <w:szCs w:val="24"/>
          <w:u w:color="000000"/>
          <w:lang w:eastAsia="en-ZA"/>
        </w:rPr>
        <w:t xml:space="preserve"> BRRR recommendations. </w:t>
      </w:r>
    </w:p>
    <w:p w14:paraId="615AE6A8" w14:textId="77777777" w:rsidR="00461FCB" w:rsidRPr="002E06CC" w:rsidRDefault="00461FCB" w:rsidP="002E06CC">
      <w:pPr>
        <w:spacing w:after="0" w:line="360" w:lineRule="auto"/>
        <w:jc w:val="both"/>
        <w:outlineLvl w:val="0"/>
        <w:rPr>
          <w:rFonts w:ascii="Times New Roman" w:eastAsia="Arial Unicode MS" w:hAnsi="Times New Roman" w:cs="Times New Roman"/>
          <w:b/>
          <w:sz w:val="24"/>
          <w:szCs w:val="24"/>
          <w:u w:color="000000"/>
          <w:lang w:eastAsia="en-ZA"/>
        </w:rPr>
      </w:pPr>
    </w:p>
    <w:p w14:paraId="774FA966" w14:textId="77777777" w:rsidR="00461FCB" w:rsidRPr="002E06CC" w:rsidRDefault="00461FCB" w:rsidP="002E06CC">
      <w:pPr>
        <w:numPr>
          <w:ilvl w:val="0"/>
          <w:numId w:val="1"/>
        </w:numPr>
        <w:spacing w:after="0" w:line="360" w:lineRule="auto"/>
        <w:ind w:hanging="393"/>
        <w:jc w:val="both"/>
        <w:outlineLvl w:val="0"/>
        <w:rPr>
          <w:rFonts w:ascii="Times New Roman" w:eastAsia="Arial Unicode MS" w:hAnsi="Times New Roman" w:cs="Times New Roman"/>
          <w:b/>
          <w:caps/>
          <w:sz w:val="24"/>
          <w:szCs w:val="24"/>
          <w:u w:color="000000"/>
          <w:lang w:val="en-US"/>
        </w:rPr>
      </w:pPr>
      <w:r w:rsidRPr="002E06CC">
        <w:rPr>
          <w:rFonts w:ascii="Times New Roman" w:eastAsia="Arial Unicode MS" w:hAnsi="Times New Roman" w:cs="Times New Roman"/>
          <w:b/>
          <w:caps/>
          <w:sz w:val="24"/>
          <w:szCs w:val="24"/>
          <w:u w:color="000000"/>
          <w:lang w:val="en-US"/>
        </w:rPr>
        <w:t>4.</w:t>
      </w:r>
      <w:r w:rsidRPr="002E06CC">
        <w:rPr>
          <w:rFonts w:ascii="Times New Roman" w:eastAsia="Arial Unicode MS" w:hAnsi="Times New Roman" w:cs="Times New Roman"/>
          <w:b/>
          <w:caps/>
          <w:sz w:val="24"/>
          <w:szCs w:val="24"/>
          <w:u w:color="000000"/>
          <w:lang w:val="en-US"/>
        </w:rPr>
        <w:tab/>
        <w:t>Overview and assessment of financial performance</w:t>
      </w:r>
    </w:p>
    <w:p w14:paraId="46229D40" w14:textId="77777777" w:rsidR="00461FCB" w:rsidRPr="002E06CC" w:rsidRDefault="00461FCB" w:rsidP="002E06CC">
      <w:pPr>
        <w:spacing w:after="0" w:line="360" w:lineRule="auto"/>
        <w:jc w:val="both"/>
        <w:outlineLvl w:val="0"/>
        <w:rPr>
          <w:rFonts w:ascii="Times New Roman" w:eastAsia="Arial Unicode MS" w:hAnsi="Times New Roman" w:cs="Times New Roman"/>
          <w:b/>
          <w:sz w:val="24"/>
          <w:szCs w:val="24"/>
          <w:u w:color="000000"/>
          <w:lang w:eastAsia="en-ZA"/>
        </w:rPr>
      </w:pPr>
    </w:p>
    <w:p w14:paraId="38F76902" w14:textId="77777777" w:rsidR="00461FCB" w:rsidRPr="002E06CC" w:rsidRDefault="00461FCB" w:rsidP="002E06CC">
      <w:pPr>
        <w:spacing w:after="0" w:line="360" w:lineRule="auto"/>
        <w:jc w:val="both"/>
        <w:outlineLvl w:val="0"/>
        <w:rPr>
          <w:rFonts w:ascii="Times New Roman" w:eastAsia="Arial Unicode MS" w:hAnsi="Times New Roman" w:cs="Times New Roman"/>
          <w:b/>
          <w:sz w:val="24"/>
          <w:szCs w:val="24"/>
          <w:u w:color="000000"/>
          <w:lang w:eastAsia="en-ZA"/>
        </w:rPr>
      </w:pPr>
      <w:r w:rsidRPr="002E06CC">
        <w:rPr>
          <w:rFonts w:ascii="Times New Roman" w:eastAsia="Arial Unicode MS" w:hAnsi="Times New Roman" w:cs="Times New Roman"/>
          <w:b/>
          <w:sz w:val="24"/>
          <w:szCs w:val="24"/>
          <w:u w:color="000000"/>
          <w:lang w:eastAsia="en-ZA"/>
        </w:rPr>
        <w:t>4.1.</w:t>
      </w:r>
      <w:r w:rsidRPr="002E06CC">
        <w:rPr>
          <w:rFonts w:ascii="Times New Roman" w:eastAsia="Arial Unicode MS" w:hAnsi="Times New Roman" w:cs="Times New Roman"/>
          <w:b/>
          <w:sz w:val="24"/>
          <w:szCs w:val="24"/>
          <w:u w:color="000000"/>
          <w:lang w:eastAsia="en-ZA"/>
        </w:rPr>
        <w:tab/>
        <w:t>Overview of Armscor’s 2016/17 financial outlook</w:t>
      </w:r>
    </w:p>
    <w:p w14:paraId="06843384" w14:textId="77777777" w:rsidR="00F537D5" w:rsidRPr="002E06CC" w:rsidRDefault="00461FCB" w:rsidP="002E06CC">
      <w:pPr>
        <w:autoSpaceDE w:val="0"/>
        <w:autoSpaceDN w:val="0"/>
        <w:adjustRightInd w:val="0"/>
        <w:spacing w:after="0" w:line="360" w:lineRule="auto"/>
        <w:jc w:val="both"/>
        <w:rPr>
          <w:rFonts w:ascii="Times New Roman" w:hAnsi="Times New Roman" w:cs="Times New Roman"/>
          <w:sz w:val="24"/>
          <w:szCs w:val="24"/>
        </w:rPr>
      </w:pPr>
      <w:r w:rsidRPr="002E06CC">
        <w:rPr>
          <w:rFonts w:ascii="Times New Roman" w:hAnsi="Times New Roman" w:cs="Times New Roman"/>
          <w:sz w:val="24"/>
          <w:szCs w:val="24"/>
        </w:rPr>
        <w:br/>
      </w:r>
      <w:r w:rsidR="00F537D5" w:rsidRPr="002E06CC">
        <w:rPr>
          <w:rFonts w:ascii="Times New Roman" w:hAnsi="Times New Roman" w:cs="Times New Roman"/>
          <w:sz w:val="24"/>
          <w:szCs w:val="24"/>
        </w:rPr>
        <w:t xml:space="preserve">The total comprehensive income of the Group increased from a loss of R126.9 million in 2016/17 to reflect a profit of R1.7 million in 2017/18. Revenue generated increased significantly from R1 399 million in 2016/17 to R1 668 million in 2017/18. However, this increase should be seen in context as it is largely due to an increased state allocation. The state allocation increased from R860 million in 2016/17 to R1 057 million in 2017/18. Nonetheless, Armscor did increase its sale of goods and services from R403 million in 2016/17 to R467 million in 2017/18. Other income also increased by R9.5 million. </w:t>
      </w:r>
    </w:p>
    <w:p w14:paraId="18B914DD" w14:textId="77777777" w:rsidR="00F537D5" w:rsidRPr="002E06CC" w:rsidRDefault="00F537D5" w:rsidP="002E06CC">
      <w:pPr>
        <w:autoSpaceDE w:val="0"/>
        <w:autoSpaceDN w:val="0"/>
        <w:adjustRightInd w:val="0"/>
        <w:spacing w:after="0" w:line="360" w:lineRule="auto"/>
        <w:jc w:val="both"/>
        <w:rPr>
          <w:rFonts w:ascii="Times New Roman" w:hAnsi="Times New Roman" w:cs="Times New Roman"/>
          <w:sz w:val="24"/>
          <w:szCs w:val="24"/>
        </w:rPr>
      </w:pPr>
    </w:p>
    <w:p w14:paraId="0F6227D2" w14:textId="77777777" w:rsidR="00F537D5" w:rsidRPr="002E06CC" w:rsidRDefault="00F537D5" w:rsidP="002E06CC">
      <w:pPr>
        <w:autoSpaceDE w:val="0"/>
        <w:autoSpaceDN w:val="0"/>
        <w:adjustRightInd w:val="0"/>
        <w:spacing w:after="0" w:line="360" w:lineRule="auto"/>
        <w:jc w:val="both"/>
        <w:rPr>
          <w:rFonts w:ascii="Times New Roman" w:hAnsi="Times New Roman" w:cs="Times New Roman"/>
          <w:sz w:val="24"/>
          <w:szCs w:val="24"/>
        </w:rPr>
      </w:pPr>
      <w:r w:rsidRPr="002E06CC">
        <w:rPr>
          <w:rFonts w:ascii="Times New Roman" w:hAnsi="Times New Roman" w:cs="Times New Roman"/>
          <w:sz w:val="24"/>
          <w:szCs w:val="24"/>
        </w:rPr>
        <w:t>Group reserves increased from R1 998 million to R2 000 million mainly as a result of the surplus during the year.</w:t>
      </w:r>
    </w:p>
    <w:p w14:paraId="439E6C58" w14:textId="77777777" w:rsidR="00461FCB" w:rsidRPr="002E06CC" w:rsidRDefault="00461FCB" w:rsidP="002E06CC">
      <w:pPr>
        <w:autoSpaceDE w:val="0"/>
        <w:autoSpaceDN w:val="0"/>
        <w:adjustRightInd w:val="0"/>
        <w:spacing w:after="0" w:line="360" w:lineRule="auto"/>
        <w:jc w:val="both"/>
        <w:rPr>
          <w:rFonts w:ascii="Times New Roman" w:hAnsi="Times New Roman" w:cs="Times New Roman"/>
          <w:sz w:val="24"/>
          <w:szCs w:val="24"/>
        </w:rPr>
      </w:pPr>
    </w:p>
    <w:p w14:paraId="2FAF49A1" w14:textId="77777777" w:rsidR="00F537D5" w:rsidRPr="002E06CC" w:rsidRDefault="00F537D5" w:rsidP="002E06CC">
      <w:pPr>
        <w:autoSpaceDE w:val="0"/>
        <w:autoSpaceDN w:val="0"/>
        <w:adjustRightInd w:val="0"/>
        <w:spacing w:after="0" w:line="360" w:lineRule="auto"/>
        <w:jc w:val="both"/>
        <w:rPr>
          <w:rFonts w:ascii="Times New Roman" w:hAnsi="Times New Roman" w:cs="Times New Roman"/>
          <w:sz w:val="24"/>
          <w:szCs w:val="24"/>
        </w:rPr>
      </w:pPr>
      <w:r w:rsidRPr="002E06CC">
        <w:rPr>
          <w:rFonts w:ascii="Times New Roman" w:hAnsi="Times New Roman" w:cs="Times New Roman"/>
          <w:sz w:val="24"/>
          <w:szCs w:val="24"/>
        </w:rPr>
        <w:t>The following additional financial matters should be noted:</w:t>
      </w:r>
    </w:p>
    <w:p w14:paraId="72A88146" w14:textId="77777777" w:rsidR="00F537D5" w:rsidRPr="002E06CC" w:rsidRDefault="00F537D5" w:rsidP="002E06CC">
      <w:pPr>
        <w:autoSpaceDE w:val="0"/>
        <w:autoSpaceDN w:val="0"/>
        <w:adjustRightInd w:val="0"/>
        <w:spacing w:after="0" w:line="360" w:lineRule="auto"/>
        <w:jc w:val="both"/>
        <w:rPr>
          <w:rFonts w:ascii="Times New Roman" w:hAnsi="Times New Roman" w:cs="Times New Roman"/>
          <w:sz w:val="24"/>
          <w:szCs w:val="24"/>
        </w:rPr>
      </w:pPr>
    </w:p>
    <w:p w14:paraId="457447D3" w14:textId="77777777" w:rsidR="00F537D5" w:rsidRPr="002E06CC" w:rsidRDefault="00F537D5" w:rsidP="002E06CC">
      <w:pPr>
        <w:numPr>
          <w:ilvl w:val="0"/>
          <w:numId w:val="33"/>
        </w:numPr>
        <w:autoSpaceDE w:val="0"/>
        <w:autoSpaceDN w:val="0"/>
        <w:adjustRightInd w:val="0"/>
        <w:spacing w:after="0" w:line="360" w:lineRule="auto"/>
        <w:jc w:val="both"/>
        <w:rPr>
          <w:rFonts w:ascii="Times New Roman" w:hAnsi="Times New Roman" w:cs="Times New Roman"/>
          <w:sz w:val="24"/>
          <w:szCs w:val="24"/>
        </w:rPr>
      </w:pPr>
      <w:r w:rsidRPr="002E06CC">
        <w:rPr>
          <w:rFonts w:ascii="Times New Roman" w:hAnsi="Times New Roman" w:cs="Times New Roman"/>
          <w:sz w:val="24"/>
          <w:szCs w:val="24"/>
        </w:rPr>
        <w:t>Payment to employees as salaries and wages increased from R995.2 million in 2016/17 to R1 118 million in 2017/18. This translates to a 21.3 per cent increase in costs paid to employees.</w:t>
      </w:r>
    </w:p>
    <w:p w14:paraId="18F44AFD" w14:textId="77777777" w:rsidR="00F537D5" w:rsidRPr="002E06CC" w:rsidRDefault="00F537D5" w:rsidP="002E06CC">
      <w:pPr>
        <w:numPr>
          <w:ilvl w:val="0"/>
          <w:numId w:val="33"/>
        </w:numPr>
        <w:autoSpaceDE w:val="0"/>
        <w:autoSpaceDN w:val="0"/>
        <w:adjustRightInd w:val="0"/>
        <w:spacing w:after="0" w:line="360" w:lineRule="auto"/>
        <w:jc w:val="both"/>
        <w:rPr>
          <w:rFonts w:ascii="Times New Roman" w:hAnsi="Times New Roman" w:cs="Times New Roman"/>
          <w:sz w:val="24"/>
          <w:szCs w:val="24"/>
        </w:rPr>
      </w:pPr>
      <w:r w:rsidRPr="002E06CC">
        <w:rPr>
          <w:rFonts w:ascii="Times New Roman" w:hAnsi="Times New Roman" w:cs="Times New Roman"/>
          <w:sz w:val="24"/>
          <w:szCs w:val="24"/>
        </w:rPr>
        <w:t>Compensation for executive directors increased from R6.295 million in 2016/17 to R7.124 million in 2017/18. This translates to a 13 per cent increase in income. (Executive income was R4.994 million in 2015/16)</w:t>
      </w:r>
    </w:p>
    <w:p w14:paraId="6EED7D83" w14:textId="77777777" w:rsidR="00461FCB" w:rsidRPr="002E06CC" w:rsidRDefault="00461FCB" w:rsidP="002E06CC">
      <w:pPr>
        <w:autoSpaceDE w:val="0"/>
        <w:autoSpaceDN w:val="0"/>
        <w:adjustRightInd w:val="0"/>
        <w:spacing w:after="0" w:line="360" w:lineRule="auto"/>
        <w:jc w:val="both"/>
        <w:rPr>
          <w:rFonts w:ascii="Times New Roman" w:hAnsi="Times New Roman" w:cs="Times New Roman"/>
          <w:sz w:val="24"/>
          <w:szCs w:val="24"/>
        </w:rPr>
      </w:pPr>
    </w:p>
    <w:p w14:paraId="27F4EDDF" w14:textId="77777777" w:rsidR="00461FCB" w:rsidRPr="002E06CC" w:rsidRDefault="00461FCB"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 xml:space="preserve">Irregular expenditure </w:t>
      </w:r>
    </w:p>
    <w:p w14:paraId="7A565169" w14:textId="77777777" w:rsidR="003B74F8" w:rsidRPr="002E06CC" w:rsidRDefault="00461FCB" w:rsidP="002E06CC">
      <w:pPr>
        <w:autoSpaceDE w:val="0"/>
        <w:autoSpaceDN w:val="0"/>
        <w:adjustRightInd w:val="0"/>
        <w:spacing w:after="0" w:line="360" w:lineRule="auto"/>
        <w:jc w:val="both"/>
        <w:rPr>
          <w:rFonts w:ascii="Times New Roman" w:hAnsi="Times New Roman" w:cs="Times New Roman"/>
          <w:sz w:val="24"/>
          <w:szCs w:val="24"/>
        </w:rPr>
      </w:pPr>
      <w:r w:rsidRPr="002E06CC">
        <w:rPr>
          <w:rFonts w:ascii="Times New Roman" w:hAnsi="Times New Roman" w:cs="Times New Roman"/>
          <w:sz w:val="24"/>
          <w:szCs w:val="24"/>
        </w:rPr>
        <w:t>Irregular expenditure of R</w:t>
      </w:r>
      <w:r w:rsidR="003B74F8" w:rsidRPr="002E06CC">
        <w:rPr>
          <w:rFonts w:ascii="Times New Roman" w:hAnsi="Times New Roman" w:cs="Times New Roman"/>
          <w:sz w:val="24"/>
          <w:szCs w:val="24"/>
        </w:rPr>
        <w:t>12.3</w:t>
      </w:r>
      <w:r w:rsidRPr="002E06CC">
        <w:rPr>
          <w:rFonts w:ascii="Times New Roman" w:hAnsi="Times New Roman" w:cs="Times New Roman"/>
          <w:sz w:val="24"/>
          <w:szCs w:val="24"/>
        </w:rPr>
        <w:t xml:space="preserve"> million (R</w:t>
      </w:r>
      <w:r w:rsidR="003B74F8" w:rsidRPr="002E06CC">
        <w:rPr>
          <w:rFonts w:ascii="Times New Roman" w:hAnsi="Times New Roman" w:cs="Times New Roman"/>
          <w:sz w:val="24"/>
          <w:szCs w:val="24"/>
        </w:rPr>
        <w:t>9.7</w:t>
      </w:r>
      <w:r w:rsidRPr="002E06CC">
        <w:rPr>
          <w:rFonts w:ascii="Times New Roman" w:hAnsi="Times New Roman" w:cs="Times New Roman"/>
          <w:sz w:val="24"/>
          <w:szCs w:val="24"/>
        </w:rPr>
        <w:t xml:space="preserve"> million in 201</w:t>
      </w:r>
      <w:r w:rsidR="003B74F8" w:rsidRPr="002E06CC">
        <w:rPr>
          <w:rFonts w:ascii="Times New Roman" w:hAnsi="Times New Roman" w:cs="Times New Roman"/>
          <w:sz w:val="24"/>
          <w:szCs w:val="24"/>
        </w:rPr>
        <w:t>6</w:t>
      </w:r>
      <w:r w:rsidRPr="002E06CC">
        <w:rPr>
          <w:rFonts w:ascii="Times New Roman" w:hAnsi="Times New Roman" w:cs="Times New Roman"/>
          <w:sz w:val="24"/>
          <w:szCs w:val="24"/>
        </w:rPr>
        <w:t>/1</w:t>
      </w:r>
      <w:r w:rsidR="003B74F8" w:rsidRPr="002E06CC">
        <w:rPr>
          <w:rFonts w:ascii="Times New Roman" w:hAnsi="Times New Roman" w:cs="Times New Roman"/>
          <w:sz w:val="24"/>
          <w:szCs w:val="24"/>
        </w:rPr>
        <w:t>7</w:t>
      </w:r>
      <w:r w:rsidRPr="002E06CC">
        <w:rPr>
          <w:rFonts w:ascii="Times New Roman" w:hAnsi="Times New Roman" w:cs="Times New Roman"/>
          <w:sz w:val="24"/>
          <w:szCs w:val="24"/>
        </w:rPr>
        <w:t xml:space="preserve">) was incurred during the year </w:t>
      </w:r>
      <w:r w:rsidR="003B74F8" w:rsidRPr="002E06CC">
        <w:rPr>
          <w:rFonts w:ascii="Times New Roman" w:hAnsi="Times New Roman" w:cs="Times New Roman"/>
          <w:sz w:val="24"/>
          <w:szCs w:val="24"/>
        </w:rPr>
        <w:t>under review. Of this total, R11.2 million was incurred during the year as a result of procurement that occurred without following the competitive bidding process. R8.0 million (R4.7 million in 2016/17) of this expense relate to security services contracts that were extended pending finalisation of discussions to transfer the physical security of its head office and strategic faciliti</w:t>
      </w:r>
      <w:r w:rsidR="003A263E" w:rsidRPr="002E06CC">
        <w:rPr>
          <w:rFonts w:ascii="Times New Roman" w:hAnsi="Times New Roman" w:cs="Times New Roman"/>
          <w:sz w:val="24"/>
          <w:szCs w:val="24"/>
        </w:rPr>
        <w:t>es to the DOD. R2.0 million (R2.</w:t>
      </w:r>
      <w:r w:rsidR="003B74F8" w:rsidRPr="002E06CC">
        <w:rPr>
          <w:rFonts w:ascii="Times New Roman" w:hAnsi="Times New Roman" w:cs="Times New Roman"/>
          <w:sz w:val="24"/>
          <w:szCs w:val="24"/>
        </w:rPr>
        <w:t>2 million in 2016/17) incurred related to non-competitive contracts awarded and R1,2 million was treated as single source procurement without the required approval. In line with internal disciplinary processes, responsible officials were given verbal warnings as a consequence of related irregular expenditure.</w:t>
      </w:r>
    </w:p>
    <w:p w14:paraId="5C7E1B55" w14:textId="77777777" w:rsidR="00461FCB" w:rsidRPr="002E06CC" w:rsidRDefault="00461FCB" w:rsidP="002E06CC">
      <w:pPr>
        <w:autoSpaceDE w:val="0"/>
        <w:autoSpaceDN w:val="0"/>
        <w:adjustRightInd w:val="0"/>
        <w:spacing w:after="0" w:line="360" w:lineRule="auto"/>
        <w:rPr>
          <w:rFonts w:ascii="Times New Roman" w:hAnsi="Times New Roman" w:cs="Times New Roman"/>
          <w:sz w:val="24"/>
          <w:szCs w:val="24"/>
        </w:rPr>
      </w:pPr>
    </w:p>
    <w:p w14:paraId="6CEB852F" w14:textId="77777777" w:rsidR="003A263E" w:rsidRPr="002E06CC" w:rsidRDefault="003A263E" w:rsidP="002E06CC">
      <w:pPr>
        <w:autoSpaceDE w:val="0"/>
        <w:autoSpaceDN w:val="0"/>
        <w:adjustRightInd w:val="0"/>
        <w:spacing w:after="0" w:line="360" w:lineRule="auto"/>
        <w:rPr>
          <w:rFonts w:ascii="Times New Roman" w:hAnsi="Times New Roman" w:cs="Times New Roman"/>
          <w:sz w:val="24"/>
          <w:szCs w:val="24"/>
        </w:rPr>
      </w:pPr>
    </w:p>
    <w:p w14:paraId="22615F33" w14:textId="77777777" w:rsidR="003A263E" w:rsidRPr="002E06CC" w:rsidRDefault="003A263E" w:rsidP="002E06CC">
      <w:pPr>
        <w:autoSpaceDE w:val="0"/>
        <w:autoSpaceDN w:val="0"/>
        <w:adjustRightInd w:val="0"/>
        <w:spacing w:after="0" w:line="360" w:lineRule="auto"/>
        <w:rPr>
          <w:rFonts w:ascii="Times New Roman" w:hAnsi="Times New Roman" w:cs="Times New Roman"/>
          <w:sz w:val="24"/>
          <w:szCs w:val="24"/>
        </w:rPr>
      </w:pPr>
    </w:p>
    <w:p w14:paraId="0C8DFC93" w14:textId="77777777" w:rsidR="003A263E" w:rsidRPr="002E06CC" w:rsidRDefault="003A263E" w:rsidP="002E06CC">
      <w:pPr>
        <w:autoSpaceDE w:val="0"/>
        <w:autoSpaceDN w:val="0"/>
        <w:adjustRightInd w:val="0"/>
        <w:spacing w:after="0" w:line="360" w:lineRule="auto"/>
        <w:rPr>
          <w:rFonts w:ascii="Times New Roman" w:hAnsi="Times New Roman" w:cs="Times New Roman"/>
          <w:sz w:val="24"/>
          <w:szCs w:val="24"/>
        </w:rPr>
      </w:pPr>
    </w:p>
    <w:p w14:paraId="3E1F4D19" w14:textId="77777777" w:rsidR="00461FCB" w:rsidRPr="002E06CC" w:rsidRDefault="00461FCB" w:rsidP="002E06CC">
      <w:pPr>
        <w:spacing w:line="360" w:lineRule="auto"/>
        <w:jc w:val="both"/>
        <w:rPr>
          <w:rFonts w:ascii="Times New Roman" w:hAnsi="Times New Roman" w:cs="Times New Roman"/>
          <w:b/>
          <w:sz w:val="24"/>
          <w:szCs w:val="24"/>
          <w:lang w:val="en-US"/>
        </w:rPr>
      </w:pPr>
      <w:r w:rsidRPr="002E06CC">
        <w:rPr>
          <w:rFonts w:ascii="Times New Roman" w:hAnsi="Times New Roman" w:cs="Times New Roman"/>
          <w:b/>
          <w:sz w:val="24"/>
          <w:szCs w:val="24"/>
          <w:lang w:val="en-US"/>
        </w:rPr>
        <w:t xml:space="preserve">Fruitless and wasteful expenditure </w:t>
      </w:r>
    </w:p>
    <w:p w14:paraId="51DD8CAD" w14:textId="77777777" w:rsidR="00461FCB" w:rsidRPr="002E06CC" w:rsidRDefault="00461FCB" w:rsidP="002E06CC">
      <w:pPr>
        <w:autoSpaceDE w:val="0"/>
        <w:autoSpaceDN w:val="0"/>
        <w:adjustRightInd w:val="0"/>
        <w:spacing w:after="0" w:line="360" w:lineRule="auto"/>
        <w:jc w:val="both"/>
        <w:rPr>
          <w:rFonts w:ascii="Times New Roman" w:hAnsi="Times New Roman" w:cs="Times New Roman"/>
          <w:sz w:val="24"/>
          <w:szCs w:val="24"/>
          <w:lang w:val="en-US"/>
        </w:rPr>
      </w:pPr>
      <w:r w:rsidRPr="002E06CC">
        <w:rPr>
          <w:rFonts w:ascii="Times New Roman" w:hAnsi="Times New Roman" w:cs="Times New Roman"/>
          <w:sz w:val="24"/>
          <w:szCs w:val="24"/>
        </w:rPr>
        <w:t>Expenditure amounting to R</w:t>
      </w:r>
      <w:r w:rsidR="00557DDF" w:rsidRPr="002E06CC">
        <w:rPr>
          <w:rFonts w:ascii="Times New Roman" w:hAnsi="Times New Roman" w:cs="Times New Roman"/>
          <w:sz w:val="24"/>
          <w:szCs w:val="24"/>
        </w:rPr>
        <w:t>4.1 million (</w:t>
      </w:r>
      <w:r w:rsidRPr="002E06CC">
        <w:rPr>
          <w:rFonts w:ascii="Times New Roman" w:hAnsi="Times New Roman" w:cs="Times New Roman"/>
          <w:sz w:val="24"/>
          <w:szCs w:val="24"/>
        </w:rPr>
        <w:t>R</w:t>
      </w:r>
      <w:r w:rsidR="00557DDF" w:rsidRPr="002E06CC">
        <w:rPr>
          <w:rFonts w:ascii="Times New Roman" w:hAnsi="Times New Roman" w:cs="Times New Roman"/>
          <w:sz w:val="24"/>
          <w:szCs w:val="24"/>
        </w:rPr>
        <w:t>3 million in 2016/17</w:t>
      </w:r>
      <w:r w:rsidRPr="002E06CC">
        <w:rPr>
          <w:rFonts w:ascii="Times New Roman" w:hAnsi="Times New Roman" w:cs="Times New Roman"/>
          <w:sz w:val="24"/>
          <w:szCs w:val="24"/>
        </w:rPr>
        <w:t xml:space="preserve">) was incurred during the year, and is deemed to be fruitless and wasteful. </w:t>
      </w:r>
      <w:r w:rsidR="00557DDF" w:rsidRPr="002E06CC">
        <w:rPr>
          <w:rFonts w:ascii="Times New Roman" w:hAnsi="Times New Roman" w:cs="Times New Roman"/>
          <w:sz w:val="24"/>
          <w:szCs w:val="24"/>
        </w:rPr>
        <w:t>The expenditure was as a result of penalties charged for late deliveries in terms of contracts (R1,2 million) and R2,9 million expenditure with no corresponding benefit to the organisation.</w:t>
      </w:r>
    </w:p>
    <w:p w14:paraId="3B6AA576" w14:textId="77777777" w:rsidR="00461FCB" w:rsidRPr="002E06CC" w:rsidRDefault="00461FCB" w:rsidP="002E06CC">
      <w:pPr>
        <w:autoSpaceDE w:val="0"/>
        <w:autoSpaceDN w:val="0"/>
        <w:adjustRightInd w:val="0"/>
        <w:spacing w:after="0" w:line="360" w:lineRule="auto"/>
        <w:jc w:val="both"/>
        <w:rPr>
          <w:rFonts w:ascii="Times New Roman" w:eastAsia="Times New Roman" w:hAnsi="Times New Roman" w:cs="Times New Roman"/>
          <w:b/>
          <w:sz w:val="24"/>
          <w:szCs w:val="24"/>
          <w:lang w:eastAsia="en-ZA"/>
        </w:rPr>
      </w:pPr>
    </w:p>
    <w:p w14:paraId="055A66D4" w14:textId="77777777" w:rsidR="00461FCB" w:rsidRPr="002E06CC" w:rsidRDefault="00461FCB" w:rsidP="002E06CC">
      <w:pPr>
        <w:autoSpaceDE w:val="0"/>
        <w:autoSpaceDN w:val="0"/>
        <w:adjustRightInd w:val="0"/>
        <w:spacing w:after="0" w:line="360" w:lineRule="auto"/>
        <w:jc w:val="both"/>
        <w:rPr>
          <w:rFonts w:ascii="Times New Roman" w:eastAsia="Times New Roman" w:hAnsi="Times New Roman" w:cs="Times New Roman"/>
          <w:b/>
          <w:sz w:val="24"/>
          <w:szCs w:val="24"/>
          <w:lang w:eastAsia="en-ZA"/>
        </w:rPr>
      </w:pPr>
      <w:r w:rsidRPr="002E06CC">
        <w:rPr>
          <w:rFonts w:ascii="Times New Roman" w:eastAsia="Times New Roman" w:hAnsi="Times New Roman" w:cs="Times New Roman"/>
          <w:b/>
          <w:sz w:val="24"/>
          <w:szCs w:val="24"/>
          <w:lang w:eastAsia="en-ZA"/>
        </w:rPr>
        <w:t>4.2</w:t>
      </w:r>
      <w:r w:rsidRPr="002E06CC">
        <w:rPr>
          <w:rFonts w:ascii="Times New Roman" w:eastAsia="Times New Roman" w:hAnsi="Times New Roman" w:cs="Times New Roman"/>
          <w:b/>
          <w:sz w:val="24"/>
          <w:szCs w:val="24"/>
          <w:lang w:eastAsia="en-ZA"/>
        </w:rPr>
        <w:tab/>
        <w:t>Report of the Auditor General (AG) for 2015/16 and risk management</w:t>
      </w:r>
    </w:p>
    <w:p w14:paraId="78278703" w14:textId="77777777" w:rsidR="00461FCB" w:rsidRPr="002E06CC" w:rsidRDefault="00461FCB" w:rsidP="002E06CC">
      <w:pPr>
        <w:spacing w:line="360" w:lineRule="auto"/>
        <w:jc w:val="both"/>
        <w:rPr>
          <w:rFonts w:ascii="Times New Roman" w:hAnsi="Times New Roman" w:cs="Times New Roman"/>
          <w:b/>
          <w:bCs/>
          <w:sz w:val="24"/>
          <w:szCs w:val="24"/>
        </w:rPr>
      </w:pPr>
    </w:p>
    <w:p w14:paraId="1F73808B" w14:textId="77777777" w:rsidR="00461FCB" w:rsidRPr="002E06CC" w:rsidRDefault="00557DDF" w:rsidP="002E06CC">
      <w:pPr>
        <w:spacing w:line="360" w:lineRule="auto"/>
        <w:jc w:val="both"/>
        <w:rPr>
          <w:rFonts w:ascii="Times New Roman" w:hAnsi="Times New Roman" w:cs="Times New Roman"/>
          <w:bCs/>
          <w:sz w:val="24"/>
          <w:szCs w:val="24"/>
        </w:rPr>
      </w:pPr>
      <w:r w:rsidRPr="002E06CC">
        <w:rPr>
          <w:rFonts w:ascii="Times New Roman" w:hAnsi="Times New Roman" w:cs="Times New Roman"/>
          <w:b/>
          <w:bCs/>
          <w:sz w:val="24"/>
          <w:szCs w:val="24"/>
        </w:rPr>
        <w:t>Unqualified Audit</w:t>
      </w:r>
    </w:p>
    <w:p w14:paraId="2D17111D" w14:textId="77777777" w:rsidR="00557DDF" w:rsidRPr="002E06CC" w:rsidRDefault="00461FCB" w:rsidP="002E06CC">
      <w:pPr>
        <w:autoSpaceDE w:val="0"/>
        <w:autoSpaceDN w:val="0"/>
        <w:adjustRightInd w:val="0"/>
        <w:spacing w:after="0" w:line="360" w:lineRule="auto"/>
        <w:jc w:val="both"/>
        <w:rPr>
          <w:rFonts w:ascii="Times New Roman" w:hAnsi="Times New Roman" w:cs="Times New Roman"/>
          <w:sz w:val="24"/>
          <w:szCs w:val="24"/>
        </w:rPr>
      </w:pPr>
      <w:r w:rsidRPr="002E06CC">
        <w:rPr>
          <w:rFonts w:ascii="Times New Roman" w:hAnsi="Times New Roman" w:cs="Times New Roman"/>
          <w:sz w:val="24"/>
          <w:szCs w:val="24"/>
        </w:rPr>
        <w:t>The external audit concluded by the office of the Auditor- General of South Africa (AGSA) resulted in a</w:t>
      </w:r>
      <w:r w:rsidR="00557DDF" w:rsidRPr="002E06CC">
        <w:rPr>
          <w:rFonts w:ascii="Times New Roman" w:hAnsi="Times New Roman" w:cs="Times New Roman"/>
          <w:sz w:val="24"/>
          <w:szCs w:val="24"/>
        </w:rPr>
        <w:t xml:space="preserve">n unqualified audit opinion. </w:t>
      </w:r>
      <w:r w:rsidR="00C41C0B" w:rsidRPr="002E06CC">
        <w:rPr>
          <w:rFonts w:ascii="Times New Roman" w:hAnsi="Times New Roman" w:cs="Times New Roman"/>
          <w:sz w:val="24"/>
          <w:szCs w:val="24"/>
        </w:rPr>
        <w:t xml:space="preserve">The finding noted by the AGSA relates to Expenditure Management. Effective steps were not taken to prevent irregular expenditure of R12.321 million disclosed. In terms of Financial </w:t>
      </w:r>
      <w:r w:rsidR="00BD3EF3" w:rsidRPr="002E06CC">
        <w:rPr>
          <w:rFonts w:ascii="Times New Roman" w:hAnsi="Times New Roman" w:cs="Times New Roman"/>
          <w:sz w:val="24"/>
          <w:szCs w:val="24"/>
        </w:rPr>
        <w:t>Management,</w:t>
      </w:r>
      <w:r w:rsidR="00C41C0B" w:rsidRPr="002E06CC">
        <w:rPr>
          <w:rFonts w:ascii="Times New Roman" w:hAnsi="Times New Roman" w:cs="Times New Roman"/>
          <w:sz w:val="24"/>
          <w:szCs w:val="24"/>
        </w:rPr>
        <w:t xml:space="preserve"> the AGSA noted that Management detected current year irregular expenditure; however, the review and monitoring processes were not sufficient to prevent these instances of irregular expenditure.</w:t>
      </w:r>
    </w:p>
    <w:p w14:paraId="68F85D59" w14:textId="77777777" w:rsidR="00557DDF" w:rsidRPr="002E06CC" w:rsidRDefault="00557DDF" w:rsidP="002E06CC">
      <w:pPr>
        <w:autoSpaceDE w:val="0"/>
        <w:autoSpaceDN w:val="0"/>
        <w:adjustRightInd w:val="0"/>
        <w:spacing w:after="0" w:line="360" w:lineRule="auto"/>
        <w:jc w:val="both"/>
        <w:rPr>
          <w:rFonts w:ascii="Times New Roman" w:hAnsi="Times New Roman" w:cs="Times New Roman"/>
          <w:sz w:val="24"/>
          <w:szCs w:val="24"/>
        </w:rPr>
      </w:pPr>
    </w:p>
    <w:p w14:paraId="1B221B0B" w14:textId="77777777" w:rsidR="00461FCB" w:rsidRPr="002E06CC" w:rsidRDefault="00461FCB" w:rsidP="002E06CC">
      <w:pPr>
        <w:autoSpaceDE w:val="0"/>
        <w:autoSpaceDN w:val="0"/>
        <w:adjustRightInd w:val="0"/>
        <w:spacing w:after="0" w:line="360" w:lineRule="auto"/>
        <w:jc w:val="both"/>
        <w:rPr>
          <w:rFonts w:ascii="Times New Roman" w:eastAsia="Times New Roman" w:hAnsi="Times New Roman" w:cs="Times New Roman"/>
          <w:b/>
          <w:sz w:val="24"/>
          <w:szCs w:val="24"/>
          <w:lang w:eastAsia="en-ZA"/>
        </w:rPr>
      </w:pPr>
      <w:r w:rsidRPr="002E06CC">
        <w:rPr>
          <w:rFonts w:ascii="Times New Roman" w:eastAsia="Times New Roman" w:hAnsi="Times New Roman" w:cs="Times New Roman"/>
          <w:b/>
          <w:sz w:val="24"/>
          <w:szCs w:val="24"/>
          <w:lang w:eastAsia="en-ZA"/>
        </w:rPr>
        <w:t>5.</w:t>
      </w:r>
      <w:r w:rsidRPr="002E06CC">
        <w:rPr>
          <w:rFonts w:ascii="Times New Roman" w:eastAsia="Times New Roman" w:hAnsi="Times New Roman" w:cs="Times New Roman"/>
          <w:b/>
          <w:sz w:val="24"/>
          <w:szCs w:val="24"/>
          <w:lang w:eastAsia="en-ZA"/>
        </w:rPr>
        <w:tab/>
      </w:r>
      <w:r w:rsidRPr="002E06CC">
        <w:rPr>
          <w:rFonts w:ascii="Times New Roman" w:eastAsia="Arial Unicode MS" w:hAnsi="Times New Roman" w:cs="Times New Roman"/>
          <w:b/>
          <w:sz w:val="24"/>
          <w:szCs w:val="24"/>
          <w:u w:color="000000"/>
          <w:lang w:eastAsia="en-ZA"/>
        </w:rPr>
        <w:t>OVERVIEW AND ASSESSMENT OF PERFORMANCE</w:t>
      </w:r>
    </w:p>
    <w:p w14:paraId="06742434" w14:textId="77777777" w:rsidR="00461FCB" w:rsidRPr="002E06CC" w:rsidRDefault="00461FCB" w:rsidP="002E06CC">
      <w:pPr>
        <w:autoSpaceDE w:val="0"/>
        <w:autoSpaceDN w:val="0"/>
        <w:adjustRightInd w:val="0"/>
        <w:spacing w:after="0" w:line="360" w:lineRule="auto"/>
        <w:jc w:val="both"/>
        <w:rPr>
          <w:rFonts w:ascii="Times New Roman" w:eastAsia="Times New Roman" w:hAnsi="Times New Roman" w:cs="Times New Roman"/>
          <w:sz w:val="24"/>
          <w:szCs w:val="24"/>
          <w:lang w:eastAsia="en-ZA"/>
        </w:rPr>
      </w:pPr>
    </w:p>
    <w:p w14:paraId="309DA300" w14:textId="77777777" w:rsidR="00461FCB" w:rsidRPr="002E06CC" w:rsidRDefault="00461FCB" w:rsidP="002E06CC">
      <w:pPr>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This section will provide an overview of achievements in the key focus areas of Armscor for 201</w:t>
      </w:r>
      <w:r w:rsidR="00507CCB" w:rsidRPr="002E06CC">
        <w:rPr>
          <w:rFonts w:ascii="Times New Roman" w:hAnsi="Times New Roman" w:cs="Times New Roman"/>
          <w:sz w:val="24"/>
          <w:szCs w:val="24"/>
        </w:rPr>
        <w:t>7</w:t>
      </w:r>
      <w:r w:rsidRPr="002E06CC">
        <w:rPr>
          <w:rFonts w:ascii="Times New Roman" w:hAnsi="Times New Roman" w:cs="Times New Roman"/>
          <w:sz w:val="24"/>
          <w:szCs w:val="24"/>
        </w:rPr>
        <w:t>/1</w:t>
      </w:r>
      <w:r w:rsidR="00507CCB" w:rsidRPr="002E06CC">
        <w:rPr>
          <w:rFonts w:ascii="Times New Roman" w:hAnsi="Times New Roman" w:cs="Times New Roman"/>
          <w:sz w:val="24"/>
          <w:szCs w:val="24"/>
        </w:rPr>
        <w:t>8</w:t>
      </w:r>
      <w:r w:rsidRPr="002E06CC">
        <w:rPr>
          <w:rFonts w:ascii="Times New Roman" w:hAnsi="Times New Roman" w:cs="Times New Roman"/>
          <w:sz w:val="24"/>
          <w:szCs w:val="24"/>
        </w:rPr>
        <w:t xml:space="preserve">, its official performance against targets and human resources matters. </w:t>
      </w:r>
    </w:p>
    <w:p w14:paraId="2A83151D" w14:textId="77777777" w:rsidR="00461FCB" w:rsidRPr="002E06CC" w:rsidRDefault="00461FCB"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5.1</w:t>
      </w:r>
      <w:r w:rsidRPr="002E06CC">
        <w:rPr>
          <w:rFonts w:ascii="Times New Roman" w:hAnsi="Times New Roman" w:cs="Times New Roman"/>
          <w:b/>
          <w:sz w:val="24"/>
          <w:szCs w:val="24"/>
        </w:rPr>
        <w:tab/>
        <w:t>Achievements in the key focus areas</w:t>
      </w:r>
    </w:p>
    <w:p w14:paraId="01CDB269" w14:textId="77777777" w:rsidR="00461FCB" w:rsidRPr="002E06CC" w:rsidRDefault="00461FCB" w:rsidP="002E06CC">
      <w:pPr>
        <w:spacing w:line="360" w:lineRule="auto"/>
        <w:jc w:val="both"/>
        <w:rPr>
          <w:rFonts w:ascii="Times New Roman" w:hAnsi="Times New Roman" w:cs="Times New Roman"/>
          <w:sz w:val="24"/>
          <w:szCs w:val="24"/>
        </w:rPr>
      </w:pPr>
      <w:r w:rsidRPr="002E06CC">
        <w:rPr>
          <w:rFonts w:ascii="Times New Roman" w:hAnsi="Times New Roman" w:cs="Times New Roman"/>
          <w:sz w:val="24"/>
          <w:szCs w:val="24"/>
        </w:rPr>
        <w:t>Acquisitions for the SANDF and other government departments reflect Armscor’s core fun</w:t>
      </w:r>
      <w:r w:rsidR="00507CCB" w:rsidRPr="002E06CC">
        <w:rPr>
          <w:rFonts w:ascii="Times New Roman" w:hAnsi="Times New Roman" w:cs="Times New Roman"/>
          <w:sz w:val="24"/>
          <w:szCs w:val="24"/>
        </w:rPr>
        <w:t>ction. During the 2017</w:t>
      </w:r>
      <w:r w:rsidRPr="002E06CC">
        <w:rPr>
          <w:rFonts w:ascii="Times New Roman" w:hAnsi="Times New Roman" w:cs="Times New Roman"/>
          <w:sz w:val="24"/>
          <w:szCs w:val="24"/>
        </w:rPr>
        <w:t>/1</w:t>
      </w:r>
      <w:r w:rsidR="00507CCB" w:rsidRPr="002E06CC">
        <w:rPr>
          <w:rFonts w:ascii="Times New Roman" w:hAnsi="Times New Roman" w:cs="Times New Roman"/>
          <w:sz w:val="24"/>
          <w:szCs w:val="24"/>
        </w:rPr>
        <w:t>8</w:t>
      </w:r>
      <w:r w:rsidRPr="002E06CC">
        <w:rPr>
          <w:rFonts w:ascii="Times New Roman" w:hAnsi="Times New Roman" w:cs="Times New Roman"/>
          <w:sz w:val="24"/>
          <w:szCs w:val="24"/>
        </w:rPr>
        <w:t xml:space="preserve"> financial year, Armscor </w:t>
      </w:r>
      <w:r w:rsidR="00507CCB" w:rsidRPr="002E06CC">
        <w:rPr>
          <w:rFonts w:ascii="Times New Roman" w:hAnsi="Times New Roman" w:cs="Times New Roman"/>
          <w:sz w:val="24"/>
          <w:szCs w:val="24"/>
        </w:rPr>
        <w:t>undertook acquisition activities to the value of R6.564 billion of which only R21.2 million was for entities other than defence.</w:t>
      </w:r>
    </w:p>
    <w:p w14:paraId="4B421473" w14:textId="77777777" w:rsidR="00461FCB" w:rsidRPr="002E06CC" w:rsidRDefault="00507CCB"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br/>
      </w:r>
      <w:r w:rsidR="00461FCB" w:rsidRPr="002E06CC">
        <w:rPr>
          <w:rFonts w:ascii="Times New Roman" w:hAnsi="Times New Roman" w:cs="Times New Roman"/>
          <w:b/>
          <w:sz w:val="24"/>
          <w:szCs w:val="24"/>
        </w:rPr>
        <w:t xml:space="preserve">Defence Industrial Participation (DIP) </w:t>
      </w:r>
    </w:p>
    <w:p w14:paraId="4117635C" w14:textId="77777777" w:rsidR="00507CCB" w:rsidRPr="002E06CC" w:rsidRDefault="00507CCB" w:rsidP="002E06CC">
      <w:pPr>
        <w:autoSpaceDE w:val="0"/>
        <w:autoSpaceDN w:val="0"/>
        <w:adjustRightInd w:val="0"/>
        <w:spacing w:after="0" w:line="360" w:lineRule="auto"/>
        <w:jc w:val="both"/>
        <w:rPr>
          <w:rFonts w:ascii="Times New Roman" w:hAnsi="Times New Roman" w:cs="Times New Roman"/>
          <w:sz w:val="24"/>
          <w:szCs w:val="24"/>
        </w:rPr>
      </w:pPr>
      <w:r w:rsidRPr="002E06CC">
        <w:rPr>
          <w:rFonts w:ascii="Times New Roman" w:hAnsi="Times New Roman" w:cs="Times New Roman"/>
          <w:sz w:val="24"/>
          <w:szCs w:val="24"/>
        </w:rPr>
        <w:t>Defence Industrial Participation (DIP) relates to the obligation of a foreign supplier to reciprocate defence related business in South Africa as a result of a Defence acquisition. The DIP Policy was revised in October 2015. In 2017/18, Armscor continued to manage 14 such agreements, which is higher than the 12 managed in 2016/17. The value of DIP credits being managed remained similar to the previous financial year and comes to a total of R22.571 million. Of this, only R7.276 million relates to the 14 current ongoing DIP agreements in the defence domain.</w:t>
      </w:r>
    </w:p>
    <w:p w14:paraId="394B9A43" w14:textId="77777777" w:rsidR="00507CCB" w:rsidRPr="002E06CC" w:rsidRDefault="00507CCB" w:rsidP="002E06CC">
      <w:pPr>
        <w:autoSpaceDE w:val="0"/>
        <w:autoSpaceDN w:val="0"/>
        <w:adjustRightInd w:val="0"/>
        <w:spacing w:after="0" w:line="360" w:lineRule="auto"/>
        <w:jc w:val="both"/>
        <w:rPr>
          <w:rFonts w:ascii="Times New Roman" w:hAnsi="Times New Roman" w:cs="Times New Roman"/>
          <w:sz w:val="24"/>
          <w:szCs w:val="24"/>
        </w:rPr>
      </w:pPr>
    </w:p>
    <w:p w14:paraId="2469CE04" w14:textId="77777777" w:rsidR="00507CCB" w:rsidRPr="002E06CC" w:rsidRDefault="00507CCB" w:rsidP="002E06CC">
      <w:pPr>
        <w:autoSpaceDE w:val="0"/>
        <w:autoSpaceDN w:val="0"/>
        <w:adjustRightInd w:val="0"/>
        <w:spacing w:after="0" w:line="360" w:lineRule="auto"/>
        <w:jc w:val="both"/>
        <w:rPr>
          <w:rFonts w:ascii="Times New Roman" w:hAnsi="Times New Roman" w:cs="Times New Roman"/>
          <w:sz w:val="24"/>
          <w:szCs w:val="24"/>
        </w:rPr>
      </w:pPr>
      <w:r w:rsidRPr="002E06CC">
        <w:rPr>
          <w:rFonts w:ascii="Times New Roman" w:hAnsi="Times New Roman" w:cs="Times New Roman"/>
          <w:sz w:val="24"/>
          <w:szCs w:val="24"/>
        </w:rPr>
        <w:t xml:space="preserve">One DIP agreement related to the 1999 Strategic Defence Procurement remains under the management of Armscor. This refers to an agreement with MBDA (a European based </w:t>
      </w:r>
      <w:r w:rsidRPr="002E06CC">
        <w:rPr>
          <w:rFonts w:ascii="Times New Roman" w:hAnsi="Times New Roman" w:cs="Times New Roman"/>
          <w:sz w:val="24"/>
          <w:szCs w:val="24"/>
          <w:lang w:val="en"/>
        </w:rPr>
        <w:t>missile developer and manufacturer). The outstanding obligation in this regard equates to R933 million.</w:t>
      </w:r>
      <w:r w:rsidRPr="002E06CC">
        <w:rPr>
          <w:rFonts w:ascii="Times New Roman" w:hAnsi="Times New Roman" w:cs="Times New Roman"/>
          <w:sz w:val="24"/>
          <w:szCs w:val="24"/>
        </w:rPr>
        <w:t xml:space="preserve"> The 2015/16 Annual Report indicated that the DIP agreement will be extended to 2019 to allow for the identification of new projects to offset the DIP. The 2017/18 Annual Report notes the same extension, thus raising a question whether any progress was made in this regard.</w:t>
      </w:r>
    </w:p>
    <w:p w14:paraId="0A11227C" w14:textId="77777777" w:rsidR="00461FCB" w:rsidRPr="002E06CC" w:rsidRDefault="00461FCB" w:rsidP="002E06CC">
      <w:pPr>
        <w:autoSpaceDE w:val="0"/>
        <w:autoSpaceDN w:val="0"/>
        <w:adjustRightInd w:val="0"/>
        <w:spacing w:after="0" w:line="360" w:lineRule="auto"/>
        <w:jc w:val="both"/>
        <w:rPr>
          <w:rFonts w:ascii="Times New Roman" w:hAnsi="Times New Roman" w:cs="Times New Roman"/>
          <w:sz w:val="24"/>
          <w:szCs w:val="24"/>
        </w:rPr>
      </w:pPr>
    </w:p>
    <w:p w14:paraId="4E6496E8" w14:textId="77777777" w:rsidR="00461FCB" w:rsidRPr="002E06CC" w:rsidRDefault="00461FCB" w:rsidP="002E06CC">
      <w:pPr>
        <w:autoSpaceDE w:val="0"/>
        <w:autoSpaceDN w:val="0"/>
        <w:adjustRightInd w:val="0"/>
        <w:spacing w:after="0" w:line="360" w:lineRule="auto"/>
        <w:rPr>
          <w:rFonts w:ascii="Times New Roman" w:hAnsi="Times New Roman" w:cs="Times New Roman"/>
          <w:b/>
          <w:sz w:val="24"/>
          <w:szCs w:val="24"/>
        </w:rPr>
      </w:pPr>
      <w:r w:rsidRPr="002E06CC">
        <w:rPr>
          <w:rFonts w:ascii="Times New Roman" w:hAnsi="Times New Roman" w:cs="Times New Roman"/>
          <w:b/>
          <w:sz w:val="24"/>
          <w:szCs w:val="24"/>
        </w:rPr>
        <w:t>Research and Development</w:t>
      </w:r>
    </w:p>
    <w:p w14:paraId="03FE3467" w14:textId="77777777" w:rsidR="00461FCB" w:rsidRPr="002E06CC" w:rsidRDefault="00461FCB" w:rsidP="002E06CC">
      <w:pPr>
        <w:autoSpaceDE w:val="0"/>
        <w:autoSpaceDN w:val="0"/>
        <w:adjustRightInd w:val="0"/>
        <w:spacing w:after="0" w:line="360" w:lineRule="auto"/>
        <w:jc w:val="both"/>
        <w:rPr>
          <w:rFonts w:ascii="Times New Roman" w:hAnsi="Times New Roman" w:cs="Times New Roman"/>
          <w:sz w:val="24"/>
          <w:szCs w:val="24"/>
        </w:rPr>
      </w:pPr>
    </w:p>
    <w:p w14:paraId="4A2CF908" w14:textId="77777777" w:rsidR="00507CCB" w:rsidRPr="002E06CC" w:rsidRDefault="00507CCB" w:rsidP="002E06CC">
      <w:pPr>
        <w:autoSpaceDE w:val="0"/>
        <w:autoSpaceDN w:val="0"/>
        <w:adjustRightInd w:val="0"/>
        <w:spacing w:after="0" w:line="360" w:lineRule="auto"/>
        <w:jc w:val="both"/>
        <w:rPr>
          <w:rFonts w:ascii="Times New Roman" w:hAnsi="Times New Roman" w:cs="Times New Roman"/>
          <w:bCs/>
          <w:sz w:val="24"/>
          <w:szCs w:val="24"/>
        </w:rPr>
      </w:pPr>
      <w:r w:rsidRPr="002E06CC">
        <w:rPr>
          <w:rFonts w:ascii="Times New Roman" w:hAnsi="Times New Roman" w:cs="Times New Roman"/>
          <w:bCs/>
          <w:sz w:val="24"/>
          <w:szCs w:val="24"/>
        </w:rPr>
        <w:t xml:space="preserve">The Annual Report indicates that Armscor managed to earn 27 per cent of the total portfolio of R493.7 million from commercial contracts while the rest is attributed to contracts from the DOD in 2017/18. This is a decline compared to 2016/17 when Armscor earned 34 per cent of the total portfolio of R541.3 million from commercial contracts. The 2017/18 Annual Report further notes that Armscor is exploring the possibility of business partnering under the Turnaround Strategy to ensure the sustainability and effective management of Research and Development. The bulk of such services took place at Research and Development Facilities such as the </w:t>
      </w:r>
      <w:r w:rsidRPr="002E06CC">
        <w:rPr>
          <w:rFonts w:ascii="Times New Roman" w:hAnsi="Times New Roman" w:cs="Times New Roman"/>
          <w:bCs/>
          <w:i/>
          <w:sz w:val="24"/>
          <w:szCs w:val="24"/>
        </w:rPr>
        <w:t>Gerotek and Alkantpan</w:t>
      </w:r>
      <w:r w:rsidRPr="002E06CC">
        <w:rPr>
          <w:rFonts w:ascii="Times New Roman" w:hAnsi="Times New Roman" w:cs="Times New Roman"/>
          <w:bCs/>
          <w:sz w:val="24"/>
          <w:szCs w:val="24"/>
        </w:rPr>
        <w:t xml:space="preserve"> test facilities as well as </w:t>
      </w:r>
      <w:r w:rsidRPr="002E06CC">
        <w:rPr>
          <w:rFonts w:ascii="Times New Roman" w:hAnsi="Times New Roman" w:cs="Times New Roman"/>
          <w:bCs/>
          <w:i/>
          <w:sz w:val="24"/>
          <w:szCs w:val="24"/>
        </w:rPr>
        <w:t>Hazmat protective systems.</w:t>
      </w:r>
    </w:p>
    <w:p w14:paraId="3A5A88CA" w14:textId="77777777" w:rsidR="00507CCB" w:rsidRPr="002E06CC" w:rsidRDefault="00507CCB" w:rsidP="002E06CC">
      <w:pPr>
        <w:autoSpaceDE w:val="0"/>
        <w:autoSpaceDN w:val="0"/>
        <w:adjustRightInd w:val="0"/>
        <w:spacing w:after="0" w:line="360" w:lineRule="auto"/>
        <w:rPr>
          <w:rFonts w:ascii="Times New Roman" w:hAnsi="Times New Roman" w:cs="Times New Roman"/>
          <w:bCs/>
          <w:sz w:val="24"/>
          <w:szCs w:val="24"/>
        </w:rPr>
      </w:pPr>
    </w:p>
    <w:p w14:paraId="3E3E81E7" w14:textId="77777777" w:rsidR="00507CCB" w:rsidRPr="002E06CC" w:rsidRDefault="00507CCB" w:rsidP="002E06CC">
      <w:pPr>
        <w:autoSpaceDE w:val="0"/>
        <w:autoSpaceDN w:val="0"/>
        <w:adjustRightInd w:val="0"/>
        <w:spacing w:after="0" w:line="360" w:lineRule="auto"/>
        <w:jc w:val="both"/>
        <w:rPr>
          <w:rFonts w:ascii="Times New Roman" w:hAnsi="Times New Roman" w:cs="Times New Roman"/>
          <w:bCs/>
          <w:sz w:val="24"/>
          <w:szCs w:val="24"/>
        </w:rPr>
      </w:pPr>
      <w:r w:rsidRPr="002E06CC">
        <w:rPr>
          <w:rFonts w:ascii="Times New Roman" w:hAnsi="Times New Roman" w:cs="Times New Roman"/>
          <w:bCs/>
          <w:i/>
          <w:sz w:val="24"/>
          <w:szCs w:val="24"/>
        </w:rPr>
        <w:t xml:space="preserve">Alkantpan </w:t>
      </w:r>
      <w:r w:rsidRPr="002E06CC">
        <w:rPr>
          <w:rFonts w:ascii="Times New Roman" w:hAnsi="Times New Roman" w:cs="Times New Roman"/>
          <w:bCs/>
          <w:sz w:val="24"/>
          <w:szCs w:val="24"/>
        </w:rPr>
        <w:t xml:space="preserve">is a munitions test range in the Northern Cape Province and attracts a number of international clients. Several international clients from, </w:t>
      </w:r>
      <w:r w:rsidRPr="002E06CC">
        <w:rPr>
          <w:rFonts w:ascii="Times New Roman" w:hAnsi="Times New Roman" w:cs="Times New Roman"/>
          <w:bCs/>
          <w:i/>
          <w:sz w:val="24"/>
          <w:szCs w:val="24"/>
        </w:rPr>
        <w:t>inter alia</w:t>
      </w:r>
      <w:r w:rsidRPr="002E06CC">
        <w:rPr>
          <w:rFonts w:ascii="Times New Roman" w:hAnsi="Times New Roman" w:cs="Times New Roman"/>
          <w:bCs/>
          <w:sz w:val="24"/>
          <w:szCs w:val="24"/>
        </w:rPr>
        <w:t xml:space="preserve">, Singapore and Germany conducted tests at the facility in 2017/18. The 2017/18 Annual Report does not indicate the exact income from sales at Alkantpan. In 2016/17, R86.2 million was generated by Alkantpan. The Alkantpan facility has also signed an agreement with the Square Kilometre Array (SKA) to ensure the viability of both facilities in the same geographic area. </w:t>
      </w:r>
    </w:p>
    <w:p w14:paraId="7F0A508F" w14:textId="77777777" w:rsidR="00507CCB" w:rsidRPr="002E06CC" w:rsidRDefault="00507CCB" w:rsidP="002E06CC">
      <w:pPr>
        <w:autoSpaceDE w:val="0"/>
        <w:autoSpaceDN w:val="0"/>
        <w:adjustRightInd w:val="0"/>
        <w:spacing w:after="0" w:line="360" w:lineRule="auto"/>
        <w:jc w:val="both"/>
        <w:rPr>
          <w:rFonts w:ascii="Times New Roman" w:hAnsi="Times New Roman" w:cs="Times New Roman"/>
          <w:bCs/>
          <w:sz w:val="24"/>
          <w:szCs w:val="24"/>
        </w:rPr>
      </w:pPr>
    </w:p>
    <w:p w14:paraId="49C16F64" w14:textId="77777777" w:rsidR="00507CCB" w:rsidRPr="002E06CC" w:rsidRDefault="00507CCB" w:rsidP="002E06CC">
      <w:pPr>
        <w:autoSpaceDE w:val="0"/>
        <w:autoSpaceDN w:val="0"/>
        <w:adjustRightInd w:val="0"/>
        <w:spacing w:after="0" w:line="360" w:lineRule="auto"/>
        <w:jc w:val="both"/>
        <w:rPr>
          <w:rFonts w:ascii="Times New Roman" w:hAnsi="Times New Roman" w:cs="Times New Roman"/>
          <w:bCs/>
          <w:sz w:val="24"/>
          <w:szCs w:val="24"/>
        </w:rPr>
      </w:pPr>
      <w:r w:rsidRPr="002E06CC">
        <w:rPr>
          <w:rFonts w:ascii="Times New Roman" w:hAnsi="Times New Roman" w:cs="Times New Roman"/>
          <w:bCs/>
          <w:i/>
          <w:sz w:val="24"/>
          <w:szCs w:val="24"/>
        </w:rPr>
        <w:t xml:space="preserve">Hazmat </w:t>
      </w:r>
      <w:r w:rsidRPr="002E06CC">
        <w:rPr>
          <w:rFonts w:ascii="Times New Roman" w:hAnsi="Times New Roman" w:cs="Times New Roman"/>
          <w:bCs/>
          <w:sz w:val="24"/>
          <w:szCs w:val="24"/>
        </w:rPr>
        <w:t xml:space="preserve">produces respiratory equipment for military and commercial purposes. The subsidiary managed to achieve a positive net income through the implementation of a conscious cost saving effort. This is considered an achievement considering the current economic climate. Hazmat is a self-sufficient entity that can serve the needs of all its major clients. The income generated from Hazmat’s activities is not reflected in the Annual Report. In 2016/17, R14.6 million in sales was derived from commercial initiatives. </w:t>
      </w:r>
    </w:p>
    <w:p w14:paraId="1CDB2978" w14:textId="77777777" w:rsidR="00507CCB" w:rsidRPr="002E06CC" w:rsidRDefault="00507CCB" w:rsidP="002E06CC">
      <w:pPr>
        <w:autoSpaceDE w:val="0"/>
        <w:autoSpaceDN w:val="0"/>
        <w:adjustRightInd w:val="0"/>
        <w:spacing w:after="0" w:line="360" w:lineRule="auto"/>
        <w:rPr>
          <w:rFonts w:ascii="Times New Roman" w:hAnsi="Times New Roman" w:cs="Times New Roman"/>
          <w:bCs/>
          <w:i/>
          <w:sz w:val="24"/>
          <w:szCs w:val="24"/>
        </w:rPr>
      </w:pPr>
    </w:p>
    <w:p w14:paraId="1ED2A7C7" w14:textId="77777777" w:rsidR="00507CCB" w:rsidRPr="002E06CC" w:rsidRDefault="00507CCB" w:rsidP="002E06CC">
      <w:pPr>
        <w:autoSpaceDE w:val="0"/>
        <w:autoSpaceDN w:val="0"/>
        <w:adjustRightInd w:val="0"/>
        <w:spacing w:after="0" w:line="360" w:lineRule="auto"/>
        <w:jc w:val="both"/>
        <w:rPr>
          <w:rFonts w:ascii="Times New Roman" w:hAnsi="Times New Roman" w:cs="Times New Roman"/>
          <w:bCs/>
          <w:sz w:val="24"/>
          <w:szCs w:val="24"/>
        </w:rPr>
      </w:pPr>
      <w:r w:rsidRPr="002E06CC">
        <w:rPr>
          <w:rFonts w:ascii="Times New Roman" w:hAnsi="Times New Roman" w:cs="Times New Roman"/>
          <w:bCs/>
          <w:sz w:val="24"/>
          <w:szCs w:val="24"/>
        </w:rPr>
        <w:t xml:space="preserve">Other defence science technology institutes that receive the bulk of their funding from the DOD include: </w:t>
      </w:r>
    </w:p>
    <w:p w14:paraId="127B4634" w14:textId="77777777" w:rsidR="00507CCB" w:rsidRPr="002E06CC" w:rsidRDefault="00507CCB" w:rsidP="002E06CC">
      <w:pPr>
        <w:autoSpaceDE w:val="0"/>
        <w:autoSpaceDN w:val="0"/>
        <w:adjustRightInd w:val="0"/>
        <w:spacing w:after="0" w:line="360" w:lineRule="auto"/>
        <w:jc w:val="both"/>
        <w:rPr>
          <w:rFonts w:ascii="Times New Roman" w:hAnsi="Times New Roman" w:cs="Times New Roman"/>
          <w:bCs/>
          <w:sz w:val="24"/>
          <w:szCs w:val="24"/>
        </w:rPr>
      </w:pPr>
    </w:p>
    <w:p w14:paraId="1E40E241" w14:textId="77777777" w:rsidR="00507CCB" w:rsidRPr="002E06CC" w:rsidRDefault="00507CCB" w:rsidP="002E06CC">
      <w:pPr>
        <w:numPr>
          <w:ilvl w:val="0"/>
          <w:numId w:val="34"/>
        </w:numPr>
        <w:autoSpaceDE w:val="0"/>
        <w:autoSpaceDN w:val="0"/>
        <w:adjustRightInd w:val="0"/>
        <w:spacing w:after="0" w:line="360" w:lineRule="auto"/>
        <w:jc w:val="both"/>
        <w:rPr>
          <w:rFonts w:ascii="Times New Roman" w:hAnsi="Times New Roman" w:cs="Times New Roman"/>
          <w:bCs/>
          <w:sz w:val="24"/>
          <w:szCs w:val="24"/>
        </w:rPr>
      </w:pPr>
      <w:r w:rsidRPr="002E06CC">
        <w:rPr>
          <w:rFonts w:ascii="Times New Roman" w:hAnsi="Times New Roman" w:cs="Times New Roman"/>
          <w:bCs/>
          <w:i/>
          <w:sz w:val="24"/>
          <w:szCs w:val="24"/>
        </w:rPr>
        <w:t>Armour Development</w:t>
      </w:r>
      <w:r w:rsidRPr="002E06CC">
        <w:rPr>
          <w:rFonts w:ascii="Times New Roman" w:hAnsi="Times New Roman" w:cs="Times New Roman"/>
          <w:bCs/>
          <w:sz w:val="24"/>
          <w:szCs w:val="24"/>
        </w:rPr>
        <w:t xml:space="preserve">: Conducting of defensive and reactive armour development. Funded by the Research and Development Board. In 2017/18, all tests were completed and a new three-year quotation submitted for the development of armour Protection Technology. </w:t>
      </w:r>
    </w:p>
    <w:p w14:paraId="3A349548" w14:textId="77777777" w:rsidR="00507CCB" w:rsidRPr="002E06CC" w:rsidRDefault="00507CCB" w:rsidP="002E06CC">
      <w:pPr>
        <w:numPr>
          <w:ilvl w:val="0"/>
          <w:numId w:val="34"/>
        </w:numPr>
        <w:autoSpaceDE w:val="0"/>
        <w:autoSpaceDN w:val="0"/>
        <w:adjustRightInd w:val="0"/>
        <w:spacing w:after="0" w:line="360" w:lineRule="auto"/>
        <w:jc w:val="both"/>
        <w:rPr>
          <w:rFonts w:ascii="Times New Roman" w:hAnsi="Times New Roman" w:cs="Times New Roman"/>
          <w:bCs/>
          <w:sz w:val="24"/>
          <w:szCs w:val="24"/>
        </w:rPr>
      </w:pPr>
      <w:r w:rsidRPr="002E06CC">
        <w:rPr>
          <w:rFonts w:ascii="Times New Roman" w:hAnsi="Times New Roman" w:cs="Times New Roman"/>
          <w:bCs/>
          <w:i/>
          <w:sz w:val="24"/>
          <w:szCs w:val="24"/>
        </w:rPr>
        <w:t>Protechnik laboratories</w:t>
      </w:r>
      <w:r w:rsidRPr="002E06CC">
        <w:rPr>
          <w:rFonts w:ascii="Times New Roman" w:hAnsi="Times New Roman" w:cs="Times New Roman"/>
          <w:bCs/>
          <w:sz w:val="24"/>
          <w:szCs w:val="24"/>
        </w:rPr>
        <w:t>: Focus on chemical and biological defence. Previously the Armscor Annual Reports indicated the laboratory’s achievement against its research/development services to the DOD and private sector. This breakdown was not provided in the 2017/18 Annual Report.</w:t>
      </w:r>
    </w:p>
    <w:p w14:paraId="0E4FB171" w14:textId="77777777" w:rsidR="00507CCB" w:rsidRPr="002E06CC" w:rsidRDefault="00507CCB" w:rsidP="002E06CC">
      <w:pPr>
        <w:numPr>
          <w:ilvl w:val="0"/>
          <w:numId w:val="34"/>
        </w:numPr>
        <w:autoSpaceDE w:val="0"/>
        <w:autoSpaceDN w:val="0"/>
        <w:adjustRightInd w:val="0"/>
        <w:spacing w:after="0" w:line="360" w:lineRule="auto"/>
        <w:jc w:val="both"/>
        <w:rPr>
          <w:rFonts w:ascii="Times New Roman" w:hAnsi="Times New Roman" w:cs="Times New Roman"/>
          <w:bCs/>
          <w:sz w:val="24"/>
          <w:szCs w:val="24"/>
        </w:rPr>
      </w:pPr>
      <w:r w:rsidRPr="002E06CC">
        <w:rPr>
          <w:rFonts w:ascii="Times New Roman" w:hAnsi="Times New Roman" w:cs="Times New Roman"/>
          <w:bCs/>
          <w:i/>
          <w:sz w:val="24"/>
          <w:szCs w:val="24"/>
        </w:rPr>
        <w:t>Ergonomics technologies</w:t>
      </w:r>
      <w:r w:rsidRPr="002E06CC">
        <w:rPr>
          <w:rFonts w:ascii="Times New Roman" w:hAnsi="Times New Roman" w:cs="Times New Roman"/>
          <w:bCs/>
          <w:sz w:val="24"/>
          <w:szCs w:val="24"/>
        </w:rPr>
        <w:t xml:space="preserve">: Focus on integrating ergonomics into the SANDF. The 2016/17 Annual Report notes, among others that the institution assist with the selection of SA Air Force flight crews.  </w:t>
      </w:r>
    </w:p>
    <w:p w14:paraId="2256FE11" w14:textId="77777777" w:rsidR="00507CCB" w:rsidRPr="002E06CC" w:rsidRDefault="00507CCB" w:rsidP="002E06CC">
      <w:pPr>
        <w:numPr>
          <w:ilvl w:val="0"/>
          <w:numId w:val="34"/>
        </w:numPr>
        <w:autoSpaceDE w:val="0"/>
        <w:autoSpaceDN w:val="0"/>
        <w:adjustRightInd w:val="0"/>
        <w:spacing w:after="0" w:line="360" w:lineRule="auto"/>
        <w:jc w:val="both"/>
        <w:rPr>
          <w:rFonts w:ascii="Times New Roman" w:hAnsi="Times New Roman" w:cs="Times New Roman"/>
          <w:bCs/>
          <w:sz w:val="24"/>
          <w:szCs w:val="24"/>
        </w:rPr>
      </w:pPr>
      <w:r w:rsidRPr="002E06CC">
        <w:rPr>
          <w:rFonts w:ascii="Times New Roman" w:hAnsi="Times New Roman" w:cs="Times New Roman"/>
          <w:bCs/>
          <w:i/>
          <w:sz w:val="24"/>
          <w:szCs w:val="24"/>
        </w:rPr>
        <w:t>Institute for Maritime Technology</w:t>
      </w:r>
      <w:r w:rsidRPr="002E06CC">
        <w:rPr>
          <w:rFonts w:ascii="Times New Roman" w:hAnsi="Times New Roman" w:cs="Times New Roman"/>
          <w:bCs/>
          <w:sz w:val="24"/>
          <w:szCs w:val="24"/>
        </w:rPr>
        <w:t>: Provision of techno-military expertise to support naval decision-making. In 2016/17, sales increased to R94.2 million and required funding from the DOD also decreased from 93 per cent to 86.7 per cent. This information was not provided in the 2017/18 Annual Report. One of the major projects that the Institute is working on is the Ultrasonic Broken Rail Detector, which has significant commercial potential. It is indicated that a commercial product is to be available by the end of 2018/19.</w:t>
      </w:r>
    </w:p>
    <w:p w14:paraId="7E5D869F" w14:textId="77777777" w:rsidR="00507CCB" w:rsidRPr="002E06CC" w:rsidRDefault="00507CCB" w:rsidP="002E06CC">
      <w:pPr>
        <w:numPr>
          <w:ilvl w:val="0"/>
          <w:numId w:val="34"/>
        </w:numPr>
        <w:autoSpaceDE w:val="0"/>
        <w:autoSpaceDN w:val="0"/>
        <w:adjustRightInd w:val="0"/>
        <w:spacing w:after="0" w:line="360" w:lineRule="auto"/>
        <w:jc w:val="both"/>
        <w:rPr>
          <w:rFonts w:ascii="Times New Roman" w:hAnsi="Times New Roman" w:cs="Times New Roman"/>
          <w:bCs/>
          <w:sz w:val="24"/>
          <w:szCs w:val="24"/>
        </w:rPr>
      </w:pPr>
      <w:r w:rsidRPr="002E06CC">
        <w:rPr>
          <w:rFonts w:ascii="Times New Roman" w:hAnsi="Times New Roman" w:cs="Times New Roman"/>
          <w:bCs/>
          <w:i/>
          <w:sz w:val="24"/>
          <w:szCs w:val="24"/>
        </w:rPr>
        <w:t>Defence division support institute</w:t>
      </w:r>
      <w:r w:rsidRPr="002E06CC">
        <w:rPr>
          <w:rFonts w:ascii="Times New Roman" w:hAnsi="Times New Roman" w:cs="Times New Roman"/>
          <w:bCs/>
          <w:sz w:val="24"/>
          <w:szCs w:val="24"/>
        </w:rPr>
        <w:t>: Provision of decision support to the DOD.</w:t>
      </w:r>
    </w:p>
    <w:p w14:paraId="650287A8" w14:textId="77777777" w:rsidR="00507CCB" w:rsidRPr="002E06CC" w:rsidRDefault="00507CCB" w:rsidP="002E06CC">
      <w:pPr>
        <w:numPr>
          <w:ilvl w:val="0"/>
          <w:numId w:val="34"/>
        </w:numPr>
        <w:autoSpaceDE w:val="0"/>
        <w:autoSpaceDN w:val="0"/>
        <w:adjustRightInd w:val="0"/>
        <w:spacing w:after="0" w:line="360" w:lineRule="auto"/>
        <w:jc w:val="both"/>
        <w:rPr>
          <w:rFonts w:ascii="Times New Roman" w:hAnsi="Times New Roman" w:cs="Times New Roman"/>
          <w:bCs/>
          <w:sz w:val="24"/>
          <w:szCs w:val="24"/>
        </w:rPr>
      </w:pPr>
      <w:r w:rsidRPr="002E06CC">
        <w:rPr>
          <w:rFonts w:ascii="Times New Roman" w:hAnsi="Times New Roman" w:cs="Times New Roman"/>
          <w:bCs/>
          <w:i/>
          <w:sz w:val="24"/>
          <w:szCs w:val="24"/>
        </w:rPr>
        <w:t>Flamengro</w:t>
      </w:r>
      <w:r w:rsidRPr="002E06CC">
        <w:rPr>
          <w:rFonts w:ascii="Times New Roman" w:hAnsi="Times New Roman" w:cs="Times New Roman"/>
          <w:bCs/>
          <w:sz w:val="24"/>
          <w:szCs w:val="24"/>
        </w:rPr>
        <w:t xml:space="preserve">: Computer aided engineering centre of excellence. </w:t>
      </w:r>
    </w:p>
    <w:p w14:paraId="2D1B28A6" w14:textId="77777777" w:rsidR="00461FCB" w:rsidRPr="002E06CC" w:rsidRDefault="00461FCB" w:rsidP="002E06CC">
      <w:pPr>
        <w:autoSpaceDE w:val="0"/>
        <w:autoSpaceDN w:val="0"/>
        <w:adjustRightInd w:val="0"/>
        <w:spacing w:after="0" w:line="360" w:lineRule="auto"/>
        <w:jc w:val="both"/>
        <w:rPr>
          <w:rFonts w:ascii="Times New Roman" w:hAnsi="Times New Roman" w:cs="Times New Roman"/>
          <w:bCs/>
          <w:sz w:val="24"/>
          <w:szCs w:val="24"/>
        </w:rPr>
      </w:pPr>
    </w:p>
    <w:p w14:paraId="05F3425F" w14:textId="77777777" w:rsidR="00461FCB" w:rsidRPr="002E06CC" w:rsidRDefault="00461FCB" w:rsidP="002E06CC">
      <w:pPr>
        <w:autoSpaceDE w:val="0"/>
        <w:autoSpaceDN w:val="0"/>
        <w:adjustRightInd w:val="0"/>
        <w:spacing w:after="0" w:line="360" w:lineRule="auto"/>
        <w:rPr>
          <w:rFonts w:ascii="Times New Roman" w:hAnsi="Times New Roman" w:cs="Times New Roman"/>
          <w:b/>
          <w:bCs/>
          <w:sz w:val="24"/>
          <w:szCs w:val="24"/>
        </w:rPr>
      </w:pPr>
      <w:r w:rsidRPr="002E06CC">
        <w:rPr>
          <w:rFonts w:ascii="Times New Roman" w:hAnsi="Times New Roman" w:cs="Times New Roman"/>
          <w:b/>
          <w:bCs/>
          <w:sz w:val="24"/>
          <w:szCs w:val="24"/>
        </w:rPr>
        <w:t>The Dockyard</w:t>
      </w:r>
    </w:p>
    <w:p w14:paraId="6045F6B9" w14:textId="77777777" w:rsidR="00461FCB" w:rsidRPr="002E06CC" w:rsidRDefault="00461FCB" w:rsidP="002E06CC">
      <w:pPr>
        <w:autoSpaceDE w:val="0"/>
        <w:autoSpaceDN w:val="0"/>
        <w:adjustRightInd w:val="0"/>
        <w:spacing w:after="0" w:line="360" w:lineRule="auto"/>
        <w:rPr>
          <w:rFonts w:ascii="Times New Roman" w:hAnsi="Times New Roman" w:cs="Times New Roman"/>
          <w:sz w:val="24"/>
          <w:szCs w:val="24"/>
        </w:rPr>
      </w:pPr>
    </w:p>
    <w:p w14:paraId="77170A98" w14:textId="77777777" w:rsidR="00507CCB" w:rsidRPr="002E06CC" w:rsidRDefault="00507CCB" w:rsidP="002E06CC">
      <w:pPr>
        <w:autoSpaceDE w:val="0"/>
        <w:autoSpaceDN w:val="0"/>
        <w:adjustRightInd w:val="0"/>
        <w:spacing w:after="0" w:line="360" w:lineRule="auto"/>
        <w:jc w:val="both"/>
        <w:rPr>
          <w:rFonts w:ascii="Times New Roman" w:hAnsi="Times New Roman" w:cs="Times New Roman"/>
          <w:sz w:val="24"/>
          <w:szCs w:val="24"/>
        </w:rPr>
      </w:pPr>
      <w:r w:rsidRPr="002E06CC">
        <w:rPr>
          <w:rFonts w:ascii="Times New Roman" w:hAnsi="Times New Roman" w:cs="Times New Roman"/>
          <w:sz w:val="24"/>
          <w:szCs w:val="24"/>
        </w:rPr>
        <w:t>The Armscor Dockyard serves as the primary maintenance supplier to the SA Navy. As was noted in a number of previous years, the Dockyard is facing significant concerns. As such, a decision was previously taken to change the management of the dockyard. Subsequently, the Minister of Defence called for a “harmonious approach” to management comprising Armscor, Denel and the SA Navy. However, the 2017/18 Annual Report notes that the “transfer of the Dockyard from Armscor to Denel was governed by the transfer agreement. These agreements contain suspensive conditions, which Denel had to fulfil by the 28 February 2018. The Minister of Defence and Military Veterans took account of the fact that Denel had not met the suspensive conditions for the transfer of the Dockyard to it, despite previous extensions. Thus, the Honourable Minister correctly concluded that the Dockyard Transfer Agreement had lapsed.” The CEO of Armscor further notes in the Annual Report that “the Dockyard will continue to explore a variety of collaborative measures with the private sector to reduce the Dockyard deficit and enhance the ongoing sustainability of the Dockyard.</w:t>
      </w:r>
    </w:p>
    <w:p w14:paraId="49FE5EEE" w14:textId="77777777" w:rsidR="00507CCB" w:rsidRPr="002E06CC" w:rsidRDefault="00507CCB" w:rsidP="002E06CC">
      <w:pPr>
        <w:autoSpaceDE w:val="0"/>
        <w:autoSpaceDN w:val="0"/>
        <w:adjustRightInd w:val="0"/>
        <w:spacing w:after="0" w:line="360" w:lineRule="auto"/>
        <w:jc w:val="both"/>
        <w:rPr>
          <w:rFonts w:ascii="Times New Roman" w:hAnsi="Times New Roman" w:cs="Times New Roman"/>
          <w:sz w:val="24"/>
          <w:szCs w:val="24"/>
        </w:rPr>
      </w:pPr>
    </w:p>
    <w:p w14:paraId="3E8CB816" w14:textId="77777777" w:rsidR="00507CCB" w:rsidRPr="002E06CC" w:rsidRDefault="00507CCB" w:rsidP="002E06CC">
      <w:pPr>
        <w:autoSpaceDE w:val="0"/>
        <w:autoSpaceDN w:val="0"/>
        <w:adjustRightInd w:val="0"/>
        <w:spacing w:after="0" w:line="360" w:lineRule="auto"/>
        <w:jc w:val="both"/>
        <w:rPr>
          <w:rFonts w:ascii="Times New Roman" w:hAnsi="Times New Roman" w:cs="Times New Roman"/>
          <w:sz w:val="24"/>
          <w:szCs w:val="24"/>
        </w:rPr>
      </w:pPr>
      <w:r w:rsidRPr="002E06CC">
        <w:rPr>
          <w:rFonts w:ascii="Times New Roman" w:hAnsi="Times New Roman" w:cs="Times New Roman"/>
          <w:sz w:val="24"/>
          <w:szCs w:val="24"/>
        </w:rPr>
        <w:t>In 2017/18, repair and maintenance were done on a number of SA Navy vessels. Armscor submitted Financial Authority requests for materials/spares and casual labour (fixed-term contractors) to the SA Navy for 2017/18. R18.497 million was approved and a total of R17.542 was paid equating to a 94.48 per cent spent.</w:t>
      </w:r>
    </w:p>
    <w:p w14:paraId="377F05D9" w14:textId="77777777" w:rsidR="00461FCB" w:rsidRPr="002E06CC" w:rsidRDefault="00461FCB" w:rsidP="002E06CC">
      <w:pPr>
        <w:autoSpaceDE w:val="0"/>
        <w:autoSpaceDN w:val="0"/>
        <w:adjustRightInd w:val="0"/>
        <w:spacing w:after="0" w:line="360" w:lineRule="auto"/>
        <w:jc w:val="both"/>
        <w:rPr>
          <w:rFonts w:ascii="Times New Roman" w:hAnsi="Times New Roman" w:cs="Times New Roman"/>
          <w:sz w:val="24"/>
          <w:szCs w:val="24"/>
        </w:rPr>
      </w:pPr>
    </w:p>
    <w:p w14:paraId="1F103837" w14:textId="77777777" w:rsidR="00461FCB" w:rsidRPr="002E06CC" w:rsidRDefault="00461FCB" w:rsidP="002E06CC">
      <w:pPr>
        <w:autoSpaceDE w:val="0"/>
        <w:autoSpaceDN w:val="0"/>
        <w:adjustRightInd w:val="0"/>
        <w:spacing w:after="0" w:line="360" w:lineRule="auto"/>
        <w:rPr>
          <w:rFonts w:ascii="Times New Roman" w:hAnsi="Times New Roman" w:cs="Times New Roman"/>
          <w:bCs/>
          <w:sz w:val="24"/>
          <w:szCs w:val="24"/>
        </w:rPr>
      </w:pPr>
    </w:p>
    <w:p w14:paraId="4C495C6A" w14:textId="77777777" w:rsidR="00461FCB" w:rsidRPr="002E06CC" w:rsidRDefault="00461FCB" w:rsidP="002E06CC">
      <w:pPr>
        <w:spacing w:line="360" w:lineRule="auto"/>
        <w:jc w:val="both"/>
        <w:rPr>
          <w:rFonts w:ascii="Times New Roman" w:hAnsi="Times New Roman" w:cs="Times New Roman"/>
          <w:b/>
          <w:sz w:val="24"/>
          <w:szCs w:val="24"/>
        </w:rPr>
      </w:pPr>
      <w:r w:rsidRPr="002E06CC">
        <w:rPr>
          <w:rFonts w:ascii="Times New Roman" w:hAnsi="Times New Roman" w:cs="Times New Roman"/>
          <w:b/>
          <w:sz w:val="24"/>
          <w:szCs w:val="24"/>
        </w:rPr>
        <w:t>5.2</w:t>
      </w:r>
      <w:r w:rsidRPr="002E06CC">
        <w:rPr>
          <w:rFonts w:ascii="Times New Roman" w:hAnsi="Times New Roman" w:cs="Times New Roman"/>
          <w:b/>
          <w:sz w:val="24"/>
          <w:szCs w:val="24"/>
        </w:rPr>
        <w:tab/>
        <w:t>Performance against set targets</w:t>
      </w:r>
    </w:p>
    <w:p w14:paraId="356B1E75" w14:textId="77777777" w:rsidR="00507CCB" w:rsidRPr="002E06CC" w:rsidRDefault="00507CCB" w:rsidP="002E06CC">
      <w:pPr>
        <w:autoSpaceDE w:val="0"/>
        <w:autoSpaceDN w:val="0"/>
        <w:adjustRightInd w:val="0"/>
        <w:spacing w:after="0" w:line="360" w:lineRule="auto"/>
        <w:jc w:val="both"/>
        <w:rPr>
          <w:rFonts w:ascii="Times New Roman" w:hAnsi="Times New Roman" w:cs="Times New Roman"/>
          <w:sz w:val="24"/>
          <w:szCs w:val="24"/>
        </w:rPr>
      </w:pPr>
      <w:r w:rsidRPr="002E06CC">
        <w:rPr>
          <w:rFonts w:ascii="Times New Roman" w:hAnsi="Times New Roman" w:cs="Times New Roman"/>
          <w:sz w:val="24"/>
          <w:szCs w:val="24"/>
        </w:rPr>
        <w:t>Armscor performed relatively well when performance against set targets are measured. A total of 53 Key Performance Indicators (goals) were set for 2017/18. Armscor managed to achieve 39 of these, which is a success rate of 73.58 per cent. This is, however, a decrease in performance when compared to 2016/17. 14 Targets were either not achieved, partially achieved or no opportunity to perform presented itself.</w:t>
      </w:r>
    </w:p>
    <w:p w14:paraId="697C4113" w14:textId="77777777" w:rsidR="00507CCB" w:rsidRPr="002E06CC" w:rsidRDefault="00507CCB" w:rsidP="002E06CC">
      <w:pPr>
        <w:autoSpaceDE w:val="0"/>
        <w:autoSpaceDN w:val="0"/>
        <w:adjustRightInd w:val="0"/>
        <w:spacing w:after="0" w:line="360" w:lineRule="auto"/>
        <w:rPr>
          <w:rFonts w:ascii="Times New Roman" w:hAnsi="Times New Roman" w:cs="Times New Roman"/>
          <w:sz w:val="24"/>
          <w:szCs w:val="24"/>
        </w:rPr>
      </w:pPr>
    </w:p>
    <w:p w14:paraId="5ED9562F" w14:textId="77777777" w:rsidR="00507CCB" w:rsidRPr="002E06CC" w:rsidRDefault="00507CCB" w:rsidP="002E06CC">
      <w:pPr>
        <w:autoSpaceDE w:val="0"/>
        <w:autoSpaceDN w:val="0"/>
        <w:adjustRightInd w:val="0"/>
        <w:spacing w:after="0" w:line="360" w:lineRule="auto"/>
        <w:rPr>
          <w:rFonts w:ascii="Times New Roman" w:hAnsi="Times New Roman" w:cs="Times New Roman"/>
          <w:sz w:val="24"/>
          <w:szCs w:val="24"/>
        </w:rPr>
      </w:pPr>
      <w:r w:rsidRPr="002E06CC">
        <w:rPr>
          <w:rFonts w:ascii="Times New Roman" w:hAnsi="Times New Roman" w:cs="Times New Roman"/>
          <w:sz w:val="24"/>
          <w:szCs w:val="24"/>
        </w:rPr>
        <w:t>The KPIs not achieved include the following</w:t>
      </w:r>
      <w:r w:rsidR="006D1E66" w:rsidRPr="002E06CC">
        <w:rPr>
          <w:rFonts w:ascii="Times New Roman" w:hAnsi="Times New Roman" w:cs="Times New Roman"/>
          <w:sz w:val="24"/>
          <w:szCs w:val="24"/>
        </w:rPr>
        <w:t xml:space="preserve"> as per Table 1</w:t>
      </w:r>
      <w:r w:rsidRPr="002E06CC">
        <w:rPr>
          <w:rFonts w:ascii="Times New Roman" w:hAnsi="Times New Roman" w:cs="Times New Roman"/>
          <w:sz w:val="24"/>
          <w:szCs w:val="24"/>
        </w:rPr>
        <w:t>:</w:t>
      </w:r>
    </w:p>
    <w:p w14:paraId="52CC3293" w14:textId="77777777" w:rsidR="00461FCB" w:rsidRPr="002E06CC" w:rsidRDefault="00461FCB" w:rsidP="002E06CC">
      <w:pPr>
        <w:autoSpaceDE w:val="0"/>
        <w:autoSpaceDN w:val="0"/>
        <w:adjustRightInd w:val="0"/>
        <w:spacing w:after="0" w:line="360" w:lineRule="auto"/>
        <w:rPr>
          <w:rFonts w:ascii="Times New Roman" w:hAnsi="Times New Roman" w:cs="Times New Roman"/>
          <w:sz w:val="24"/>
          <w:szCs w:val="24"/>
        </w:rPr>
      </w:pPr>
    </w:p>
    <w:p w14:paraId="7EBD01A6" w14:textId="77777777" w:rsidR="00461FCB" w:rsidRPr="002E06CC" w:rsidRDefault="00507CCB"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Table</w:t>
      </w:r>
      <w:r w:rsidR="00461FCB" w:rsidRPr="002E06CC">
        <w:rPr>
          <w:rFonts w:ascii="Times New Roman" w:hAnsi="Times New Roman" w:cs="Times New Roman"/>
          <w:b/>
          <w:sz w:val="24"/>
          <w:szCs w:val="24"/>
        </w:rPr>
        <w:t xml:space="preserve">: </w:t>
      </w:r>
      <w:r w:rsidRPr="002E06CC">
        <w:rPr>
          <w:rFonts w:ascii="Times New Roman" w:hAnsi="Times New Roman" w:cs="Times New Roman"/>
          <w:b/>
          <w:sz w:val="24"/>
          <w:szCs w:val="24"/>
        </w:rPr>
        <w:t>Selected Key Performance Indicators not achieved during 2017/18</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915"/>
        <w:gridCol w:w="1736"/>
        <w:gridCol w:w="1549"/>
        <w:gridCol w:w="2720"/>
      </w:tblGrid>
      <w:tr w:rsidR="00E63ACF" w:rsidRPr="002E06CC" w14:paraId="67831C44" w14:textId="77777777" w:rsidTr="00C41877">
        <w:trPr>
          <w:trHeight w:val="552"/>
          <w:jc w:val="center"/>
        </w:trPr>
        <w:tc>
          <w:tcPr>
            <w:tcW w:w="1826" w:type="dxa"/>
            <w:shd w:val="clear" w:color="auto" w:fill="C5E0B3" w:themeFill="accent6" w:themeFillTint="66"/>
          </w:tcPr>
          <w:p w14:paraId="33F52BC0" w14:textId="77777777" w:rsidR="00E63ACF" w:rsidRPr="002E06CC" w:rsidRDefault="00E63ACF"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 xml:space="preserve">Objective </w:t>
            </w:r>
          </w:p>
        </w:tc>
        <w:tc>
          <w:tcPr>
            <w:tcW w:w="1955" w:type="dxa"/>
            <w:shd w:val="clear" w:color="auto" w:fill="C5E0B3" w:themeFill="accent6" w:themeFillTint="66"/>
          </w:tcPr>
          <w:p w14:paraId="5F9C34B2" w14:textId="77777777" w:rsidR="00E63ACF" w:rsidRPr="002E06CC" w:rsidRDefault="00E63ACF"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KPI</w:t>
            </w:r>
          </w:p>
        </w:tc>
        <w:tc>
          <w:tcPr>
            <w:tcW w:w="1584" w:type="dxa"/>
            <w:shd w:val="clear" w:color="auto" w:fill="C5E0B3" w:themeFill="accent6" w:themeFillTint="66"/>
          </w:tcPr>
          <w:p w14:paraId="069E899A" w14:textId="77777777" w:rsidR="00E63ACF" w:rsidRPr="002E06CC" w:rsidRDefault="00E63ACF"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Goal</w:t>
            </w:r>
          </w:p>
        </w:tc>
        <w:tc>
          <w:tcPr>
            <w:tcW w:w="1434" w:type="dxa"/>
            <w:shd w:val="clear" w:color="auto" w:fill="C5E0B3" w:themeFill="accent6" w:themeFillTint="66"/>
          </w:tcPr>
          <w:p w14:paraId="0B1192DE" w14:textId="77777777" w:rsidR="00E63ACF" w:rsidRPr="002E06CC" w:rsidRDefault="00E63ACF"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Achievement</w:t>
            </w:r>
          </w:p>
        </w:tc>
        <w:tc>
          <w:tcPr>
            <w:tcW w:w="2977" w:type="dxa"/>
            <w:shd w:val="clear" w:color="auto" w:fill="BFBFBF" w:themeFill="background1" w:themeFillShade="BF"/>
          </w:tcPr>
          <w:p w14:paraId="3C3C11C9" w14:textId="77777777" w:rsidR="00E63ACF" w:rsidRPr="002E06CC" w:rsidRDefault="00E63ACF" w:rsidP="002E06CC">
            <w:pPr>
              <w:spacing w:line="360" w:lineRule="auto"/>
              <w:jc w:val="center"/>
              <w:rPr>
                <w:rFonts w:ascii="Times New Roman" w:hAnsi="Times New Roman" w:cs="Times New Roman"/>
                <w:b/>
                <w:sz w:val="24"/>
                <w:szCs w:val="24"/>
              </w:rPr>
            </w:pPr>
            <w:r w:rsidRPr="002E06CC">
              <w:rPr>
                <w:rFonts w:ascii="Times New Roman" w:hAnsi="Times New Roman" w:cs="Times New Roman"/>
                <w:b/>
                <w:sz w:val="24"/>
                <w:szCs w:val="24"/>
              </w:rPr>
              <w:t>Comments</w:t>
            </w:r>
          </w:p>
        </w:tc>
      </w:tr>
      <w:tr w:rsidR="00E63ACF" w:rsidRPr="002E06CC" w14:paraId="475066F6" w14:textId="77777777" w:rsidTr="00C41877">
        <w:trPr>
          <w:trHeight w:val="1133"/>
          <w:jc w:val="center"/>
        </w:trPr>
        <w:tc>
          <w:tcPr>
            <w:tcW w:w="1826" w:type="dxa"/>
          </w:tcPr>
          <w:p w14:paraId="2BE04B26" w14:textId="77777777" w:rsidR="00E63ACF" w:rsidRPr="002E06CC" w:rsidRDefault="00E63ACF" w:rsidP="002E06CC">
            <w:pPr>
              <w:spacing w:line="360" w:lineRule="auto"/>
              <w:rPr>
                <w:rFonts w:ascii="Times New Roman" w:hAnsi="Times New Roman" w:cs="Times New Roman"/>
                <w:b/>
                <w:sz w:val="24"/>
                <w:szCs w:val="24"/>
              </w:rPr>
            </w:pPr>
            <w:r w:rsidRPr="002E06CC">
              <w:rPr>
                <w:rFonts w:ascii="Times New Roman" w:hAnsi="Times New Roman" w:cs="Times New Roman"/>
                <w:b/>
                <w:sz w:val="24"/>
                <w:szCs w:val="24"/>
              </w:rPr>
              <w:t>Procurement</w:t>
            </w:r>
          </w:p>
        </w:tc>
        <w:tc>
          <w:tcPr>
            <w:tcW w:w="1955" w:type="dxa"/>
          </w:tcPr>
          <w:p w14:paraId="56AFC09A" w14:textId="77777777" w:rsidR="00E63ACF" w:rsidRPr="002E06CC" w:rsidRDefault="00E63ACF" w:rsidP="002E06CC">
            <w:pPr>
              <w:spacing w:line="360" w:lineRule="auto"/>
              <w:rPr>
                <w:rFonts w:ascii="Times New Roman" w:hAnsi="Times New Roman" w:cs="Times New Roman"/>
                <w:sz w:val="24"/>
                <w:szCs w:val="24"/>
              </w:rPr>
            </w:pPr>
            <w:r w:rsidRPr="002E06CC">
              <w:rPr>
                <w:rFonts w:ascii="Times New Roman" w:hAnsi="Times New Roman" w:cs="Times New Roman"/>
                <w:sz w:val="24"/>
                <w:szCs w:val="24"/>
              </w:rPr>
              <w:t xml:space="preserve">90 days for standard procurement </w:t>
            </w:r>
          </w:p>
        </w:tc>
        <w:tc>
          <w:tcPr>
            <w:tcW w:w="1584" w:type="dxa"/>
          </w:tcPr>
          <w:p w14:paraId="2F7CBEF2"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90 days</w:t>
            </w:r>
          </w:p>
        </w:tc>
        <w:tc>
          <w:tcPr>
            <w:tcW w:w="1434" w:type="dxa"/>
          </w:tcPr>
          <w:p w14:paraId="5FB60C13"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101 days</w:t>
            </w:r>
          </w:p>
        </w:tc>
        <w:tc>
          <w:tcPr>
            <w:tcW w:w="2977" w:type="dxa"/>
            <w:shd w:val="clear" w:color="auto" w:fill="D9D9D9" w:themeFill="background1" w:themeFillShade="D9"/>
          </w:tcPr>
          <w:p w14:paraId="65FA1DA6"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This reflects a regression from the achievement of 93 days in 2016/17</w:t>
            </w:r>
          </w:p>
        </w:tc>
      </w:tr>
      <w:tr w:rsidR="00E63ACF" w:rsidRPr="002E06CC" w14:paraId="0B7BC0F8" w14:textId="77777777" w:rsidTr="00C41877">
        <w:trPr>
          <w:trHeight w:val="1133"/>
          <w:jc w:val="center"/>
        </w:trPr>
        <w:tc>
          <w:tcPr>
            <w:tcW w:w="1826" w:type="dxa"/>
          </w:tcPr>
          <w:p w14:paraId="728AB64B" w14:textId="77777777" w:rsidR="00E63ACF" w:rsidRPr="002E06CC" w:rsidRDefault="00E63ACF" w:rsidP="002E06CC">
            <w:pPr>
              <w:spacing w:line="360" w:lineRule="auto"/>
              <w:rPr>
                <w:rFonts w:ascii="Times New Roman" w:hAnsi="Times New Roman" w:cs="Times New Roman"/>
                <w:b/>
                <w:sz w:val="24"/>
                <w:szCs w:val="24"/>
              </w:rPr>
            </w:pPr>
            <w:r w:rsidRPr="002E06CC">
              <w:rPr>
                <w:rFonts w:ascii="Times New Roman" w:hAnsi="Times New Roman" w:cs="Times New Roman"/>
                <w:b/>
                <w:sz w:val="24"/>
                <w:szCs w:val="24"/>
              </w:rPr>
              <w:t>Procurement</w:t>
            </w:r>
          </w:p>
        </w:tc>
        <w:tc>
          <w:tcPr>
            <w:tcW w:w="1955" w:type="dxa"/>
          </w:tcPr>
          <w:p w14:paraId="4E804DA9" w14:textId="77777777" w:rsidR="00E63ACF" w:rsidRPr="002E06CC" w:rsidRDefault="00E63ACF" w:rsidP="002E06CC">
            <w:pPr>
              <w:spacing w:line="360" w:lineRule="auto"/>
              <w:rPr>
                <w:rFonts w:ascii="Times New Roman" w:hAnsi="Times New Roman" w:cs="Times New Roman"/>
                <w:sz w:val="24"/>
                <w:szCs w:val="24"/>
              </w:rPr>
            </w:pPr>
            <w:r w:rsidRPr="002E06CC">
              <w:rPr>
                <w:rFonts w:ascii="Times New Roman" w:hAnsi="Times New Roman" w:cs="Times New Roman"/>
                <w:sz w:val="24"/>
                <w:szCs w:val="24"/>
              </w:rPr>
              <w:t>60 days for commercial off-the-shelf items</w:t>
            </w:r>
          </w:p>
        </w:tc>
        <w:tc>
          <w:tcPr>
            <w:tcW w:w="1584" w:type="dxa"/>
          </w:tcPr>
          <w:p w14:paraId="2B303452"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60 days</w:t>
            </w:r>
          </w:p>
        </w:tc>
        <w:tc>
          <w:tcPr>
            <w:tcW w:w="1434" w:type="dxa"/>
          </w:tcPr>
          <w:p w14:paraId="73540527"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114</w:t>
            </w:r>
          </w:p>
        </w:tc>
        <w:tc>
          <w:tcPr>
            <w:tcW w:w="2977" w:type="dxa"/>
            <w:shd w:val="clear" w:color="auto" w:fill="D9D9D9" w:themeFill="background1" w:themeFillShade="D9"/>
          </w:tcPr>
          <w:p w14:paraId="7956A16D"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Significant regression from 60 days achieved in 2016/17</w:t>
            </w:r>
          </w:p>
        </w:tc>
      </w:tr>
      <w:tr w:rsidR="00E63ACF" w:rsidRPr="002E06CC" w14:paraId="21CDCC6A" w14:textId="77777777" w:rsidTr="00C41877">
        <w:trPr>
          <w:trHeight w:val="1133"/>
          <w:jc w:val="center"/>
        </w:trPr>
        <w:tc>
          <w:tcPr>
            <w:tcW w:w="1826" w:type="dxa"/>
          </w:tcPr>
          <w:p w14:paraId="25A6B300" w14:textId="77777777" w:rsidR="00E63ACF" w:rsidRPr="002E06CC" w:rsidRDefault="00E63ACF" w:rsidP="002E06CC">
            <w:pPr>
              <w:spacing w:line="360" w:lineRule="auto"/>
              <w:rPr>
                <w:rFonts w:ascii="Times New Roman" w:hAnsi="Times New Roman" w:cs="Times New Roman"/>
                <w:b/>
                <w:sz w:val="24"/>
                <w:szCs w:val="24"/>
              </w:rPr>
            </w:pPr>
            <w:r w:rsidRPr="002E06CC">
              <w:rPr>
                <w:rFonts w:ascii="Times New Roman" w:hAnsi="Times New Roman" w:cs="Times New Roman"/>
                <w:b/>
                <w:sz w:val="24"/>
                <w:szCs w:val="24"/>
              </w:rPr>
              <w:t>Defence Industrial Participation (DIP)</w:t>
            </w:r>
          </w:p>
        </w:tc>
        <w:tc>
          <w:tcPr>
            <w:tcW w:w="1955" w:type="dxa"/>
          </w:tcPr>
          <w:p w14:paraId="072DD6BA" w14:textId="77777777" w:rsidR="00E63ACF" w:rsidRPr="002E06CC" w:rsidRDefault="00E63ACF" w:rsidP="002E06CC">
            <w:pPr>
              <w:spacing w:line="360" w:lineRule="auto"/>
              <w:rPr>
                <w:rFonts w:ascii="Times New Roman" w:hAnsi="Times New Roman" w:cs="Times New Roman"/>
                <w:sz w:val="24"/>
                <w:szCs w:val="24"/>
              </w:rPr>
            </w:pPr>
            <w:r w:rsidRPr="002E06CC">
              <w:rPr>
                <w:rFonts w:ascii="Times New Roman" w:hAnsi="Times New Roman" w:cs="Times New Roman"/>
                <w:sz w:val="24"/>
                <w:szCs w:val="24"/>
              </w:rPr>
              <w:t>Value of DIP credits to be granted</w:t>
            </w:r>
          </w:p>
        </w:tc>
        <w:tc>
          <w:tcPr>
            <w:tcW w:w="1584" w:type="dxa"/>
          </w:tcPr>
          <w:p w14:paraId="04935B3E"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R235.6 million</w:t>
            </w:r>
          </w:p>
        </w:tc>
        <w:tc>
          <w:tcPr>
            <w:tcW w:w="1434" w:type="dxa"/>
          </w:tcPr>
          <w:p w14:paraId="241FF972"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R157 million</w:t>
            </w:r>
          </w:p>
        </w:tc>
        <w:tc>
          <w:tcPr>
            <w:tcW w:w="2977" w:type="dxa"/>
            <w:shd w:val="clear" w:color="auto" w:fill="D9D9D9" w:themeFill="background1" w:themeFillShade="D9"/>
          </w:tcPr>
          <w:p w14:paraId="79B14C6C"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Delays in project Hoefyster, the A-Darter system and other contracts</w:t>
            </w:r>
          </w:p>
        </w:tc>
      </w:tr>
      <w:tr w:rsidR="00E63ACF" w:rsidRPr="002E06CC" w14:paraId="660D4899" w14:textId="77777777" w:rsidTr="00C41877">
        <w:trPr>
          <w:trHeight w:val="1133"/>
          <w:jc w:val="center"/>
        </w:trPr>
        <w:tc>
          <w:tcPr>
            <w:tcW w:w="1826" w:type="dxa"/>
          </w:tcPr>
          <w:p w14:paraId="6F27B7AD" w14:textId="77777777" w:rsidR="00E63ACF" w:rsidRPr="002E06CC" w:rsidRDefault="00E63ACF" w:rsidP="002E06CC">
            <w:pPr>
              <w:spacing w:line="360" w:lineRule="auto"/>
              <w:rPr>
                <w:rFonts w:ascii="Times New Roman" w:hAnsi="Times New Roman" w:cs="Times New Roman"/>
                <w:b/>
                <w:sz w:val="24"/>
                <w:szCs w:val="24"/>
              </w:rPr>
            </w:pPr>
            <w:r w:rsidRPr="002E06CC">
              <w:rPr>
                <w:rFonts w:ascii="Times New Roman" w:hAnsi="Times New Roman" w:cs="Times New Roman"/>
                <w:b/>
                <w:sz w:val="24"/>
                <w:szCs w:val="24"/>
              </w:rPr>
              <w:t>Generate additional income</w:t>
            </w:r>
          </w:p>
        </w:tc>
        <w:tc>
          <w:tcPr>
            <w:tcW w:w="1955" w:type="dxa"/>
          </w:tcPr>
          <w:p w14:paraId="61BE5863" w14:textId="77777777" w:rsidR="00E63ACF" w:rsidRPr="002E06CC" w:rsidRDefault="00E63ACF" w:rsidP="002E06CC">
            <w:pPr>
              <w:spacing w:line="360" w:lineRule="auto"/>
              <w:rPr>
                <w:rFonts w:ascii="Times New Roman" w:hAnsi="Times New Roman" w:cs="Times New Roman"/>
                <w:sz w:val="24"/>
                <w:szCs w:val="24"/>
              </w:rPr>
            </w:pPr>
            <w:r w:rsidRPr="002E06CC">
              <w:rPr>
                <w:rFonts w:ascii="Times New Roman" w:hAnsi="Times New Roman" w:cs="Times New Roman"/>
                <w:sz w:val="24"/>
                <w:szCs w:val="24"/>
              </w:rPr>
              <w:t>Earn a fee based income from brokering deals</w:t>
            </w:r>
          </w:p>
        </w:tc>
        <w:tc>
          <w:tcPr>
            <w:tcW w:w="1584" w:type="dxa"/>
          </w:tcPr>
          <w:p w14:paraId="5E51C792"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R34 million</w:t>
            </w:r>
          </w:p>
        </w:tc>
        <w:tc>
          <w:tcPr>
            <w:tcW w:w="1434" w:type="dxa"/>
          </w:tcPr>
          <w:p w14:paraId="026224AD" w14:textId="77777777" w:rsidR="00E63ACF" w:rsidRPr="002E06CC" w:rsidRDefault="00E63ACF" w:rsidP="002E06CC">
            <w:pPr>
              <w:spacing w:line="360" w:lineRule="auto"/>
              <w:jc w:val="center"/>
              <w:rPr>
                <w:rFonts w:ascii="Times New Roman" w:hAnsi="Times New Roman" w:cs="Times New Roman"/>
                <w:b/>
                <w:sz w:val="24"/>
                <w:szCs w:val="24"/>
              </w:rPr>
            </w:pPr>
            <w:r w:rsidRPr="002E06CC">
              <w:rPr>
                <w:rFonts w:ascii="Times New Roman" w:hAnsi="Times New Roman" w:cs="Times New Roman"/>
                <w:sz w:val="24"/>
                <w:szCs w:val="24"/>
              </w:rPr>
              <w:t>R23.8 million</w:t>
            </w:r>
          </w:p>
        </w:tc>
        <w:tc>
          <w:tcPr>
            <w:tcW w:w="2977" w:type="dxa"/>
            <w:shd w:val="clear" w:color="auto" w:fill="D9D9D9" w:themeFill="background1" w:themeFillShade="D9"/>
          </w:tcPr>
          <w:p w14:paraId="0A25C543"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No comment</w:t>
            </w:r>
          </w:p>
        </w:tc>
      </w:tr>
      <w:tr w:rsidR="00E63ACF" w:rsidRPr="002E06CC" w14:paraId="111D6124" w14:textId="77777777" w:rsidTr="00C41877">
        <w:trPr>
          <w:trHeight w:val="1133"/>
          <w:jc w:val="center"/>
        </w:trPr>
        <w:tc>
          <w:tcPr>
            <w:tcW w:w="1826" w:type="dxa"/>
          </w:tcPr>
          <w:p w14:paraId="26A6FB54" w14:textId="77777777" w:rsidR="00E63ACF" w:rsidRPr="002E06CC" w:rsidRDefault="00E63ACF" w:rsidP="002E06CC">
            <w:pPr>
              <w:spacing w:line="360" w:lineRule="auto"/>
              <w:rPr>
                <w:rFonts w:ascii="Times New Roman" w:hAnsi="Times New Roman" w:cs="Times New Roman"/>
                <w:b/>
                <w:sz w:val="24"/>
                <w:szCs w:val="24"/>
              </w:rPr>
            </w:pPr>
            <w:r w:rsidRPr="002E06CC">
              <w:rPr>
                <w:rFonts w:ascii="Times New Roman" w:hAnsi="Times New Roman" w:cs="Times New Roman"/>
                <w:b/>
                <w:sz w:val="24"/>
                <w:szCs w:val="24"/>
              </w:rPr>
              <w:t>New business initiative</w:t>
            </w:r>
          </w:p>
        </w:tc>
        <w:tc>
          <w:tcPr>
            <w:tcW w:w="1955" w:type="dxa"/>
          </w:tcPr>
          <w:p w14:paraId="6F048354" w14:textId="77777777" w:rsidR="00E63ACF" w:rsidRPr="002E06CC" w:rsidRDefault="00E63ACF" w:rsidP="002E06CC">
            <w:pPr>
              <w:spacing w:line="360" w:lineRule="auto"/>
              <w:rPr>
                <w:rFonts w:ascii="Times New Roman" w:hAnsi="Times New Roman" w:cs="Times New Roman"/>
                <w:sz w:val="24"/>
                <w:szCs w:val="24"/>
              </w:rPr>
            </w:pPr>
            <w:r w:rsidRPr="002E06CC">
              <w:rPr>
                <w:rFonts w:ascii="Times New Roman" w:hAnsi="Times New Roman" w:cs="Times New Roman"/>
                <w:sz w:val="24"/>
                <w:szCs w:val="24"/>
              </w:rPr>
              <w:t>Sweating of DOD Assets</w:t>
            </w:r>
          </w:p>
        </w:tc>
        <w:tc>
          <w:tcPr>
            <w:tcW w:w="1584" w:type="dxa"/>
          </w:tcPr>
          <w:p w14:paraId="1B2F281A"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31 March 2018</w:t>
            </w:r>
          </w:p>
        </w:tc>
        <w:tc>
          <w:tcPr>
            <w:tcW w:w="1434" w:type="dxa"/>
          </w:tcPr>
          <w:p w14:paraId="7B222736"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No opportunity to perform</w:t>
            </w:r>
          </w:p>
        </w:tc>
        <w:tc>
          <w:tcPr>
            <w:tcW w:w="2977" w:type="dxa"/>
            <w:shd w:val="clear" w:color="auto" w:fill="D9D9D9" w:themeFill="background1" w:themeFillShade="D9"/>
          </w:tcPr>
          <w:p w14:paraId="6847448A"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DOD strategy still to be developed</w:t>
            </w:r>
          </w:p>
        </w:tc>
      </w:tr>
      <w:tr w:rsidR="00E63ACF" w:rsidRPr="002E06CC" w14:paraId="24F98BAD" w14:textId="77777777" w:rsidTr="00C41877">
        <w:trPr>
          <w:trHeight w:val="1133"/>
          <w:jc w:val="center"/>
        </w:trPr>
        <w:tc>
          <w:tcPr>
            <w:tcW w:w="1826" w:type="dxa"/>
          </w:tcPr>
          <w:p w14:paraId="2F2450FC" w14:textId="77777777" w:rsidR="00E63ACF" w:rsidRPr="002E06CC" w:rsidRDefault="00E63ACF" w:rsidP="002E06CC">
            <w:pPr>
              <w:spacing w:line="360" w:lineRule="auto"/>
              <w:rPr>
                <w:rFonts w:ascii="Times New Roman" w:hAnsi="Times New Roman" w:cs="Times New Roman"/>
                <w:b/>
                <w:sz w:val="24"/>
                <w:szCs w:val="24"/>
              </w:rPr>
            </w:pPr>
            <w:r w:rsidRPr="002E06CC">
              <w:rPr>
                <w:rFonts w:ascii="Times New Roman" w:hAnsi="Times New Roman" w:cs="Times New Roman"/>
                <w:b/>
                <w:sz w:val="24"/>
                <w:szCs w:val="24"/>
              </w:rPr>
              <w:t>Transformation</w:t>
            </w:r>
          </w:p>
        </w:tc>
        <w:tc>
          <w:tcPr>
            <w:tcW w:w="1955" w:type="dxa"/>
          </w:tcPr>
          <w:p w14:paraId="1F43A226" w14:textId="77777777" w:rsidR="00E63ACF" w:rsidRPr="002E06CC" w:rsidRDefault="00E63ACF" w:rsidP="002E06CC">
            <w:pPr>
              <w:spacing w:line="360" w:lineRule="auto"/>
              <w:rPr>
                <w:rFonts w:ascii="Times New Roman" w:hAnsi="Times New Roman" w:cs="Times New Roman"/>
                <w:sz w:val="24"/>
                <w:szCs w:val="24"/>
              </w:rPr>
            </w:pPr>
            <w:r w:rsidRPr="002E06CC">
              <w:rPr>
                <w:rFonts w:ascii="Times New Roman" w:hAnsi="Times New Roman" w:cs="Times New Roman"/>
                <w:sz w:val="24"/>
                <w:szCs w:val="24"/>
              </w:rPr>
              <w:t>Improving gender composition</w:t>
            </w:r>
          </w:p>
        </w:tc>
        <w:tc>
          <w:tcPr>
            <w:tcW w:w="1584" w:type="dxa"/>
          </w:tcPr>
          <w:p w14:paraId="00B0540A"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37% Female employees</w:t>
            </w:r>
          </w:p>
        </w:tc>
        <w:tc>
          <w:tcPr>
            <w:tcW w:w="1434" w:type="dxa"/>
          </w:tcPr>
          <w:p w14:paraId="0794BB02"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36.34% Female employees</w:t>
            </w:r>
          </w:p>
        </w:tc>
        <w:tc>
          <w:tcPr>
            <w:tcW w:w="2977" w:type="dxa"/>
            <w:shd w:val="clear" w:color="auto" w:fill="D9D9D9" w:themeFill="background1" w:themeFillShade="D9"/>
          </w:tcPr>
          <w:p w14:paraId="6FD6F81E"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No comment</w:t>
            </w:r>
          </w:p>
        </w:tc>
      </w:tr>
      <w:tr w:rsidR="00E63ACF" w:rsidRPr="002E06CC" w14:paraId="6636D6AA" w14:textId="77777777" w:rsidTr="00C41877">
        <w:trPr>
          <w:trHeight w:val="1133"/>
          <w:jc w:val="center"/>
        </w:trPr>
        <w:tc>
          <w:tcPr>
            <w:tcW w:w="1826" w:type="dxa"/>
          </w:tcPr>
          <w:p w14:paraId="147035F4" w14:textId="77777777" w:rsidR="00E63ACF" w:rsidRPr="002E06CC" w:rsidRDefault="00E63ACF" w:rsidP="002E06CC">
            <w:pPr>
              <w:spacing w:line="360" w:lineRule="auto"/>
              <w:rPr>
                <w:rFonts w:ascii="Times New Roman" w:hAnsi="Times New Roman" w:cs="Times New Roman"/>
                <w:b/>
                <w:sz w:val="24"/>
                <w:szCs w:val="24"/>
              </w:rPr>
            </w:pPr>
            <w:r w:rsidRPr="002E06CC">
              <w:rPr>
                <w:rFonts w:ascii="Times New Roman" w:hAnsi="Times New Roman" w:cs="Times New Roman"/>
                <w:b/>
                <w:sz w:val="24"/>
                <w:szCs w:val="24"/>
              </w:rPr>
              <w:t>Employee satisfaction</w:t>
            </w:r>
          </w:p>
        </w:tc>
        <w:tc>
          <w:tcPr>
            <w:tcW w:w="1955" w:type="dxa"/>
          </w:tcPr>
          <w:p w14:paraId="2FD29DC5" w14:textId="77777777" w:rsidR="00E63ACF" w:rsidRPr="002E06CC" w:rsidRDefault="00E63ACF" w:rsidP="002E06CC">
            <w:pPr>
              <w:spacing w:line="360" w:lineRule="auto"/>
              <w:rPr>
                <w:rFonts w:ascii="Times New Roman" w:hAnsi="Times New Roman" w:cs="Times New Roman"/>
                <w:sz w:val="24"/>
                <w:szCs w:val="24"/>
              </w:rPr>
            </w:pPr>
            <w:r w:rsidRPr="002E06CC">
              <w:rPr>
                <w:rFonts w:ascii="Times New Roman" w:hAnsi="Times New Roman" w:cs="Times New Roman"/>
                <w:sz w:val="24"/>
                <w:szCs w:val="24"/>
              </w:rPr>
              <w:t>Employee satisfaction</w:t>
            </w:r>
          </w:p>
        </w:tc>
        <w:tc>
          <w:tcPr>
            <w:tcW w:w="1584" w:type="dxa"/>
          </w:tcPr>
          <w:p w14:paraId="3DFB5706"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1% improvement</w:t>
            </w:r>
          </w:p>
        </w:tc>
        <w:tc>
          <w:tcPr>
            <w:tcW w:w="1434" w:type="dxa"/>
          </w:tcPr>
          <w:p w14:paraId="6E464D74"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0.74% decline</w:t>
            </w:r>
          </w:p>
        </w:tc>
        <w:tc>
          <w:tcPr>
            <w:tcW w:w="2977" w:type="dxa"/>
            <w:shd w:val="clear" w:color="auto" w:fill="D9D9D9" w:themeFill="background1" w:themeFillShade="D9"/>
          </w:tcPr>
          <w:p w14:paraId="1A1657E6"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No comment</w:t>
            </w:r>
          </w:p>
        </w:tc>
      </w:tr>
      <w:tr w:rsidR="00E63ACF" w:rsidRPr="002E06CC" w14:paraId="26398151" w14:textId="77777777" w:rsidTr="00C41877">
        <w:trPr>
          <w:trHeight w:val="983"/>
          <w:jc w:val="center"/>
        </w:trPr>
        <w:tc>
          <w:tcPr>
            <w:tcW w:w="1826" w:type="dxa"/>
          </w:tcPr>
          <w:p w14:paraId="60D615DE" w14:textId="77777777" w:rsidR="00E63ACF" w:rsidRPr="002E06CC" w:rsidRDefault="00E63ACF" w:rsidP="002E06CC">
            <w:pPr>
              <w:spacing w:line="360" w:lineRule="auto"/>
              <w:rPr>
                <w:rFonts w:ascii="Times New Roman" w:hAnsi="Times New Roman" w:cs="Times New Roman"/>
                <w:sz w:val="24"/>
                <w:szCs w:val="24"/>
              </w:rPr>
            </w:pPr>
            <w:r w:rsidRPr="002E06CC">
              <w:rPr>
                <w:rFonts w:ascii="Times New Roman" w:hAnsi="Times New Roman" w:cs="Times New Roman"/>
                <w:b/>
                <w:sz w:val="24"/>
                <w:szCs w:val="24"/>
              </w:rPr>
              <w:t>Infrastructure renewal</w:t>
            </w:r>
          </w:p>
        </w:tc>
        <w:tc>
          <w:tcPr>
            <w:tcW w:w="1955" w:type="dxa"/>
          </w:tcPr>
          <w:p w14:paraId="1011C4E3" w14:textId="77777777" w:rsidR="00E63ACF" w:rsidRPr="002E06CC" w:rsidRDefault="00E63ACF" w:rsidP="002E06CC">
            <w:pPr>
              <w:spacing w:line="360" w:lineRule="auto"/>
              <w:rPr>
                <w:rFonts w:ascii="Times New Roman" w:hAnsi="Times New Roman" w:cs="Times New Roman"/>
                <w:sz w:val="24"/>
                <w:szCs w:val="24"/>
              </w:rPr>
            </w:pPr>
            <w:r w:rsidRPr="002E06CC">
              <w:rPr>
                <w:rFonts w:ascii="Times New Roman" w:hAnsi="Times New Roman" w:cs="Times New Roman"/>
                <w:sz w:val="24"/>
                <w:szCs w:val="24"/>
              </w:rPr>
              <w:t>Completion of implementation of finance model</w:t>
            </w:r>
          </w:p>
        </w:tc>
        <w:tc>
          <w:tcPr>
            <w:tcW w:w="1584" w:type="dxa"/>
          </w:tcPr>
          <w:p w14:paraId="14BAE6C6"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31 March 2018</w:t>
            </w:r>
          </w:p>
        </w:tc>
        <w:tc>
          <w:tcPr>
            <w:tcW w:w="1434" w:type="dxa"/>
          </w:tcPr>
          <w:p w14:paraId="6133F725" w14:textId="77777777" w:rsidR="00E63ACF" w:rsidRPr="002E06CC" w:rsidRDefault="00E63ACF" w:rsidP="002E06CC">
            <w:pPr>
              <w:spacing w:line="360" w:lineRule="auto"/>
              <w:rPr>
                <w:rFonts w:ascii="Times New Roman" w:hAnsi="Times New Roman" w:cs="Times New Roman"/>
                <w:sz w:val="24"/>
                <w:szCs w:val="24"/>
              </w:rPr>
            </w:pPr>
            <w:r w:rsidRPr="002E06CC">
              <w:rPr>
                <w:rFonts w:ascii="Times New Roman" w:hAnsi="Times New Roman" w:cs="Times New Roman"/>
                <w:sz w:val="24"/>
                <w:szCs w:val="24"/>
              </w:rPr>
              <w:t>Not achieved</w:t>
            </w:r>
          </w:p>
        </w:tc>
        <w:tc>
          <w:tcPr>
            <w:tcW w:w="2977" w:type="dxa"/>
            <w:shd w:val="clear" w:color="auto" w:fill="D9D9D9" w:themeFill="background1" w:themeFillShade="D9"/>
          </w:tcPr>
          <w:p w14:paraId="219D2FA5"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Most of the development work</w:t>
            </w:r>
            <w:r w:rsidR="006D1E66" w:rsidRPr="002E06CC">
              <w:rPr>
                <w:rFonts w:ascii="Times New Roman" w:hAnsi="Times New Roman" w:cs="Times New Roman"/>
                <w:sz w:val="24"/>
                <w:szCs w:val="24"/>
              </w:rPr>
              <w:t xml:space="preserve"> </w:t>
            </w:r>
            <w:r w:rsidRPr="002E06CC">
              <w:rPr>
                <w:rFonts w:ascii="Times New Roman" w:hAnsi="Times New Roman" w:cs="Times New Roman"/>
                <w:sz w:val="24"/>
                <w:szCs w:val="24"/>
              </w:rPr>
              <w:t>on Finance module was mainly on</w:t>
            </w:r>
            <w:r w:rsidR="006D1E66" w:rsidRPr="002E06CC">
              <w:rPr>
                <w:rFonts w:ascii="Times New Roman" w:hAnsi="Times New Roman" w:cs="Times New Roman"/>
                <w:sz w:val="24"/>
                <w:szCs w:val="24"/>
              </w:rPr>
              <w:t xml:space="preserve"> </w:t>
            </w:r>
            <w:r w:rsidRPr="002E06CC">
              <w:rPr>
                <w:rFonts w:ascii="Times New Roman" w:hAnsi="Times New Roman" w:cs="Times New Roman"/>
                <w:sz w:val="24"/>
                <w:szCs w:val="24"/>
              </w:rPr>
              <w:t>the Acquisition Purchases</w:t>
            </w:r>
          </w:p>
        </w:tc>
      </w:tr>
      <w:tr w:rsidR="00E63ACF" w:rsidRPr="002E06CC" w14:paraId="6057848C" w14:textId="77777777" w:rsidTr="00C41877">
        <w:trPr>
          <w:trHeight w:val="1038"/>
          <w:jc w:val="center"/>
        </w:trPr>
        <w:tc>
          <w:tcPr>
            <w:tcW w:w="1826" w:type="dxa"/>
          </w:tcPr>
          <w:p w14:paraId="0722D8FF" w14:textId="77777777" w:rsidR="00E63ACF" w:rsidRPr="002E06CC" w:rsidRDefault="00E63ACF" w:rsidP="002E06CC">
            <w:pPr>
              <w:spacing w:line="360" w:lineRule="auto"/>
              <w:rPr>
                <w:rFonts w:ascii="Times New Roman" w:hAnsi="Times New Roman" w:cs="Times New Roman"/>
                <w:sz w:val="24"/>
                <w:szCs w:val="24"/>
              </w:rPr>
            </w:pPr>
            <w:r w:rsidRPr="002E06CC">
              <w:rPr>
                <w:rFonts w:ascii="Times New Roman" w:hAnsi="Times New Roman" w:cs="Times New Roman"/>
                <w:b/>
                <w:sz w:val="24"/>
                <w:szCs w:val="24"/>
              </w:rPr>
              <w:t>Infrastructure renewal</w:t>
            </w:r>
          </w:p>
        </w:tc>
        <w:tc>
          <w:tcPr>
            <w:tcW w:w="1955" w:type="dxa"/>
          </w:tcPr>
          <w:p w14:paraId="5EEB5692" w14:textId="77777777" w:rsidR="00E63ACF" w:rsidRPr="002E06CC" w:rsidRDefault="00E63ACF" w:rsidP="002E06CC">
            <w:pPr>
              <w:spacing w:line="360" w:lineRule="auto"/>
              <w:rPr>
                <w:rFonts w:ascii="Times New Roman" w:hAnsi="Times New Roman" w:cs="Times New Roman"/>
                <w:sz w:val="24"/>
                <w:szCs w:val="24"/>
              </w:rPr>
            </w:pPr>
            <w:r w:rsidRPr="002E06CC">
              <w:rPr>
                <w:rFonts w:ascii="Times New Roman" w:hAnsi="Times New Roman" w:cs="Times New Roman"/>
                <w:sz w:val="24"/>
                <w:szCs w:val="24"/>
              </w:rPr>
              <w:t>Developing HR Modules</w:t>
            </w:r>
          </w:p>
        </w:tc>
        <w:tc>
          <w:tcPr>
            <w:tcW w:w="1584" w:type="dxa"/>
          </w:tcPr>
          <w:p w14:paraId="05651821"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31 March 2018</w:t>
            </w:r>
          </w:p>
        </w:tc>
        <w:tc>
          <w:tcPr>
            <w:tcW w:w="1434" w:type="dxa"/>
          </w:tcPr>
          <w:p w14:paraId="125B4B7C"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Not achieved</w:t>
            </w:r>
          </w:p>
        </w:tc>
        <w:tc>
          <w:tcPr>
            <w:tcW w:w="2977" w:type="dxa"/>
            <w:shd w:val="clear" w:color="auto" w:fill="D9D9D9" w:themeFill="background1" w:themeFillShade="D9"/>
          </w:tcPr>
          <w:p w14:paraId="536B8EF1"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The development of all nine submodules</w:t>
            </w:r>
            <w:r w:rsidR="006D1E66" w:rsidRPr="002E06CC">
              <w:rPr>
                <w:rFonts w:ascii="Times New Roman" w:hAnsi="Times New Roman" w:cs="Times New Roman"/>
                <w:sz w:val="24"/>
                <w:szCs w:val="24"/>
              </w:rPr>
              <w:t xml:space="preserve"> </w:t>
            </w:r>
            <w:r w:rsidRPr="002E06CC">
              <w:rPr>
                <w:rFonts w:ascii="Times New Roman" w:hAnsi="Times New Roman" w:cs="Times New Roman"/>
                <w:sz w:val="24"/>
                <w:szCs w:val="24"/>
              </w:rPr>
              <w:t>for HR &amp; Payroll module had only progressed to just over 50%.</w:t>
            </w:r>
          </w:p>
        </w:tc>
      </w:tr>
      <w:tr w:rsidR="00E63ACF" w:rsidRPr="002E06CC" w14:paraId="6D5C040A" w14:textId="77777777" w:rsidTr="006D1E66">
        <w:trPr>
          <w:trHeight w:val="699"/>
          <w:jc w:val="center"/>
        </w:trPr>
        <w:tc>
          <w:tcPr>
            <w:tcW w:w="1826" w:type="dxa"/>
          </w:tcPr>
          <w:p w14:paraId="1884D643" w14:textId="77777777" w:rsidR="00E63ACF" w:rsidRPr="002E06CC" w:rsidRDefault="00E63ACF" w:rsidP="002E06CC">
            <w:pPr>
              <w:spacing w:line="360" w:lineRule="auto"/>
              <w:rPr>
                <w:rFonts w:ascii="Times New Roman" w:hAnsi="Times New Roman" w:cs="Times New Roman"/>
                <w:sz w:val="24"/>
                <w:szCs w:val="24"/>
              </w:rPr>
            </w:pPr>
            <w:r w:rsidRPr="002E06CC">
              <w:rPr>
                <w:rFonts w:ascii="Times New Roman" w:hAnsi="Times New Roman" w:cs="Times New Roman"/>
                <w:b/>
                <w:sz w:val="24"/>
                <w:szCs w:val="24"/>
              </w:rPr>
              <w:t>Infrastructure renewal</w:t>
            </w:r>
          </w:p>
        </w:tc>
        <w:tc>
          <w:tcPr>
            <w:tcW w:w="1955" w:type="dxa"/>
          </w:tcPr>
          <w:p w14:paraId="3B1C954B" w14:textId="77777777" w:rsidR="00E63ACF" w:rsidRPr="002E06CC" w:rsidRDefault="00E63ACF" w:rsidP="002E06CC">
            <w:pPr>
              <w:spacing w:line="360" w:lineRule="auto"/>
              <w:rPr>
                <w:rFonts w:ascii="Times New Roman" w:hAnsi="Times New Roman" w:cs="Times New Roman"/>
                <w:sz w:val="24"/>
                <w:szCs w:val="24"/>
              </w:rPr>
            </w:pPr>
            <w:r w:rsidRPr="002E06CC">
              <w:rPr>
                <w:rFonts w:ascii="Times New Roman" w:hAnsi="Times New Roman" w:cs="Times New Roman"/>
                <w:sz w:val="24"/>
                <w:szCs w:val="24"/>
              </w:rPr>
              <w:t>Investigate and implement e-procurement for identified Commercial and Military off the Shelf  procurement</w:t>
            </w:r>
          </w:p>
        </w:tc>
        <w:tc>
          <w:tcPr>
            <w:tcW w:w="1584" w:type="dxa"/>
          </w:tcPr>
          <w:p w14:paraId="529826A0"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31 March 2018</w:t>
            </w:r>
            <w:r w:rsidR="006D1E66" w:rsidRPr="002E06CC">
              <w:rPr>
                <w:rFonts w:ascii="Times New Roman" w:hAnsi="Times New Roman" w:cs="Times New Roman"/>
                <w:sz w:val="24"/>
                <w:szCs w:val="24"/>
              </w:rPr>
              <w:t xml:space="preserve"> </w:t>
            </w:r>
            <w:r w:rsidRPr="002E06CC">
              <w:rPr>
                <w:rFonts w:ascii="Times New Roman" w:hAnsi="Times New Roman" w:cs="Times New Roman"/>
                <w:sz w:val="24"/>
                <w:szCs w:val="24"/>
              </w:rPr>
              <w:t>Implementation</w:t>
            </w:r>
          </w:p>
          <w:p w14:paraId="320EB3CC"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of selected</w:t>
            </w:r>
            <w:r w:rsidR="006D1E66" w:rsidRPr="002E06CC">
              <w:rPr>
                <w:rFonts w:ascii="Times New Roman" w:hAnsi="Times New Roman" w:cs="Times New Roman"/>
                <w:sz w:val="24"/>
                <w:szCs w:val="24"/>
              </w:rPr>
              <w:t xml:space="preserve"> </w:t>
            </w:r>
            <w:r w:rsidRPr="002E06CC">
              <w:rPr>
                <w:rFonts w:ascii="Times New Roman" w:hAnsi="Times New Roman" w:cs="Times New Roman"/>
                <w:sz w:val="24"/>
                <w:szCs w:val="24"/>
              </w:rPr>
              <w:t>e-procurement</w:t>
            </w:r>
            <w:r w:rsidR="006D1E66" w:rsidRPr="002E06CC">
              <w:rPr>
                <w:rFonts w:ascii="Times New Roman" w:hAnsi="Times New Roman" w:cs="Times New Roman"/>
                <w:sz w:val="24"/>
                <w:szCs w:val="24"/>
              </w:rPr>
              <w:t xml:space="preserve"> </w:t>
            </w:r>
            <w:r w:rsidRPr="002E06CC">
              <w:rPr>
                <w:rFonts w:ascii="Times New Roman" w:hAnsi="Times New Roman" w:cs="Times New Roman"/>
                <w:sz w:val="24"/>
                <w:szCs w:val="24"/>
              </w:rPr>
              <w:t>process</w:t>
            </w:r>
          </w:p>
        </w:tc>
        <w:tc>
          <w:tcPr>
            <w:tcW w:w="1434" w:type="dxa"/>
          </w:tcPr>
          <w:p w14:paraId="7914739F"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New target date:</w:t>
            </w:r>
          </w:p>
          <w:p w14:paraId="20A484CA"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March 2020</w:t>
            </w:r>
          </w:p>
        </w:tc>
        <w:tc>
          <w:tcPr>
            <w:tcW w:w="2977" w:type="dxa"/>
            <w:shd w:val="clear" w:color="auto" w:fill="D9D9D9" w:themeFill="background1" w:themeFillShade="D9"/>
          </w:tcPr>
          <w:p w14:paraId="6286EDC2"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This solution has a dependency on</w:t>
            </w:r>
            <w:r w:rsidR="006D1E66" w:rsidRPr="002E06CC">
              <w:rPr>
                <w:rFonts w:ascii="Times New Roman" w:hAnsi="Times New Roman" w:cs="Times New Roman"/>
                <w:sz w:val="24"/>
                <w:szCs w:val="24"/>
              </w:rPr>
              <w:t xml:space="preserve"> </w:t>
            </w:r>
            <w:r w:rsidRPr="002E06CC">
              <w:rPr>
                <w:rFonts w:ascii="Times New Roman" w:hAnsi="Times New Roman" w:cs="Times New Roman"/>
                <w:sz w:val="24"/>
                <w:szCs w:val="24"/>
              </w:rPr>
              <w:t>the Supply-Chain Management module</w:t>
            </w:r>
          </w:p>
        </w:tc>
      </w:tr>
      <w:tr w:rsidR="00E63ACF" w:rsidRPr="002E06CC" w14:paraId="4AC2C21A" w14:textId="77777777" w:rsidTr="00C41877">
        <w:trPr>
          <w:trHeight w:val="791"/>
          <w:jc w:val="center"/>
        </w:trPr>
        <w:tc>
          <w:tcPr>
            <w:tcW w:w="1826" w:type="dxa"/>
          </w:tcPr>
          <w:p w14:paraId="7E13E84B" w14:textId="77777777" w:rsidR="00E63ACF" w:rsidRPr="002E06CC" w:rsidRDefault="00E63ACF" w:rsidP="002E06CC">
            <w:pPr>
              <w:spacing w:line="360" w:lineRule="auto"/>
              <w:rPr>
                <w:rFonts w:ascii="Times New Roman" w:hAnsi="Times New Roman" w:cs="Times New Roman"/>
                <w:b/>
                <w:sz w:val="24"/>
                <w:szCs w:val="24"/>
              </w:rPr>
            </w:pPr>
            <w:r w:rsidRPr="002E06CC">
              <w:rPr>
                <w:rFonts w:ascii="Times New Roman" w:hAnsi="Times New Roman" w:cs="Times New Roman"/>
                <w:b/>
                <w:sz w:val="24"/>
                <w:szCs w:val="24"/>
              </w:rPr>
              <w:t>Acquisition excellence</w:t>
            </w:r>
          </w:p>
        </w:tc>
        <w:tc>
          <w:tcPr>
            <w:tcW w:w="1955" w:type="dxa"/>
          </w:tcPr>
          <w:p w14:paraId="5CC37E67" w14:textId="77777777" w:rsidR="00E63ACF" w:rsidRPr="002E06CC" w:rsidRDefault="00E63ACF" w:rsidP="002E06CC">
            <w:pPr>
              <w:spacing w:line="360" w:lineRule="auto"/>
              <w:rPr>
                <w:rFonts w:ascii="Times New Roman" w:hAnsi="Times New Roman" w:cs="Times New Roman"/>
                <w:sz w:val="24"/>
                <w:szCs w:val="24"/>
              </w:rPr>
            </w:pPr>
            <w:r w:rsidRPr="002E06CC">
              <w:rPr>
                <w:rFonts w:ascii="Times New Roman" w:hAnsi="Times New Roman" w:cs="Times New Roman"/>
                <w:sz w:val="24"/>
                <w:szCs w:val="24"/>
              </w:rPr>
              <w:t>Engage with DOD to influence better alignment of capital projects</w:t>
            </w:r>
          </w:p>
        </w:tc>
        <w:tc>
          <w:tcPr>
            <w:tcW w:w="1584" w:type="dxa"/>
          </w:tcPr>
          <w:p w14:paraId="52D52AAE"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Finalisation of Through Life Capability Management acquisition policy</w:t>
            </w:r>
          </w:p>
        </w:tc>
        <w:tc>
          <w:tcPr>
            <w:tcW w:w="1434" w:type="dxa"/>
          </w:tcPr>
          <w:p w14:paraId="56D33950"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Project on Hold</w:t>
            </w:r>
          </w:p>
        </w:tc>
        <w:tc>
          <w:tcPr>
            <w:tcW w:w="2977" w:type="dxa"/>
            <w:shd w:val="clear" w:color="auto" w:fill="D9D9D9" w:themeFill="background1" w:themeFillShade="D9"/>
          </w:tcPr>
          <w:p w14:paraId="004AA5AE"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DOD placed project on hold</w:t>
            </w:r>
          </w:p>
        </w:tc>
      </w:tr>
      <w:tr w:rsidR="00E63ACF" w:rsidRPr="002E06CC" w14:paraId="296BD4C0" w14:textId="77777777" w:rsidTr="00C41877">
        <w:trPr>
          <w:trHeight w:val="791"/>
          <w:jc w:val="center"/>
        </w:trPr>
        <w:tc>
          <w:tcPr>
            <w:tcW w:w="1826" w:type="dxa"/>
          </w:tcPr>
          <w:p w14:paraId="2C9D3AA3" w14:textId="77777777" w:rsidR="00E63ACF" w:rsidRPr="002E06CC" w:rsidRDefault="00E63ACF" w:rsidP="002E06CC">
            <w:pPr>
              <w:spacing w:line="360" w:lineRule="auto"/>
              <w:rPr>
                <w:rFonts w:ascii="Times New Roman" w:hAnsi="Times New Roman" w:cs="Times New Roman"/>
                <w:b/>
                <w:sz w:val="24"/>
                <w:szCs w:val="24"/>
              </w:rPr>
            </w:pPr>
            <w:r w:rsidRPr="002E06CC">
              <w:rPr>
                <w:rFonts w:ascii="Times New Roman" w:hAnsi="Times New Roman" w:cs="Times New Roman"/>
                <w:b/>
                <w:sz w:val="24"/>
                <w:szCs w:val="24"/>
              </w:rPr>
              <w:t>Military Veterans Support</w:t>
            </w:r>
          </w:p>
        </w:tc>
        <w:tc>
          <w:tcPr>
            <w:tcW w:w="1955" w:type="dxa"/>
          </w:tcPr>
          <w:p w14:paraId="26DF4340" w14:textId="77777777" w:rsidR="00E63ACF" w:rsidRPr="002E06CC" w:rsidRDefault="00E63ACF" w:rsidP="002E06CC">
            <w:pPr>
              <w:spacing w:line="360" w:lineRule="auto"/>
              <w:rPr>
                <w:rFonts w:ascii="Times New Roman" w:hAnsi="Times New Roman" w:cs="Times New Roman"/>
                <w:sz w:val="24"/>
                <w:szCs w:val="24"/>
              </w:rPr>
            </w:pPr>
            <w:r w:rsidRPr="002E06CC">
              <w:rPr>
                <w:rFonts w:ascii="Times New Roman" w:hAnsi="Times New Roman" w:cs="Times New Roman"/>
                <w:sz w:val="24"/>
                <w:szCs w:val="24"/>
              </w:rPr>
              <w:t>Submit application for set asides for Military Veterans with National Treasury.</w:t>
            </w:r>
          </w:p>
        </w:tc>
        <w:tc>
          <w:tcPr>
            <w:tcW w:w="1584" w:type="dxa"/>
          </w:tcPr>
          <w:p w14:paraId="5E23C564"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31 March 2018</w:t>
            </w:r>
          </w:p>
        </w:tc>
        <w:tc>
          <w:tcPr>
            <w:tcW w:w="1434" w:type="dxa"/>
          </w:tcPr>
          <w:p w14:paraId="1D5870AF"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No longer required</w:t>
            </w:r>
          </w:p>
        </w:tc>
        <w:tc>
          <w:tcPr>
            <w:tcW w:w="2977" w:type="dxa"/>
            <w:shd w:val="clear" w:color="auto" w:fill="D9D9D9" w:themeFill="background1" w:themeFillShade="D9"/>
          </w:tcPr>
          <w:p w14:paraId="64E7BDDE" w14:textId="77777777" w:rsidR="00E63ACF" w:rsidRPr="002E06CC" w:rsidRDefault="00E63ACF" w:rsidP="002E06CC">
            <w:pPr>
              <w:spacing w:line="360" w:lineRule="auto"/>
              <w:jc w:val="center"/>
              <w:rPr>
                <w:rFonts w:ascii="Times New Roman" w:hAnsi="Times New Roman" w:cs="Times New Roman"/>
                <w:sz w:val="24"/>
                <w:szCs w:val="24"/>
              </w:rPr>
            </w:pPr>
            <w:r w:rsidRPr="002E06CC">
              <w:rPr>
                <w:rFonts w:ascii="Times New Roman" w:hAnsi="Times New Roman" w:cs="Times New Roman"/>
                <w:sz w:val="24"/>
                <w:szCs w:val="24"/>
              </w:rPr>
              <w:t>Due to the change of legal</w:t>
            </w:r>
            <w:r w:rsidR="006D1E66" w:rsidRPr="002E06CC">
              <w:rPr>
                <w:rFonts w:ascii="Times New Roman" w:hAnsi="Times New Roman" w:cs="Times New Roman"/>
                <w:sz w:val="24"/>
                <w:szCs w:val="24"/>
              </w:rPr>
              <w:t xml:space="preserve"> </w:t>
            </w:r>
            <w:r w:rsidRPr="002E06CC">
              <w:rPr>
                <w:rFonts w:ascii="Times New Roman" w:hAnsi="Times New Roman" w:cs="Times New Roman"/>
                <w:sz w:val="24"/>
                <w:szCs w:val="24"/>
              </w:rPr>
              <w:t>requirements (as the Preferential</w:t>
            </w:r>
            <w:r w:rsidR="006D1E66" w:rsidRPr="002E06CC">
              <w:rPr>
                <w:rFonts w:ascii="Times New Roman" w:hAnsi="Times New Roman" w:cs="Times New Roman"/>
                <w:sz w:val="24"/>
                <w:szCs w:val="24"/>
              </w:rPr>
              <w:t xml:space="preserve"> </w:t>
            </w:r>
            <w:r w:rsidRPr="002E06CC">
              <w:rPr>
                <w:rFonts w:ascii="Times New Roman" w:hAnsi="Times New Roman" w:cs="Times New Roman"/>
                <w:sz w:val="24"/>
                <w:szCs w:val="24"/>
              </w:rPr>
              <w:t>Procurement Regulations gazetted</w:t>
            </w:r>
            <w:r w:rsidR="006D1E66" w:rsidRPr="002E06CC">
              <w:rPr>
                <w:rFonts w:ascii="Times New Roman" w:hAnsi="Times New Roman" w:cs="Times New Roman"/>
                <w:sz w:val="24"/>
                <w:szCs w:val="24"/>
              </w:rPr>
              <w:t xml:space="preserve"> </w:t>
            </w:r>
            <w:r w:rsidRPr="002E06CC">
              <w:rPr>
                <w:rFonts w:ascii="Times New Roman" w:hAnsi="Times New Roman" w:cs="Times New Roman"/>
                <w:sz w:val="24"/>
                <w:szCs w:val="24"/>
              </w:rPr>
              <w:t>in January 2017 provide for</w:t>
            </w:r>
            <w:r w:rsidR="006D1E66" w:rsidRPr="002E06CC">
              <w:rPr>
                <w:rFonts w:ascii="Times New Roman" w:hAnsi="Times New Roman" w:cs="Times New Roman"/>
                <w:sz w:val="24"/>
                <w:szCs w:val="24"/>
              </w:rPr>
              <w:t xml:space="preserve"> </w:t>
            </w:r>
            <w:r w:rsidRPr="002E06CC">
              <w:rPr>
                <w:rFonts w:ascii="Times New Roman" w:hAnsi="Times New Roman" w:cs="Times New Roman"/>
                <w:sz w:val="24"/>
                <w:szCs w:val="24"/>
              </w:rPr>
              <w:t>Military</w:t>
            </w:r>
            <w:r w:rsidR="006D1E66" w:rsidRPr="002E06CC">
              <w:rPr>
                <w:rFonts w:ascii="Times New Roman" w:hAnsi="Times New Roman" w:cs="Times New Roman"/>
                <w:sz w:val="24"/>
                <w:szCs w:val="24"/>
              </w:rPr>
              <w:t xml:space="preserve"> Veterans) this objective </w:t>
            </w:r>
            <w:r w:rsidRPr="002E06CC">
              <w:rPr>
                <w:rFonts w:ascii="Times New Roman" w:hAnsi="Times New Roman" w:cs="Times New Roman"/>
                <w:sz w:val="24"/>
                <w:szCs w:val="24"/>
              </w:rPr>
              <w:t>is not pursued anymore.</w:t>
            </w:r>
          </w:p>
        </w:tc>
      </w:tr>
    </w:tbl>
    <w:p w14:paraId="28CDA131" w14:textId="77777777" w:rsidR="00E63ACF" w:rsidRPr="002E06CC" w:rsidRDefault="00E63ACF" w:rsidP="002E06CC">
      <w:pPr>
        <w:spacing w:line="360" w:lineRule="auto"/>
        <w:jc w:val="center"/>
        <w:rPr>
          <w:rFonts w:ascii="Times New Roman" w:hAnsi="Times New Roman" w:cs="Times New Roman"/>
          <w:b/>
          <w:sz w:val="24"/>
          <w:szCs w:val="24"/>
        </w:rPr>
      </w:pPr>
    </w:p>
    <w:p w14:paraId="73ADADAA" w14:textId="77777777" w:rsidR="00461FCB" w:rsidRPr="002E06CC" w:rsidRDefault="00461FCB" w:rsidP="002E06CC">
      <w:pPr>
        <w:pStyle w:val="Heading2"/>
        <w:spacing w:line="360" w:lineRule="auto"/>
        <w:rPr>
          <w:rFonts w:ascii="Times New Roman" w:hAnsi="Times New Roman" w:cs="Times New Roman"/>
          <w:color w:val="auto"/>
          <w:sz w:val="24"/>
          <w:szCs w:val="24"/>
          <w:lang w:val="en-GB"/>
        </w:rPr>
      </w:pPr>
      <w:r w:rsidRPr="002E06CC">
        <w:rPr>
          <w:rFonts w:ascii="Times New Roman" w:hAnsi="Times New Roman" w:cs="Times New Roman"/>
          <w:bCs/>
          <w:color w:val="auto"/>
          <w:sz w:val="24"/>
          <w:szCs w:val="24"/>
        </w:rPr>
        <w:t>5.3</w:t>
      </w:r>
      <w:r w:rsidRPr="002E06CC">
        <w:rPr>
          <w:rFonts w:ascii="Times New Roman" w:hAnsi="Times New Roman" w:cs="Times New Roman"/>
          <w:b w:val="0"/>
          <w:bCs/>
          <w:color w:val="auto"/>
          <w:sz w:val="24"/>
          <w:szCs w:val="24"/>
        </w:rPr>
        <w:tab/>
      </w:r>
      <w:bookmarkStart w:id="1" w:name="_Toc445794768"/>
      <w:r w:rsidRPr="002E06CC">
        <w:rPr>
          <w:rFonts w:ascii="Times New Roman" w:hAnsi="Times New Roman" w:cs="Times New Roman"/>
          <w:color w:val="auto"/>
          <w:sz w:val="24"/>
          <w:szCs w:val="24"/>
          <w:lang w:val="en-GB"/>
        </w:rPr>
        <w:t xml:space="preserve">Personnel information </w:t>
      </w:r>
      <w:bookmarkEnd w:id="1"/>
    </w:p>
    <w:p w14:paraId="68EC3CEE" w14:textId="77777777" w:rsidR="00461FCB" w:rsidRPr="002E06CC" w:rsidRDefault="00461FCB" w:rsidP="002E06CC">
      <w:pPr>
        <w:spacing w:line="360" w:lineRule="auto"/>
        <w:rPr>
          <w:rFonts w:ascii="Times New Roman" w:hAnsi="Times New Roman" w:cs="Times New Roman"/>
          <w:sz w:val="24"/>
          <w:szCs w:val="24"/>
          <w:lang w:val="en-GB"/>
        </w:rPr>
      </w:pPr>
    </w:p>
    <w:p w14:paraId="49EA5F23" w14:textId="77777777" w:rsidR="005D7EA8" w:rsidRPr="002E06CC" w:rsidRDefault="005D7EA8" w:rsidP="002E06CC">
      <w:pPr>
        <w:spacing w:after="0" w:line="360" w:lineRule="auto"/>
        <w:jc w:val="both"/>
        <w:outlineLvl w:val="0"/>
        <w:rPr>
          <w:rFonts w:ascii="Times New Roman" w:hAnsi="Times New Roman" w:cs="Times New Roman"/>
          <w:sz w:val="24"/>
          <w:szCs w:val="24"/>
        </w:rPr>
      </w:pPr>
      <w:r w:rsidRPr="002E06CC">
        <w:rPr>
          <w:rFonts w:ascii="Times New Roman" w:hAnsi="Times New Roman" w:cs="Times New Roman"/>
          <w:sz w:val="24"/>
          <w:szCs w:val="24"/>
        </w:rPr>
        <w:t xml:space="preserve">The 2017/18 Annual Report indicates that Armscor, including the Armscor Dockyard, has a staff complement of 1 463, which is lower than the 2016/17 figure of 1 502. In terms of representation, a target was set to increase black employees from 66 to 68 per cent and performance of 77.32 per cent was already achieved in 2016/17. This increased further to 78.61 per cent in 2017/18. Female employees now comprise 35.27 per cent of Armscor. </w:t>
      </w:r>
    </w:p>
    <w:p w14:paraId="3F50920A" w14:textId="77777777" w:rsidR="005D7EA8" w:rsidRPr="002E06CC" w:rsidRDefault="005D7EA8" w:rsidP="002E06CC">
      <w:pPr>
        <w:spacing w:after="0" w:line="360" w:lineRule="auto"/>
        <w:jc w:val="both"/>
        <w:outlineLvl w:val="0"/>
        <w:rPr>
          <w:rFonts w:ascii="Times New Roman" w:hAnsi="Times New Roman" w:cs="Times New Roman"/>
          <w:sz w:val="24"/>
          <w:szCs w:val="24"/>
        </w:rPr>
      </w:pPr>
    </w:p>
    <w:p w14:paraId="10FF58AF" w14:textId="77777777" w:rsidR="005D7EA8" w:rsidRPr="002E06CC" w:rsidRDefault="005D7EA8" w:rsidP="002E06CC">
      <w:pPr>
        <w:spacing w:after="0" w:line="360" w:lineRule="auto"/>
        <w:jc w:val="both"/>
        <w:outlineLvl w:val="0"/>
        <w:rPr>
          <w:rFonts w:ascii="Times New Roman" w:hAnsi="Times New Roman" w:cs="Times New Roman"/>
          <w:sz w:val="24"/>
          <w:szCs w:val="24"/>
        </w:rPr>
      </w:pPr>
      <w:r w:rsidRPr="002E06CC">
        <w:rPr>
          <w:rFonts w:ascii="Times New Roman" w:hAnsi="Times New Roman" w:cs="Times New Roman"/>
          <w:sz w:val="24"/>
          <w:szCs w:val="24"/>
        </w:rPr>
        <w:t>Armscor should also be lauded for identifying capability retention and succession planning as key focus areas. As such, in 2017/18, at least 46 key position were identified as well as 74 potential successors. This translates to an 83.69 per cent compliance with the development plan as contracted with successors.</w:t>
      </w:r>
    </w:p>
    <w:p w14:paraId="2EF9FD41" w14:textId="77777777" w:rsidR="005D7EA8" w:rsidRPr="002E06CC" w:rsidRDefault="005D7EA8" w:rsidP="002E06CC">
      <w:pPr>
        <w:spacing w:after="0" w:line="360" w:lineRule="auto"/>
        <w:jc w:val="both"/>
        <w:outlineLvl w:val="0"/>
        <w:rPr>
          <w:rFonts w:ascii="Times New Roman" w:hAnsi="Times New Roman" w:cs="Times New Roman"/>
          <w:sz w:val="24"/>
          <w:szCs w:val="24"/>
        </w:rPr>
      </w:pPr>
    </w:p>
    <w:p w14:paraId="47756B9F" w14:textId="77777777" w:rsidR="005D7EA8" w:rsidRPr="002E06CC" w:rsidRDefault="005D7EA8" w:rsidP="002E06CC">
      <w:pPr>
        <w:spacing w:after="0" w:line="360" w:lineRule="auto"/>
        <w:jc w:val="both"/>
        <w:outlineLvl w:val="0"/>
        <w:rPr>
          <w:rFonts w:ascii="Times New Roman" w:hAnsi="Times New Roman" w:cs="Times New Roman"/>
          <w:sz w:val="24"/>
          <w:szCs w:val="24"/>
        </w:rPr>
      </w:pPr>
      <w:r w:rsidRPr="002E06CC">
        <w:rPr>
          <w:rFonts w:ascii="Times New Roman" w:hAnsi="Times New Roman" w:cs="Times New Roman"/>
          <w:sz w:val="24"/>
          <w:szCs w:val="24"/>
        </w:rPr>
        <w:t xml:space="preserve">Armscor continues to provide skills development through a number of programmes, the following of which are noteworthy: </w:t>
      </w:r>
    </w:p>
    <w:p w14:paraId="7EAE97C3" w14:textId="77777777" w:rsidR="005D7EA8" w:rsidRPr="002E06CC" w:rsidRDefault="005D7EA8" w:rsidP="002E06CC">
      <w:pPr>
        <w:spacing w:after="0" w:line="360" w:lineRule="auto"/>
        <w:jc w:val="both"/>
        <w:outlineLvl w:val="0"/>
        <w:rPr>
          <w:rFonts w:ascii="Times New Roman" w:hAnsi="Times New Roman" w:cs="Times New Roman"/>
          <w:sz w:val="24"/>
          <w:szCs w:val="24"/>
        </w:rPr>
      </w:pPr>
    </w:p>
    <w:p w14:paraId="0B010E5A" w14:textId="77777777" w:rsidR="005D7EA8" w:rsidRPr="002E06CC" w:rsidRDefault="005D7EA8" w:rsidP="002E06CC">
      <w:pPr>
        <w:numPr>
          <w:ilvl w:val="0"/>
          <w:numId w:val="35"/>
        </w:numPr>
        <w:spacing w:after="0" w:line="360" w:lineRule="auto"/>
        <w:jc w:val="both"/>
        <w:outlineLvl w:val="0"/>
        <w:rPr>
          <w:rFonts w:ascii="Times New Roman" w:hAnsi="Times New Roman" w:cs="Times New Roman"/>
          <w:sz w:val="24"/>
          <w:szCs w:val="24"/>
        </w:rPr>
      </w:pPr>
      <w:r w:rsidRPr="002E06CC">
        <w:rPr>
          <w:rFonts w:ascii="Times New Roman" w:hAnsi="Times New Roman" w:cs="Times New Roman"/>
          <w:sz w:val="24"/>
          <w:szCs w:val="24"/>
        </w:rPr>
        <w:t>International Training Programmes. Three employees completed their studies at the Naval Post Graduate School in the USA in engineering. Four employees are registered for Masters in Science: Military Aerospace and Airworthiness. Two employees commenced with studies for the Advanced Masters in Unmanned Aircraft Systems Management programme.</w:t>
      </w:r>
    </w:p>
    <w:p w14:paraId="42904592" w14:textId="77777777" w:rsidR="005D7EA8" w:rsidRPr="002E06CC" w:rsidRDefault="005D7EA8" w:rsidP="002E06CC">
      <w:pPr>
        <w:numPr>
          <w:ilvl w:val="0"/>
          <w:numId w:val="35"/>
        </w:numPr>
        <w:spacing w:after="0" w:line="360" w:lineRule="auto"/>
        <w:jc w:val="both"/>
        <w:outlineLvl w:val="0"/>
        <w:rPr>
          <w:rFonts w:ascii="Times New Roman" w:hAnsi="Times New Roman" w:cs="Times New Roman"/>
          <w:sz w:val="24"/>
          <w:szCs w:val="24"/>
        </w:rPr>
      </w:pPr>
      <w:r w:rsidRPr="002E06CC">
        <w:rPr>
          <w:rFonts w:ascii="Times New Roman" w:hAnsi="Times New Roman" w:cs="Times New Roman"/>
          <w:sz w:val="24"/>
          <w:szCs w:val="24"/>
        </w:rPr>
        <w:t>Talent Development Programme. In 2016/17, 35 candidates were included in this graduate training programme. In 2017/18, 44 talent development candidates went through the programme.</w:t>
      </w:r>
    </w:p>
    <w:p w14:paraId="33C9D8B1" w14:textId="77777777" w:rsidR="005D7EA8" w:rsidRPr="002E06CC" w:rsidRDefault="005D7EA8" w:rsidP="002E06CC">
      <w:pPr>
        <w:numPr>
          <w:ilvl w:val="0"/>
          <w:numId w:val="35"/>
        </w:numPr>
        <w:spacing w:after="0" w:line="360" w:lineRule="auto"/>
        <w:jc w:val="both"/>
        <w:outlineLvl w:val="0"/>
        <w:rPr>
          <w:rFonts w:ascii="Times New Roman" w:hAnsi="Times New Roman" w:cs="Times New Roman"/>
          <w:sz w:val="24"/>
          <w:szCs w:val="24"/>
        </w:rPr>
      </w:pPr>
      <w:r w:rsidRPr="002E06CC">
        <w:rPr>
          <w:rFonts w:ascii="Times New Roman" w:hAnsi="Times New Roman" w:cs="Times New Roman"/>
          <w:sz w:val="24"/>
          <w:szCs w:val="24"/>
        </w:rPr>
        <w:t xml:space="preserve">Bursaries. A total of 36 Bursaries were made available to undergraduate students at various universities. Although the target of 33 bursaries was exceeded, it is a major reduction from the 116 bursaries afforded in 2016/17. </w:t>
      </w:r>
    </w:p>
    <w:p w14:paraId="618AD24B" w14:textId="77777777" w:rsidR="005D7EA8" w:rsidRPr="002E06CC" w:rsidRDefault="005D7EA8" w:rsidP="002E06CC">
      <w:pPr>
        <w:numPr>
          <w:ilvl w:val="0"/>
          <w:numId w:val="35"/>
        </w:numPr>
        <w:spacing w:after="0" w:line="360" w:lineRule="auto"/>
        <w:jc w:val="both"/>
        <w:outlineLvl w:val="0"/>
        <w:rPr>
          <w:rFonts w:ascii="Times New Roman" w:hAnsi="Times New Roman" w:cs="Times New Roman"/>
          <w:sz w:val="24"/>
          <w:szCs w:val="24"/>
        </w:rPr>
      </w:pPr>
      <w:r w:rsidRPr="002E06CC">
        <w:rPr>
          <w:rFonts w:ascii="Times New Roman" w:hAnsi="Times New Roman" w:cs="Times New Roman"/>
          <w:sz w:val="24"/>
          <w:szCs w:val="24"/>
        </w:rPr>
        <w:t>Dockyard training. The Dockyard provided training to 92 apprentices. Of these, three have qualified as artisans, 40 are preparing for their trade tests and 48 are continuing with the theoretical foundation training.</w:t>
      </w:r>
    </w:p>
    <w:p w14:paraId="25B278D7" w14:textId="77777777" w:rsidR="00461FCB" w:rsidRPr="002E06CC" w:rsidRDefault="00461FCB" w:rsidP="002E06CC">
      <w:pPr>
        <w:spacing w:after="0" w:line="360" w:lineRule="auto"/>
        <w:jc w:val="both"/>
        <w:outlineLvl w:val="0"/>
        <w:rPr>
          <w:rFonts w:ascii="Times New Roman" w:eastAsia="Arial Unicode MS" w:hAnsi="Times New Roman" w:cs="Times New Roman"/>
          <w:b/>
          <w:sz w:val="24"/>
          <w:szCs w:val="24"/>
          <w:u w:color="000000"/>
          <w:lang w:val="en-US"/>
        </w:rPr>
      </w:pPr>
    </w:p>
    <w:p w14:paraId="4AD291AB" w14:textId="77777777" w:rsidR="00461FCB" w:rsidRPr="002E06CC" w:rsidRDefault="00461FCB" w:rsidP="002E06CC">
      <w:pPr>
        <w:spacing w:after="0" w:line="360" w:lineRule="auto"/>
        <w:jc w:val="both"/>
        <w:outlineLvl w:val="0"/>
        <w:rPr>
          <w:rFonts w:ascii="Times New Roman" w:eastAsia="Arial Unicode MS" w:hAnsi="Times New Roman" w:cs="Times New Roman"/>
          <w:b/>
          <w:caps/>
          <w:sz w:val="24"/>
          <w:szCs w:val="24"/>
          <w:u w:color="000000"/>
          <w:lang w:eastAsia="en-ZA"/>
        </w:rPr>
      </w:pPr>
      <w:r w:rsidRPr="002E06CC">
        <w:rPr>
          <w:rFonts w:ascii="Times New Roman" w:eastAsia="Arial Unicode MS" w:hAnsi="Times New Roman" w:cs="Times New Roman"/>
          <w:b/>
          <w:caps/>
          <w:sz w:val="24"/>
          <w:szCs w:val="24"/>
          <w:u w:color="000000"/>
          <w:lang w:eastAsia="en-ZA"/>
        </w:rPr>
        <w:t>6.</w:t>
      </w:r>
      <w:r w:rsidRPr="002E06CC">
        <w:rPr>
          <w:rFonts w:ascii="Times New Roman" w:eastAsia="Arial Unicode MS" w:hAnsi="Times New Roman" w:cs="Times New Roman"/>
          <w:b/>
          <w:caps/>
          <w:sz w:val="24"/>
          <w:szCs w:val="24"/>
          <w:u w:color="000000"/>
          <w:lang w:eastAsia="en-ZA"/>
        </w:rPr>
        <w:tab/>
        <w:t>COMMITTEE KEY FINDINGS: ARMSCOR</w:t>
      </w:r>
    </w:p>
    <w:p w14:paraId="0B2B247E" w14:textId="77777777" w:rsidR="00461FCB" w:rsidRPr="002E06CC" w:rsidRDefault="00461FCB" w:rsidP="002E06CC">
      <w:pPr>
        <w:spacing w:line="360" w:lineRule="auto"/>
        <w:rPr>
          <w:rFonts w:ascii="Times New Roman" w:hAnsi="Times New Roman" w:cs="Times New Roman"/>
          <w:sz w:val="24"/>
          <w:szCs w:val="24"/>
          <w:u w:color="000000"/>
          <w:lang w:eastAsia="en-ZA"/>
        </w:rPr>
      </w:pPr>
    </w:p>
    <w:p w14:paraId="1123A14F" w14:textId="77777777" w:rsidR="00461FCB" w:rsidRPr="002E06CC" w:rsidRDefault="00461FCB" w:rsidP="002E06CC">
      <w:pPr>
        <w:spacing w:line="360" w:lineRule="auto"/>
        <w:rPr>
          <w:rFonts w:ascii="Times New Roman" w:hAnsi="Times New Roman" w:cs="Times New Roman"/>
          <w:sz w:val="24"/>
          <w:szCs w:val="24"/>
          <w:u w:color="000000"/>
          <w:lang w:eastAsia="en-ZA"/>
        </w:rPr>
      </w:pPr>
      <w:r w:rsidRPr="002E06CC">
        <w:rPr>
          <w:rFonts w:ascii="Times New Roman" w:hAnsi="Times New Roman" w:cs="Times New Roman"/>
          <w:sz w:val="24"/>
          <w:szCs w:val="24"/>
          <w:u w:color="000000"/>
          <w:lang w:eastAsia="en-ZA"/>
        </w:rPr>
        <w:t>During its engagement with Armscor, the PCODMV made the following key findings:</w:t>
      </w:r>
    </w:p>
    <w:p w14:paraId="1EF01BA2" w14:textId="77777777" w:rsidR="005D7EA8" w:rsidRPr="002E06CC" w:rsidRDefault="005D7EA8" w:rsidP="002E06CC">
      <w:pPr>
        <w:pStyle w:val="ListParagraph"/>
        <w:numPr>
          <w:ilvl w:val="0"/>
          <w:numId w:val="11"/>
        </w:numPr>
        <w:spacing w:line="360" w:lineRule="auto"/>
        <w:jc w:val="both"/>
        <w:rPr>
          <w:rFonts w:ascii="Times New Roman" w:hAnsi="Times New Roman"/>
          <w:sz w:val="24"/>
          <w:szCs w:val="24"/>
          <w:u w:color="000000"/>
          <w:lang w:eastAsia="en-ZA"/>
        </w:rPr>
      </w:pPr>
      <w:r w:rsidRPr="002E06CC">
        <w:rPr>
          <w:rFonts w:ascii="Times New Roman" w:hAnsi="Times New Roman"/>
          <w:sz w:val="24"/>
          <w:szCs w:val="24"/>
          <w:u w:color="000000"/>
          <w:lang w:eastAsia="en-ZA"/>
        </w:rPr>
        <w:t>The Committee noted the increase in spending on compensation of employees despite the actual number of employees having been reduced. While appreciate of the importance of human capital to Armscor, such expenditure should be carefully controlled amid existing financial constraints.</w:t>
      </w:r>
    </w:p>
    <w:p w14:paraId="7C60D7B6" w14:textId="77777777" w:rsidR="005D7EA8" w:rsidRPr="002E06CC" w:rsidRDefault="005D7EA8" w:rsidP="002E06CC">
      <w:pPr>
        <w:pStyle w:val="ListParagraph"/>
        <w:spacing w:line="360" w:lineRule="auto"/>
        <w:jc w:val="both"/>
        <w:rPr>
          <w:rFonts w:ascii="Times New Roman" w:hAnsi="Times New Roman"/>
          <w:sz w:val="24"/>
          <w:szCs w:val="24"/>
          <w:u w:color="000000"/>
          <w:lang w:eastAsia="en-ZA"/>
        </w:rPr>
      </w:pPr>
    </w:p>
    <w:p w14:paraId="2A40545C" w14:textId="77777777" w:rsidR="00461FCB" w:rsidRPr="002E06CC" w:rsidRDefault="005D7EA8" w:rsidP="002E06CC">
      <w:pPr>
        <w:pStyle w:val="ListParagraph"/>
        <w:numPr>
          <w:ilvl w:val="0"/>
          <w:numId w:val="11"/>
        </w:numPr>
        <w:spacing w:line="360" w:lineRule="auto"/>
        <w:jc w:val="both"/>
        <w:rPr>
          <w:rFonts w:ascii="Times New Roman" w:hAnsi="Times New Roman"/>
          <w:sz w:val="24"/>
          <w:szCs w:val="24"/>
          <w:u w:color="000000"/>
          <w:lang w:eastAsia="en-ZA"/>
        </w:rPr>
      </w:pPr>
      <w:r w:rsidRPr="002E06CC">
        <w:rPr>
          <w:rFonts w:ascii="Times New Roman" w:hAnsi="Times New Roman"/>
          <w:sz w:val="24"/>
          <w:szCs w:val="24"/>
          <w:u w:color="000000"/>
          <w:lang w:eastAsia="en-ZA"/>
        </w:rPr>
        <w:t>The Committee noted with concern the slow pace of the sweating of assets for the DOD. While a SLA has been established between Armscor and the DOD, no properties have been transferred to Armscor for capitalisation.</w:t>
      </w:r>
    </w:p>
    <w:p w14:paraId="00F10EFD" w14:textId="77777777" w:rsidR="00461FCB" w:rsidRPr="002E06CC" w:rsidRDefault="00461FCB" w:rsidP="002E06CC">
      <w:pPr>
        <w:pStyle w:val="ListParagraph"/>
        <w:spacing w:line="360" w:lineRule="auto"/>
        <w:jc w:val="both"/>
        <w:rPr>
          <w:rFonts w:ascii="Times New Roman" w:hAnsi="Times New Roman"/>
          <w:sz w:val="24"/>
          <w:szCs w:val="24"/>
          <w:u w:color="000000"/>
          <w:lang w:eastAsia="en-ZA"/>
        </w:rPr>
      </w:pPr>
    </w:p>
    <w:p w14:paraId="3AD8B0EA" w14:textId="77777777" w:rsidR="00461FCB" w:rsidRPr="002E06CC" w:rsidRDefault="005D7EA8" w:rsidP="002E06CC">
      <w:pPr>
        <w:pStyle w:val="ListParagraph"/>
        <w:numPr>
          <w:ilvl w:val="0"/>
          <w:numId w:val="11"/>
        </w:numPr>
        <w:spacing w:line="360" w:lineRule="auto"/>
        <w:jc w:val="both"/>
        <w:rPr>
          <w:rFonts w:ascii="Times New Roman" w:hAnsi="Times New Roman"/>
          <w:sz w:val="24"/>
          <w:szCs w:val="24"/>
          <w:u w:color="000000"/>
          <w:lang w:eastAsia="en-ZA"/>
        </w:rPr>
      </w:pPr>
      <w:r w:rsidRPr="002E06CC">
        <w:rPr>
          <w:rFonts w:ascii="Times New Roman" w:hAnsi="Times New Roman"/>
          <w:sz w:val="24"/>
          <w:szCs w:val="24"/>
          <w:u w:color="000000"/>
          <w:lang w:eastAsia="en-ZA"/>
        </w:rPr>
        <w:t xml:space="preserve">Armscor received an unqualified </w:t>
      </w:r>
      <w:r w:rsidR="006D1E66" w:rsidRPr="002E06CC">
        <w:rPr>
          <w:rFonts w:ascii="Times New Roman" w:hAnsi="Times New Roman"/>
          <w:sz w:val="24"/>
          <w:szCs w:val="24"/>
          <w:u w:color="000000"/>
          <w:lang w:eastAsia="en-ZA"/>
        </w:rPr>
        <w:t>audit, which</w:t>
      </w:r>
      <w:r w:rsidRPr="002E06CC">
        <w:rPr>
          <w:rFonts w:ascii="Times New Roman" w:hAnsi="Times New Roman"/>
          <w:sz w:val="24"/>
          <w:szCs w:val="24"/>
          <w:u w:color="000000"/>
          <w:lang w:eastAsia="en-ZA"/>
        </w:rPr>
        <w:t xml:space="preserve"> represents </w:t>
      </w:r>
      <w:r w:rsidR="006D1E66" w:rsidRPr="002E06CC">
        <w:rPr>
          <w:rFonts w:ascii="Times New Roman" w:hAnsi="Times New Roman"/>
          <w:sz w:val="24"/>
          <w:szCs w:val="24"/>
          <w:u w:color="000000"/>
          <w:lang w:eastAsia="en-ZA"/>
        </w:rPr>
        <w:t>regressions</w:t>
      </w:r>
      <w:r w:rsidRPr="002E06CC">
        <w:rPr>
          <w:rFonts w:ascii="Times New Roman" w:hAnsi="Times New Roman"/>
          <w:sz w:val="24"/>
          <w:szCs w:val="24"/>
          <w:u w:color="000000"/>
          <w:lang w:eastAsia="en-ZA"/>
        </w:rPr>
        <w:t xml:space="preserve"> from its clean audit opinion in 2016/17.</w:t>
      </w:r>
    </w:p>
    <w:p w14:paraId="2607D2E8" w14:textId="77777777" w:rsidR="00461FCB" w:rsidRPr="002E06CC" w:rsidRDefault="00461FCB" w:rsidP="002E06CC">
      <w:pPr>
        <w:pStyle w:val="ListParagraph"/>
        <w:spacing w:line="360" w:lineRule="auto"/>
        <w:rPr>
          <w:rFonts w:ascii="Times New Roman" w:hAnsi="Times New Roman"/>
          <w:sz w:val="24"/>
          <w:szCs w:val="24"/>
          <w:u w:color="000000"/>
          <w:lang w:eastAsia="en-ZA"/>
        </w:rPr>
      </w:pPr>
    </w:p>
    <w:p w14:paraId="1532E1AE" w14:textId="77777777" w:rsidR="00461FCB" w:rsidRPr="002E06CC" w:rsidRDefault="005D7EA8" w:rsidP="002E06CC">
      <w:pPr>
        <w:pStyle w:val="ListParagraph"/>
        <w:numPr>
          <w:ilvl w:val="0"/>
          <w:numId w:val="11"/>
        </w:numPr>
        <w:spacing w:line="360" w:lineRule="auto"/>
        <w:jc w:val="both"/>
        <w:rPr>
          <w:rFonts w:ascii="Times New Roman" w:hAnsi="Times New Roman"/>
          <w:sz w:val="24"/>
          <w:szCs w:val="24"/>
          <w:u w:color="000000"/>
          <w:lang w:eastAsia="en-ZA"/>
        </w:rPr>
      </w:pPr>
      <w:r w:rsidRPr="002E06CC">
        <w:rPr>
          <w:rFonts w:ascii="Times New Roman" w:hAnsi="Times New Roman"/>
          <w:sz w:val="24"/>
          <w:szCs w:val="24"/>
          <w:u w:color="000000"/>
          <w:lang w:eastAsia="en-ZA"/>
        </w:rPr>
        <w:t xml:space="preserve">The Committee welcomes the </w:t>
      </w:r>
      <w:r w:rsidR="00B62A65" w:rsidRPr="002E06CC">
        <w:rPr>
          <w:rFonts w:ascii="Times New Roman" w:hAnsi="Times New Roman"/>
          <w:sz w:val="24"/>
          <w:szCs w:val="24"/>
          <w:u w:color="000000"/>
          <w:lang w:eastAsia="en-ZA"/>
        </w:rPr>
        <w:t>finalisation</w:t>
      </w:r>
      <w:r w:rsidRPr="002E06CC">
        <w:rPr>
          <w:rFonts w:ascii="Times New Roman" w:hAnsi="Times New Roman"/>
          <w:sz w:val="24"/>
          <w:szCs w:val="24"/>
          <w:u w:color="000000"/>
          <w:lang w:eastAsia="en-ZA"/>
        </w:rPr>
        <w:t xml:space="preserve"> of negotiations with the Square Kilometre Array (SKA) project in the Northern Cape to ensure a mutually beneficial existence with Armscor’s Alkantpan facility.</w:t>
      </w:r>
    </w:p>
    <w:p w14:paraId="5C088A0E" w14:textId="77777777" w:rsidR="00461FCB" w:rsidRPr="002E06CC" w:rsidRDefault="00461FCB" w:rsidP="002E06CC">
      <w:pPr>
        <w:pStyle w:val="ListParagraph"/>
        <w:spacing w:line="360" w:lineRule="auto"/>
        <w:rPr>
          <w:rFonts w:ascii="Times New Roman" w:hAnsi="Times New Roman"/>
          <w:sz w:val="24"/>
          <w:szCs w:val="24"/>
          <w:u w:color="000000"/>
          <w:lang w:eastAsia="en-ZA"/>
        </w:rPr>
      </w:pPr>
    </w:p>
    <w:p w14:paraId="4EA51D9E" w14:textId="77777777" w:rsidR="004B607B" w:rsidRPr="002E06CC" w:rsidRDefault="004B607B" w:rsidP="002E06CC">
      <w:pPr>
        <w:pStyle w:val="ListParagraph"/>
        <w:numPr>
          <w:ilvl w:val="0"/>
          <w:numId w:val="11"/>
        </w:numPr>
        <w:spacing w:line="360" w:lineRule="auto"/>
        <w:jc w:val="both"/>
        <w:rPr>
          <w:rFonts w:ascii="Times New Roman" w:hAnsi="Times New Roman"/>
          <w:sz w:val="24"/>
          <w:szCs w:val="24"/>
          <w:u w:color="000000"/>
          <w:lang w:eastAsia="en-ZA"/>
        </w:rPr>
      </w:pPr>
      <w:r w:rsidRPr="002E06CC">
        <w:rPr>
          <w:rFonts w:ascii="Times New Roman" w:hAnsi="Times New Roman"/>
          <w:sz w:val="24"/>
          <w:szCs w:val="24"/>
        </w:rPr>
        <w:t>Irregular expenditure of R12.3 million and f</w:t>
      </w:r>
      <w:r w:rsidRPr="002E06CC">
        <w:rPr>
          <w:rFonts w:ascii="Times New Roman" w:hAnsi="Times New Roman"/>
          <w:sz w:val="24"/>
          <w:szCs w:val="24"/>
          <w:u w:color="000000"/>
          <w:lang w:eastAsia="en-ZA"/>
        </w:rPr>
        <w:t>ruitless and wasteful expenditure of R4.1 million is of an ongoing concern for the Committee.</w:t>
      </w:r>
    </w:p>
    <w:p w14:paraId="2F6E0AC5" w14:textId="77777777" w:rsidR="004B607B" w:rsidRPr="002E06CC" w:rsidRDefault="004B607B" w:rsidP="002E06CC">
      <w:pPr>
        <w:pStyle w:val="ListParagraph"/>
        <w:spacing w:line="360" w:lineRule="auto"/>
        <w:rPr>
          <w:rFonts w:ascii="Times New Roman" w:hAnsi="Times New Roman"/>
          <w:sz w:val="24"/>
          <w:szCs w:val="24"/>
          <w:u w:color="000000"/>
          <w:lang w:eastAsia="en-ZA"/>
        </w:rPr>
      </w:pPr>
    </w:p>
    <w:p w14:paraId="2B9FEF46" w14:textId="77777777" w:rsidR="00461FCB" w:rsidRPr="002E06CC" w:rsidRDefault="004B607B" w:rsidP="002E06CC">
      <w:pPr>
        <w:pStyle w:val="ListParagraph"/>
        <w:numPr>
          <w:ilvl w:val="0"/>
          <w:numId w:val="11"/>
        </w:numPr>
        <w:spacing w:line="360" w:lineRule="auto"/>
        <w:jc w:val="both"/>
        <w:rPr>
          <w:rFonts w:ascii="Times New Roman" w:hAnsi="Times New Roman"/>
          <w:sz w:val="24"/>
          <w:szCs w:val="24"/>
          <w:u w:color="000000"/>
          <w:lang w:eastAsia="en-ZA"/>
        </w:rPr>
      </w:pPr>
      <w:r w:rsidRPr="002E06CC">
        <w:rPr>
          <w:rFonts w:ascii="Times New Roman" w:hAnsi="Times New Roman"/>
          <w:sz w:val="24"/>
          <w:szCs w:val="24"/>
          <w:u w:color="000000"/>
          <w:lang w:eastAsia="en-ZA"/>
        </w:rPr>
        <w:t>The renewal plan for the Armscor Dockyard is welcomed. The Committee appreciated the fact that the SA Navy remains the primary client of the Dockyard as a strategic national asset. It is further appreciated that ventures are sought to exploit the potential commercial value of the Dockyard.</w:t>
      </w:r>
    </w:p>
    <w:p w14:paraId="31AB23C0" w14:textId="77777777" w:rsidR="00461FCB" w:rsidRPr="002E06CC" w:rsidRDefault="00461FCB" w:rsidP="002E06CC">
      <w:pPr>
        <w:pStyle w:val="ListParagraph"/>
        <w:spacing w:line="360" w:lineRule="auto"/>
        <w:rPr>
          <w:rFonts w:ascii="Times New Roman" w:hAnsi="Times New Roman"/>
          <w:sz w:val="24"/>
          <w:szCs w:val="24"/>
          <w:u w:color="000000"/>
          <w:lang w:eastAsia="en-ZA"/>
        </w:rPr>
      </w:pPr>
    </w:p>
    <w:p w14:paraId="0D8755FE" w14:textId="77777777" w:rsidR="00461FCB" w:rsidRPr="002E06CC" w:rsidRDefault="00461FCB" w:rsidP="002E06CC">
      <w:pPr>
        <w:pStyle w:val="ListParagraph"/>
        <w:numPr>
          <w:ilvl w:val="0"/>
          <w:numId w:val="11"/>
        </w:numPr>
        <w:spacing w:line="360" w:lineRule="auto"/>
        <w:jc w:val="both"/>
        <w:rPr>
          <w:rFonts w:ascii="Times New Roman" w:hAnsi="Times New Roman"/>
          <w:sz w:val="24"/>
          <w:szCs w:val="24"/>
          <w:lang w:val="en-US"/>
        </w:rPr>
      </w:pPr>
      <w:r w:rsidRPr="002E06CC">
        <w:rPr>
          <w:rFonts w:ascii="Times New Roman" w:hAnsi="Times New Roman"/>
          <w:sz w:val="24"/>
          <w:szCs w:val="24"/>
          <w:u w:color="000000"/>
          <w:lang w:eastAsia="en-ZA"/>
        </w:rPr>
        <w:t xml:space="preserve">Concern was raised regarding the outstanding DIP agreement with the </w:t>
      </w:r>
      <w:r w:rsidRPr="002E06CC">
        <w:rPr>
          <w:rFonts w:ascii="Times New Roman" w:hAnsi="Times New Roman"/>
          <w:sz w:val="24"/>
          <w:szCs w:val="24"/>
        </w:rPr>
        <w:t xml:space="preserve">MBDA. </w:t>
      </w:r>
      <w:r w:rsidRPr="002E06CC">
        <w:rPr>
          <w:rFonts w:ascii="Times New Roman" w:hAnsi="Times New Roman"/>
          <w:sz w:val="24"/>
          <w:szCs w:val="24"/>
          <w:lang w:val="en-US"/>
        </w:rPr>
        <w:t xml:space="preserve">A recent programme related to maintaining the missiles for the SA Navy was identified as a possible offset for the agreement. However, due to </w:t>
      </w:r>
      <w:r w:rsidR="004B607B" w:rsidRPr="002E06CC">
        <w:rPr>
          <w:rFonts w:ascii="Times New Roman" w:hAnsi="Times New Roman"/>
          <w:sz w:val="24"/>
          <w:szCs w:val="24"/>
          <w:lang w:val="en-US"/>
        </w:rPr>
        <w:t>concerns at Denel this may not take place.</w:t>
      </w:r>
      <w:r w:rsidRPr="002E06CC">
        <w:rPr>
          <w:rFonts w:ascii="Times New Roman" w:hAnsi="Times New Roman"/>
          <w:sz w:val="24"/>
          <w:szCs w:val="24"/>
          <w:lang w:val="en-US"/>
        </w:rPr>
        <w:t xml:space="preserve"> As such, a final agreement for offsetting the DIP agreement is still expected.</w:t>
      </w:r>
    </w:p>
    <w:p w14:paraId="1BFAB190" w14:textId="77777777" w:rsidR="004B607B" w:rsidRPr="002E06CC" w:rsidRDefault="004B607B" w:rsidP="002E06CC">
      <w:pPr>
        <w:pStyle w:val="ListParagraph"/>
        <w:spacing w:line="360" w:lineRule="auto"/>
        <w:rPr>
          <w:rFonts w:ascii="Times New Roman" w:hAnsi="Times New Roman"/>
          <w:sz w:val="24"/>
          <w:szCs w:val="24"/>
          <w:lang w:val="en-US"/>
        </w:rPr>
      </w:pPr>
    </w:p>
    <w:p w14:paraId="7B7AB54E" w14:textId="77777777" w:rsidR="004B607B" w:rsidRPr="002E06CC" w:rsidRDefault="004B607B" w:rsidP="002E06CC">
      <w:pPr>
        <w:pStyle w:val="ListParagraph"/>
        <w:numPr>
          <w:ilvl w:val="0"/>
          <w:numId w:val="11"/>
        </w:numPr>
        <w:spacing w:line="360" w:lineRule="auto"/>
        <w:jc w:val="both"/>
        <w:rPr>
          <w:rFonts w:ascii="Times New Roman" w:hAnsi="Times New Roman"/>
          <w:sz w:val="24"/>
          <w:szCs w:val="24"/>
          <w:lang w:val="en-US"/>
        </w:rPr>
      </w:pPr>
      <w:r w:rsidRPr="002E06CC">
        <w:rPr>
          <w:rFonts w:ascii="Times New Roman" w:hAnsi="Times New Roman"/>
          <w:sz w:val="24"/>
          <w:szCs w:val="24"/>
          <w:lang w:val="en-US"/>
        </w:rPr>
        <w:t>The Committee expressed its concern regarding the impact of operational concerns at Denel o</w:t>
      </w:r>
      <w:r w:rsidR="00324563" w:rsidRPr="002E06CC">
        <w:rPr>
          <w:rFonts w:ascii="Times New Roman" w:hAnsi="Times New Roman"/>
          <w:sz w:val="24"/>
          <w:szCs w:val="24"/>
          <w:lang w:val="en-US"/>
        </w:rPr>
        <w:t>n</w:t>
      </w:r>
      <w:r w:rsidRPr="002E06CC">
        <w:rPr>
          <w:rFonts w:ascii="Times New Roman" w:hAnsi="Times New Roman"/>
          <w:sz w:val="24"/>
          <w:szCs w:val="24"/>
          <w:lang w:val="en-US"/>
        </w:rPr>
        <w:t xml:space="preserve"> the work of Armscor and acquisition for the SANDF. Of particular concern is the fact that it was noted that the acquisition of new Infantry Fighting Vehicles for the SA Army under Project Hoefyster is already delayed by 32 months and </w:t>
      </w:r>
      <w:r w:rsidR="00D17893" w:rsidRPr="002E06CC">
        <w:rPr>
          <w:rFonts w:ascii="Times New Roman" w:hAnsi="Times New Roman"/>
          <w:sz w:val="24"/>
          <w:szCs w:val="24"/>
          <w:lang w:val="en-US"/>
        </w:rPr>
        <w:t xml:space="preserve">further substantial delays </w:t>
      </w:r>
      <w:r w:rsidRPr="002E06CC">
        <w:rPr>
          <w:rFonts w:ascii="Times New Roman" w:hAnsi="Times New Roman"/>
          <w:sz w:val="24"/>
          <w:szCs w:val="24"/>
          <w:lang w:val="en-US"/>
        </w:rPr>
        <w:t>can now be expected</w:t>
      </w:r>
      <w:r w:rsidR="00D17893" w:rsidRPr="002E06CC">
        <w:rPr>
          <w:rFonts w:ascii="Times New Roman" w:hAnsi="Times New Roman"/>
          <w:sz w:val="24"/>
          <w:szCs w:val="24"/>
          <w:lang w:val="en-US"/>
        </w:rPr>
        <w:t>.</w:t>
      </w:r>
    </w:p>
    <w:p w14:paraId="2D8A62EE" w14:textId="77777777" w:rsidR="004B607B" w:rsidRPr="002E06CC" w:rsidRDefault="004B607B" w:rsidP="002E06CC">
      <w:pPr>
        <w:pStyle w:val="ListParagraph"/>
        <w:spacing w:line="360" w:lineRule="auto"/>
        <w:rPr>
          <w:rFonts w:ascii="Times New Roman" w:hAnsi="Times New Roman"/>
          <w:sz w:val="24"/>
          <w:szCs w:val="24"/>
          <w:lang w:val="en-US"/>
        </w:rPr>
      </w:pPr>
    </w:p>
    <w:p w14:paraId="31020606" w14:textId="77777777" w:rsidR="00461FCB" w:rsidRPr="002E06CC" w:rsidRDefault="00461FCB" w:rsidP="002E06CC">
      <w:pPr>
        <w:pStyle w:val="ListParagraph"/>
        <w:numPr>
          <w:ilvl w:val="0"/>
          <w:numId w:val="11"/>
        </w:numPr>
        <w:spacing w:line="360" w:lineRule="auto"/>
        <w:jc w:val="both"/>
        <w:rPr>
          <w:rFonts w:ascii="Times New Roman" w:hAnsi="Times New Roman"/>
          <w:sz w:val="24"/>
          <w:szCs w:val="24"/>
          <w:lang w:val="en-US"/>
        </w:rPr>
      </w:pPr>
      <w:r w:rsidRPr="002E06CC">
        <w:rPr>
          <w:rFonts w:ascii="Times New Roman" w:hAnsi="Times New Roman"/>
          <w:sz w:val="24"/>
          <w:szCs w:val="24"/>
          <w:lang w:val="en-US"/>
        </w:rPr>
        <w:t xml:space="preserve">The Committee </w:t>
      </w:r>
      <w:r w:rsidR="004B607B" w:rsidRPr="002E06CC">
        <w:rPr>
          <w:rFonts w:ascii="Times New Roman" w:hAnsi="Times New Roman"/>
          <w:sz w:val="24"/>
          <w:szCs w:val="24"/>
          <w:lang w:val="en-US"/>
        </w:rPr>
        <w:t xml:space="preserve">welcomed the ongoing efforts to exploit local Intellectual Property as a means of generating revenue. Of particular interest is ongoing work to see the full commercialisation of the </w:t>
      </w:r>
      <w:r w:rsidR="004B607B" w:rsidRPr="002E06CC">
        <w:rPr>
          <w:rFonts w:ascii="Times New Roman" w:hAnsi="Times New Roman"/>
          <w:sz w:val="24"/>
          <w:szCs w:val="24"/>
        </w:rPr>
        <w:t>Ultrasonic Broken Rail Detector System as well as the Shark Repellent System.</w:t>
      </w:r>
    </w:p>
    <w:p w14:paraId="35ADEB8C" w14:textId="77777777" w:rsidR="00C83543" w:rsidRPr="002E06CC" w:rsidRDefault="00C83543" w:rsidP="002E06CC">
      <w:pPr>
        <w:pStyle w:val="ListParagraph"/>
        <w:spacing w:line="360" w:lineRule="auto"/>
        <w:rPr>
          <w:rFonts w:ascii="Times New Roman" w:hAnsi="Times New Roman"/>
          <w:sz w:val="24"/>
          <w:szCs w:val="24"/>
          <w:lang w:val="en-US"/>
        </w:rPr>
      </w:pPr>
    </w:p>
    <w:p w14:paraId="6C322BC1" w14:textId="77777777" w:rsidR="00C83543" w:rsidRPr="002E06CC" w:rsidRDefault="00C83543" w:rsidP="002E06CC">
      <w:pPr>
        <w:pStyle w:val="ListParagraph"/>
        <w:numPr>
          <w:ilvl w:val="0"/>
          <w:numId w:val="11"/>
        </w:numPr>
        <w:spacing w:line="360" w:lineRule="auto"/>
        <w:jc w:val="both"/>
        <w:rPr>
          <w:rFonts w:ascii="Times New Roman" w:hAnsi="Times New Roman"/>
          <w:sz w:val="24"/>
          <w:szCs w:val="24"/>
          <w:lang w:val="en-US"/>
        </w:rPr>
      </w:pPr>
      <w:r w:rsidRPr="002E06CC">
        <w:rPr>
          <w:rFonts w:ascii="Times New Roman" w:hAnsi="Times New Roman"/>
          <w:sz w:val="24"/>
          <w:szCs w:val="24"/>
          <w:lang w:val="en-US"/>
        </w:rPr>
        <w:t xml:space="preserve">The final contracting for Projects Hotel and Biro are welcomed and Armscor is encouraged to see that the delivery of vessels under these projects transpire on time and within budget. </w:t>
      </w:r>
    </w:p>
    <w:p w14:paraId="5BC57968" w14:textId="77777777" w:rsidR="00D14491" w:rsidRPr="002E06CC" w:rsidRDefault="00D14491" w:rsidP="002E06CC">
      <w:pPr>
        <w:pStyle w:val="ListParagraph"/>
        <w:spacing w:line="360" w:lineRule="auto"/>
        <w:jc w:val="both"/>
        <w:rPr>
          <w:rFonts w:ascii="Times New Roman" w:hAnsi="Times New Roman"/>
          <w:sz w:val="24"/>
          <w:szCs w:val="24"/>
          <w:lang w:val="en-US"/>
        </w:rPr>
      </w:pPr>
    </w:p>
    <w:p w14:paraId="41CF7302" w14:textId="77777777" w:rsidR="00D14491" w:rsidRPr="002E06CC" w:rsidRDefault="00D17893" w:rsidP="002E06CC">
      <w:pPr>
        <w:pStyle w:val="ListParagraph"/>
        <w:numPr>
          <w:ilvl w:val="0"/>
          <w:numId w:val="11"/>
        </w:numPr>
        <w:spacing w:line="360" w:lineRule="auto"/>
        <w:jc w:val="both"/>
        <w:rPr>
          <w:rFonts w:ascii="Times New Roman" w:hAnsi="Times New Roman"/>
          <w:sz w:val="24"/>
          <w:szCs w:val="24"/>
          <w:lang w:val="en-US"/>
        </w:rPr>
      </w:pPr>
      <w:r w:rsidRPr="002E06CC">
        <w:rPr>
          <w:rFonts w:ascii="Times New Roman" w:hAnsi="Times New Roman"/>
          <w:sz w:val="24"/>
          <w:szCs w:val="24"/>
          <w:lang w:val="en-US"/>
        </w:rPr>
        <w:t xml:space="preserve">The Committee raised a concern regarding the increases in remuneration for </w:t>
      </w:r>
      <w:r w:rsidR="00F61E08" w:rsidRPr="002E06CC">
        <w:rPr>
          <w:rFonts w:ascii="Times New Roman" w:hAnsi="Times New Roman"/>
          <w:sz w:val="24"/>
          <w:szCs w:val="24"/>
          <w:lang w:val="en-US"/>
        </w:rPr>
        <w:t xml:space="preserve">both executive and non-executive directors at Armscor. This is of concern given that, amid decreased defence spending in South Africa, Armscor has less opportunity to fulfill its primary acquisition function. </w:t>
      </w:r>
      <w:r w:rsidR="00D14491" w:rsidRPr="002E06CC">
        <w:rPr>
          <w:rFonts w:ascii="Times New Roman" w:hAnsi="Times New Roman"/>
          <w:sz w:val="24"/>
          <w:szCs w:val="24"/>
          <w:lang w:val="en-US"/>
        </w:rPr>
        <w:t xml:space="preserve"> </w:t>
      </w:r>
    </w:p>
    <w:p w14:paraId="4E7BE09A" w14:textId="77777777" w:rsidR="00F61E08" w:rsidRPr="002E06CC" w:rsidRDefault="00F61E08" w:rsidP="002E06CC">
      <w:pPr>
        <w:pStyle w:val="ListParagraph"/>
        <w:spacing w:line="360" w:lineRule="auto"/>
        <w:jc w:val="both"/>
        <w:rPr>
          <w:rFonts w:ascii="Times New Roman" w:hAnsi="Times New Roman"/>
          <w:sz w:val="24"/>
          <w:szCs w:val="24"/>
          <w:lang w:val="en-US"/>
        </w:rPr>
      </w:pPr>
    </w:p>
    <w:p w14:paraId="01645BBA" w14:textId="77777777" w:rsidR="00D14491" w:rsidRPr="002E06CC" w:rsidRDefault="00C05FEB" w:rsidP="002E06CC">
      <w:pPr>
        <w:pStyle w:val="ListParagraph"/>
        <w:numPr>
          <w:ilvl w:val="0"/>
          <w:numId w:val="11"/>
        </w:numPr>
        <w:spacing w:line="360" w:lineRule="auto"/>
        <w:jc w:val="both"/>
        <w:rPr>
          <w:rFonts w:ascii="Times New Roman" w:hAnsi="Times New Roman"/>
          <w:sz w:val="24"/>
          <w:szCs w:val="24"/>
          <w:lang w:val="en-US"/>
        </w:rPr>
      </w:pPr>
      <w:r w:rsidRPr="002E06CC">
        <w:rPr>
          <w:rFonts w:ascii="Times New Roman" w:hAnsi="Times New Roman"/>
          <w:sz w:val="24"/>
          <w:szCs w:val="24"/>
          <w:lang w:val="en-US"/>
        </w:rPr>
        <w:t>The Committee is concerned about the high rate of Irregular as well as Fruitless and Wasteful expenditure and identifies th</w:t>
      </w:r>
      <w:r w:rsidR="00324563" w:rsidRPr="002E06CC">
        <w:rPr>
          <w:rFonts w:ascii="Times New Roman" w:hAnsi="Times New Roman"/>
          <w:sz w:val="24"/>
          <w:szCs w:val="24"/>
          <w:lang w:val="en-US"/>
        </w:rPr>
        <w:t xml:space="preserve">ese as </w:t>
      </w:r>
      <w:r w:rsidRPr="002E06CC">
        <w:rPr>
          <w:rFonts w:ascii="Times New Roman" w:hAnsi="Times New Roman"/>
          <w:sz w:val="24"/>
          <w:szCs w:val="24"/>
          <w:lang w:val="en-US"/>
        </w:rPr>
        <w:t>area</w:t>
      </w:r>
      <w:r w:rsidR="00324563" w:rsidRPr="002E06CC">
        <w:rPr>
          <w:rFonts w:ascii="Times New Roman" w:hAnsi="Times New Roman"/>
          <w:sz w:val="24"/>
          <w:szCs w:val="24"/>
          <w:lang w:val="en-US"/>
        </w:rPr>
        <w:t>s</w:t>
      </w:r>
      <w:r w:rsidRPr="002E06CC">
        <w:rPr>
          <w:rFonts w:ascii="Times New Roman" w:hAnsi="Times New Roman"/>
          <w:sz w:val="24"/>
          <w:szCs w:val="24"/>
          <w:lang w:val="en-US"/>
        </w:rPr>
        <w:t xml:space="preserve"> where urgent turnaround is necessary.</w:t>
      </w:r>
      <w:r w:rsidR="00AC5289" w:rsidRPr="002E06CC">
        <w:rPr>
          <w:rFonts w:ascii="Times New Roman" w:hAnsi="Times New Roman"/>
          <w:sz w:val="24"/>
          <w:szCs w:val="24"/>
          <w:lang w:val="en-US"/>
        </w:rPr>
        <w:t xml:space="preserve"> As such, </w:t>
      </w:r>
      <w:r w:rsidR="00324563" w:rsidRPr="002E06CC">
        <w:rPr>
          <w:rFonts w:ascii="Times New Roman" w:hAnsi="Times New Roman"/>
          <w:sz w:val="24"/>
          <w:szCs w:val="24"/>
          <w:lang w:val="en-US"/>
        </w:rPr>
        <w:t xml:space="preserve">the </w:t>
      </w:r>
      <w:r w:rsidR="00AC5289" w:rsidRPr="002E06CC">
        <w:rPr>
          <w:rFonts w:ascii="Times New Roman" w:hAnsi="Times New Roman"/>
          <w:sz w:val="24"/>
          <w:szCs w:val="24"/>
          <w:lang w:val="en-US"/>
        </w:rPr>
        <w:t xml:space="preserve">internal audit and control capabilities </w:t>
      </w:r>
      <w:r w:rsidR="00324563" w:rsidRPr="002E06CC">
        <w:rPr>
          <w:rFonts w:ascii="Times New Roman" w:hAnsi="Times New Roman"/>
          <w:sz w:val="24"/>
          <w:szCs w:val="24"/>
          <w:lang w:val="en-US"/>
        </w:rPr>
        <w:t xml:space="preserve">should be </w:t>
      </w:r>
      <w:r w:rsidR="00AC5289" w:rsidRPr="002E06CC">
        <w:rPr>
          <w:rFonts w:ascii="Times New Roman" w:hAnsi="Times New Roman"/>
          <w:sz w:val="24"/>
          <w:szCs w:val="24"/>
          <w:lang w:val="en-US"/>
        </w:rPr>
        <w:t>strengthen</w:t>
      </w:r>
      <w:r w:rsidR="00324563" w:rsidRPr="002E06CC">
        <w:rPr>
          <w:rFonts w:ascii="Times New Roman" w:hAnsi="Times New Roman"/>
          <w:sz w:val="24"/>
          <w:szCs w:val="24"/>
          <w:lang w:val="en-US"/>
        </w:rPr>
        <w:t>ed</w:t>
      </w:r>
      <w:r w:rsidR="00AC5289" w:rsidRPr="002E06CC">
        <w:rPr>
          <w:rFonts w:ascii="Times New Roman" w:hAnsi="Times New Roman"/>
          <w:sz w:val="24"/>
          <w:szCs w:val="24"/>
          <w:lang w:val="en-US"/>
        </w:rPr>
        <w:t xml:space="preserve">. </w:t>
      </w:r>
    </w:p>
    <w:p w14:paraId="021F91A4" w14:textId="77777777" w:rsidR="00461FCB" w:rsidRPr="002E06CC" w:rsidRDefault="00461FCB" w:rsidP="002E06CC">
      <w:pPr>
        <w:pStyle w:val="ListParagraph"/>
        <w:spacing w:line="360" w:lineRule="auto"/>
        <w:jc w:val="both"/>
        <w:rPr>
          <w:rFonts w:ascii="Times New Roman" w:hAnsi="Times New Roman"/>
          <w:sz w:val="24"/>
          <w:szCs w:val="24"/>
          <w:u w:color="000000"/>
          <w:lang w:eastAsia="en-ZA"/>
        </w:rPr>
      </w:pPr>
    </w:p>
    <w:p w14:paraId="1022F45C" w14:textId="77777777" w:rsidR="00461FCB" w:rsidRPr="002E06CC" w:rsidRDefault="00461FCB" w:rsidP="002E06CC">
      <w:pPr>
        <w:spacing w:after="0" w:line="360" w:lineRule="auto"/>
        <w:jc w:val="both"/>
        <w:outlineLvl w:val="0"/>
        <w:rPr>
          <w:rFonts w:ascii="Times New Roman" w:eastAsia="Arial Unicode MS" w:hAnsi="Times New Roman" w:cs="Times New Roman"/>
          <w:b/>
          <w:caps/>
          <w:sz w:val="24"/>
          <w:szCs w:val="24"/>
          <w:u w:color="000000"/>
          <w:lang w:eastAsia="en-ZA"/>
        </w:rPr>
      </w:pPr>
      <w:r w:rsidRPr="002E06CC">
        <w:rPr>
          <w:rFonts w:ascii="Times New Roman" w:eastAsia="Arial Unicode MS" w:hAnsi="Times New Roman" w:cs="Times New Roman"/>
          <w:b/>
          <w:caps/>
          <w:sz w:val="24"/>
          <w:szCs w:val="24"/>
          <w:u w:color="000000"/>
          <w:lang w:eastAsia="en-ZA"/>
        </w:rPr>
        <w:t>7.</w:t>
      </w:r>
      <w:r w:rsidRPr="002E06CC">
        <w:rPr>
          <w:rFonts w:ascii="Times New Roman" w:eastAsia="Arial Unicode MS" w:hAnsi="Times New Roman" w:cs="Times New Roman"/>
          <w:b/>
          <w:caps/>
          <w:sz w:val="24"/>
          <w:szCs w:val="24"/>
          <w:u w:color="000000"/>
          <w:lang w:eastAsia="en-ZA"/>
        </w:rPr>
        <w:tab/>
        <w:t>COMMITTEE Recommendations</w:t>
      </w:r>
    </w:p>
    <w:p w14:paraId="280519BE" w14:textId="77777777" w:rsidR="00461FCB" w:rsidRPr="002E06CC" w:rsidRDefault="00461FCB" w:rsidP="002E06CC">
      <w:pPr>
        <w:spacing w:after="0" w:line="360" w:lineRule="auto"/>
        <w:jc w:val="both"/>
        <w:outlineLvl w:val="0"/>
        <w:rPr>
          <w:rFonts w:ascii="Times New Roman" w:eastAsia="Arial Unicode MS" w:hAnsi="Times New Roman" w:cs="Times New Roman"/>
          <w:b/>
          <w:caps/>
          <w:sz w:val="24"/>
          <w:szCs w:val="24"/>
          <w:u w:color="000000"/>
          <w:lang w:eastAsia="en-ZA"/>
        </w:rPr>
      </w:pPr>
    </w:p>
    <w:p w14:paraId="66B94E92" w14:textId="77777777" w:rsidR="00461FCB" w:rsidRPr="002E06CC" w:rsidRDefault="00461FCB" w:rsidP="002E06CC">
      <w:pPr>
        <w:spacing w:after="200" w:line="360" w:lineRule="auto"/>
        <w:jc w:val="both"/>
        <w:outlineLvl w:val="0"/>
        <w:rPr>
          <w:rFonts w:ascii="Times New Roman" w:eastAsia="Calibri" w:hAnsi="Times New Roman" w:cs="Times New Roman"/>
          <w:sz w:val="24"/>
          <w:szCs w:val="24"/>
        </w:rPr>
      </w:pPr>
      <w:r w:rsidRPr="002E06CC">
        <w:rPr>
          <w:rFonts w:ascii="Times New Roman" w:eastAsia="Calibri" w:hAnsi="Times New Roman" w:cs="Times New Roman"/>
          <w:sz w:val="24"/>
          <w:szCs w:val="24"/>
        </w:rPr>
        <w:t>The PCODMV makes the following recommendations with regards to Armscor:</w:t>
      </w:r>
    </w:p>
    <w:p w14:paraId="6E08369A" w14:textId="77777777" w:rsidR="00461FCB" w:rsidRPr="002E06CC" w:rsidRDefault="00C83543" w:rsidP="002E06CC">
      <w:pPr>
        <w:pStyle w:val="ListParagraph"/>
        <w:numPr>
          <w:ilvl w:val="0"/>
          <w:numId w:val="12"/>
        </w:numPr>
        <w:spacing w:line="360" w:lineRule="auto"/>
        <w:jc w:val="both"/>
        <w:outlineLvl w:val="0"/>
        <w:rPr>
          <w:rFonts w:ascii="Times New Roman" w:hAnsi="Times New Roman"/>
          <w:sz w:val="24"/>
          <w:szCs w:val="24"/>
        </w:rPr>
      </w:pPr>
      <w:r w:rsidRPr="002E06CC">
        <w:rPr>
          <w:rFonts w:ascii="Times New Roman" w:hAnsi="Times New Roman"/>
          <w:sz w:val="24"/>
          <w:szCs w:val="24"/>
        </w:rPr>
        <w:t>Armscor and the DOD should provide the Committee with a joint written report on its plans to sweat some of the DOD assets with</w:t>
      </w:r>
      <w:r w:rsidR="00324563" w:rsidRPr="002E06CC">
        <w:rPr>
          <w:rFonts w:ascii="Times New Roman" w:hAnsi="Times New Roman"/>
          <w:sz w:val="24"/>
          <w:szCs w:val="24"/>
        </w:rPr>
        <w:t>in</w:t>
      </w:r>
      <w:r w:rsidRPr="002E06CC">
        <w:rPr>
          <w:rFonts w:ascii="Times New Roman" w:hAnsi="Times New Roman"/>
          <w:sz w:val="24"/>
          <w:szCs w:val="24"/>
        </w:rPr>
        <w:t xml:space="preserve"> the remainder of 2018/19 and 2019/20. This plan should include details </w:t>
      </w:r>
      <w:r w:rsidR="00324563" w:rsidRPr="002E06CC">
        <w:rPr>
          <w:rFonts w:ascii="Times New Roman" w:hAnsi="Times New Roman"/>
          <w:sz w:val="24"/>
          <w:szCs w:val="24"/>
        </w:rPr>
        <w:t xml:space="preserve">of </w:t>
      </w:r>
      <w:r w:rsidRPr="002E06CC">
        <w:rPr>
          <w:rFonts w:ascii="Times New Roman" w:hAnsi="Times New Roman"/>
          <w:sz w:val="24"/>
          <w:szCs w:val="24"/>
        </w:rPr>
        <w:t>the type</w:t>
      </w:r>
      <w:r w:rsidR="00324563" w:rsidRPr="002E06CC">
        <w:rPr>
          <w:rFonts w:ascii="Times New Roman" w:hAnsi="Times New Roman"/>
          <w:sz w:val="24"/>
          <w:szCs w:val="24"/>
        </w:rPr>
        <w:t>s</w:t>
      </w:r>
      <w:r w:rsidRPr="002E06CC">
        <w:rPr>
          <w:rFonts w:ascii="Times New Roman" w:hAnsi="Times New Roman"/>
          <w:sz w:val="24"/>
          <w:szCs w:val="24"/>
        </w:rPr>
        <w:t xml:space="preserve"> of assets to be sweat</w:t>
      </w:r>
      <w:r w:rsidR="00324563" w:rsidRPr="002E06CC">
        <w:rPr>
          <w:rFonts w:ascii="Times New Roman" w:hAnsi="Times New Roman"/>
          <w:sz w:val="24"/>
          <w:szCs w:val="24"/>
        </w:rPr>
        <w:t>ed</w:t>
      </w:r>
      <w:r w:rsidRPr="002E06CC">
        <w:rPr>
          <w:rFonts w:ascii="Times New Roman" w:hAnsi="Times New Roman"/>
          <w:sz w:val="24"/>
          <w:szCs w:val="24"/>
        </w:rPr>
        <w:t xml:space="preserve"> and the potential income </w:t>
      </w:r>
      <w:r w:rsidR="00324563" w:rsidRPr="002E06CC">
        <w:rPr>
          <w:rFonts w:ascii="Times New Roman" w:hAnsi="Times New Roman"/>
          <w:sz w:val="24"/>
          <w:szCs w:val="24"/>
        </w:rPr>
        <w:t xml:space="preserve">that can be </w:t>
      </w:r>
      <w:r w:rsidRPr="002E06CC">
        <w:rPr>
          <w:rFonts w:ascii="Times New Roman" w:hAnsi="Times New Roman"/>
          <w:sz w:val="24"/>
          <w:szCs w:val="24"/>
        </w:rPr>
        <w:t>generated for Armscor and the DOD</w:t>
      </w:r>
      <w:r w:rsidR="00324563" w:rsidRPr="002E06CC">
        <w:rPr>
          <w:rFonts w:ascii="Times New Roman" w:hAnsi="Times New Roman"/>
          <w:sz w:val="24"/>
          <w:szCs w:val="24"/>
        </w:rPr>
        <w:t>,</w:t>
      </w:r>
      <w:r w:rsidRPr="002E06CC">
        <w:rPr>
          <w:rFonts w:ascii="Times New Roman" w:hAnsi="Times New Roman"/>
          <w:sz w:val="24"/>
          <w:szCs w:val="24"/>
        </w:rPr>
        <w:t xml:space="preserve"> respectively. </w:t>
      </w:r>
      <w:r w:rsidR="00DA3834" w:rsidRPr="002E06CC">
        <w:rPr>
          <w:rFonts w:ascii="Times New Roman" w:hAnsi="Times New Roman"/>
          <w:sz w:val="24"/>
          <w:szCs w:val="24"/>
        </w:rPr>
        <w:t xml:space="preserve">The report should include a copy of the SLA between the DOD and Armscor regarding the sweating of assets. </w:t>
      </w:r>
      <w:r w:rsidRPr="002E06CC">
        <w:rPr>
          <w:rFonts w:ascii="Times New Roman" w:hAnsi="Times New Roman"/>
          <w:sz w:val="24"/>
          <w:szCs w:val="24"/>
        </w:rPr>
        <w:t>The written report should be submitted to Parliament no later than 2</w:t>
      </w:r>
      <w:r w:rsidR="00DA3834" w:rsidRPr="002E06CC">
        <w:rPr>
          <w:rFonts w:ascii="Times New Roman" w:hAnsi="Times New Roman"/>
          <w:sz w:val="24"/>
          <w:szCs w:val="24"/>
        </w:rPr>
        <w:t>0</w:t>
      </w:r>
      <w:r w:rsidRPr="002E06CC">
        <w:rPr>
          <w:rFonts w:ascii="Times New Roman" w:hAnsi="Times New Roman"/>
          <w:sz w:val="24"/>
          <w:szCs w:val="24"/>
        </w:rPr>
        <w:t xml:space="preserve"> November 2018.</w:t>
      </w:r>
    </w:p>
    <w:p w14:paraId="4C23A855" w14:textId="77777777" w:rsidR="00C83543" w:rsidRPr="002E06CC" w:rsidRDefault="00C83543" w:rsidP="002E06CC">
      <w:pPr>
        <w:pStyle w:val="ListParagraph"/>
        <w:spacing w:line="360" w:lineRule="auto"/>
        <w:jc w:val="both"/>
        <w:outlineLvl w:val="0"/>
        <w:rPr>
          <w:rFonts w:ascii="Times New Roman" w:hAnsi="Times New Roman"/>
          <w:sz w:val="24"/>
          <w:szCs w:val="24"/>
        </w:rPr>
      </w:pPr>
    </w:p>
    <w:p w14:paraId="0EFD9E6C" w14:textId="77777777" w:rsidR="00461FCB" w:rsidRPr="002E06CC" w:rsidRDefault="00C83543" w:rsidP="002E06CC">
      <w:pPr>
        <w:pStyle w:val="ListParagraph"/>
        <w:numPr>
          <w:ilvl w:val="0"/>
          <w:numId w:val="12"/>
        </w:numPr>
        <w:spacing w:line="360" w:lineRule="auto"/>
        <w:jc w:val="both"/>
        <w:outlineLvl w:val="0"/>
        <w:rPr>
          <w:rFonts w:ascii="Times New Roman" w:hAnsi="Times New Roman"/>
          <w:sz w:val="24"/>
          <w:szCs w:val="24"/>
        </w:rPr>
      </w:pPr>
      <w:r w:rsidRPr="002E06CC">
        <w:rPr>
          <w:rFonts w:ascii="Times New Roman" w:hAnsi="Times New Roman"/>
          <w:sz w:val="24"/>
          <w:szCs w:val="24"/>
        </w:rPr>
        <w:t>Armscor should aim to return to a clean audit in 2018/19 and put measures in place to ensure that this transpires.</w:t>
      </w:r>
    </w:p>
    <w:p w14:paraId="32B34B09" w14:textId="77777777" w:rsidR="00461FCB" w:rsidRPr="002E06CC" w:rsidRDefault="00461FCB" w:rsidP="002E06CC">
      <w:pPr>
        <w:pStyle w:val="ListParagraph"/>
        <w:spacing w:line="360" w:lineRule="auto"/>
        <w:jc w:val="both"/>
        <w:outlineLvl w:val="0"/>
        <w:rPr>
          <w:rFonts w:ascii="Times New Roman" w:hAnsi="Times New Roman"/>
          <w:sz w:val="24"/>
          <w:szCs w:val="24"/>
        </w:rPr>
      </w:pPr>
    </w:p>
    <w:p w14:paraId="23525BC8" w14:textId="77777777" w:rsidR="00461FCB" w:rsidRPr="002E06CC" w:rsidRDefault="00C83543" w:rsidP="002E06CC">
      <w:pPr>
        <w:pStyle w:val="ListParagraph"/>
        <w:numPr>
          <w:ilvl w:val="0"/>
          <w:numId w:val="12"/>
        </w:numPr>
        <w:spacing w:line="360" w:lineRule="auto"/>
        <w:jc w:val="both"/>
        <w:outlineLvl w:val="0"/>
        <w:rPr>
          <w:rFonts w:ascii="Times New Roman" w:hAnsi="Times New Roman"/>
          <w:b/>
          <w:sz w:val="24"/>
          <w:szCs w:val="24"/>
        </w:rPr>
      </w:pPr>
      <w:r w:rsidRPr="002E06CC">
        <w:rPr>
          <w:rFonts w:ascii="Times New Roman" w:hAnsi="Times New Roman"/>
          <w:sz w:val="24"/>
          <w:szCs w:val="24"/>
        </w:rPr>
        <w:t xml:space="preserve">The Committee welcomes the </w:t>
      </w:r>
      <w:r w:rsidRPr="002E06CC">
        <w:rPr>
          <w:rFonts w:ascii="Times New Roman" w:hAnsi="Times New Roman"/>
          <w:sz w:val="24"/>
          <w:szCs w:val="24"/>
          <w:u w:color="000000"/>
          <w:lang w:eastAsia="en-ZA"/>
        </w:rPr>
        <w:t>renewal plan for the Armscor Dockyard</w:t>
      </w:r>
      <w:r w:rsidR="00324563" w:rsidRPr="002E06CC">
        <w:rPr>
          <w:rFonts w:ascii="Times New Roman" w:hAnsi="Times New Roman"/>
          <w:sz w:val="24"/>
          <w:szCs w:val="24"/>
          <w:u w:color="000000"/>
          <w:lang w:eastAsia="en-ZA"/>
        </w:rPr>
        <w:t xml:space="preserve">, noting </w:t>
      </w:r>
      <w:r w:rsidRPr="002E06CC">
        <w:rPr>
          <w:rFonts w:ascii="Times New Roman" w:hAnsi="Times New Roman"/>
          <w:sz w:val="24"/>
          <w:szCs w:val="24"/>
          <w:u w:color="000000"/>
          <w:lang w:eastAsia="en-ZA"/>
        </w:rPr>
        <w:t>that this plan is being implemented. With the view of tracking such implementation, the Dockyard should submit a written report to the Committee on (1) a high-level overview of its plans to bring about stabilisation</w:t>
      </w:r>
      <w:r w:rsidR="00324563" w:rsidRPr="002E06CC">
        <w:rPr>
          <w:rFonts w:ascii="Times New Roman" w:hAnsi="Times New Roman"/>
          <w:sz w:val="24"/>
          <w:szCs w:val="24"/>
          <w:u w:color="000000"/>
          <w:lang w:eastAsia="en-ZA"/>
        </w:rPr>
        <w:t>,</w:t>
      </w:r>
      <w:r w:rsidRPr="002E06CC">
        <w:rPr>
          <w:rFonts w:ascii="Times New Roman" w:hAnsi="Times New Roman"/>
          <w:sz w:val="24"/>
          <w:szCs w:val="24"/>
          <w:u w:color="000000"/>
          <w:lang w:eastAsia="en-ZA"/>
        </w:rPr>
        <w:t xml:space="preserve"> and (2) plans to attract private partnership and/or commercialisation opportunities. This report should be submitted to Parliament no later than 30 January 2019. </w:t>
      </w:r>
    </w:p>
    <w:p w14:paraId="2997D462" w14:textId="77777777" w:rsidR="00461FCB" w:rsidRPr="002E06CC" w:rsidRDefault="00461FCB" w:rsidP="002E06CC">
      <w:pPr>
        <w:pStyle w:val="ListParagraph"/>
        <w:spacing w:line="360" w:lineRule="auto"/>
        <w:rPr>
          <w:rFonts w:ascii="Times New Roman" w:hAnsi="Times New Roman"/>
          <w:b/>
          <w:sz w:val="24"/>
          <w:szCs w:val="24"/>
        </w:rPr>
      </w:pPr>
    </w:p>
    <w:p w14:paraId="40BB8D71" w14:textId="77777777" w:rsidR="00461FCB" w:rsidRPr="002E06CC" w:rsidRDefault="00C83543" w:rsidP="002E06CC">
      <w:pPr>
        <w:pStyle w:val="ListParagraph"/>
        <w:numPr>
          <w:ilvl w:val="0"/>
          <w:numId w:val="12"/>
        </w:numPr>
        <w:spacing w:line="360" w:lineRule="auto"/>
        <w:jc w:val="both"/>
        <w:outlineLvl w:val="0"/>
        <w:rPr>
          <w:rFonts w:ascii="Times New Roman" w:hAnsi="Times New Roman"/>
          <w:sz w:val="24"/>
          <w:szCs w:val="24"/>
        </w:rPr>
      </w:pPr>
      <w:r w:rsidRPr="002E06CC">
        <w:rPr>
          <w:rFonts w:ascii="Times New Roman" w:hAnsi="Times New Roman"/>
          <w:sz w:val="24"/>
          <w:szCs w:val="24"/>
        </w:rPr>
        <w:t xml:space="preserve">Operational concerns at Denel and the impact thereof on Armscor is of major concern </w:t>
      </w:r>
      <w:r w:rsidR="00324563" w:rsidRPr="002E06CC">
        <w:rPr>
          <w:rFonts w:ascii="Times New Roman" w:hAnsi="Times New Roman"/>
          <w:sz w:val="24"/>
          <w:szCs w:val="24"/>
        </w:rPr>
        <w:t>t</w:t>
      </w:r>
      <w:r w:rsidRPr="002E06CC">
        <w:rPr>
          <w:rFonts w:ascii="Times New Roman" w:hAnsi="Times New Roman"/>
          <w:sz w:val="24"/>
          <w:szCs w:val="24"/>
        </w:rPr>
        <w:t xml:space="preserve">o the Committee. Armscor is </w:t>
      </w:r>
      <w:r w:rsidR="00324563" w:rsidRPr="002E06CC">
        <w:rPr>
          <w:rFonts w:ascii="Times New Roman" w:hAnsi="Times New Roman"/>
          <w:sz w:val="24"/>
          <w:szCs w:val="24"/>
        </w:rPr>
        <w:t xml:space="preserve">therefore </w:t>
      </w:r>
      <w:r w:rsidRPr="002E06CC">
        <w:rPr>
          <w:rFonts w:ascii="Times New Roman" w:hAnsi="Times New Roman"/>
          <w:sz w:val="24"/>
          <w:szCs w:val="24"/>
        </w:rPr>
        <w:t xml:space="preserve">encouraged to </w:t>
      </w:r>
      <w:r w:rsidR="00D14293" w:rsidRPr="002E06CC">
        <w:rPr>
          <w:rFonts w:ascii="Times New Roman" w:hAnsi="Times New Roman"/>
          <w:sz w:val="24"/>
          <w:szCs w:val="24"/>
        </w:rPr>
        <w:t>develop means of limiting the impact thereof on revenue generation and contracting.</w:t>
      </w:r>
      <w:r w:rsidR="00770FC6" w:rsidRPr="002E06CC">
        <w:rPr>
          <w:rFonts w:ascii="Times New Roman" w:hAnsi="Times New Roman"/>
          <w:sz w:val="24"/>
          <w:szCs w:val="24"/>
        </w:rPr>
        <w:t xml:space="preserve"> Armscor should submit a written report to the Committee on the main challenges it face</w:t>
      </w:r>
      <w:r w:rsidR="00DE6DEE" w:rsidRPr="002E06CC">
        <w:rPr>
          <w:rFonts w:ascii="Times New Roman" w:hAnsi="Times New Roman"/>
          <w:sz w:val="24"/>
          <w:szCs w:val="24"/>
        </w:rPr>
        <w:t>s</w:t>
      </w:r>
      <w:r w:rsidR="00770FC6" w:rsidRPr="002E06CC">
        <w:rPr>
          <w:rFonts w:ascii="Times New Roman" w:hAnsi="Times New Roman"/>
          <w:sz w:val="24"/>
          <w:szCs w:val="24"/>
        </w:rPr>
        <w:t xml:space="preserve"> regarding Denel, what mitigating plans are being put in place and whether the transfer of Denel to the Defence portfolio is still being considered. The report should be submitted no later than 20 November 2018.</w:t>
      </w:r>
    </w:p>
    <w:p w14:paraId="762DF9B8" w14:textId="77777777" w:rsidR="00D14293" w:rsidRPr="002E06CC" w:rsidRDefault="00D14293" w:rsidP="002E06CC">
      <w:pPr>
        <w:pStyle w:val="ListParagraph"/>
        <w:spacing w:line="360" w:lineRule="auto"/>
        <w:rPr>
          <w:rFonts w:ascii="Times New Roman" w:hAnsi="Times New Roman"/>
          <w:sz w:val="24"/>
          <w:szCs w:val="24"/>
        </w:rPr>
      </w:pPr>
    </w:p>
    <w:p w14:paraId="5CD20798" w14:textId="77777777" w:rsidR="00D14293" w:rsidRPr="002E06CC" w:rsidRDefault="00D14293" w:rsidP="002E06CC">
      <w:pPr>
        <w:pStyle w:val="ListParagraph"/>
        <w:numPr>
          <w:ilvl w:val="0"/>
          <w:numId w:val="12"/>
        </w:numPr>
        <w:spacing w:line="360" w:lineRule="auto"/>
        <w:jc w:val="both"/>
        <w:outlineLvl w:val="0"/>
        <w:rPr>
          <w:rFonts w:ascii="Times New Roman" w:hAnsi="Times New Roman"/>
          <w:sz w:val="24"/>
          <w:szCs w:val="24"/>
        </w:rPr>
      </w:pPr>
      <w:r w:rsidRPr="002E06CC">
        <w:rPr>
          <w:rFonts w:ascii="Times New Roman" w:hAnsi="Times New Roman"/>
          <w:sz w:val="24"/>
          <w:szCs w:val="24"/>
        </w:rPr>
        <w:t>Armscor is to submit a written report to the Committee on the status of Project Hoefyster. The report should be submitted to Parliament no later than 2</w:t>
      </w:r>
      <w:r w:rsidR="005325AA" w:rsidRPr="002E06CC">
        <w:rPr>
          <w:rFonts w:ascii="Times New Roman" w:hAnsi="Times New Roman"/>
          <w:sz w:val="24"/>
          <w:szCs w:val="24"/>
        </w:rPr>
        <w:t>0</w:t>
      </w:r>
      <w:r w:rsidRPr="002E06CC">
        <w:rPr>
          <w:rFonts w:ascii="Times New Roman" w:hAnsi="Times New Roman"/>
          <w:sz w:val="24"/>
          <w:szCs w:val="24"/>
        </w:rPr>
        <w:t xml:space="preserve"> November 2018 and should include, </w:t>
      </w:r>
      <w:r w:rsidRPr="002E06CC">
        <w:rPr>
          <w:rFonts w:ascii="Times New Roman" w:hAnsi="Times New Roman"/>
          <w:i/>
          <w:sz w:val="24"/>
          <w:szCs w:val="24"/>
        </w:rPr>
        <w:t xml:space="preserve">inter alia, </w:t>
      </w:r>
      <w:r w:rsidRPr="002E06CC">
        <w:rPr>
          <w:rFonts w:ascii="Times New Roman" w:hAnsi="Times New Roman"/>
          <w:sz w:val="24"/>
          <w:szCs w:val="24"/>
        </w:rPr>
        <w:t>information on (1) the original contracting costs for the project (2) the original number of platforms ordered, (3) the originally envisaged development and delivery dates, (4) revised delivery dates</w:t>
      </w:r>
      <w:r w:rsidR="00DE6DEE" w:rsidRPr="002E06CC">
        <w:rPr>
          <w:rFonts w:ascii="Times New Roman" w:hAnsi="Times New Roman"/>
          <w:sz w:val="24"/>
          <w:szCs w:val="24"/>
        </w:rPr>
        <w:t>,</w:t>
      </w:r>
      <w:r w:rsidRPr="002E06CC">
        <w:rPr>
          <w:rFonts w:ascii="Times New Roman" w:hAnsi="Times New Roman"/>
          <w:sz w:val="24"/>
          <w:szCs w:val="24"/>
        </w:rPr>
        <w:t xml:space="preserve"> and (5) revised costing for the project.</w:t>
      </w:r>
      <w:r w:rsidR="004029C9" w:rsidRPr="002E06CC">
        <w:rPr>
          <w:rFonts w:ascii="Times New Roman" w:hAnsi="Times New Roman"/>
          <w:sz w:val="24"/>
          <w:szCs w:val="24"/>
        </w:rPr>
        <w:t xml:space="preserve"> The report should further indicate whether</w:t>
      </w:r>
      <w:r w:rsidR="00FD00DA" w:rsidRPr="002E06CC">
        <w:rPr>
          <w:rFonts w:ascii="Times New Roman" w:hAnsi="Times New Roman"/>
          <w:sz w:val="24"/>
          <w:szCs w:val="24"/>
        </w:rPr>
        <w:t xml:space="preserve">, despite major delays, </w:t>
      </w:r>
      <w:r w:rsidR="004029C9" w:rsidRPr="002E06CC">
        <w:rPr>
          <w:rFonts w:ascii="Times New Roman" w:hAnsi="Times New Roman"/>
          <w:sz w:val="24"/>
          <w:szCs w:val="24"/>
        </w:rPr>
        <w:t xml:space="preserve">the levels of technology would still </w:t>
      </w:r>
      <w:r w:rsidR="005325AA" w:rsidRPr="002E06CC">
        <w:rPr>
          <w:rFonts w:ascii="Times New Roman" w:hAnsi="Times New Roman"/>
          <w:sz w:val="24"/>
          <w:szCs w:val="24"/>
        </w:rPr>
        <w:t>adhere</w:t>
      </w:r>
      <w:r w:rsidR="00FD00DA" w:rsidRPr="002E06CC">
        <w:rPr>
          <w:rFonts w:ascii="Times New Roman" w:hAnsi="Times New Roman"/>
          <w:sz w:val="24"/>
          <w:szCs w:val="24"/>
        </w:rPr>
        <w:t xml:space="preserve"> </w:t>
      </w:r>
      <w:r w:rsidR="005325AA" w:rsidRPr="002E06CC">
        <w:rPr>
          <w:rFonts w:ascii="Times New Roman" w:hAnsi="Times New Roman"/>
          <w:sz w:val="24"/>
          <w:szCs w:val="24"/>
        </w:rPr>
        <w:t>to</w:t>
      </w:r>
      <w:r w:rsidR="004029C9" w:rsidRPr="002E06CC">
        <w:rPr>
          <w:rFonts w:ascii="Times New Roman" w:hAnsi="Times New Roman"/>
          <w:sz w:val="24"/>
          <w:szCs w:val="24"/>
        </w:rPr>
        <w:t xml:space="preserve"> the requirements of the DOD for its Infantry Fighting Vehicles</w:t>
      </w:r>
      <w:r w:rsidR="005325AA" w:rsidRPr="002E06CC">
        <w:rPr>
          <w:rFonts w:ascii="Times New Roman" w:hAnsi="Times New Roman"/>
          <w:sz w:val="24"/>
          <w:szCs w:val="24"/>
        </w:rPr>
        <w:t xml:space="preserve">. </w:t>
      </w:r>
    </w:p>
    <w:p w14:paraId="007A46E3" w14:textId="77777777" w:rsidR="00461FCB" w:rsidRPr="002E06CC" w:rsidRDefault="00461FCB" w:rsidP="002E06CC">
      <w:pPr>
        <w:pStyle w:val="ListParagraph"/>
        <w:spacing w:line="360" w:lineRule="auto"/>
        <w:rPr>
          <w:rFonts w:ascii="Times New Roman" w:hAnsi="Times New Roman"/>
          <w:b/>
          <w:sz w:val="24"/>
          <w:szCs w:val="24"/>
        </w:rPr>
      </w:pPr>
    </w:p>
    <w:p w14:paraId="6DFE1ED2" w14:textId="77777777" w:rsidR="00461FCB" w:rsidRPr="002E06CC" w:rsidRDefault="00D14293" w:rsidP="002E06CC">
      <w:pPr>
        <w:pStyle w:val="ListParagraph"/>
        <w:numPr>
          <w:ilvl w:val="0"/>
          <w:numId w:val="12"/>
        </w:numPr>
        <w:spacing w:line="360" w:lineRule="auto"/>
        <w:jc w:val="both"/>
        <w:outlineLvl w:val="0"/>
        <w:rPr>
          <w:rFonts w:ascii="Times New Roman" w:hAnsi="Times New Roman"/>
          <w:sz w:val="24"/>
          <w:szCs w:val="24"/>
        </w:rPr>
      </w:pPr>
      <w:r w:rsidRPr="002E06CC">
        <w:rPr>
          <w:rFonts w:ascii="Times New Roman" w:hAnsi="Times New Roman"/>
          <w:sz w:val="24"/>
          <w:szCs w:val="24"/>
        </w:rPr>
        <w:t xml:space="preserve">Armscor is encouraged to ensure that Projects Hotel and Biro are delivered on time and within the agreed budget. Armscor should </w:t>
      </w:r>
      <w:r w:rsidR="005B7A10" w:rsidRPr="002E06CC">
        <w:rPr>
          <w:rFonts w:ascii="Times New Roman" w:hAnsi="Times New Roman"/>
          <w:sz w:val="24"/>
          <w:szCs w:val="24"/>
        </w:rPr>
        <w:t>submit</w:t>
      </w:r>
      <w:r w:rsidRPr="002E06CC">
        <w:rPr>
          <w:rFonts w:ascii="Times New Roman" w:hAnsi="Times New Roman"/>
          <w:sz w:val="24"/>
          <w:szCs w:val="24"/>
        </w:rPr>
        <w:t xml:space="preserve"> bi-annual reports on progress with these two projects to the Committee. The first report should be submitted </w:t>
      </w:r>
      <w:r w:rsidR="00DE6DEE" w:rsidRPr="002E06CC">
        <w:rPr>
          <w:rFonts w:ascii="Times New Roman" w:hAnsi="Times New Roman"/>
          <w:sz w:val="24"/>
          <w:szCs w:val="24"/>
        </w:rPr>
        <w:t>by</w:t>
      </w:r>
      <w:r w:rsidRPr="002E06CC">
        <w:rPr>
          <w:rFonts w:ascii="Times New Roman" w:hAnsi="Times New Roman"/>
          <w:sz w:val="24"/>
          <w:szCs w:val="24"/>
        </w:rPr>
        <w:t xml:space="preserve"> 31 March 2019. These details should also be reported in the Annual Reports of Armscor.</w:t>
      </w:r>
    </w:p>
    <w:p w14:paraId="48F14C82" w14:textId="77777777" w:rsidR="00D14293" w:rsidRPr="002E06CC" w:rsidRDefault="00D14293" w:rsidP="002E06CC">
      <w:pPr>
        <w:pStyle w:val="ListParagraph"/>
        <w:spacing w:line="360" w:lineRule="auto"/>
        <w:rPr>
          <w:rFonts w:ascii="Times New Roman" w:hAnsi="Times New Roman"/>
          <w:sz w:val="24"/>
          <w:szCs w:val="24"/>
        </w:rPr>
      </w:pPr>
    </w:p>
    <w:p w14:paraId="6C110418" w14:textId="77777777" w:rsidR="00D14293" w:rsidRPr="002E06CC" w:rsidRDefault="00D14293" w:rsidP="002E06CC">
      <w:pPr>
        <w:pStyle w:val="ListParagraph"/>
        <w:numPr>
          <w:ilvl w:val="0"/>
          <w:numId w:val="12"/>
        </w:numPr>
        <w:spacing w:line="360" w:lineRule="auto"/>
        <w:jc w:val="both"/>
        <w:outlineLvl w:val="0"/>
        <w:rPr>
          <w:rFonts w:ascii="Times New Roman" w:hAnsi="Times New Roman"/>
          <w:sz w:val="24"/>
          <w:szCs w:val="24"/>
        </w:rPr>
      </w:pPr>
      <w:r w:rsidRPr="002E06CC">
        <w:rPr>
          <w:rFonts w:ascii="Times New Roman" w:hAnsi="Times New Roman"/>
          <w:sz w:val="24"/>
          <w:szCs w:val="24"/>
        </w:rPr>
        <w:t>Armscor should, in future Annual Reports, include the figures of profits/losses of its Research and Development facilities.</w:t>
      </w:r>
    </w:p>
    <w:p w14:paraId="63D709FF" w14:textId="77777777" w:rsidR="00D14293" w:rsidRPr="002E06CC" w:rsidRDefault="00D14293" w:rsidP="002E06CC">
      <w:pPr>
        <w:pStyle w:val="ListParagraph"/>
        <w:spacing w:line="360" w:lineRule="auto"/>
        <w:rPr>
          <w:rFonts w:ascii="Times New Roman" w:hAnsi="Times New Roman"/>
          <w:sz w:val="24"/>
          <w:szCs w:val="24"/>
        </w:rPr>
      </w:pPr>
    </w:p>
    <w:p w14:paraId="4BA77073" w14:textId="77777777" w:rsidR="00D42CC2" w:rsidRPr="002E06CC" w:rsidRDefault="00D14293" w:rsidP="002E06CC">
      <w:pPr>
        <w:pStyle w:val="ListParagraph"/>
        <w:numPr>
          <w:ilvl w:val="0"/>
          <w:numId w:val="12"/>
        </w:numPr>
        <w:spacing w:line="360" w:lineRule="auto"/>
        <w:jc w:val="both"/>
        <w:outlineLvl w:val="0"/>
        <w:rPr>
          <w:rFonts w:ascii="Times New Roman" w:hAnsi="Times New Roman"/>
          <w:sz w:val="24"/>
          <w:szCs w:val="24"/>
        </w:rPr>
      </w:pPr>
      <w:r w:rsidRPr="002E06CC">
        <w:rPr>
          <w:rFonts w:ascii="Times New Roman" w:hAnsi="Times New Roman"/>
          <w:sz w:val="24"/>
          <w:szCs w:val="24"/>
        </w:rPr>
        <w:t>Armscor is encouraged to speed up the commercialisation of the Ultrasonic Broken Rail Detector System, the Shark Repellent System and other potential Intellectual Property products.</w:t>
      </w:r>
    </w:p>
    <w:p w14:paraId="7191CC6F" w14:textId="77777777" w:rsidR="00B81473" w:rsidRPr="002E06CC" w:rsidRDefault="00B81473" w:rsidP="002E06CC">
      <w:pPr>
        <w:pStyle w:val="ListParagraph"/>
        <w:spacing w:line="360" w:lineRule="auto"/>
        <w:jc w:val="both"/>
        <w:outlineLvl w:val="0"/>
        <w:rPr>
          <w:rFonts w:ascii="Times New Roman" w:hAnsi="Times New Roman"/>
          <w:sz w:val="24"/>
          <w:szCs w:val="24"/>
        </w:rPr>
      </w:pPr>
    </w:p>
    <w:p w14:paraId="015CA44E" w14:textId="77777777" w:rsidR="00B81473" w:rsidRPr="002E06CC" w:rsidRDefault="00FD00DA" w:rsidP="002E06CC">
      <w:pPr>
        <w:pStyle w:val="ListParagraph"/>
        <w:numPr>
          <w:ilvl w:val="0"/>
          <w:numId w:val="12"/>
        </w:numPr>
        <w:spacing w:line="360" w:lineRule="auto"/>
        <w:jc w:val="both"/>
        <w:outlineLvl w:val="0"/>
        <w:rPr>
          <w:rFonts w:ascii="Times New Roman" w:hAnsi="Times New Roman"/>
          <w:sz w:val="24"/>
          <w:szCs w:val="24"/>
        </w:rPr>
      </w:pPr>
      <w:r w:rsidRPr="002E06CC">
        <w:rPr>
          <w:rFonts w:ascii="Times New Roman" w:hAnsi="Times New Roman"/>
          <w:sz w:val="24"/>
          <w:szCs w:val="24"/>
        </w:rPr>
        <w:t>Armscor should provide a detailed report on increases for executive and non-executive directors from 2015/16 to 2017/18. The report should justify and explain the logic behind these increases given that Armscor cannot fully fulfil its acquisition role amid limited defence spending. This report should be submitted no later than 5 November 2018.</w:t>
      </w:r>
    </w:p>
    <w:p w14:paraId="5A18000D" w14:textId="77777777" w:rsidR="00B81473" w:rsidRPr="002E06CC" w:rsidRDefault="00B81473" w:rsidP="002E06CC">
      <w:pPr>
        <w:pStyle w:val="ListParagraph"/>
        <w:spacing w:line="360" w:lineRule="auto"/>
        <w:jc w:val="both"/>
        <w:outlineLvl w:val="0"/>
        <w:rPr>
          <w:rFonts w:ascii="Times New Roman" w:hAnsi="Times New Roman"/>
          <w:sz w:val="24"/>
          <w:szCs w:val="24"/>
        </w:rPr>
      </w:pPr>
    </w:p>
    <w:p w14:paraId="65C6EA02" w14:textId="77777777" w:rsidR="00C05FEB" w:rsidRPr="002E06CC" w:rsidRDefault="00C05FEB" w:rsidP="002E06CC">
      <w:pPr>
        <w:pStyle w:val="ListParagraph"/>
        <w:numPr>
          <w:ilvl w:val="0"/>
          <w:numId w:val="12"/>
        </w:numPr>
        <w:spacing w:line="360" w:lineRule="auto"/>
        <w:jc w:val="both"/>
        <w:outlineLvl w:val="0"/>
        <w:rPr>
          <w:rFonts w:ascii="Times New Roman" w:hAnsi="Times New Roman"/>
          <w:sz w:val="24"/>
          <w:szCs w:val="24"/>
        </w:rPr>
      </w:pPr>
      <w:r w:rsidRPr="002E06CC">
        <w:rPr>
          <w:rFonts w:ascii="Times New Roman" w:hAnsi="Times New Roman"/>
          <w:sz w:val="24"/>
          <w:szCs w:val="24"/>
        </w:rPr>
        <w:t xml:space="preserve">Irregular and fruitless and wasteful expenditure </w:t>
      </w:r>
      <w:r w:rsidR="00DE6DEE" w:rsidRPr="002E06CC">
        <w:rPr>
          <w:rFonts w:ascii="Times New Roman" w:hAnsi="Times New Roman"/>
          <w:sz w:val="24"/>
          <w:szCs w:val="24"/>
        </w:rPr>
        <w:t xml:space="preserve">are </w:t>
      </w:r>
      <w:r w:rsidRPr="002E06CC">
        <w:rPr>
          <w:rFonts w:ascii="Times New Roman" w:hAnsi="Times New Roman"/>
          <w:sz w:val="24"/>
          <w:szCs w:val="24"/>
        </w:rPr>
        <w:t>major concern</w:t>
      </w:r>
      <w:r w:rsidR="00DE6DEE" w:rsidRPr="002E06CC">
        <w:rPr>
          <w:rFonts w:ascii="Times New Roman" w:hAnsi="Times New Roman"/>
          <w:sz w:val="24"/>
          <w:szCs w:val="24"/>
        </w:rPr>
        <w:t>s</w:t>
      </w:r>
      <w:r w:rsidRPr="002E06CC">
        <w:rPr>
          <w:rFonts w:ascii="Times New Roman" w:hAnsi="Times New Roman"/>
          <w:sz w:val="24"/>
          <w:szCs w:val="24"/>
        </w:rPr>
        <w:t xml:space="preserve"> to the Committee. A detailed breakdown of such expenditure should be submitted to the PC</w:t>
      </w:r>
      <w:r w:rsidR="00DE6DEE" w:rsidRPr="002E06CC">
        <w:rPr>
          <w:rFonts w:ascii="Times New Roman" w:hAnsi="Times New Roman"/>
          <w:sz w:val="24"/>
          <w:szCs w:val="24"/>
        </w:rPr>
        <w:t>O</w:t>
      </w:r>
      <w:r w:rsidRPr="002E06CC">
        <w:rPr>
          <w:rFonts w:ascii="Times New Roman" w:hAnsi="Times New Roman"/>
          <w:sz w:val="24"/>
          <w:szCs w:val="24"/>
        </w:rPr>
        <w:t>DMV no later than 5 November 2018.</w:t>
      </w:r>
      <w:r w:rsidR="00AC5289" w:rsidRPr="002E06CC">
        <w:rPr>
          <w:rFonts w:ascii="Times New Roman" w:hAnsi="Times New Roman"/>
          <w:sz w:val="24"/>
          <w:szCs w:val="24"/>
        </w:rPr>
        <w:t xml:space="preserve"> The report should also include an overview of the i</w:t>
      </w:r>
      <w:r w:rsidR="004029C9" w:rsidRPr="002E06CC">
        <w:rPr>
          <w:rFonts w:ascii="Times New Roman" w:hAnsi="Times New Roman"/>
          <w:sz w:val="24"/>
          <w:szCs w:val="24"/>
        </w:rPr>
        <w:t>nternal audit capability at Armscor.</w:t>
      </w:r>
    </w:p>
    <w:p w14:paraId="1B0C3AA0" w14:textId="77777777" w:rsidR="00B62A65" w:rsidRPr="002E06CC" w:rsidRDefault="00B62A65" w:rsidP="002E06CC">
      <w:pPr>
        <w:pStyle w:val="ListParagraph"/>
        <w:spacing w:line="360" w:lineRule="auto"/>
        <w:jc w:val="both"/>
        <w:outlineLvl w:val="0"/>
        <w:rPr>
          <w:rFonts w:ascii="Times New Roman" w:hAnsi="Times New Roman"/>
          <w:sz w:val="24"/>
          <w:szCs w:val="24"/>
        </w:rPr>
      </w:pPr>
    </w:p>
    <w:p w14:paraId="3F31D52E" w14:textId="77777777" w:rsidR="00721F6F" w:rsidRPr="002E06CC" w:rsidRDefault="00461FCB" w:rsidP="002E06CC">
      <w:pPr>
        <w:spacing w:after="200" w:line="360" w:lineRule="auto"/>
        <w:jc w:val="both"/>
        <w:outlineLvl w:val="0"/>
        <w:rPr>
          <w:rFonts w:ascii="Times New Roman" w:hAnsi="Times New Roman" w:cs="Times New Roman"/>
          <w:sz w:val="24"/>
          <w:szCs w:val="24"/>
        </w:rPr>
      </w:pPr>
      <w:r w:rsidRPr="002E06CC">
        <w:rPr>
          <w:rFonts w:ascii="Times New Roman" w:eastAsia="Calibri" w:hAnsi="Times New Roman" w:cs="Times New Roman"/>
          <w:b/>
          <w:sz w:val="24"/>
          <w:szCs w:val="24"/>
        </w:rPr>
        <w:t>Report to be considered.</w:t>
      </w:r>
    </w:p>
    <w:sectPr w:rsidR="00721F6F" w:rsidRPr="002E06CC" w:rsidSect="009B2849">
      <w:footerReference w:type="default" r:id="rId9"/>
      <w:endnotePr>
        <w:numFmt w:val="decimal"/>
      </w:endnotePr>
      <w:pgSz w:w="11900" w:h="16840"/>
      <w:pgMar w:top="1134" w:right="1134" w:bottom="1134" w:left="1134"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476D1" w14:textId="77777777" w:rsidR="00BC3E0E" w:rsidRDefault="00BC3E0E" w:rsidP="00461FCB">
      <w:pPr>
        <w:spacing w:after="0" w:line="240" w:lineRule="auto"/>
      </w:pPr>
      <w:r>
        <w:separator/>
      </w:r>
    </w:p>
  </w:endnote>
  <w:endnote w:type="continuationSeparator" w:id="0">
    <w:p w14:paraId="2FE88259" w14:textId="77777777" w:rsidR="00BC3E0E" w:rsidRDefault="00BC3E0E" w:rsidP="0046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T-Ligh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33255"/>
      <w:docPartObj>
        <w:docPartGallery w:val="Page Numbers (Bottom of Page)"/>
        <w:docPartUnique/>
      </w:docPartObj>
    </w:sdtPr>
    <w:sdtEndPr>
      <w:rPr>
        <w:rFonts w:ascii="Arial" w:hAnsi="Arial" w:cs="Arial"/>
        <w:noProof/>
        <w:sz w:val="20"/>
      </w:rPr>
    </w:sdtEndPr>
    <w:sdtContent>
      <w:p w14:paraId="40E5A9E8" w14:textId="658FE1C7" w:rsidR="000E48D5" w:rsidRPr="00B235BB" w:rsidRDefault="000E48D5">
        <w:pPr>
          <w:pStyle w:val="Footer"/>
          <w:jc w:val="center"/>
          <w:rPr>
            <w:rFonts w:ascii="Arial" w:hAnsi="Arial" w:cs="Arial"/>
            <w:sz w:val="20"/>
          </w:rPr>
        </w:pPr>
        <w:r w:rsidRPr="00B235BB">
          <w:rPr>
            <w:rFonts w:ascii="Arial" w:hAnsi="Arial" w:cs="Arial"/>
            <w:sz w:val="20"/>
          </w:rPr>
          <w:fldChar w:fldCharType="begin"/>
        </w:r>
        <w:r w:rsidRPr="00B235BB">
          <w:rPr>
            <w:rFonts w:ascii="Arial" w:hAnsi="Arial" w:cs="Arial"/>
            <w:sz w:val="20"/>
          </w:rPr>
          <w:instrText xml:space="preserve"> PAGE   \* MERGEFORMAT </w:instrText>
        </w:r>
        <w:r w:rsidRPr="00B235BB">
          <w:rPr>
            <w:rFonts w:ascii="Arial" w:hAnsi="Arial" w:cs="Arial"/>
            <w:sz w:val="20"/>
          </w:rPr>
          <w:fldChar w:fldCharType="separate"/>
        </w:r>
        <w:r w:rsidR="00BC3E0E">
          <w:rPr>
            <w:rFonts w:ascii="Arial" w:hAnsi="Arial" w:cs="Arial"/>
            <w:noProof/>
            <w:sz w:val="20"/>
          </w:rPr>
          <w:t>1</w:t>
        </w:r>
        <w:r w:rsidRPr="00B235BB">
          <w:rPr>
            <w:rFonts w:ascii="Arial" w:hAnsi="Arial" w:cs="Arial"/>
            <w:noProof/>
            <w:sz w:val="20"/>
          </w:rPr>
          <w:fldChar w:fldCharType="end"/>
        </w:r>
      </w:p>
    </w:sdtContent>
  </w:sdt>
  <w:p w14:paraId="45B3FD0D" w14:textId="77777777" w:rsidR="000E48D5" w:rsidRDefault="000E48D5">
    <w:pPr>
      <w:tabs>
        <w:tab w:val="left" w:pos="0"/>
        <w:tab w:val="center" w:pos="4510"/>
        <w:tab w:val="center" w:pos="4513"/>
        <w:tab w:val="center" w:pos="4513"/>
        <w:tab w:val="right" w:pos="9000"/>
        <w:tab w:val="right" w:pos="9000"/>
        <w:tab w:val="right" w:pos="9020"/>
      </w:tabs>
      <w:outlineLvl w:val="0"/>
      <w:rPr>
        <w:rFonts w:ascii="Helvetica" w:eastAsia="Arial Unicode MS" w:hAnsi="Helvetica"/>
        <w:color w:val="000000"/>
        <w:u w:color="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F3823" w14:textId="77777777" w:rsidR="00BC3E0E" w:rsidRDefault="00BC3E0E" w:rsidP="00461FCB">
      <w:pPr>
        <w:spacing w:after="0" w:line="240" w:lineRule="auto"/>
      </w:pPr>
      <w:r>
        <w:separator/>
      </w:r>
    </w:p>
  </w:footnote>
  <w:footnote w:type="continuationSeparator" w:id="0">
    <w:p w14:paraId="769EE54D" w14:textId="77777777" w:rsidR="00BC3E0E" w:rsidRDefault="00BC3E0E" w:rsidP="00461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455A6"/>
    <w:multiLevelType w:val="hybridMultilevel"/>
    <w:tmpl w:val="21646E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B393D08"/>
    <w:multiLevelType w:val="hybridMultilevel"/>
    <w:tmpl w:val="4042AAAA"/>
    <w:lvl w:ilvl="0" w:tplc="AFD061E2">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24345ED"/>
    <w:multiLevelType w:val="hybridMultilevel"/>
    <w:tmpl w:val="CB80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3505F"/>
    <w:multiLevelType w:val="hybridMultilevel"/>
    <w:tmpl w:val="113EB99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A710A06"/>
    <w:multiLevelType w:val="hybridMultilevel"/>
    <w:tmpl w:val="0F881194"/>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nsid w:val="1AFB3FE7"/>
    <w:multiLevelType w:val="multilevel"/>
    <w:tmpl w:val="9B0C844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CDE3544"/>
    <w:multiLevelType w:val="hybridMultilevel"/>
    <w:tmpl w:val="175806C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D6973A0"/>
    <w:multiLevelType w:val="hybridMultilevel"/>
    <w:tmpl w:val="26200F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472623C"/>
    <w:multiLevelType w:val="hybridMultilevel"/>
    <w:tmpl w:val="C11E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E1AE3"/>
    <w:multiLevelType w:val="hybridMultilevel"/>
    <w:tmpl w:val="4824F6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25A43470"/>
    <w:multiLevelType w:val="hybridMultilevel"/>
    <w:tmpl w:val="72EE91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67F1273"/>
    <w:multiLevelType w:val="hybridMultilevel"/>
    <w:tmpl w:val="229C28DE"/>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7CF5CE1"/>
    <w:multiLevelType w:val="hybridMultilevel"/>
    <w:tmpl w:val="E2B0F49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9154D5B"/>
    <w:multiLevelType w:val="hybridMultilevel"/>
    <w:tmpl w:val="77FA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8D39B8"/>
    <w:multiLevelType w:val="hybridMultilevel"/>
    <w:tmpl w:val="E3CCC8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DC17FBE"/>
    <w:multiLevelType w:val="hybridMultilevel"/>
    <w:tmpl w:val="387403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5F2BBD"/>
    <w:multiLevelType w:val="hybridMultilevel"/>
    <w:tmpl w:val="497EC0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96590A"/>
    <w:multiLevelType w:val="hybridMultilevel"/>
    <w:tmpl w:val="188AE9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391401D5"/>
    <w:multiLevelType w:val="hybridMultilevel"/>
    <w:tmpl w:val="C0E008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3A3B16F2"/>
    <w:multiLevelType w:val="hybridMultilevel"/>
    <w:tmpl w:val="083E92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3D9C55DC"/>
    <w:multiLevelType w:val="hybridMultilevel"/>
    <w:tmpl w:val="7C9E592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297426"/>
    <w:multiLevelType w:val="hybridMultilevel"/>
    <w:tmpl w:val="292E1A1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4FA5F80"/>
    <w:multiLevelType w:val="hybridMultilevel"/>
    <w:tmpl w:val="5186F6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C3555F"/>
    <w:multiLevelType w:val="hybridMultilevel"/>
    <w:tmpl w:val="D77430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F8480E"/>
    <w:multiLevelType w:val="hybridMultilevel"/>
    <w:tmpl w:val="15A82A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2363660"/>
    <w:multiLevelType w:val="hybridMultilevel"/>
    <w:tmpl w:val="697415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0108C8"/>
    <w:multiLevelType w:val="hybridMultilevel"/>
    <w:tmpl w:val="181AE7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5D5F5F23"/>
    <w:multiLevelType w:val="hybridMultilevel"/>
    <w:tmpl w:val="07C217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67655FE6"/>
    <w:multiLevelType w:val="hybridMultilevel"/>
    <w:tmpl w:val="71C2A0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A8842F5"/>
    <w:multiLevelType w:val="hybridMultilevel"/>
    <w:tmpl w:val="12CA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A66EF9"/>
    <w:multiLevelType w:val="hybridMultilevel"/>
    <w:tmpl w:val="30324F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702514CF"/>
    <w:multiLevelType w:val="hybridMultilevel"/>
    <w:tmpl w:val="D1CE7E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23111ED"/>
    <w:multiLevelType w:val="hybridMultilevel"/>
    <w:tmpl w:val="7C9E592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4651C69"/>
    <w:multiLevelType w:val="hybridMultilevel"/>
    <w:tmpl w:val="41DAB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B962D9"/>
    <w:multiLevelType w:val="hybridMultilevel"/>
    <w:tmpl w:val="2B1AEB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78326356"/>
    <w:multiLevelType w:val="hybridMultilevel"/>
    <w:tmpl w:val="56EC35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F8D0DE0"/>
    <w:multiLevelType w:val="hybridMultilevel"/>
    <w:tmpl w:val="FE5E125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24"/>
  </w:num>
  <w:num w:numId="3">
    <w:abstractNumId w:val="6"/>
  </w:num>
  <w:num w:numId="4">
    <w:abstractNumId w:val="27"/>
  </w:num>
  <w:num w:numId="5">
    <w:abstractNumId w:val="25"/>
  </w:num>
  <w:num w:numId="6">
    <w:abstractNumId w:val="34"/>
  </w:num>
  <w:num w:numId="7">
    <w:abstractNumId w:val="12"/>
  </w:num>
  <w:num w:numId="8">
    <w:abstractNumId w:val="19"/>
  </w:num>
  <w:num w:numId="9">
    <w:abstractNumId w:val="35"/>
  </w:num>
  <w:num w:numId="10">
    <w:abstractNumId w:val="4"/>
  </w:num>
  <w:num w:numId="11">
    <w:abstractNumId w:val="30"/>
  </w:num>
  <w:num w:numId="12">
    <w:abstractNumId w:val="14"/>
  </w:num>
  <w:num w:numId="13">
    <w:abstractNumId w:val="31"/>
  </w:num>
  <w:num w:numId="14">
    <w:abstractNumId w:val="20"/>
  </w:num>
  <w:num w:numId="15">
    <w:abstractNumId w:val="1"/>
  </w:num>
  <w:num w:numId="16">
    <w:abstractNumId w:val="23"/>
  </w:num>
  <w:num w:numId="17">
    <w:abstractNumId w:val="36"/>
  </w:num>
  <w:num w:numId="18">
    <w:abstractNumId w:val="16"/>
  </w:num>
  <w:num w:numId="19">
    <w:abstractNumId w:val="5"/>
  </w:num>
  <w:num w:numId="20">
    <w:abstractNumId w:val="7"/>
  </w:num>
  <w:num w:numId="21">
    <w:abstractNumId w:val="13"/>
  </w:num>
  <w:num w:numId="22">
    <w:abstractNumId w:val="28"/>
  </w:num>
  <w:num w:numId="23">
    <w:abstractNumId w:val="2"/>
  </w:num>
  <w:num w:numId="24">
    <w:abstractNumId w:val="22"/>
  </w:num>
  <w:num w:numId="25">
    <w:abstractNumId w:val="18"/>
  </w:num>
  <w:num w:numId="26">
    <w:abstractNumId w:val="10"/>
  </w:num>
  <w:num w:numId="27">
    <w:abstractNumId w:val="37"/>
  </w:num>
  <w:num w:numId="28">
    <w:abstractNumId w:val="17"/>
  </w:num>
  <w:num w:numId="29">
    <w:abstractNumId w:val="11"/>
  </w:num>
  <w:num w:numId="30">
    <w:abstractNumId w:val="26"/>
  </w:num>
  <w:num w:numId="31">
    <w:abstractNumId w:val="32"/>
  </w:num>
  <w:num w:numId="32">
    <w:abstractNumId w:val="8"/>
  </w:num>
  <w:num w:numId="33">
    <w:abstractNumId w:val="29"/>
  </w:num>
  <w:num w:numId="34">
    <w:abstractNumId w:val="9"/>
  </w:num>
  <w:num w:numId="35">
    <w:abstractNumId w:val="3"/>
  </w:num>
  <w:num w:numId="36">
    <w:abstractNumId w:val="21"/>
  </w:num>
  <w:num w:numId="37">
    <w:abstractNumId w:val="3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CB"/>
    <w:rsid w:val="00013ACB"/>
    <w:rsid w:val="00025724"/>
    <w:rsid w:val="00061998"/>
    <w:rsid w:val="00063EB0"/>
    <w:rsid w:val="000C22FB"/>
    <w:rsid w:val="000D46A3"/>
    <w:rsid w:val="000E48D5"/>
    <w:rsid w:val="000E715E"/>
    <w:rsid w:val="000F4C92"/>
    <w:rsid w:val="00122F5E"/>
    <w:rsid w:val="0012600B"/>
    <w:rsid w:val="0015449D"/>
    <w:rsid w:val="00166A66"/>
    <w:rsid w:val="00181274"/>
    <w:rsid w:val="001A1324"/>
    <w:rsid w:val="001C0C8D"/>
    <w:rsid w:val="00237513"/>
    <w:rsid w:val="002634EE"/>
    <w:rsid w:val="002E06CC"/>
    <w:rsid w:val="00324563"/>
    <w:rsid w:val="003374F1"/>
    <w:rsid w:val="0036670B"/>
    <w:rsid w:val="003A263E"/>
    <w:rsid w:val="003B74F8"/>
    <w:rsid w:val="004029C9"/>
    <w:rsid w:val="00461FCB"/>
    <w:rsid w:val="00484A73"/>
    <w:rsid w:val="00492D28"/>
    <w:rsid w:val="004940E0"/>
    <w:rsid w:val="004B607B"/>
    <w:rsid w:val="004F3DCF"/>
    <w:rsid w:val="00507CCB"/>
    <w:rsid w:val="00515CC3"/>
    <w:rsid w:val="005325AA"/>
    <w:rsid w:val="00557DDF"/>
    <w:rsid w:val="005814FA"/>
    <w:rsid w:val="005859AF"/>
    <w:rsid w:val="005B7A10"/>
    <w:rsid w:val="005D4D6E"/>
    <w:rsid w:val="005D7EA8"/>
    <w:rsid w:val="006075C2"/>
    <w:rsid w:val="0062342D"/>
    <w:rsid w:val="00646E8F"/>
    <w:rsid w:val="0069261A"/>
    <w:rsid w:val="006A25BE"/>
    <w:rsid w:val="006D00E0"/>
    <w:rsid w:val="006D1E66"/>
    <w:rsid w:val="00710774"/>
    <w:rsid w:val="00721F6F"/>
    <w:rsid w:val="00770FC6"/>
    <w:rsid w:val="008725F5"/>
    <w:rsid w:val="00882AC7"/>
    <w:rsid w:val="008D38AC"/>
    <w:rsid w:val="008F0CC9"/>
    <w:rsid w:val="009B2849"/>
    <w:rsid w:val="009F10A4"/>
    <w:rsid w:val="00A66D8A"/>
    <w:rsid w:val="00A85FA9"/>
    <w:rsid w:val="00A94E96"/>
    <w:rsid w:val="00AB1444"/>
    <w:rsid w:val="00AB3A9C"/>
    <w:rsid w:val="00AC5289"/>
    <w:rsid w:val="00B03844"/>
    <w:rsid w:val="00B62A65"/>
    <w:rsid w:val="00B81473"/>
    <w:rsid w:val="00BC3D00"/>
    <w:rsid w:val="00BC3E0E"/>
    <w:rsid w:val="00BD3EF3"/>
    <w:rsid w:val="00BE10CF"/>
    <w:rsid w:val="00BF2C59"/>
    <w:rsid w:val="00C05FEB"/>
    <w:rsid w:val="00C17232"/>
    <w:rsid w:val="00C22CD2"/>
    <w:rsid w:val="00C279CE"/>
    <w:rsid w:val="00C41877"/>
    <w:rsid w:val="00C41C0B"/>
    <w:rsid w:val="00C5033A"/>
    <w:rsid w:val="00C51006"/>
    <w:rsid w:val="00C540D9"/>
    <w:rsid w:val="00C83543"/>
    <w:rsid w:val="00D14293"/>
    <w:rsid w:val="00D14491"/>
    <w:rsid w:val="00D17893"/>
    <w:rsid w:val="00D37AC3"/>
    <w:rsid w:val="00D42CC2"/>
    <w:rsid w:val="00D87A0F"/>
    <w:rsid w:val="00DA3834"/>
    <w:rsid w:val="00DE6DEE"/>
    <w:rsid w:val="00DF6837"/>
    <w:rsid w:val="00E41213"/>
    <w:rsid w:val="00E5273B"/>
    <w:rsid w:val="00E63ACF"/>
    <w:rsid w:val="00F01273"/>
    <w:rsid w:val="00F537D5"/>
    <w:rsid w:val="00F60D2E"/>
    <w:rsid w:val="00F61E08"/>
    <w:rsid w:val="00FB3488"/>
    <w:rsid w:val="00FB4CF3"/>
    <w:rsid w:val="00FB6DBE"/>
    <w:rsid w:val="00FD00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CB"/>
  </w:style>
  <w:style w:type="paragraph" w:styleId="Heading2">
    <w:name w:val="heading 2"/>
    <w:basedOn w:val="Normal"/>
    <w:next w:val="Normal"/>
    <w:link w:val="Heading2Char"/>
    <w:uiPriority w:val="9"/>
    <w:unhideWhenUsed/>
    <w:qFormat/>
    <w:rsid w:val="00461FCB"/>
    <w:pPr>
      <w:keepNext/>
      <w:keepLines/>
      <w:spacing w:before="40" w:after="0" w:line="280" w:lineRule="exact"/>
      <w:outlineLvl w:val="1"/>
    </w:pPr>
    <w:rPr>
      <w:rFonts w:ascii="Arial" w:eastAsiaTheme="majorEastAsia" w:hAnsi="Arial"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1FCB"/>
    <w:rPr>
      <w:rFonts w:ascii="Arial" w:eastAsiaTheme="majorEastAsia" w:hAnsi="Arial" w:cstheme="majorBidi"/>
      <w:b/>
      <w:color w:val="538135" w:themeColor="accent6" w:themeShade="BF"/>
      <w:szCs w:val="26"/>
    </w:rPr>
  </w:style>
  <w:style w:type="paragraph" w:styleId="ListParagraph">
    <w:name w:val="List Paragraph"/>
    <w:aliases w:val="Chapter Numbering,List Paragraph - 2,Riana Table Bullets 1,Bullets"/>
    <w:basedOn w:val="Normal"/>
    <w:link w:val="ListParagraphChar"/>
    <w:uiPriority w:val="34"/>
    <w:qFormat/>
    <w:rsid w:val="00461FCB"/>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Chapter Numbering Char,List Paragraph - 2 Char,Riana Table Bullets 1 Char,Bullets Char"/>
    <w:link w:val="ListParagraph"/>
    <w:uiPriority w:val="34"/>
    <w:locked/>
    <w:rsid w:val="00461FCB"/>
    <w:rPr>
      <w:rFonts w:ascii="Calibri" w:eastAsia="Calibri" w:hAnsi="Calibri" w:cs="Times New Roman"/>
    </w:rPr>
  </w:style>
  <w:style w:type="paragraph" w:styleId="Header">
    <w:name w:val="header"/>
    <w:basedOn w:val="Normal"/>
    <w:link w:val="HeaderChar"/>
    <w:rsid w:val="00461FCB"/>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461FCB"/>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61FCB"/>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61FCB"/>
    <w:rPr>
      <w:rFonts w:ascii="Times New Roman" w:eastAsia="Times New Roman" w:hAnsi="Times New Roman" w:cs="Times New Roman"/>
      <w:sz w:val="24"/>
      <w:szCs w:val="24"/>
      <w:lang w:val="en-US"/>
    </w:rPr>
  </w:style>
  <w:style w:type="paragraph" w:styleId="FootnoteText">
    <w:name w:val="footnote text"/>
    <w:aliases w:val="Footnote Text Char1,Footnote Text Char Char,fn Char"/>
    <w:basedOn w:val="Normal"/>
    <w:link w:val="FootnoteTextChar"/>
    <w:unhideWhenUsed/>
    <w:rsid w:val="00461FC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1 Char,Footnote Text Char Char Char,fn Char Char"/>
    <w:basedOn w:val="DefaultParagraphFont"/>
    <w:link w:val="FootnoteText"/>
    <w:rsid w:val="00461FCB"/>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461FCB"/>
    <w:rPr>
      <w:vertAlign w:val="superscript"/>
    </w:rPr>
  </w:style>
  <w:style w:type="table" w:styleId="TableGrid">
    <w:name w:val="Table Grid"/>
    <w:basedOn w:val="TableNormal"/>
    <w:uiPriority w:val="39"/>
    <w:rsid w:val="00461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61FCB"/>
    <w:pPr>
      <w:spacing w:after="0" w:line="240" w:lineRule="auto"/>
    </w:pPr>
    <w:tblPr>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Pr>
  </w:style>
  <w:style w:type="paragraph" w:styleId="CommentText">
    <w:name w:val="annotation text"/>
    <w:basedOn w:val="Normal"/>
    <w:link w:val="CommentTextChar"/>
    <w:semiHidden/>
    <w:rsid w:val="00461FCB"/>
    <w:pPr>
      <w:spacing w:after="0" w:line="280" w:lineRule="exact"/>
    </w:pPr>
    <w:rPr>
      <w:rFonts w:ascii="Arial" w:eastAsia="Times New Roman" w:hAnsi="Arial" w:cs="Times New Roman"/>
      <w:color w:val="000000"/>
      <w:spacing w:val="6"/>
      <w:sz w:val="20"/>
      <w:szCs w:val="20"/>
      <w:lang w:val="en-GB" w:eastAsia="en-GB"/>
    </w:rPr>
  </w:style>
  <w:style w:type="character" w:customStyle="1" w:styleId="CommentTextChar">
    <w:name w:val="Comment Text Char"/>
    <w:basedOn w:val="DefaultParagraphFont"/>
    <w:link w:val="CommentText"/>
    <w:semiHidden/>
    <w:rsid w:val="00461FCB"/>
    <w:rPr>
      <w:rFonts w:ascii="Arial" w:eastAsia="Times New Roman" w:hAnsi="Arial" w:cs="Times New Roman"/>
      <w:color w:val="000000"/>
      <w:spacing w:val="6"/>
      <w:sz w:val="20"/>
      <w:szCs w:val="20"/>
      <w:lang w:val="en-GB" w:eastAsia="en-GB"/>
    </w:rPr>
  </w:style>
  <w:style w:type="character" w:customStyle="1" w:styleId="BalloonTextChar">
    <w:name w:val="Balloon Text Char"/>
    <w:basedOn w:val="DefaultParagraphFont"/>
    <w:link w:val="BalloonText"/>
    <w:uiPriority w:val="99"/>
    <w:semiHidden/>
    <w:rsid w:val="00461FCB"/>
    <w:rPr>
      <w:rFonts w:ascii="Segoe UI" w:hAnsi="Segoe UI" w:cs="Segoe UI"/>
      <w:sz w:val="18"/>
      <w:szCs w:val="18"/>
    </w:rPr>
  </w:style>
  <w:style w:type="paragraph" w:styleId="BalloonText">
    <w:name w:val="Balloon Text"/>
    <w:basedOn w:val="Normal"/>
    <w:link w:val="BalloonTextChar"/>
    <w:uiPriority w:val="99"/>
    <w:semiHidden/>
    <w:unhideWhenUsed/>
    <w:rsid w:val="00461FCB"/>
    <w:pPr>
      <w:spacing w:after="0" w:line="240" w:lineRule="auto"/>
    </w:pPr>
    <w:rPr>
      <w:rFonts w:ascii="Segoe UI" w:hAnsi="Segoe UI" w:cs="Segoe UI"/>
      <w:sz w:val="18"/>
      <w:szCs w:val="18"/>
    </w:rPr>
  </w:style>
  <w:style w:type="paragraph" w:styleId="EndnoteText">
    <w:name w:val="endnote text"/>
    <w:basedOn w:val="Normal"/>
    <w:link w:val="EndnoteTextChar"/>
    <w:uiPriority w:val="99"/>
    <w:unhideWhenUsed/>
    <w:rsid w:val="00461FCB"/>
    <w:pPr>
      <w:spacing w:after="0" w:line="240" w:lineRule="auto"/>
    </w:pPr>
    <w:rPr>
      <w:sz w:val="20"/>
      <w:szCs w:val="20"/>
    </w:rPr>
  </w:style>
  <w:style w:type="character" w:customStyle="1" w:styleId="EndnoteTextChar">
    <w:name w:val="Endnote Text Char"/>
    <w:basedOn w:val="DefaultParagraphFont"/>
    <w:link w:val="EndnoteText"/>
    <w:uiPriority w:val="99"/>
    <w:rsid w:val="00461FCB"/>
    <w:rPr>
      <w:sz w:val="20"/>
      <w:szCs w:val="20"/>
    </w:rPr>
  </w:style>
  <w:style w:type="character" w:styleId="EndnoteReference">
    <w:name w:val="endnote reference"/>
    <w:basedOn w:val="DefaultParagraphFont"/>
    <w:uiPriority w:val="99"/>
    <w:unhideWhenUsed/>
    <w:rsid w:val="00461FCB"/>
    <w:rPr>
      <w:vertAlign w:val="superscript"/>
    </w:rPr>
  </w:style>
  <w:style w:type="table" w:customStyle="1" w:styleId="TableGrid11">
    <w:name w:val="Table Grid11"/>
    <w:basedOn w:val="TableNormal"/>
    <w:next w:val="TableGrid"/>
    <w:uiPriority w:val="39"/>
    <w:rsid w:val="00166A66"/>
    <w:pPr>
      <w:spacing w:after="0" w:line="240" w:lineRule="auto"/>
    </w:pPr>
    <w:tblPr>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Pr>
  </w:style>
  <w:style w:type="character" w:styleId="CommentReference">
    <w:name w:val="annotation reference"/>
    <w:basedOn w:val="DefaultParagraphFont"/>
    <w:uiPriority w:val="99"/>
    <w:semiHidden/>
    <w:unhideWhenUsed/>
    <w:rsid w:val="004029C9"/>
    <w:rPr>
      <w:sz w:val="16"/>
      <w:szCs w:val="16"/>
    </w:rPr>
  </w:style>
  <w:style w:type="paragraph" w:styleId="CommentSubject">
    <w:name w:val="annotation subject"/>
    <w:basedOn w:val="CommentText"/>
    <w:next w:val="CommentText"/>
    <w:link w:val="CommentSubjectChar"/>
    <w:uiPriority w:val="99"/>
    <w:semiHidden/>
    <w:unhideWhenUsed/>
    <w:rsid w:val="004029C9"/>
    <w:pPr>
      <w:spacing w:after="160" w:line="240" w:lineRule="auto"/>
    </w:pPr>
    <w:rPr>
      <w:rFonts w:asciiTheme="minorHAnsi" w:eastAsiaTheme="minorHAnsi" w:hAnsiTheme="minorHAnsi" w:cstheme="minorBidi"/>
      <w:b/>
      <w:bCs/>
      <w:color w:val="auto"/>
      <w:spacing w:val="0"/>
      <w:lang w:val="en-ZA" w:eastAsia="en-US"/>
    </w:rPr>
  </w:style>
  <w:style w:type="character" w:customStyle="1" w:styleId="CommentSubjectChar">
    <w:name w:val="Comment Subject Char"/>
    <w:basedOn w:val="CommentTextChar"/>
    <w:link w:val="CommentSubject"/>
    <w:uiPriority w:val="99"/>
    <w:semiHidden/>
    <w:rsid w:val="004029C9"/>
    <w:rPr>
      <w:rFonts w:ascii="Arial" w:eastAsia="Times New Roman" w:hAnsi="Arial" w:cs="Times New Roman"/>
      <w:b/>
      <w:bCs/>
      <w:color w:val="000000"/>
      <w:spacing w:val="6"/>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CB"/>
  </w:style>
  <w:style w:type="paragraph" w:styleId="Heading2">
    <w:name w:val="heading 2"/>
    <w:basedOn w:val="Normal"/>
    <w:next w:val="Normal"/>
    <w:link w:val="Heading2Char"/>
    <w:uiPriority w:val="9"/>
    <w:unhideWhenUsed/>
    <w:qFormat/>
    <w:rsid w:val="00461FCB"/>
    <w:pPr>
      <w:keepNext/>
      <w:keepLines/>
      <w:spacing w:before="40" w:after="0" w:line="280" w:lineRule="exact"/>
      <w:outlineLvl w:val="1"/>
    </w:pPr>
    <w:rPr>
      <w:rFonts w:ascii="Arial" w:eastAsiaTheme="majorEastAsia" w:hAnsi="Arial"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1FCB"/>
    <w:rPr>
      <w:rFonts w:ascii="Arial" w:eastAsiaTheme="majorEastAsia" w:hAnsi="Arial" w:cstheme="majorBidi"/>
      <w:b/>
      <w:color w:val="538135" w:themeColor="accent6" w:themeShade="BF"/>
      <w:szCs w:val="26"/>
    </w:rPr>
  </w:style>
  <w:style w:type="paragraph" w:styleId="ListParagraph">
    <w:name w:val="List Paragraph"/>
    <w:aliases w:val="Chapter Numbering,List Paragraph - 2,Riana Table Bullets 1,Bullets"/>
    <w:basedOn w:val="Normal"/>
    <w:link w:val="ListParagraphChar"/>
    <w:uiPriority w:val="34"/>
    <w:qFormat/>
    <w:rsid w:val="00461FCB"/>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Chapter Numbering Char,List Paragraph - 2 Char,Riana Table Bullets 1 Char,Bullets Char"/>
    <w:link w:val="ListParagraph"/>
    <w:uiPriority w:val="34"/>
    <w:locked/>
    <w:rsid w:val="00461FCB"/>
    <w:rPr>
      <w:rFonts w:ascii="Calibri" w:eastAsia="Calibri" w:hAnsi="Calibri" w:cs="Times New Roman"/>
    </w:rPr>
  </w:style>
  <w:style w:type="paragraph" w:styleId="Header">
    <w:name w:val="header"/>
    <w:basedOn w:val="Normal"/>
    <w:link w:val="HeaderChar"/>
    <w:rsid w:val="00461FCB"/>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461FCB"/>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61FCB"/>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61FCB"/>
    <w:rPr>
      <w:rFonts w:ascii="Times New Roman" w:eastAsia="Times New Roman" w:hAnsi="Times New Roman" w:cs="Times New Roman"/>
      <w:sz w:val="24"/>
      <w:szCs w:val="24"/>
      <w:lang w:val="en-US"/>
    </w:rPr>
  </w:style>
  <w:style w:type="paragraph" w:styleId="FootnoteText">
    <w:name w:val="footnote text"/>
    <w:aliases w:val="Footnote Text Char1,Footnote Text Char Char,fn Char"/>
    <w:basedOn w:val="Normal"/>
    <w:link w:val="FootnoteTextChar"/>
    <w:unhideWhenUsed/>
    <w:rsid w:val="00461FC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1 Char,Footnote Text Char Char Char,fn Char Char"/>
    <w:basedOn w:val="DefaultParagraphFont"/>
    <w:link w:val="FootnoteText"/>
    <w:rsid w:val="00461FCB"/>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461FCB"/>
    <w:rPr>
      <w:vertAlign w:val="superscript"/>
    </w:rPr>
  </w:style>
  <w:style w:type="table" w:styleId="TableGrid">
    <w:name w:val="Table Grid"/>
    <w:basedOn w:val="TableNormal"/>
    <w:uiPriority w:val="39"/>
    <w:rsid w:val="00461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61FCB"/>
    <w:pPr>
      <w:spacing w:after="0" w:line="240" w:lineRule="auto"/>
    </w:pPr>
    <w:tblPr>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Pr>
  </w:style>
  <w:style w:type="paragraph" w:styleId="CommentText">
    <w:name w:val="annotation text"/>
    <w:basedOn w:val="Normal"/>
    <w:link w:val="CommentTextChar"/>
    <w:semiHidden/>
    <w:rsid w:val="00461FCB"/>
    <w:pPr>
      <w:spacing w:after="0" w:line="280" w:lineRule="exact"/>
    </w:pPr>
    <w:rPr>
      <w:rFonts w:ascii="Arial" w:eastAsia="Times New Roman" w:hAnsi="Arial" w:cs="Times New Roman"/>
      <w:color w:val="000000"/>
      <w:spacing w:val="6"/>
      <w:sz w:val="20"/>
      <w:szCs w:val="20"/>
      <w:lang w:val="en-GB" w:eastAsia="en-GB"/>
    </w:rPr>
  </w:style>
  <w:style w:type="character" w:customStyle="1" w:styleId="CommentTextChar">
    <w:name w:val="Comment Text Char"/>
    <w:basedOn w:val="DefaultParagraphFont"/>
    <w:link w:val="CommentText"/>
    <w:semiHidden/>
    <w:rsid w:val="00461FCB"/>
    <w:rPr>
      <w:rFonts w:ascii="Arial" w:eastAsia="Times New Roman" w:hAnsi="Arial" w:cs="Times New Roman"/>
      <w:color w:val="000000"/>
      <w:spacing w:val="6"/>
      <w:sz w:val="20"/>
      <w:szCs w:val="20"/>
      <w:lang w:val="en-GB" w:eastAsia="en-GB"/>
    </w:rPr>
  </w:style>
  <w:style w:type="character" w:customStyle="1" w:styleId="BalloonTextChar">
    <w:name w:val="Balloon Text Char"/>
    <w:basedOn w:val="DefaultParagraphFont"/>
    <w:link w:val="BalloonText"/>
    <w:uiPriority w:val="99"/>
    <w:semiHidden/>
    <w:rsid w:val="00461FCB"/>
    <w:rPr>
      <w:rFonts w:ascii="Segoe UI" w:hAnsi="Segoe UI" w:cs="Segoe UI"/>
      <w:sz w:val="18"/>
      <w:szCs w:val="18"/>
    </w:rPr>
  </w:style>
  <w:style w:type="paragraph" w:styleId="BalloonText">
    <w:name w:val="Balloon Text"/>
    <w:basedOn w:val="Normal"/>
    <w:link w:val="BalloonTextChar"/>
    <w:uiPriority w:val="99"/>
    <w:semiHidden/>
    <w:unhideWhenUsed/>
    <w:rsid w:val="00461FCB"/>
    <w:pPr>
      <w:spacing w:after="0" w:line="240" w:lineRule="auto"/>
    </w:pPr>
    <w:rPr>
      <w:rFonts w:ascii="Segoe UI" w:hAnsi="Segoe UI" w:cs="Segoe UI"/>
      <w:sz w:val="18"/>
      <w:szCs w:val="18"/>
    </w:rPr>
  </w:style>
  <w:style w:type="paragraph" w:styleId="EndnoteText">
    <w:name w:val="endnote text"/>
    <w:basedOn w:val="Normal"/>
    <w:link w:val="EndnoteTextChar"/>
    <w:uiPriority w:val="99"/>
    <w:unhideWhenUsed/>
    <w:rsid w:val="00461FCB"/>
    <w:pPr>
      <w:spacing w:after="0" w:line="240" w:lineRule="auto"/>
    </w:pPr>
    <w:rPr>
      <w:sz w:val="20"/>
      <w:szCs w:val="20"/>
    </w:rPr>
  </w:style>
  <w:style w:type="character" w:customStyle="1" w:styleId="EndnoteTextChar">
    <w:name w:val="Endnote Text Char"/>
    <w:basedOn w:val="DefaultParagraphFont"/>
    <w:link w:val="EndnoteText"/>
    <w:uiPriority w:val="99"/>
    <w:rsid w:val="00461FCB"/>
    <w:rPr>
      <w:sz w:val="20"/>
      <w:szCs w:val="20"/>
    </w:rPr>
  </w:style>
  <w:style w:type="character" w:styleId="EndnoteReference">
    <w:name w:val="endnote reference"/>
    <w:basedOn w:val="DefaultParagraphFont"/>
    <w:uiPriority w:val="99"/>
    <w:unhideWhenUsed/>
    <w:rsid w:val="00461FCB"/>
    <w:rPr>
      <w:vertAlign w:val="superscript"/>
    </w:rPr>
  </w:style>
  <w:style w:type="table" w:customStyle="1" w:styleId="TableGrid11">
    <w:name w:val="Table Grid11"/>
    <w:basedOn w:val="TableNormal"/>
    <w:next w:val="TableGrid"/>
    <w:uiPriority w:val="39"/>
    <w:rsid w:val="00166A66"/>
    <w:pPr>
      <w:spacing w:after="0" w:line="240" w:lineRule="auto"/>
    </w:pPr>
    <w:tblPr>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Pr>
  </w:style>
  <w:style w:type="character" w:styleId="CommentReference">
    <w:name w:val="annotation reference"/>
    <w:basedOn w:val="DefaultParagraphFont"/>
    <w:uiPriority w:val="99"/>
    <w:semiHidden/>
    <w:unhideWhenUsed/>
    <w:rsid w:val="004029C9"/>
    <w:rPr>
      <w:sz w:val="16"/>
      <w:szCs w:val="16"/>
    </w:rPr>
  </w:style>
  <w:style w:type="paragraph" w:styleId="CommentSubject">
    <w:name w:val="annotation subject"/>
    <w:basedOn w:val="CommentText"/>
    <w:next w:val="CommentText"/>
    <w:link w:val="CommentSubjectChar"/>
    <w:uiPriority w:val="99"/>
    <w:semiHidden/>
    <w:unhideWhenUsed/>
    <w:rsid w:val="004029C9"/>
    <w:pPr>
      <w:spacing w:after="160" w:line="240" w:lineRule="auto"/>
    </w:pPr>
    <w:rPr>
      <w:rFonts w:asciiTheme="minorHAnsi" w:eastAsiaTheme="minorHAnsi" w:hAnsiTheme="minorHAnsi" w:cstheme="minorBidi"/>
      <w:b/>
      <w:bCs/>
      <w:color w:val="auto"/>
      <w:spacing w:val="0"/>
      <w:lang w:val="en-ZA" w:eastAsia="en-US"/>
    </w:rPr>
  </w:style>
  <w:style w:type="character" w:customStyle="1" w:styleId="CommentSubjectChar">
    <w:name w:val="Comment Subject Char"/>
    <w:basedOn w:val="CommentTextChar"/>
    <w:link w:val="CommentSubject"/>
    <w:uiPriority w:val="99"/>
    <w:semiHidden/>
    <w:rsid w:val="004029C9"/>
    <w:rPr>
      <w:rFonts w:ascii="Arial" w:eastAsia="Times New Roman" w:hAnsi="Arial" w:cs="Times New Roman"/>
      <w:b/>
      <w:bCs/>
      <w:color w:val="000000"/>
      <w:spacing w:val="6"/>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rgbClr val="FFFFF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19C71-4670-4E7D-925C-CBEBCE32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10402</Words>
  <Characters>59294</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Daniels</dc:creator>
  <cp:lastModifiedBy>Asanda</cp:lastModifiedBy>
  <cp:revision>2</cp:revision>
  <cp:lastPrinted>2018-10-17T11:25:00Z</cp:lastPrinted>
  <dcterms:created xsi:type="dcterms:W3CDTF">2018-10-22T08:22:00Z</dcterms:created>
  <dcterms:modified xsi:type="dcterms:W3CDTF">2018-10-22T08:22:00Z</dcterms:modified>
</cp:coreProperties>
</file>