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F6B56" w14:textId="77777777" w:rsidR="00FB52E4" w:rsidRDefault="00FB52E4">
      <w:pPr>
        <w:rPr>
          <w:noProof/>
          <w:lang w:eastAsia="en-ZA"/>
        </w:rPr>
      </w:pPr>
      <w:r>
        <w:rPr>
          <w:noProof/>
          <w:lang w:eastAsia="en-ZA"/>
        </w:rPr>
        <w:drawing>
          <wp:inline distT="0" distB="0" distL="0" distR="0" wp14:anchorId="550E1AC9" wp14:editId="19267234">
            <wp:extent cx="5731510" cy="1275978"/>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275978"/>
                    </a:xfrm>
                    <a:prstGeom prst="rect">
                      <a:avLst/>
                    </a:prstGeom>
                    <a:noFill/>
                    <a:ln>
                      <a:noFill/>
                    </a:ln>
                  </pic:spPr>
                </pic:pic>
              </a:graphicData>
            </a:graphic>
          </wp:inline>
        </w:drawing>
      </w:r>
    </w:p>
    <w:p w14:paraId="54B5A17A" w14:textId="77777777" w:rsidR="00FB52E4" w:rsidRDefault="00CD08F0" w:rsidP="00CD08F0">
      <w:pPr>
        <w:tabs>
          <w:tab w:val="left" w:pos="6840"/>
        </w:tabs>
        <w:rPr>
          <w:noProof/>
          <w:lang w:eastAsia="en-ZA"/>
        </w:rPr>
      </w:pPr>
      <w:r>
        <w:rPr>
          <w:noProof/>
          <w:lang w:eastAsia="en-ZA"/>
        </w:rPr>
        <w:tab/>
      </w:r>
    </w:p>
    <w:p w14:paraId="570099FD" w14:textId="7CDB39C7" w:rsidR="00FB52E4" w:rsidRPr="00FB52E4" w:rsidRDefault="00FB52E4" w:rsidP="00FB52E4">
      <w:pPr>
        <w:jc w:val="center"/>
        <w:rPr>
          <w:rFonts w:ascii="Times New Roman" w:hAnsi="Times New Roman" w:cs="Times New Roman"/>
          <w:b/>
          <w:sz w:val="24"/>
          <w:szCs w:val="24"/>
          <w:lang w:val="en-US"/>
        </w:rPr>
      </w:pPr>
      <w:r w:rsidRPr="00FB52E4">
        <w:rPr>
          <w:rFonts w:ascii="Times New Roman" w:hAnsi="Times New Roman" w:cs="Times New Roman"/>
          <w:b/>
          <w:sz w:val="24"/>
          <w:szCs w:val="24"/>
          <w:lang w:val="en-US"/>
        </w:rPr>
        <w:t xml:space="preserve">SUBMISSION </w:t>
      </w:r>
      <w:r w:rsidR="00332436">
        <w:rPr>
          <w:rFonts w:ascii="Times New Roman" w:hAnsi="Times New Roman" w:cs="Times New Roman"/>
          <w:b/>
          <w:sz w:val="24"/>
          <w:szCs w:val="24"/>
          <w:lang w:val="en-US"/>
        </w:rPr>
        <w:t>TO THE</w:t>
      </w:r>
      <w:bookmarkStart w:id="0" w:name="_GoBack"/>
      <w:bookmarkEnd w:id="0"/>
      <w:r w:rsidR="00CD08F0">
        <w:rPr>
          <w:rFonts w:ascii="Times New Roman" w:hAnsi="Times New Roman" w:cs="Times New Roman"/>
          <w:b/>
          <w:sz w:val="24"/>
          <w:szCs w:val="24"/>
          <w:lang w:val="en-US"/>
        </w:rPr>
        <w:t xml:space="preserve"> ELECTORAL COMMISSION</w:t>
      </w:r>
      <w:r w:rsidR="00332436">
        <w:rPr>
          <w:rFonts w:ascii="Times New Roman" w:hAnsi="Times New Roman" w:cs="Times New Roman"/>
          <w:b/>
          <w:sz w:val="24"/>
          <w:szCs w:val="24"/>
          <w:lang w:val="en-US"/>
        </w:rPr>
        <w:t xml:space="preserve"> ON THE</w:t>
      </w:r>
      <w:r w:rsidR="00CD08F0">
        <w:rPr>
          <w:rFonts w:ascii="Times New Roman" w:hAnsi="Times New Roman" w:cs="Times New Roman"/>
          <w:b/>
          <w:sz w:val="24"/>
          <w:szCs w:val="24"/>
          <w:lang w:val="en-US"/>
        </w:rPr>
        <w:t xml:space="preserve"> DRAFT REGULATIONS FOR </w:t>
      </w:r>
      <w:r w:rsidR="00332436">
        <w:rPr>
          <w:rFonts w:ascii="Times New Roman" w:hAnsi="Times New Roman" w:cs="Times New Roman"/>
          <w:b/>
          <w:sz w:val="24"/>
          <w:szCs w:val="24"/>
          <w:lang w:val="en-US"/>
        </w:rPr>
        <w:t xml:space="preserve">THE </w:t>
      </w:r>
      <w:r w:rsidR="00CD08F0">
        <w:rPr>
          <w:rFonts w:ascii="Times New Roman" w:hAnsi="Times New Roman" w:cs="Times New Roman"/>
          <w:b/>
          <w:sz w:val="24"/>
          <w:szCs w:val="24"/>
          <w:lang w:val="en-US"/>
        </w:rPr>
        <w:t>POLITICAL PARTY FUNDING ACT</w:t>
      </w:r>
    </w:p>
    <w:p w14:paraId="4D20627D" w14:textId="713CA342" w:rsidR="00FB52E4" w:rsidRDefault="00F14D66" w:rsidP="00FB52E4">
      <w:pPr>
        <w:jc w:val="center"/>
        <w:rPr>
          <w:rFonts w:ascii="Times New Roman" w:hAnsi="Times New Roman" w:cs="Times New Roman"/>
          <w:sz w:val="24"/>
          <w:szCs w:val="24"/>
        </w:rPr>
      </w:pPr>
      <w:r>
        <w:rPr>
          <w:rFonts w:ascii="Times New Roman" w:hAnsi="Times New Roman" w:cs="Times New Roman"/>
          <w:b/>
          <w:sz w:val="24"/>
          <w:szCs w:val="24"/>
        </w:rPr>
        <w:t>1 August</w:t>
      </w:r>
      <w:r w:rsidR="00CD08F0">
        <w:rPr>
          <w:rFonts w:ascii="Times New Roman" w:hAnsi="Times New Roman" w:cs="Times New Roman"/>
          <w:b/>
          <w:sz w:val="24"/>
          <w:szCs w:val="24"/>
        </w:rPr>
        <w:t>, 2019</w:t>
      </w:r>
    </w:p>
    <w:p w14:paraId="6E6F3E9B" w14:textId="77777777" w:rsidR="00FB52E4" w:rsidRDefault="00FB52E4" w:rsidP="00FB52E4">
      <w:pPr>
        <w:rPr>
          <w:rFonts w:ascii="Times New Roman" w:hAnsi="Times New Roman" w:cs="Times New Roman"/>
          <w:sz w:val="24"/>
          <w:szCs w:val="24"/>
        </w:rPr>
      </w:pPr>
    </w:p>
    <w:p w14:paraId="3CC1C169" w14:textId="77777777" w:rsidR="00FB52E4" w:rsidRPr="00AF4723" w:rsidRDefault="00FB52E4" w:rsidP="00AF4723">
      <w:pPr>
        <w:jc w:val="both"/>
        <w:rPr>
          <w:rFonts w:ascii="Times New Roman" w:hAnsi="Times New Roman" w:cs="Times New Roman"/>
          <w:b/>
          <w:sz w:val="24"/>
          <w:szCs w:val="24"/>
          <w:u w:val="single"/>
        </w:rPr>
      </w:pPr>
      <w:r w:rsidRPr="00AF4723">
        <w:rPr>
          <w:rFonts w:ascii="Times New Roman" w:hAnsi="Times New Roman" w:cs="Times New Roman"/>
          <w:b/>
          <w:sz w:val="24"/>
          <w:szCs w:val="24"/>
          <w:u w:val="single"/>
        </w:rPr>
        <w:t>Introduction</w:t>
      </w:r>
    </w:p>
    <w:p w14:paraId="7025B1C8" w14:textId="66EB9BDE" w:rsidR="00FB52E4" w:rsidRPr="00AF4723" w:rsidRDefault="00FB52E4" w:rsidP="00AF4723">
      <w:pPr>
        <w:pStyle w:val="ListParagraph"/>
        <w:numPr>
          <w:ilvl w:val="0"/>
          <w:numId w:val="1"/>
        </w:numPr>
        <w:jc w:val="both"/>
        <w:rPr>
          <w:rFonts w:ascii="Times New Roman" w:hAnsi="Times New Roman" w:cs="Times New Roman"/>
          <w:sz w:val="24"/>
          <w:szCs w:val="24"/>
        </w:rPr>
      </w:pPr>
      <w:r w:rsidRPr="00AF4723">
        <w:rPr>
          <w:rFonts w:ascii="Times New Roman" w:hAnsi="Times New Roman" w:cs="Times New Roman"/>
          <w:sz w:val="24"/>
          <w:szCs w:val="24"/>
        </w:rPr>
        <w:t xml:space="preserve">The Council for the Advancement of the South African Constitution (“CASAC”) is pleased to accept the invitation </w:t>
      </w:r>
      <w:r w:rsidR="00CD08F0">
        <w:rPr>
          <w:rFonts w:ascii="Times New Roman" w:hAnsi="Times New Roman" w:cs="Times New Roman"/>
          <w:sz w:val="24"/>
          <w:szCs w:val="24"/>
        </w:rPr>
        <w:t>from the Electoral Commission (</w:t>
      </w:r>
      <w:r w:rsidR="00332436">
        <w:rPr>
          <w:rFonts w:ascii="Times New Roman" w:hAnsi="Times New Roman" w:cs="Times New Roman"/>
          <w:sz w:val="24"/>
          <w:szCs w:val="24"/>
        </w:rPr>
        <w:t>“</w:t>
      </w:r>
      <w:r w:rsidR="00CD08F0">
        <w:rPr>
          <w:rFonts w:ascii="Times New Roman" w:hAnsi="Times New Roman" w:cs="Times New Roman"/>
          <w:sz w:val="24"/>
          <w:szCs w:val="24"/>
        </w:rPr>
        <w:t>IEC</w:t>
      </w:r>
      <w:r w:rsidR="00332436">
        <w:rPr>
          <w:rFonts w:ascii="Times New Roman" w:hAnsi="Times New Roman" w:cs="Times New Roman"/>
          <w:sz w:val="24"/>
          <w:szCs w:val="24"/>
        </w:rPr>
        <w:t>”</w:t>
      </w:r>
      <w:r w:rsidR="00CD08F0">
        <w:rPr>
          <w:rFonts w:ascii="Times New Roman" w:hAnsi="Times New Roman" w:cs="Times New Roman"/>
          <w:sz w:val="24"/>
          <w:szCs w:val="24"/>
        </w:rPr>
        <w:t xml:space="preserve">) </w:t>
      </w:r>
      <w:r w:rsidRPr="00AF4723">
        <w:rPr>
          <w:rFonts w:ascii="Times New Roman" w:hAnsi="Times New Roman" w:cs="Times New Roman"/>
          <w:sz w:val="24"/>
          <w:szCs w:val="24"/>
        </w:rPr>
        <w:t xml:space="preserve">for public comment on the </w:t>
      </w:r>
      <w:r w:rsidR="00CD08F0">
        <w:rPr>
          <w:rFonts w:ascii="Times New Roman" w:hAnsi="Times New Roman" w:cs="Times New Roman"/>
          <w:sz w:val="24"/>
          <w:szCs w:val="24"/>
        </w:rPr>
        <w:t>IEC’s Draft Regulations for the implementation of the Political Party Funding Act 6 of 2018</w:t>
      </w:r>
      <w:r w:rsidR="0056758E">
        <w:rPr>
          <w:rFonts w:ascii="Times New Roman" w:hAnsi="Times New Roman" w:cs="Times New Roman"/>
          <w:sz w:val="24"/>
          <w:szCs w:val="24"/>
        </w:rPr>
        <w:t xml:space="preserve"> (“the Act”)</w:t>
      </w:r>
      <w:r w:rsidR="00CD08F0">
        <w:rPr>
          <w:rFonts w:ascii="Times New Roman" w:hAnsi="Times New Roman" w:cs="Times New Roman"/>
          <w:sz w:val="24"/>
          <w:szCs w:val="24"/>
        </w:rPr>
        <w:t>.</w:t>
      </w:r>
      <w:r w:rsidRPr="00AF4723">
        <w:rPr>
          <w:rFonts w:ascii="Times New Roman" w:hAnsi="Times New Roman" w:cs="Times New Roman"/>
          <w:sz w:val="24"/>
          <w:szCs w:val="24"/>
        </w:rPr>
        <w:t xml:space="preserve"> </w:t>
      </w:r>
    </w:p>
    <w:p w14:paraId="71224149" w14:textId="77777777" w:rsidR="00FB52E4" w:rsidRPr="00AF4723" w:rsidRDefault="00FB52E4" w:rsidP="00AF4723">
      <w:pPr>
        <w:pStyle w:val="ListParagraph"/>
        <w:jc w:val="both"/>
        <w:rPr>
          <w:rFonts w:ascii="Times New Roman" w:hAnsi="Times New Roman" w:cs="Times New Roman"/>
          <w:sz w:val="24"/>
          <w:szCs w:val="24"/>
        </w:rPr>
      </w:pPr>
    </w:p>
    <w:p w14:paraId="4A2F82A2" w14:textId="77777777" w:rsidR="00EE6394" w:rsidRDefault="00FB52E4" w:rsidP="00AF4723">
      <w:pPr>
        <w:pStyle w:val="ListParagraph"/>
        <w:numPr>
          <w:ilvl w:val="0"/>
          <w:numId w:val="1"/>
        </w:numPr>
        <w:jc w:val="both"/>
        <w:rPr>
          <w:rFonts w:ascii="Times New Roman" w:hAnsi="Times New Roman" w:cs="Times New Roman"/>
          <w:sz w:val="24"/>
          <w:szCs w:val="24"/>
        </w:rPr>
      </w:pPr>
      <w:r w:rsidRPr="00AF4723">
        <w:rPr>
          <w:rFonts w:ascii="Times New Roman" w:hAnsi="Times New Roman" w:cs="Times New Roman"/>
          <w:sz w:val="24"/>
          <w:szCs w:val="24"/>
        </w:rPr>
        <w:t xml:space="preserve">CASAC </w:t>
      </w:r>
      <w:r w:rsidR="0056758E">
        <w:rPr>
          <w:rFonts w:ascii="Times New Roman" w:hAnsi="Times New Roman" w:cs="Times New Roman"/>
          <w:sz w:val="24"/>
          <w:szCs w:val="24"/>
        </w:rPr>
        <w:t>played an integral role in the public participation process that led to the adoption of the Act and have applauded both the Act and the Presidential Regulations which viewed together have created a legislative framework that will set South Africa apart as having one of the</w:t>
      </w:r>
      <w:r w:rsidR="00332436">
        <w:rPr>
          <w:rFonts w:ascii="Times New Roman" w:hAnsi="Times New Roman" w:cs="Times New Roman"/>
          <w:sz w:val="24"/>
          <w:szCs w:val="24"/>
        </w:rPr>
        <w:t xml:space="preserve"> world’s most</w:t>
      </w:r>
      <w:r w:rsidR="0056758E">
        <w:rPr>
          <w:rFonts w:ascii="Times New Roman" w:hAnsi="Times New Roman" w:cs="Times New Roman"/>
          <w:sz w:val="24"/>
          <w:szCs w:val="24"/>
        </w:rPr>
        <w:t xml:space="preserve"> transparent, accountable and legitimate </w:t>
      </w:r>
      <w:r w:rsidR="00332436">
        <w:rPr>
          <w:rFonts w:ascii="Times New Roman" w:hAnsi="Times New Roman" w:cs="Times New Roman"/>
          <w:sz w:val="24"/>
          <w:szCs w:val="24"/>
        </w:rPr>
        <w:t>regulatory regimes</w:t>
      </w:r>
      <w:r w:rsidR="00F745B9">
        <w:rPr>
          <w:rFonts w:ascii="Times New Roman" w:hAnsi="Times New Roman" w:cs="Times New Roman"/>
          <w:sz w:val="24"/>
          <w:szCs w:val="24"/>
        </w:rPr>
        <w:t xml:space="preserve"> governing the funding of political parties</w:t>
      </w:r>
      <w:r w:rsidR="0056758E">
        <w:rPr>
          <w:rFonts w:ascii="Times New Roman" w:hAnsi="Times New Roman" w:cs="Times New Roman"/>
          <w:sz w:val="24"/>
          <w:szCs w:val="24"/>
        </w:rPr>
        <w:t>.</w:t>
      </w:r>
    </w:p>
    <w:p w14:paraId="1BB35719" w14:textId="77777777" w:rsidR="0056758E" w:rsidRPr="0056758E" w:rsidRDefault="0056758E" w:rsidP="0056758E">
      <w:pPr>
        <w:pStyle w:val="ListParagraph"/>
        <w:rPr>
          <w:rFonts w:ascii="Times New Roman" w:hAnsi="Times New Roman" w:cs="Times New Roman"/>
          <w:sz w:val="24"/>
          <w:szCs w:val="24"/>
        </w:rPr>
      </w:pPr>
    </w:p>
    <w:p w14:paraId="4A21102E" w14:textId="77777777" w:rsidR="0056758E" w:rsidRPr="00AF4723" w:rsidRDefault="0056758E" w:rsidP="00AF472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We are in substantial agreement with the underlying purpose of the IEC’s Draft Regulations but feel that some provisions can be improved to create greater clarity and certainty, to better give effect to the purpose</w:t>
      </w:r>
      <w:r w:rsidR="00F745B9">
        <w:rPr>
          <w:rFonts w:ascii="Times New Roman" w:hAnsi="Times New Roman" w:cs="Times New Roman"/>
          <w:sz w:val="24"/>
          <w:szCs w:val="24"/>
        </w:rPr>
        <w:t>s</w:t>
      </w:r>
      <w:r>
        <w:rPr>
          <w:rFonts w:ascii="Times New Roman" w:hAnsi="Times New Roman" w:cs="Times New Roman"/>
          <w:sz w:val="24"/>
          <w:szCs w:val="24"/>
        </w:rPr>
        <w:t xml:space="preserve"> of the Act and to enhance the mechanisms of disclosure to ensure they are compatible with modern needs.</w:t>
      </w:r>
    </w:p>
    <w:p w14:paraId="71769418" w14:textId="77777777" w:rsidR="00EE6394" w:rsidRPr="00AF4723" w:rsidRDefault="00EE6394" w:rsidP="00AF4723">
      <w:pPr>
        <w:pStyle w:val="ListParagraph"/>
        <w:jc w:val="both"/>
        <w:rPr>
          <w:rFonts w:ascii="Times New Roman" w:hAnsi="Times New Roman" w:cs="Times New Roman"/>
          <w:sz w:val="24"/>
          <w:szCs w:val="24"/>
        </w:rPr>
      </w:pPr>
    </w:p>
    <w:p w14:paraId="6D1C3F52" w14:textId="77777777" w:rsidR="00EE6394" w:rsidRDefault="0086327F" w:rsidP="00AF4723">
      <w:pPr>
        <w:jc w:val="both"/>
        <w:rPr>
          <w:rFonts w:ascii="Times New Roman" w:hAnsi="Times New Roman" w:cs="Times New Roman"/>
          <w:b/>
          <w:sz w:val="24"/>
          <w:szCs w:val="24"/>
          <w:u w:val="single"/>
        </w:rPr>
      </w:pPr>
      <w:r>
        <w:rPr>
          <w:rFonts w:ascii="Times New Roman" w:hAnsi="Times New Roman" w:cs="Times New Roman"/>
          <w:b/>
          <w:sz w:val="24"/>
          <w:szCs w:val="24"/>
          <w:u w:val="single"/>
        </w:rPr>
        <w:t>Submissions on specific regulations</w:t>
      </w:r>
    </w:p>
    <w:p w14:paraId="6FB62E7D" w14:textId="77777777" w:rsidR="0086327F" w:rsidRPr="0086327F" w:rsidRDefault="0086327F" w:rsidP="00AF4723">
      <w:pPr>
        <w:jc w:val="both"/>
        <w:rPr>
          <w:rFonts w:ascii="Times New Roman" w:hAnsi="Times New Roman" w:cs="Times New Roman"/>
          <w:i/>
          <w:sz w:val="24"/>
          <w:szCs w:val="24"/>
        </w:rPr>
      </w:pPr>
      <w:r w:rsidRPr="0086327F">
        <w:rPr>
          <w:rFonts w:ascii="Times New Roman" w:hAnsi="Times New Roman" w:cs="Times New Roman"/>
          <w:i/>
          <w:sz w:val="24"/>
          <w:szCs w:val="24"/>
        </w:rPr>
        <w:t>Regulation 4(1) regarding the IEC’s right to return unlawful donations</w:t>
      </w:r>
    </w:p>
    <w:p w14:paraId="3B225B6F" w14:textId="77777777" w:rsidR="00D53B04" w:rsidRDefault="0086327F" w:rsidP="0086327F">
      <w:pPr>
        <w:pStyle w:val="ListParagraph"/>
        <w:numPr>
          <w:ilvl w:val="0"/>
          <w:numId w:val="1"/>
        </w:numPr>
        <w:jc w:val="both"/>
        <w:rPr>
          <w:rFonts w:ascii="Times New Roman" w:hAnsi="Times New Roman" w:cs="Times New Roman"/>
          <w:sz w:val="24"/>
          <w:szCs w:val="24"/>
        </w:rPr>
      </w:pPr>
      <w:r w:rsidRPr="0086327F">
        <w:rPr>
          <w:rFonts w:ascii="Times New Roman" w:hAnsi="Times New Roman" w:cs="Times New Roman"/>
          <w:sz w:val="24"/>
          <w:szCs w:val="24"/>
        </w:rPr>
        <w:t>The wording “shall have the right” suggests that the IEC has the discretion to return funds unlawfully contributed to the M</w:t>
      </w:r>
      <w:r w:rsidR="00901265">
        <w:rPr>
          <w:rFonts w:ascii="Times New Roman" w:hAnsi="Times New Roman" w:cs="Times New Roman"/>
          <w:sz w:val="24"/>
          <w:szCs w:val="24"/>
        </w:rPr>
        <w:t>ulti-</w:t>
      </w:r>
      <w:r w:rsidRPr="0086327F">
        <w:rPr>
          <w:rFonts w:ascii="Times New Roman" w:hAnsi="Times New Roman" w:cs="Times New Roman"/>
          <w:sz w:val="24"/>
          <w:szCs w:val="24"/>
        </w:rPr>
        <w:t>P</w:t>
      </w:r>
      <w:r w:rsidR="00901265">
        <w:rPr>
          <w:rFonts w:ascii="Times New Roman" w:hAnsi="Times New Roman" w:cs="Times New Roman"/>
          <w:sz w:val="24"/>
          <w:szCs w:val="24"/>
        </w:rPr>
        <w:t xml:space="preserve">arty </w:t>
      </w:r>
      <w:r w:rsidRPr="0086327F">
        <w:rPr>
          <w:rFonts w:ascii="Times New Roman" w:hAnsi="Times New Roman" w:cs="Times New Roman"/>
          <w:sz w:val="24"/>
          <w:szCs w:val="24"/>
        </w:rPr>
        <w:t>D</w:t>
      </w:r>
      <w:r w:rsidR="00901265">
        <w:rPr>
          <w:rFonts w:ascii="Times New Roman" w:hAnsi="Times New Roman" w:cs="Times New Roman"/>
          <w:sz w:val="24"/>
          <w:szCs w:val="24"/>
        </w:rPr>
        <w:t xml:space="preserve">emocracy </w:t>
      </w:r>
      <w:r w:rsidRPr="0086327F">
        <w:rPr>
          <w:rFonts w:ascii="Times New Roman" w:hAnsi="Times New Roman" w:cs="Times New Roman"/>
          <w:sz w:val="24"/>
          <w:szCs w:val="24"/>
        </w:rPr>
        <w:t>F</w:t>
      </w:r>
      <w:r w:rsidR="00901265">
        <w:rPr>
          <w:rFonts w:ascii="Times New Roman" w:hAnsi="Times New Roman" w:cs="Times New Roman"/>
          <w:sz w:val="24"/>
          <w:szCs w:val="24"/>
        </w:rPr>
        <w:t>und</w:t>
      </w:r>
      <w:r w:rsidR="00D53B04">
        <w:rPr>
          <w:rFonts w:ascii="Times New Roman" w:hAnsi="Times New Roman" w:cs="Times New Roman"/>
          <w:sz w:val="24"/>
          <w:szCs w:val="24"/>
        </w:rPr>
        <w:t xml:space="preserve"> (“MPDF”)</w:t>
      </w:r>
      <w:r w:rsidRPr="0086327F">
        <w:rPr>
          <w:rFonts w:ascii="Times New Roman" w:hAnsi="Times New Roman" w:cs="Times New Roman"/>
          <w:sz w:val="24"/>
          <w:szCs w:val="24"/>
        </w:rPr>
        <w:t>.</w:t>
      </w:r>
      <w:r w:rsidR="00D53B04">
        <w:rPr>
          <w:rFonts w:ascii="Times New Roman" w:hAnsi="Times New Roman" w:cs="Times New Roman"/>
          <w:sz w:val="24"/>
          <w:szCs w:val="24"/>
        </w:rPr>
        <w:t xml:space="preserve"> The Regulations should be clearer on the manner that the IEC should deal with such cases if they arise.</w:t>
      </w:r>
    </w:p>
    <w:p w14:paraId="301A8C10" w14:textId="77777777" w:rsidR="00D53B04" w:rsidRDefault="0086327F" w:rsidP="00D53B04">
      <w:pPr>
        <w:pStyle w:val="ListParagraph"/>
        <w:jc w:val="both"/>
        <w:rPr>
          <w:rFonts w:ascii="Times New Roman" w:hAnsi="Times New Roman" w:cs="Times New Roman"/>
          <w:sz w:val="24"/>
          <w:szCs w:val="24"/>
        </w:rPr>
      </w:pPr>
      <w:r w:rsidRPr="0086327F">
        <w:rPr>
          <w:rFonts w:ascii="Times New Roman" w:hAnsi="Times New Roman" w:cs="Times New Roman"/>
          <w:sz w:val="24"/>
          <w:szCs w:val="24"/>
        </w:rPr>
        <w:t xml:space="preserve"> </w:t>
      </w:r>
    </w:p>
    <w:p w14:paraId="057C1A62" w14:textId="77777777" w:rsidR="0086327F" w:rsidRDefault="00314AD7" w:rsidP="0086327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If money happens for whatever reason to be paid erroneously but in good faith by any of the entities listed in Regulation 4(1)(b-d), the IEC should be obliged to return the money to the contributor. </w:t>
      </w:r>
      <w:r w:rsidR="0086327F" w:rsidRPr="0086327F">
        <w:rPr>
          <w:rFonts w:ascii="Times New Roman" w:hAnsi="Times New Roman" w:cs="Times New Roman"/>
          <w:sz w:val="24"/>
          <w:szCs w:val="24"/>
        </w:rPr>
        <w:t>I</w:t>
      </w:r>
      <w:r>
        <w:rPr>
          <w:rFonts w:ascii="Times New Roman" w:hAnsi="Times New Roman" w:cs="Times New Roman"/>
          <w:sz w:val="24"/>
          <w:szCs w:val="24"/>
        </w:rPr>
        <w:t>f</w:t>
      </w:r>
      <w:r w:rsidR="0086327F" w:rsidRPr="0086327F">
        <w:rPr>
          <w:rFonts w:ascii="Times New Roman" w:hAnsi="Times New Roman" w:cs="Times New Roman"/>
          <w:sz w:val="24"/>
          <w:szCs w:val="24"/>
        </w:rPr>
        <w:t xml:space="preserve"> </w:t>
      </w:r>
      <w:r>
        <w:rPr>
          <w:rFonts w:ascii="Times New Roman" w:hAnsi="Times New Roman" w:cs="Times New Roman"/>
          <w:sz w:val="24"/>
          <w:szCs w:val="24"/>
        </w:rPr>
        <w:t>the IEC has reason to believe that the money i</w:t>
      </w:r>
      <w:r w:rsidR="00D53B04">
        <w:rPr>
          <w:rFonts w:ascii="Times New Roman" w:hAnsi="Times New Roman" w:cs="Times New Roman"/>
          <w:sz w:val="24"/>
          <w:szCs w:val="24"/>
        </w:rPr>
        <w:t>n</w:t>
      </w:r>
      <w:r>
        <w:rPr>
          <w:rFonts w:ascii="Times New Roman" w:hAnsi="Times New Roman" w:cs="Times New Roman"/>
          <w:sz w:val="24"/>
          <w:szCs w:val="24"/>
        </w:rPr>
        <w:t xml:space="preserve"> question is </w:t>
      </w:r>
      <w:r>
        <w:rPr>
          <w:rFonts w:ascii="Times New Roman" w:hAnsi="Times New Roman" w:cs="Times New Roman"/>
          <w:sz w:val="24"/>
          <w:szCs w:val="24"/>
        </w:rPr>
        <w:lastRenderedPageBreak/>
        <w:t>the proceeds of unlawful activities as mentioned in Regulation 4(1)(a)</w:t>
      </w:r>
      <w:r w:rsidR="00D53B04">
        <w:rPr>
          <w:rFonts w:ascii="Times New Roman" w:hAnsi="Times New Roman" w:cs="Times New Roman"/>
          <w:sz w:val="24"/>
          <w:szCs w:val="24"/>
        </w:rPr>
        <w:t>,</w:t>
      </w:r>
      <w:r>
        <w:rPr>
          <w:rFonts w:ascii="Times New Roman" w:hAnsi="Times New Roman" w:cs="Times New Roman"/>
          <w:sz w:val="24"/>
          <w:szCs w:val="24"/>
        </w:rPr>
        <w:t xml:space="preserve"> or is otherwise illegitimate or illegal, the IEC should be obliged to</w:t>
      </w:r>
      <w:r w:rsidR="00F745B9">
        <w:rPr>
          <w:rFonts w:ascii="Times New Roman" w:hAnsi="Times New Roman" w:cs="Times New Roman"/>
          <w:sz w:val="24"/>
          <w:szCs w:val="24"/>
        </w:rPr>
        <w:t xml:space="preserve"> preserve the money and</w:t>
      </w:r>
      <w:r>
        <w:rPr>
          <w:rFonts w:ascii="Times New Roman" w:hAnsi="Times New Roman" w:cs="Times New Roman"/>
          <w:sz w:val="24"/>
          <w:szCs w:val="24"/>
        </w:rPr>
        <w:t xml:space="preserve"> refer the matter to the relevant authority such as the National Prosecuting Authority</w:t>
      </w:r>
      <w:r w:rsidR="00F745B9">
        <w:rPr>
          <w:rFonts w:ascii="Times New Roman" w:hAnsi="Times New Roman" w:cs="Times New Roman"/>
          <w:sz w:val="24"/>
          <w:szCs w:val="24"/>
        </w:rPr>
        <w:t xml:space="preserve"> (NPA)</w:t>
      </w:r>
      <w:r>
        <w:rPr>
          <w:rFonts w:ascii="Times New Roman" w:hAnsi="Times New Roman" w:cs="Times New Roman"/>
          <w:sz w:val="24"/>
          <w:szCs w:val="24"/>
        </w:rPr>
        <w:t xml:space="preserve">, the Hawks or the Electoral Court, as the case may be. </w:t>
      </w:r>
    </w:p>
    <w:p w14:paraId="050CC98B" w14:textId="77777777" w:rsidR="00D53B04" w:rsidRPr="00D53B04" w:rsidRDefault="00D53B04" w:rsidP="00D53B04">
      <w:pPr>
        <w:jc w:val="both"/>
        <w:rPr>
          <w:rFonts w:ascii="Times New Roman" w:hAnsi="Times New Roman" w:cs="Times New Roman"/>
          <w:i/>
          <w:sz w:val="24"/>
          <w:szCs w:val="24"/>
        </w:rPr>
      </w:pPr>
      <w:r w:rsidRPr="00D53B04">
        <w:rPr>
          <w:rFonts w:ascii="Times New Roman" w:hAnsi="Times New Roman" w:cs="Times New Roman"/>
          <w:i/>
          <w:sz w:val="24"/>
          <w:szCs w:val="24"/>
        </w:rPr>
        <w:t>Regulation 4(3) read with Regulation 4(5) regarding the right of a contributor to the MPDF to remain anonymous</w:t>
      </w:r>
    </w:p>
    <w:p w14:paraId="569C85DA" w14:textId="77777777" w:rsidR="00AF4723" w:rsidRDefault="00D53B04" w:rsidP="00AF472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It should be recalled that one of the primary rationales for the establishment of the MPDF was that donors who did not wish to reveal their identity may still continue to make political donations to the MPDF, given that they will no longer be able to donate directly to political parties on an anonymous basis if the value of their donations exceeds the prescribed threshold. </w:t>
      </w:r>
    </w:p>
    <w:p w14:paraId="4DC7EA6A" w14:textId="77777777" w:rsidR="00D53B04" w:rsidRDefault="00D53B04" w:rsidP="00D53B04">
      <w:pPr>
        <w:pStyle w:val="ListParagraph"/>
        <w:jc w:val="both"/>
        <w:rPr>
          <w:rFonts w:ascii="Times New Roman" w:hAnsi="Times New Roman" w:cs="Times New Roman"/>
          <w:sz w:val="24"/>
          <w:szCs w:val="24"/>
        </w:rPr>
      </w:pPr>
    </w:p>
    <w:p w14:paraId="0978C5C5" w14:textId="77777777" w:rsidR="00F645EA" w:rsidRDefault="00D53B04" w:rsidP="00AF472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It is our submission in this regard that the only determination which the IEC should be required to make </w:t>
      </w:r>
      <w:r w:rsidR="00F645EA">
        <w:rPr>
          <w:rFonts w:ascii="Times New Roman" w:hAnsi="Times New Roman" w:cs="Times New Roman"/>
          <w:sz w:val="24"/>
          <w:szCs w:val="24"/>
        </w:rPr>
        <w:t xml:space="preserve">is whether a contribution to the MPDF arises from a legal source as </w:t>
      </w:r>
      <w:r w:rsidR="00F745B9">
        <w:rPr>
          <w:rFonts w:ascii="Times New Roman" w:hAnsi="Times New Roman" w:cs="Times New Roman"/>
          <w:sz w:val="24"/>
          <w:szCs w:val="24"/>
        </w:rPr>
        <w:t>determined by the</w:t>
      </w:r>
      <w:r w:rsidR="00F645EA">
        <w:rPr>
          <w:rFonts w:ascii="Times New Roman" w:hAnsi="Times New Roman" w:cs="Times New Roman"/>
          <w:sz w:val="24"/>
          <w:szCs w:val="24"/>
        </w:rPr>
        <w:t xml:space="preserve"> Act. If the contribution is from a permitted source, the reasons for the contributor’s wish to retain their anonymity should be of no interest to the IEC – the contributor’s right to do so being fundamental to the establishment of the MPDF itself. Factors such as “the reasons for the request” and/or “an assessment of the political exposure of the Contributor” as described in Regulation 4(3) should not need to be considered by the IEC. </w:t>
      </w:r>
    </w:p>
    <w:p w14:paraId="7947C133" w14:textId="77777777" w:rsidR="00F645EA" w:rsidRPr="00F645EA" w:rsidRDefault="00F645EA" w:rsidP="00F645EA">
      <w:pPr>
        <w:pStyle w:val="ListParagraph"/>
        <w:rPr>
          <w:rFonts w:ascii="Times New Roman" w:hAnsi="Times New Roman" w:cs="Times New Roman"/>
          <w:sz w:val="24"/>
          <w:szCs w:val="24"/>
        </w:rPr>
      </w:pPr>
    </w:p>
    <w:p w14:paraId="50CBA8ED" w14:textId="77777777" w:rsidR="00F645EA" w:rsidRDefault="00F645EA" w:rsidP="00AF472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Of course, a contributor to the MPDF should always be required to reveal their identity to the </w:t>
      </w:r>
      <w:r w:rsidRPr="00F745B9">
        <w:rPr>
          <w:rFonts w:ascii="Times New Roman" w:hAnsi="Times New Roman" w:cs="Times New Roman"/>
          <w:i/>
          <w:sz w:val="24"/>
          <w:szCs w:val="24"/>
        </w:rPr>
        <w:t>IEC</w:t>
      </w:r>
      <w:r>
        <w:rPr>
          <w:rFonts w:ascii="Times New Roman" w:hAnsi="Times New Roman" w:cs="Times New Roman"/>
          <w:sz w:val="24"/>
          <w:szCs w:val="24"/>
        </w:rPr>
        <w:t xml:space="preserve"> so that the IEC can satisfy itself that the contribution does not fall into any of the categories of donors prohibited by the Act. However, if the contributor is legally entitled to contribute to the MPDF and wishes to retain their anonymity </w:t>
      </w:r>
      <w:r w:rsidRPr="00F745B9">
        <w:rPr>
          <w:rFonts w:ascii="Times New Roman" w:hAnsi="Times New Roman" w:cs="Times New Roman"/>
          <w:i/>
          <w:sz w:val="24"/>
          <w:szCs w:val="24"/>
        </w:rPr>
        <w:t>vis-à-vis</w:t>
      </w:r>
      <w:r>
        <w:rPr>
          <w:rFonts w:ascii="Times New Roman" w:hAnsi="Times New Roman" w:cs="Times New Roman"/>
          <w:sz w:val="24"/>
          <w:szCs w:val="24"/>
        </w:rPr>
        <w:t xml:space="preserve"> the public at large, they should have an absolute right to do so.</w:t>
      </w:r>
    </w:p>
    <w:p w14:paraId="301C7F6A" w14:textId="77777777" w:rsidR="00F645EA" w:rsidRPr="00F645EA" w:rsidRDefault="00F645EA" w:rsidP="00F645EA">
      <w:pPr>
        <w:pStyle w:val="ListParagraph"/>
        <w:rPr>
          <w:rFonts w:ascii="Times New Roman" w:hAnsi="Times New Roman" w:cs="Times New Roman"/>
          <w:sz w:val="24"/>
          <w:szCs w:val="24"/>
        </w:rPr>
      </w:pPr>
    </w:p>
    <w:p w14:paraId="5050CDE3" w14:textId="77777777" w:rsidR="00180946" w:rsidRDefault="00F645EA" w:rsidP="00AF472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Failing this, at the very least the would-be contributor to the MPDF should be able to process their request to remain anonymous prior to making payment, or be entitled to have the contribution returned should the</w:t>
      </w:r>
      <w:r w:rsidR="00F745B9">
        <w:rPr>
          <w:rFonts w:ascii="Times New Roman" w:hAnsi="Times New Roman" w:cs="Times New Roman"/>
          <w:sz w:val="24"/>
          <w:szCs w:val="24"/>
        </w:rPr>
        <w:t>ir</w:t>
      </w:r>
      <w:r>
        <w:rPr>
          <w:rFonts w:ascii="Times New Roman" w:hAnsi="Times New Roman" w:cs="Times New Roman"/>
          <w:sz w:val="24"/>
          <w:szCs w:val="24"/>
        </w:rPr>
        <w:t xml:space="preserve"> request for anonymity subsequently be denied. </w:t>
      </w:r>
    </w:p>
    <w:p w14:paraId="46F76923" w14:textId="77777777" w:rsidR="00180946" w:rsidRPr="00180946" w:rsidRDefault="00180946" w:rsidP="00180946">
      <w:pPr>
        <w:pStyle w:val="ListParagraph"/>
        <w:rPr>
          <w:rFonts w:ascii="Times New Roman" w:hAnsi="Times New Roman" w:cs="Times New Roman"/>
          <w:sz w:val="24"/>
          <w:szCs w:val="24"/>
        </w:rPr>
      </w:pPr>
    </w:p>
    <w:p w14:paraId="1C893E3B" w14:textId="77777777" w:rsidR="00D53B04" w:rsidRPr="0082142A" w:rsidRDefault="0082142A" w:rsidP="00180946">
      <w:pPr>
        <w:jc w:val="both"/>
        <w:rPr>
          <w:rFonts w:ascii="Times New Roman" w:hAnsi="Times New Roman" w:cs="Times New Roman"/>
          <w:i/>
          <w:sz w:val="24"/>
          <w:szCs w:val="24"/>
        </w:rPr>
      </w:pPr>
      <w:r w:rsidRPr="0082142A">
        <w:rPr>
          <w:rFonts w:ascii="Times New Roman" w:hAnsi="Times New Roman" w:cs="Times New Roman"/>
          <w:i/>
          <w:sz w:val="24"/>
          <w:szCs w:val="24"/>
        </w:rPr>
        <w:t>Regulation 8 regarding the frequency of reporting by political parties to the IEC</w:t>
      </w:r>
      <w:r w:rsidR="00F645EA" w:rsidRPr="0082142A">
        <w:rPr>
          <w:rFonts w:ascii="Times New Roman" w:hAnsi="Times New Roman" w:cs="Times New Roman"/>
          <w:i/>
          <w:sz w:val="24"/>
          <w:szCs w:val="24"/>
        </w:rPr>
        <w:t xml:space="preserve"> </w:t>
      </w:r>
    </w:p>
    <w:p w14:paraId="58252118" w14:textId="77777777" w:rsidR="00C54F3D" w:rsidRPr="00C54F3D" w:rsidRDefault="00C54F3D" w:rsidP="00C54F3D">
      <w:pPr>
        <w:pStyle w:val="ListParagraph"/>
        <w:rPr>
          <w:rFonts w:ascii="Times New Roman" w:hAnsi="Times New Roman" w:cs="Times New Roman"/>
          <w:sz w:val="24"/>
          <w:szCs w:val="24"/>
        </w:rPr>
      </w:pPr>
    </w:p>
    <w:p w14:paraId="23737062" w14:textId="77777777" w:rsidR="00FB4943" w:rsidRDefault="0082142A" w:rsidP="00AF472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One must be weary of </w:t>
      </w:r>
      <w:r w:rsidR="00F745B9">
        <w:rPr>
          <w:rFonts w:ascii="Times New Roman" w:hAnsi="Times New Roman" w:cs="Times New Roman"/>
          <w:sz w:val="24"/>
          <w:szCs w:val="24"/>
        </w:rPr>
        <w:t xml:space="preserve">not </w:t>
      </w:r>
      <w:r>
        <w:rPr>
          <w:rFonts w:ascii="Times New Roman" w:hAnsi="Times New Roman" w:cs="Times New Roman"/>
          <w:sz w:val="24"/>
          <w:szCs w:val="24"/>
        </w:rPr>
        <w:t xml:space="preserve">overburdening political parties with administrative requirements. We believe that requiring political parties to report to the IEC on a quarterly basis, as opposed to the monthly requirement proposed by Draft Regulation 8, would also be satisfactory and in keeping with the purport of the Act which requires quarterly disclosure. Requiring monthly </w:t>
      </w:r>
      <w:r w:rsidR="00FB4943">
        <w:rPr>
          <w:rFonts w:ascii="Times New Roman" w:hAnsi="Times New Roman" w:cs="Times New Roman"/>
          <w:sz w:val="24"/>
          <w:szCs w:val="24"/>
        </w:rPr>
        <w:t>reporting may be over-burdensome especially on smaller represented political parties who may lack the capacity to fulfil this obligation.</w:t>
      </w:r>
    </w:p>
    <w:p w14:paraId="1EAB3133" w14:textId="77777777" w:rsidR="00AF4723" w:rsidRPr="00FB4943" w:rsidRDefault="00FB4943" w:rsidP="00FB4943">
      <w:pPr>
        <w:jc w:val="both"/>
        <w:rPr>
          <w:rFonts w:ascii="Times New Roman" w:hAnsi="Times New Roman" w:cs="Times New Roman"/>
          <w:i/>
          <w:sz w:val="24"/>
          <w:szCs w:val="24"/>
        </w:rPr>
      </w:pPr>
      <w:r w:rsidRPr="00FB4943">
        <w:rPr>
          <w:rFonts w:ascii="Times New Roman" w:hAnsi="Times New Roman" w:cs="Times New Roman"/>
          <w:i/>
          <w:sz w:val="24"/>
          <w:szCs w:val="24"/>
        </w:rPr>
        <w:lastRenderedPageBreak/>
        <w:t>Regulation 9 regarding disclosure r</w:t>
      </w:r>
      <w:r>
        <w:rPr>
          <w:rFonts w:ascii="Times New Roman" w:hAnsi="Times New Roman" w:cs="Times New Roman"/>
          <w:i/>
          <w:sz w:val="24"/>
          <w:szCs w:val="24"/>
        </w:rPr>
        <w:t>equirements of juristic persons</w:t>
      </w:r>
    </w:p>
    <w:p w14:paraId="288B43F3" w14:textId="77777777" w:rsidR="00EE6394" w:rsidRDefault="00FB4943" w:rsidP="00AF472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Whilst the “dual disclosure” provision requiring reporting of donations by the donor </w:t>
      </w:r>
      <w:r w:rsidR="00D17C60">
        <w:rPr>
          <w:rFonts w:ascii="Times New Roman" w:hAnsi="Times New Roman" w:cs="Times New Roman"/>
          <w:sz w:val="24"/>
          <w:szCs w:val="24"/>
        </w:rPr>
        <w:t>is a key accountability measure, it would be unreasonable to assume knowledge of the provision on behalf of such juristic persons. Who therefore would suggest that a mechanism be worked into the Regulation that requires political parties that receive a donation from a juristic person above the threshold to inform such a juristic person of their obligation to complete PPR6.</w:t>
      </w:r>
    </w:p>
    <w:p w14:paraId="01BA93A1" w14:textId="77777777" w:rsidR="00387511" w:rsidRPr="00387511" w:rsidRDefault="00387511" w:rsidP="00387511">
      <w:pPr>
        <w:jc w:val="both"/>
        <w:rPr>
          <w:rFonts w:ascii="Times New Roman" w:hAnsi="Times New Roman" w:cs="Times New Roman"/>
          <w:i/>
          <w:sz w:val="24"/>
          <w:szCs w:val="24"/>
        </w:rPr>
      </w:pPr>
      <w:r w:rsidRPr="00387511">
        <w:rPr>
          <w:rFonts w:ascii="Times New Roman" w:hAnsi="Times New Roman" w:cs="Times New Roman"/>
          <w:i/>
          <w:sz w:val="24"/>
          <w:szCs w:val="24"/>
        </w:rPr>
        <w:t>Regulation 10 concerning the manner of publication by the IEC</w:t>
      </w:r>
    </w:p>
    <w:p w14:paraId="6DBE2C80" w14:textId="37759F6C" w:rsidR="00D17C60" w:rsidRDefault="00387511" w:rsidP="00AF472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 addition to the requirement of publishing records of donations received by political parties in the Gazette, we believe that this should be coupled with an obligation on the IEC to provide such information online on its website. This is vitally important, given that online </w:t>
      </w:r>
      <w:r w:rsidR="00F14D66">
        <w:rPr>
          <w:rFonts w:ascii="Times New Roman" w:hAnsi="Times New Roman" w:cs="Times New Roman"/>
          <w:sz w:val="24"/>
          <w:szCs w:val="24"/>
        </w:rPr>
        <w:t>platforms</w:t>
      </w:r>
      <w:r>
        <w:rPr>
          <w:rFonts w:ascii="Times New Roman" w:hAnsi="Times New Roman" w:cs="Times New Roman"/>
          <w:sz w:val="24"/>
          <w:szCs w:val="24"/>
        </w:rPr>
        <w:t xml:space="preserve"> are the primary sources of </w:t>
      </w:r>
      <w:r w:rsidR="00F745B9">
        <w:rPr>
          <w:rFonts w:ascii="Times New Roman" w:hAnsi="Times New Roman" w:cs="Times New Roman"/>
          <w:sz w:val="24"/>
          <w:szCs w:val="24"/>
        </w:rPr>
        <w:t>comparable</w:t>
      </w:r>
      <w:r>
        <w:rPr>
          <w:rFonts w:ascii="Times New Roman" w:hAnsi="Times New Roman" w:cs="Times New Roman"/>
          <w:sz w:val="24"/>
          <w:szCs w:val="24"/>
        </w:rPr>
        <w:t xml:space="preserve"> information in the modern era. Several countries that require transparency in the funding of political parties have created easy-to-access online databases detailing the donations reported.</w:t>
      </w:r>
      <w:r>
        <w:rPr>
          <w:rStyle w:val="FootnoteReference"/>
          <w:rFonts w:ascii="Times New Roman" w:hAnsi="Times New Roman" w:cs="Times New Roman"/>
          <w:sz w:val="24"/>
          <w:szCs w:val="24"/>
        </w:rPr>
        <w:footnoteReference w:id="1"/>
      </w:r>
    </w:p>
    <w:p w14:paraId="33BE205E" w14:textId="77777777" w:rsidR="00657D3B" w:rsidRPr="00657D3B" w:rsidRDefault="00657D3B" w:rsidP="00657D3B">
      <w:pPr>
        <w:jc w:val="both"/>
        <w:rPr>
          <w:rFonts w:ascii="Times New Roman" w:hAnsi="Times New Roman" w:cs="Times New Roman"/>
          <w:i/>
          <w:sz w:val="24"/>
          <w:szCs w:val="24"/>
        </w:rPr>
      </w:pPr>
      <w:r w:rsidRPr="00657D3B">
        <w:rPr>
          <w:rFonts w:ascii="Times New Roman" w:hAnsi="Times New Roman" w:cs="Times New Roman"/>
          <w:i/>
          <w:sz w:val="24"/>
          <w:szCs w:val="24"/>
        </w:rPr>
        <w:t>Schedule 1 concerning the capacity of the IEC to impose penalties</w:t>
      </w:r>
    </w:p>
    <w:p w14:paraId="1FEC75EA" w14:textId="07335C56" w:rsidR="00657D3B" w:rsidRDefault="00657D3B" w:rsidP="00657D3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wording of Schedule 1 in the Draft Regulations may lead to some uncertainty as to which body has the capacity to impose the penalties prescribed in the Schedule. The wording should be clear that w</w:t>
      </w:r>
      <w:r w:rsidR="002D62B0">
        <w:rPr>
          <w:rFonts w:ascii="Times New Roman" w:hAnsi="Times New Roman" w:cs="Times New Roman"/>
          <w:sz w:val="24"/>
          <w:szCs w:val="24"/>
        </w:rPr>
        <w:t>h</w:t>
      </w:r>
      <w:r>
        <w:rPr>
          <w:rFonts w:ascii="Times New Roman" w:hAnsi="Times New Roman" w:cs="Times New Roman"/>
          <w:sz w:val="24"/>
          <w:szCs w:val="24"/>
        </w:rPr>
        <w:t>ere imprisonment is sought as a</w:t>
      </w:r>
      <w:r w:rsidR="00F14D66">
        <w:rPr>
          <w:rFonts w:ascii="Times New Roman" w:hAnsi="Times New Roman" w:cs="Times New Roman"/>
          <w:sz w:val="24"/>
          <w:szCs w:val="24"/>
        </w:rPr>
        <w:t>n appropriate</w:t>
      </w:r>
      <w:r>
        <w:rPr>
          <w:rFonts w:ascii="Times New Roman" w:hAnsi="Times New Roman" w:cs="Times New Roman"/>
          <w:sz w:val="24"/>
          <w:szCs w:val="24"/>
        </w:rPr>
        <w:t xml:space="preserve"> penalty; the IEC should refer the conduct in qu</w:t>
      </w:r>
      <w:r w:rsidR="00953596">
        <w:rPr>
          <w:rFonts w:ascii="Times New Roman" w:hAnsi="Times New Roman" w:cs="Times New Roman"/>
          <w:sz w:val="24"/>
          <w:szCs w:val="24"/>
        </w:rPr>
        <w:t>estion to the Electoral Court</w:t>
      </w:r>
      <w:r>
        <w:rPr>
          <w:rFonts w:ascii="Times New Roman" w:hAnsi="Times New Roman" w:cs="Times New Roman"/>
          <w:sz w:val="24"/>
          <w:szCs w:val="24"/>
        </w:rPr>
        <w:t xml:space="preserve">  if it is satisfied that a </w:t>
      </w:r>
      <w:r w:rsidRPr="002D62B0">
        <w:rPr>
          <w:rFonts w:ascii="Times New Roman" w:hAnsi="Times New Roman" w:cs="Times New Roman"/>
          <w:i/>
          <w:sz w:val="24"/>
          <w:szCs w:val="24"/>
        </w:rPr>
        <w:t>prima facie</w:t>
      </w:r>
      <w:r>
        <w:rPr>
          <w:rFonts w:ascii="Times New Roman" w:hAnsi="Times New Roman" w:cs="Times New Roman"/>
          <w:sz w:val="24"/>
          <w:szCs w:val="24"/>
        </w:rPr>
        <w:t xml:space="preserve"> case exists. Where an administrative fine is regarded as the suitable penalty for the conduct in question, the IEC should </w:t>
      </w:r>
      <w:r w:rsidR="00953596">
        <w:rPr>
          <w:rFonts w:ascii="Times New Roman" w:hAnsi="Times New Roman" w:cs="Times New Roman"/>
          <w:sz w:val="24"/>
          <w:szCs w:val="24"/>
        </w:rPr>
        <w:t xml:space="preserve">similarly </w:t>
      </w:r>
      <w:r>
        <w:rPr>
          <w:rFonts w:ascii="Times New Roman" w:hAnsi="Times New Roman" w:cs="Times New Roman"/>
          <w:sz w:val="24"/>
          <w:szCs w:val="24"/>
        </w:rPr>
        <w:t>be able to institute proceedings in its own capacity before the Electoral Court in the form of an application.</w:t>
      </w:r>
      <w:r w:rsidR="00332436">
        <w:rPr>
          <w:rFonts w:ascii="Times New Roman" w:hAnsi="Times New Roman" w:cs="Times New Roman"/>
          <w:sz w:val="24"/>
          <w:szCs w:val="24"/>
        </w:rPr>
        <w:t xml:space="preserve"> This can be done using a mechanism substantially similar to that present in Section 95(1) of the Electoral Act, which states:</w:t>
      </w:r>
    </w:p>
    <w:p w14:paraId="4D745B96" w14:textId="77777777" w:rsidR="00657D3B" w:rsidRPr="00332436" w:rsidRDefault="00332436" w:rsidP="00906B89">
      <w:pPr>
        <w:tabs>
          <w:tab w:val="left" w:pos="8505"/>
          <w:tab w:val="left" w:pos="8647"/>
        </w:tabs>
        <w:ind w:left="993" w:right="521"/>
        <w:jc w:val="both"/>
        <w:rPr>
          <w:rFonts w:ascii="Times New Roman" w:hAnsi="Times New Roman" w:cs="Times New Roman"/>
          <w:i/>
          <w:sz w:val="24"/>
          <w:szCs w:val="24"/>
        </w:rPr>
      </w:pPr>
      <w:r w:rsidRPr="00332436">
        <w:rPr>
          <w:rFonts w:ascii="Times New Roman" w:hAnsi="Times New Roman" w:cs="Times New Roman"/>
          <w:i/>
          <w:sz w:val="24"/>
          <w:szCs w:val="24"/>
        </w:rPr>
        <w:t>“Subject to this Act and any other law, the chief electoral officer may institute civil proceedings before a court, including the Electoral Court, to enforce a provision of this Act or the Code.”</w:t>
      </w:r>
    </w:p>
    <w:p w14:paraId="03EA7192" w14:textId="77777777" w:rsidR="00332436" w:rsidRDefault="00332436" w:rsidP="0033243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IEC should not possess the power to impose the sanctions prescribed in Schedule 1 on its own accord.</w:t>
      </w:r>
    </w:p>
    <w:sectPr w:rsidR="0033243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8EC16" w14:textId="77777777" w:rsidR="00EE1ECD" w:rsidRDefault="00EE1ECD" w:rsidP="00AB3DB1">
      <w:pPr>
        <w:spacing w:after="0" w:line="240" w:lineRule="auto"/>
      </w:pPr>
      <w:r>
        <w:separator/>
      </w:r>
    </w:p>
  </w:endnote>
  <w:endnote w:type="continuationSeparator" w:id="0">
    <w:p w14:paraId="5A6F126B" w14:textId="77777777" w:rsidR="00EE1ECD" w:rsidRDefault="00EE1ECD" w:rsidP="00AB3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5891652"/>
      <w:docPartObj>
        <w:docPartGallery w:val="Page Numbers (Bottom of Page)"/>
        <w:docPartUnique/>
      </w:docPartObj>
    </w:sdtPr>
    <w:sdtEndPr>
      <w:rPr>
        <w:noProof/>
      </w:rPr>
    </w:sdtEndPr>
    <w:sdtContent>
      <w:p w14:paraId="31CFABDF" w14:textId="77777777" w:rsidR="00103C2B" w:rsidRDefault="00103C2B">
        <w:pPr>
          <w:pStyle w:val="Footer"/>
          <w:jc w:val="right"/>
        </w:pPr>
        <w:r>
          <w:fldChar w:fldCharType="begin"/>
        </w:r>
        <w:r>
          <w:instrText xml:space="preserve"> PAGE   \* MERGEFORMAT </w:instrText>
        </w:r>
        <w:r>
          <w:fldChar w:fldCharType="separate"/>
        </w:r>
        <w:r w:rsidR="00906B89">
          <w:rPr>
            <w:noProof/>
          </w:rPr>
          <w:t>1</w:t>
        </w:r>
        <w:r>
          <w:rPr>
            <w:noProof/>
          </w:rPr>
          <w:fldChar w:fldCharType="end"/>
        </w:r>
      </w:p>
    </w:sdtContent>
  </w:sdt>
  <w:p w14:paraId="07015F49" w14:textId="77777777" w:rsidR="00103C2B" w:rsidRDefault="00103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307A4" w14:textId="77777777" w:rsidR="00EE1ECD" w:rsidRDefault="00EE1ECD" w:rsidP="00AB3DB1">
      <w:pPr>
        <w:spacing w:after="0" w:line="240" w:lineRule="auto"/>
      </w:pPr>
      <w:r>
        <w:separator/>
      </w:r>
    </w:p>
  </w:footnote>
  <w:footnote w:type="continuationSeparator" w:id="0">
    <w:p w14:paraId="263B095D" w14:textId="77777777" w:rsidR="00EE1ECD" w:rsidRDefault="00EE1ECD" w:rsidP="00AB3DB1">
      <w:pPr>
        <w:spacing w:after="0" w:line="240" w:lineRule="auto"/>
      </w:pPr>
      <w:r>
        <w:continuationSeparator/>
      </w:r>
    </w:p>
  </w:footnote>
  <w:footnote w:id="1">
    <w:p w14:paraId="4AB5627D" w14:textId="77777777" w:rsidR="00387511" w:rsidRDefault="00387511">
      <w:pPr>
        <w:pStyle w:val="FootnoteText"/>
      </w:pPr>
      <w:r>
        <w:rPr>
          <w:rStyle w:val="FootnoteReference"/>
        </w:rPr>
        <w:footnoteRef/>
      </w:r>
      <w:r>
        <w:t xml:space="preserve"> See for example, Australia’s “Transparency Register” &lt;</w:t>
      </w:r>
      <w:r w:rsidRPr="00387511">
        <w:t>https://www.aec.gov.au/Parties_and_Representatives/financial_disclosure/transparency-register/</w:t>
      </w:r>
      <w:r>
        <w:t xml:space="preserve">, the UK Electoral Commission’s database on donations and loans to political parties </w:t>
      </w:r>
      <w:r w:rsidR="00657D3B">
        <w:t>&lt;</w:t>
      </w:r>
      <w:r w:rsidRPr="00387511">
        <w:t>http://search.electoralcommission.org.uk</w:t>
      </w:r>
      <w:r w:rsidR="00657D3B">
        <w:t>&gt;, the New Zealand Electoral Commission’s database &lt;</w:t>
      </w:r>
      <w:r w:rsidR="00657D3B" w:rsidRPr="00657D3B">
        <w:t>https://elections.nz/democracy-in-nz/political-parties-in-new-zealand/donations-exceeding-30000/</w:t>
      </w:r>
      <w:r w:rsidR="00657D3B">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3A9A"/>
    <w:multiLevelType w:val="hybridMultilevel"/>
    <w:tmpl w:val="F014C2A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19F61B4F"/>
    <w:multiLevelType w:val="multilevel"/>
    <w:tmpl w:val="C30406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150E2C"/>
    <w:multiLevelType w:val="hybridMultilevel"/>
    <w:tmpl w:val="D3560B9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29252F8E"/>
    <w:multiLevelType w:val="hybridMultilevel"/>
    <w:tmpl w:val="5B9861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87E7114"/>
    <w:multiLevelType w:val="hybridMultilevel"/>
    <w:tmpl w:val="C05AE08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EEE08FA"/>
    <w:multiLevelType w:val="hybridMultilevel"/>
    <w:tmpl w:val="0EC2941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68123D6D"/>
    <w:multiLevelType w:val="hybridMultilevel"/>
    <w:tmpl w:val="68620B2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DD43BCC"/>
    <w:multiLevelType w:val="hybridMultilevel"/>
    <w:tmpl w:val="6072545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2E4"/>
    <w:rsid w:val="0004097E"/>
    <w:rsid w:val="00075603"/>
    <w:rsid w:val="00103C2B"/>
    <w:rsid w:val="00180946"/>
    <w:rsid w:val="00183668"/>
    <w:rsid w:val="00187E29"/>
    <w:rsid w:val="001D4C90"/>
    <w:rsid w:val="00231A28"/>
    <w:rsid w:val="002D62B0"/>
    <w:rsid w:val="002D6DFE"/>
    <w:rsid w:val="003120C3"/>
    <w:rsid w:val="00314AD7"/>
    <w:rsid w:val="00332436"/>
    <w:rsid w:val="00356766"/>
    <w:rsid w:val="00387511"/>
    <w:rsid w:val="00470CD8"/>
    <w:rsid w:val="004774DC"/>
    <w:rsid w:val="00557BE2"/>
    <w:rsid w:val="0056758E"/>
    <w:rsid w:val="00620D74"/>
    <w:rsid w:val="00637350"/>
    <w:rsid w:val="00644417"/>
    <w:rsid w:val="00657D3B"/>
    <w:rsid w:val="0066757E"/>
    <w:rsid w:val="006A03B5"/>
    <w:rsid w:val="0082142A"/>
    <w:rsid w:val="0086327F"/>
    <w:rsid w:val="0088292B"/>
    <w:rsid w:val="008A2D3B"/>
    <w:rsid w:val="00901265"/>
    <w:rsid w:val="00906B89"/>
    <w:rsid w:val="00913CD1"/>
    <w:rsid w:val="00920475"/>
    <w:rsid w:val="00953596"/>
    <w:rsid w:val="009C03A3"/>
    <w:rsid w:val="009E0224"/>
    <w:rsid w:val="00A12402"/>
    <w:rsid w:val="00AA2770"/>
    <w:rsid w:val="00AB3DB1"/>
    <w:rsid w:val="00AF4723"/>
    <w:rsid w:val="00B8048E"/>
    <w:rsid w:val="00C515F4"/>
    <w:rsid w:val="00C54F3D"/>
    <w:rsid w:val="00C60B85"/>
    <w:rsid w:val="00CA7675"/>
    <w:rsid w:val="00CD08F0"/>
    <w:rsid w:val="00D17C60"/>
    <w:rsid w:val="00D30F1D"/>
    <w:rsid w:val="00D53B04"/>
    <w:rsid w:val="00DA02B1"/>
    <w:rsid w:val="00DE1DEB"/>
    <w:rsid w:val="00EB0C12"/>
    <w:rsid w:val="00EE1ECD"/>
    <w:rsid w:val="00EE6394"/>
    <w:rsid w:val="00EF6979"/>
    <w:rsid w:val="00F05799"/>
    <w:rsid w:val="00F14D66"/>
    <w:rsid w:val="00F645EA"/>
    <w:rsid w:val="00F745B9"/>
    <w:rsid w:val="00FB4943"/>
    <w:rsid w:val="00FB52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71F1D"/>
  <w15:docId w15:val="{C0F5AFEC-C310-4A64-BF00-4B1D7354A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2E4"/>
    <w:rPr>
      <w:rFonts w:ascii="Tahoma" w:hAnsi="Tahoma" w:cs="Tahoma"/>
      <w:sz w:val="16"/>
      <w:szCs w:val="16"/>
    </w:rPr>
  </w:style>
  <w:style w:type="paragraph" w:styleId="ListParagraph">
    <w:name w:val="List Paragraph"/>
    <w:basedOn w:val="Normal"/>
    <w:uiPriority w:val="34"/>
    <w:qFormat/>
    <w:rsid w:val="00FB52E4"/>
    <w:pPr>
      <w:ind w:left="720"/>
      <w:contextualSpacing/>
    </w:pPr>
  </w:style>
  <w:style w:type="paragraph" w:styleId="FootnoteText">
    <w:name w:val="footnote text"/>
    <w:basedOn w:val="Normal"/>
    <w:link w:val="FootnoteTextChar"/>
    <w:uiPriority w:val="99"/>
    <w:semiHidden/>
    <w:unhideWhenUsed/>
    <w:rsid w:val="00AB3D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3DB1"/>
    <w:rPr>
      <w:sz w:val="20"/>
      <w:szCs w:val="20"/>
    </w:rPr>
  </w:style>
  <w:style w:type="character" w:styleId="FootnoteReference">
    <w:name w:val="footnote reference"/>
    <w:basedOn w:val="DefaultParagraphFont"/>
    <w:uiPriority w:val="99"/>
    <w:semiHidden/>
    <w:unhideWhenUsed/>
    <w:rsid w:val="00AB3DB1"/>
    <w:rPr>
      <w:vertAlign w:val="superscript"/>
    </w:rPr>
  </w:style>
  <w:style w:type="character" w:styleId="Hyperlink">
    <w:name w:val="Hyperlink"/>
    <w:basedOn w:val="DefaultParagraphFont"/>
    <w:uiPriority w:val="99"/>
    <w:unhideWhenUsed/>
    <w:rsid w:val="00A12402"/>
    <w:rPr>
      <w:color w:val="0000FF" w:themeColor="hyperlink"/>
      <w:u w:val="single"/>
    </w:rPr>
  </w:style>
  <w:style w:type="paragraph" w:styleId="Header">
    <w:name w:val="header"/>
    <w:basedOn w:val="Normal"/>
    <w:link w:val="HeaderChar"/>
    <w:uiPriority w:val="99"/>
    <w:unhideWhenUsed/>
    <w:rsid w:val="00103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C2B"/>
  </w:style>
  <w:style w:type="paragraph" w:styleId="Footer">
    <w:name w:val="footer"/>
    <w:basedOn w:val="Normal"/>
    <w:link w:val="FooterChar"/>
    <w:uiPriority w:val="99"/>
    <w:unhideWhenUsed/>
    <w:rsid w:val="00103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C2B"/>
  </w:style>
  <w:style w:type="character" w:customStyle="1" w:styleId="Bodytext">
    <w:name w:val="Body text_"/>
    <w:basedOn w:val="DefaultParagraphFont"/>
    <w:link w:val="BodyText3"/>
    <w:rsid w:val="0066757E"/>
    <w:rPr>
      <w:rFonts w:ascii="Times New Roman" w:eastAsia="Times New Roman" w:hAnsi="Times New Roman" w:cs="Times New Roman"/>
      <w:sz w:val="23"/>
      <w:szCs w:val="23"/>
      <w:shd w:val="clear" w:color="auto" w:fill="FFFFFF"/>
    </w:rPr>
  </w:style>
  <w:style w:type="character" w:customStyle="1" w:styleId="BodyText1">
    <w:name w:val="Body Text1"/>
    <w:basedOn w:val="Bodytext"/>
    <w:rsid w:val="0066757E"/>
    <w:rPr>
      <w:rFonts w:ascii="Times New Roman" w:eastAsia="Times New Roman" w:hAnsi="Times New Roman" w:cs="Times New Roman"/>
      <w:color w:val="000000"/>
      <w:spacing w:val="0"/>
      <w:w w:val="100"/>
      <w:position w:val="0"/>
      <w:sz w:val="23"/>
      <w:szCs w:val="23"/>
      <w:shd w:val="clear" w:color="auto" w:fill="FFFFFF"/>
      <w:lang w:val="en-US"/>
    </w:rPr>
  </w:style>
  <w:style w:type="character" w:customStyle="1" w:styleId="Heading1">
    <w:name w:val="Heading #1_"/>
    <w:basedOn w:val="DefaultParagraphFont"/>
    <w:rsid w:val="0066757E"/>
    <w:rPr>
      <w:rFonts w:ascii="Times New Roman" w:eastAsia="Times New Roman" w:hAnsi="Times New Roman" w:cs="Times New Roman"/>
      <w:b/>
      <w:bCs/>
      <w:i w:val="0"/>
      <w:iCs w:val="0"/>
      <w:smallCaps w:val="0"/>
      <w:strike w:val="0"/>
      <w:sz w:val="23"/>
      <w:szCs w:val="23"/>
      <w:u w:val="none"/>
    </w:rPr>
  </w:style>
  <w:style w:type="character" w:customStyle="1" w:styleId="Heading10">
    <w:name w:val="Heading #1"/>
    <w:basedOn w:val="Heading1"/>
    <w:rsid w:val="0066757E"/>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BodyText3">
    <w:name w:val="Body Text3"/>
    <w:basedOn w:val="Normal"/>
    <w:link w:val="Bodytext"/>
    <w:rsid w:val="0066757E"/>
    <w:pPr>
      <w:widowControl w:val="0"/>
      <w:shd w:val="clear" w:color="auto" w:fill="FFFFFF"/>
      <w:spacing w:before="240" w:after="0" w:line="557" w:lineRule="exact"/>
      <w:ind w:hanging="600"/>
      <w:jc w:val="both"/>
    </w:pPr>
    <w:rPr>
      <w:rFonts w:ascii="Times New Roman" w:eastAsia="Times New Roman" w:hAnsi="Times New Roman" w:cs="Times New Roman"/>
      <w:sz w:val="23"/>
      <w:szCs w:val="23"/>
    </w:rPr>
  </w:style>
  <w:style w:type="character" w:styleId="CommentReference">
    <w:name w:val="annotation reference"/>
    <w:basedOn w:val="DefaultParagraphFont"/>
    <w:uiPriority w:val="99"/>
    <w:semiHidden/>
    <w:unhideWhenUsed/>
    <w:rsid w:val="00F745B9"/>
    <w:rPr>
      <w:sz w:val="16"/>
      <w:szCs w:val="16"/>
    </w:rPr>
  </w:style>
  <w:style w:type="paragraph" w:styleId="CommentText">
    <w:name w:val="annotation text"/>
    <w:basedOn w:val="Normal"/>
    <w:link w:val="CommentTextChar"/>
    <w:uiPriority w:val="99"/>
    <w:semiHidden/>
    <w:unhideWhenUsed/>
    <w:rsid w:val="00F745B9"/>
    <w:pPr>
      <w:spacing w:line="240" w:lineRule="auto"/>
    </w:pPr>
    <w:rPr>
      <w:sz w:val="20"/>
      <w:szCs w:val="20"/>
    </w:rPr>
  </w:style>
  <w:style w:type="character" w:customStyle="1" w:styleId="CommentTextChar">
    <w:name w:val="Comment Text Char"/>
    <w:basedOn w:val="DefaultParagraphFont"/>
    <w:link w:val="CommentText"/>
    <w:uiPriority w:val="99"/>
    <w:semiHidden/>
    <w:rsid w:val="00F745B9"/>
    <w:rPr>
      <w:sz w:val="20"/>
      <w:szCs w:val="20"/>
    </w:rPr>
  </w:style>
  <w:style w:type="paragraph" w:styleId="CommentSubject">
    <w:name w:val="annotation subject"/>
    <w:basedOn w:val="CommentText"/>
    <w:next w:val="CommentText"/>
    <w:link w:val="CommentSubjectChar"/>
    <w:uiPriority w:val="99"/>
    <w:semiHidden/>
    <w:unhideWhenUsed/>
    <w:rsid w:val="00F745B9"/>
    <w:rPr>
      <w:b/>
      <w:bCs/>
    </w:rPr>
  </w:style>
  <w:style w:type="character" w:customStyle="1" w:styleId="CommentSubjectChar">
    <w:name w:val="Comment Subject Char"/>
    <w:basedOn w:val="CommentTextChar"/>
    <w:link w:val="CommentSubject"/>
    <w:uiPriority w:val="99"/>
    <w:semiHidden/>
    <w:rsid w:val="00F745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26ABC-BFEB-459B-956D-8199A6E1C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Lawson Naidoo</cp:lastModifiedBy>
  <cp:revision>3</cp:revision>
  <cp:lastPrinted>2019-07-18T10:02:00Z</cp:lastPrinted>
  <dcterms:created xsi:type="dcterms:W3CDTF">2019-07-31T14:00:00Z</dcterms:created>
  <dcterms:modified xsi:type="dcterms:W3CDTF">2019-07-31T14:02:00Z</dcterms:modified>
</cp:coreProperties>
</file>