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F0" w:rsidRPr="00B92183" w:rsidRDefault="00872158" w:rsidP="00B92183">
      <w:pPr>
        <w:pStyle w:val="ListParagraph"/>
        <w:numPr>
          <w:ilvl w:val="0"/>
          <w:numId w:val="44"/>
        </w:numPr>
        <w:spacing w:before="120" w:after="120" w:line="240" w:lineRule="auto"/>
        <w:ind w:left="90"/>
        <w:jc w:val="both"/>
        <w:rPr>
          <w:rFonts w:ascii="Times New Roman" w:hAnsi="Times New Roman" w:cs="Times New Roman"/>
          <w:b/>
          <w:sz w:val="28"/>
          <w:szCs w:val="28"/>
        </w:rPr>
      </w:pPr>
      <w:r w:rsidRPr="00B92183">
        <w:rPr>
          <w:rFonts w:ascii="Times New Roman" w:hAnsi="Times New Roman" w:cs="Times New Roman"/>
          <w:b/>
          <w:sz w:val="28"/>
          <w:szCs w:val="28"/>
        </w:rPr>
        <w:t>R</w:t>
      </w:r>
      <w:r w:rsidR="00C06BF0" w:rsidRPr="00B92183">
        <w:rPr>
          <w:rFonts w:ascii="Times New Roman" w:hAnsi="Times New Roman" w:cs="Times New Roman"/>
          <w:b/>
          <w:sz w:val="28"/>
          <w:szCs w:val="28"/>
        </w:rPr>
        <w:t>eport of the Portfolio Committee on Higher Education and Training on consideration of the Budget Vote 15 Higher Education and Training, Dated 10 May 2017</w:t>
      </w:r>
    </w:p>
    <w:p w:rsidR="009859BF" w:rsidRPr="003E2516" w:rsidRDefault="00A2771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Portfolio Committee on Higher Educa</w:t>
      </w:r>
      <w:bookmarkStart w:id="0" w:name="_GoBack"/>
      <w:bookmarkEnd w:id="0"/>
      <w:r w:rsidRPr="003E2516">
        <w:rPr>
          <w:rFonts w:ascii="Times New Roman" w:hAnsi="Times New Roman" w:cs="Times New Roman"/>
          <w:sz w:val="24"/>
          <w:szCs w:val="24"/>
        </w:rPr>
        <w:t>tion and Training</w:t>
      </w:r>
      <w:r w:rsidR="005D5D36" w:rsidRPr="003E2516">
        <w:rPr>
          <w:rFonts w:ascii="Times New Roman" w:hAnsi="Times New Roman" w:cs="Times New Roman"/>
          <w:sz w:val="24"/>
          <w:szCs w:val="24"/>
        </w:rPr>
        <w:t xml:space="preserve"> </w:t>
      </w:r>
      <w:r w:rsidRPr="003E2516">
        <w:rPr>
          <w:rFonts w:ascii="Times New Roman" w:hAnsi="Times New Roman" w:cs="Times New Roman"/>
          <w:sz w:val="24"/>
          <w:szCs w:val="24"/>
        </w:rPr>
        <w:t xml:space="preserve">(hereinafter referred to as the </w:t>
      </w:r>
      <w:r w:rsidR="00AA1987" w:rsidRPr="003E2516">
        <w:rPr>
          <w:rFonts w:ascii="Times New Roman" w:hAnsi="Times New Roman" w:cs="Times New Roman"/>
          <w:sz w:val="24"/>
          <w:szCs w:val="24"/>
        </w:rPr>
        <w:t>Committee</w:t>
      </w:r>
      <w:r w:rsidRPr="003E2516">
        <w:rPr>
          <w:rFonts w:ascii="Times New Roman" w:hAnsi="Times New Roman" w:cs="Times New Roman"/>
          <w:sz w:val="24"/>
          <w:szCs w:val="24"/>
        </w:rPr>
        <w:t>) having considered the</w:t>
      </w:r>
      <w:r w:rsidR="005D5D36" w:rsidRPr="003E2516">
        <w:rPr>
          <w:rFonts w:ascii="Times New Roman" w:hAnsi="Times New Roman" w:cs="Times New Roman"/>
          <w:sz w:val="24"/>
          <w:szCs w:val="24"/>
        </w:rPr>
        <w:t xml:space="preserve"> Revised Strategic Plan 2015/16 – 2019/20 and</w:t>
      </w:r>
      <w:r w:rsidRPr="003E2516">
        <w:rPr>
          <w:rFonts w:ascii="Times New Roman" w:hAnsi="Times New Roman" w:cs="Times New Roman"/>
          <w:sz w:val="24"/>
          <w:szCs w:val="24"/>
        </w:rPr>
        <w:t xml:space="preserve"> </w:t>
      </w:r>
      <w:r w:rsidR="001728C9" w:rsidRPr="003E2516">
        <w:rPr>
          <w:rFonts w:ascii="Times New Roman" w:hAnsi="Times New Roman" w:cs="Times New Roman"/>
          <w:sz w:val="24"/>
          <w:szCs w:val="24"/>
        </w:rPr>
        <w:t>Annua</w:t>
      </w:r>
      <w:r w:rsidR="00397674" w:rsidRPr="003E2516">
        <w:rPr>
          <w:rFonts w:ascii="Times New Roman" w:hAnsi="Times New Roman" w:cs="Times New Roman"/>
          <w:sz w:val="24"/>
          <w:szCs w:val="24"/>
        </w:rPr>
        <w:t>l Performance Plan (APP) 2017/18</w:t>
      </w:r>
      <w:r w:rsidRPr="003E2516">
        <w:rPr>
          <w:rFonts w:ascii="Times New Roman" w:hAnsi="Times New Roman" w:cs="Times New Roman"/>
          <w:sz w:val="24"/>
          <w:szCs w:val="24"/>
        </w:rPr>
        <w:t xml:space="preserve"> </w:t>
      </w:r>
      <w:r w:rsidR="00CB053C" w:rsidRPr="003E2516">
        <w:rPr>
          <w:rFonts w:ascii="Times New Roman" w:hAnsi="Times New Roman" w:cs="Times New Roman"/>
          <w:sz w:val="24"/>
          <w:szCs w:val="24"/>
        </w:rPr>
        <w:t xml:space="preserve">and 2017 Medium Term Expenditure Framework (MTEF) budget </w:t>
      </w:r>
      <w:r w:rsidR="00FA6C94" w:rsidRPr="003E2516">
        <w:rPr>
          <w:rFonts w:ascii="Times New Roman" w:hAnsi="Times New Roman" w:cs="Times New Roman"/>
          <w:sz w:val="24"/>
          <w:szCs w:val="24"/>
        </w:rPr>
        <w:t xml:space="preserve">of </w:t>
      </w:r>
      <w:r w:rsidRPr="003E2516">
        <w:rPr>
          <w:rFonts w:ascii="Times New Roman" w:hAnsi="Times New Roman" w:cs="Times New Roman"/>
          <w:sz w:val="24"/>
          <w:szCs w:val="24"/>
        </w:rPr>
        <w:t>the Department of Higher Education and Training (hereinafter referred to as the Department), reports as follows:</w:t>
      </w:r>
    </w:p>
    <w:p w:rsidR="0049256C" w:rsidRPr="003E2516" w:rsidRDefault="0049256C" w:rsidP="003E2516">
      <w:pPr>
        <w:spacing w:before="120" w:after="120" w:line="240" w:lineRule="auto"/>
        <w:jc w:val="both"/>
        <w:rPr>
          <w:rFonts w:ascii="Times New Roman" w:hAnsi="Times New Roman" w:cs="Times New Roman"/>
          <w:sz w:val="24"/>
          <w:szCs w:val="24"/>
        </w:rPr>
      </w:pPr>
    </w:p>
    <w:p w:rsidR="00A27714" w:rsidRPr="003E2516" w:rsidRDefault="007D1A8D"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1. INTRODUCTION</w:t>
      </w:r>
    </w:p>
    <w:p w:rsidR="007D1A8D" w:rsidRPr="003E2516" w:rsidRDefault="007D1A8D"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South Africa has set itself goals through the National Development Plan (NDP), to eliminate poverty and </w:t>
      </w:r>
      <w:r w:rsidR="001C724F" w:rsidRPr="003E2516">
        <w:rPr>
          <w:rFonts w:ascii="Times New Roman" w:hAnsi="Times New Roman" w:cs="Times New Roman"/>
          <w:sz w:val="24"/>
          <w:szCs w:val="24"/>
        </w:rPr>
        <w:t xml:space="preserve">to </w:t>
      </w:r>
      <w:r w:rsidRPr="003E2516">
        <w:rPr>
          <w:rFonts w:ascii="Times New Roman" w:hAnsi="Times New Roman" w:cs="Times New Roman"/>
          <w:sz w:val="24"/>
          <w:szCs w:val="24"/>
        </w:rPr>
        <w:t xml:space="preserve">reduce inequality by 2030. In working towards achieving these goals,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identified three main priorities, namely: raising employment through faster economic growth, improving the quality of education, skills and innovation; and building the capacity of the state to play a developmental, transformation role.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developed the Medium-Term Strategic Framework (MTSF) 2014 – 2019, which outlines policy priorities for the five-year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w:t>
      </w:r>
      <w:r w:rsidR="001C724F" w:rsidRPr="003E2516">
        <w:rPr>
          <w:rFonts w:ascii="Times New Roman" w:hAnsi="Times New Roman" w:cs="Times New Roman"/>
          <w:sz w:val="24"/>
          <w:szCs w:val="24"/>
        </w:rPr>
        <w:t>A</w:t>
      </w:r>
      <w:r w:rsidRPr="003E2516">
        <w:rPr>
          <w:rFonts w:ascii="Times New Roman" w:hAnsi="Times New Roman" w:cs="Times New Roman"/>
          <w:sz w:val="24"/>
          <w:szCs w:val="24"/>
        </w:rPr>
        <w:t>dministration. These policy priorities guide the allocation of financial resources. The financial resources have to be used effectively, efficiently and economical</w:t>
      </w:r>
      <w:r w:rsidR="00110AD9" w:rsidRPr="003E2516">
        <w:rPr>
          <w:rFonts w:ascii="Times New Roman" w:hAnsi="Times New Roman" w:cs="Times New Roman"/>
          <w:sz w:val="24"/>
          <w:szCs w:val="24"/>
        </w:rPr>
        <w:t>ly</w:t>
      </w:r>
      <w:r w:rsidRPr="003E2516">
        <w:rPr>
          <w:rFonts w:ascii="Times New Roman" w:hAnsi="Times New Roman" w:cs="Times New Roman"/>
          <w:sz w:val="24"/>
          <w:szCs w:val="24"/>
        </w:rPr>
        <w:t xml:space="preserve"> to implement the policy priorities. </w:t>
      </w:r>
    </w:p>
    <w:p w:rsidR="007D1A8D" w:rsidRPr="003E2516" w:rsidRDefault="007D1A8D"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2. OVERVIEW OF THE RELEVANT POLICY PRIORITIES</w:t>
      </w:r>
    </w:p>
    <w:p w:rsidR="007D1A8D" w:rsidRPr="003E2516" w:rsidRDefault="007D1A8D"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2.1. N</w:t>
      </w:r>
      <w:r w:rsidR="001C724F" w:rsidRPr="003E2516">
        <w:rPr>
          <w:rFonts w:ascii="Times New Roman" w:hAnsi="Times New Roman" w:cs="Times New Roman"/>
          <w:b/>
          <w:sz w:val="24"/>
          <w:szCs w:val="24"/>
        </w:rPr>
        <w:t xml:space="preserve">ational </w:t>
      </w:r>
      <w:r w:rsidRPr="003E2516">
        <w:rPr>
          <w:rFonts w:ascii="Times New Roman" w:hAnsi="Times New Roman" w:cs="Times New Roman"/>
          <w:b/>
          <w:sz w:val="24"/>
          <w:szCs w:val="24"/>
        </w:rPr>
        <w:t>D</w:t>
      </w:r>
      <w:r w:rsidR="001C724F" w:rsidRPr="003E2516">
        <w:rPr>
          <w:rFonts w:ascii="Times New Roman" w:hAnsi="Times New Roman" w:cs="Times New Roman"/>
          <w:b/>
          <w:sz w:val="24"/>
          <w:szCs w:val="24"/>
        </w:rPr>
        <w:t xml:space="preserve">evelopment </w:t>
      </w:r>
      <w:r w:rsidRPr="003E2516">
        <w:rPr>
          <w:rFonts w:ascii="Times New Roman" w:hAnsi="Times New Roman" w:cs="Times New Roman"/>
          <w:b/>
          <w:sz w:val="24"/>
          <w:szCs w:val="24"/>
        </w:rPr>
        <w:t>P</w:t>
      </w:r>
      <w:r w:rsidR="001C724F" w:rsidRPr="003E2516">
        <w:rPr>
          <w:rFonts w:ascii="Times New Roman" w:hAnsi="Times New Roman" w:cs="Times New Roman"/>
          <w:b/>
          <w:sz w:val="24"/>
          <w:szCs w:val="24"/>
        </w:rPr>
        <w:t>lan (NDP)</w:t>
      </w:r>
      <w:r w:rsidR="00630026" w:rsidRPr="003E2516">
        <w:rPr>
          <w:rFonts w:ascii="Times New Roman" w:hAnsi="Times New Roman" w:cs="Times New Roman"/>
          <w:b/>
          <w:sz w:val="24"/>
          <w:szCs w:val="24"/>
        </w:rPr>
        <w:t xml:space="preserve"> /</w:t>
      </w:r>
      <w:r w:rsidR="001C724F" w:rsidRPr="003E2516">
        <w:rPr>
          <w:rFonts w:ascii="Times New Roman" w:hAnsi="Times New Roman" w:cs="Times New Roman"/>
          <w:b/>
          <w:sz w:val="24"/>
          <w:szCs w:val="24"/>
        </w:rPr>
        <w:t xml:space="preserve"> Medium-Term Strategic Framework (</w:t>
      </w:r>
      <w:r w:rsidRPr="003E2516">
        <w:rPr>
          <w:rFonts w:ascii="Times New Roman" w:hAnsi="Times New Roman" w:cs="Times New Roman"/>
          <w:b/>
          <w:sz w:val="24"/>
          <w:szCs w:val="24"/>
        </w:rPr>
        <w:t>MTSF</w:t>
      </w:r>
      <w:r w:rsidR="001C724F" w:rsidRPr="003E2516">
        <w:rPr>
          <w:rFonts w:ascii="Times New Roman" w:hAnsi="Times New Roman" w:cs="Times New Roman"/>
          <w:b/>
          <w:sz w:val="24"/>
          <w:szCs w:val="24"/>
        </w:rPr>
        <w:t>)</w:t>
      </w:r>
      <w:r w:rsidRPr="003E2516">
        <w:rPr>
          <w:rFonts w:ascii="Times New Roman" w:hAnsi="Times New Roman" w:cs="Times New Roman"/>
          <w:b/>
          <w:sz w:val="24"/>
          <w:szCs w:val="24"/>
        </w:rPr>
        <w:t xml:space="preserve"> priorities for the Post-School Education and Training (PSET) sector</w:t>
      </w:r>
    </w:p>
    <w:p w:rsidR="007D1A8D" w:rsidRPr="003E2516" w:rsidRDefault="007D1A8D"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sz w:val="24"/>
          <w:szCs w:val="24"/>
        </w:rPr>
        <w:t xml:space="preserve">For the post-school education and training sector, the NDP envisages that by 2030, South Africans should have access to </w:t>
      </w:r>
      <w:r w:rsidR="001C724F" w:rsidRPr="003E2516">
        <w:rPr>
          <w:rFonts w:ascii="Times New Roman" w:hAnsi="Times New Roman" w:cs="Times New Roman"/>
          <w:sz w:val="24"/>
          <w:szCs w:val="24"/>
        </w:rPr>
        <w:t>E</w:t>
      </w:r>
      <w:r w:rsidRPr="003E2516">
        <w:rPr>
          <w:rFonts w:ascii="Times New Roman" w:hAnsi="Times New Roman" w:cs="Times New Roman"/>
          <w:sz w:val="24"/>
          <w:szCs w:val="24"/>
        </w:rPr>
        <w:t xml:space="preserve">ducation and </w:t>
      </w:r>
      <w:r w:rsidR="001C724F" w:rsidRPr="003E2516">
        <w:rPr>
          <w:rFonts w:ascii="Times New Roman" w:hAnsi="Times New Roman" w:cs="Times New Roman"/>
          <w:sz w:val="24"/>
          <w:szCs w:val="24"/>
        </w:rPr>
        <w:t>T</w:t>
      </w:r>
      <w:r w:rsidRPr="003E2516">
        <w:rPr>
          <w:rFonts w:ascii="Times New Roman" w:hAnsi="Times New Roman" w:cs="Times New Roman"/>
          <w:sz w:val="24"/>
          <w:szCs w:val="24"/>
        </w:rPr>
        <w:t>raining of the highest quality. The education, training and innovation system should cater for different needs and produce highly skilled individuals; and graduates of the post-school system should have adequate skills and knowledge to meet the current and future needs of the economy and society.</w:t>
      </w:r>
    </w:p>
    <w:p w:rsidR="007D1A8D" w:rsidRPr="003E2516" w:rsidRDefault="001C724F"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Government</w:t>
      </w:r>
      <w:r w:rsidR="007D1A8D" w:rsidRPr="003E2516">
        <w:rPr>
          <w:rFonts w:ascii="Times New Roman" w:hAnsi="Times New Roman" w:cs="Times New Roman"/>
          <w:sz w:val="24"/>
          <w:szCs w:val="24"/>
        </w:rPr>
        <w:t xml:space="preserve"> budget allocation for the PSET sector is geared towards achieving the following targets as contained in the 2014 – 2019 MTSF: </w:t>
      </w:r>
    </w:p>
    <w:p w:rsidR="00211D1D" w:rsidRPr="003E2516" w:rsidRDefault="00211D1D" w:rsidP="003E2516">
      <w:pPr>
        <w:spacing w:before="120" w:after="120" w:line="240" w:lineRule="auto"/>
        <w:jc w:val="both"/>
        <w:rPr>
          <w:rFonts w:ascii="Times New Roman" w:hAnsi="Times New Roman" w:cs="Times New Roman"/>
          <w:sz w:val="24"/>
          <w:szCs w:val="24"/>
        </w:rPr>
      </w:pPr>
    </w:p>
    <w:p w:rsidR="007D1A8D" w:rsidRPr="003E2516" w:rsidRDefault="007D1A8D" w:rsidP="003E2516">
      <w:pPr>
        <w:pStyle w:val="ListParagraph"/>
        <w:numPr>
          <w:ilvl w:val="2"/>
          <w:numId w:val="32"/>
        </w:num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University sector</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number of students enrolled at universities will increase from 950 000 in 2013 to 1.07 million </w:t>
      </w:r>
      <w:r w:rsidR="0013406F" w:rsidRPr="003E2516">
        <w:rPr>
          <w:rFonts w:ascii="Times New Roman" w:hAnsi="Times New Roman" w:cs="Times New Roman"/>
          <w:sz w:val="24"/>
          <w:szCs w:val="24"/>
        </w:rPr>
        <w:t>by</w:t>
      </w:r>
      <w:r w:rsidRPr="003E2516">
        <w:rPr>
          <w:rFonts w:ascii="Times New Roman" w:hAnsi="Times New Roman" w:cs="Times New Roman"/>
          <w:sz w:val="24"/>
          <w:szCs w:val="24"/>
        </w:rPr>
        <w:t xml:space="preserve"> 201</w:t>
      </w:r>
      <w:r w:rsidR="003B4DEA" w:rsidRPr="003E2516">
        <w:rPr>
          <w:rFonts w:ascii="Times New Roman" w:hAnsi="Times New Roman" w:cs="Times New Roman"/>
          <w:sz w:val="24"/>
          <w:szCs w:val="24"/>
        </w:rPr>
        <w:t>9</w:t>
      </w:r>
      <w:r w:rsidRPr="003E2516">
        <w:rPr>
          <w:rFonts w:ascii="Times New Roman" w:hAnsi="Times New Roman" w:cs="Times New Roman"/>
          <w:sz w:val="24"/>
          <w:szCs w:val="24"/>
        </w:rPr>
        <w:t>.</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University enrolment in foundation programmes will increase from 16 300 students in 2013 to 36 000 </w:t>
      </w:r>
      <w:r w:rsidR="0013406F" w:rsidRPr="003E2516">
        <w:rPr>
          <w:rFonts w:ascii="Times New Roman" w:hAnsi="Times New Roman" w:cs="Times New Roman"/>
          <w:sz w:val="24"/>
          <w:szCs w:val="24"/>
        </w:rPr>
        <w:t>by</w:t>
      </w:r>
      <w:r w:rsidRPr="003E2516">
        <w:rPr>
          <w:rFonts w:ascii="Times New Roman" w:hAnsi="Times New Roman" w:cs="Times New Roman"/>
          <w:sz w:val="24"/>
          <w:szCs w:val="24"/>
        </w:rPr>
        <w:t xml:space="preserve"> 201</w:t>
      </w:r>
      <w:r w:rsidR="003B4DEA" w:rsidRPr="003E2516">
        <w:rPr>
          <w:rFonts w:ascii="Times New Roman" w:hAnsi="Times New Roman" w:cs="Times New Roman"/>
          <w:sz w:val="24"/>
          <w:szCs w:val="24"/>
        </w:rPr>
        <w:t>9</w:t>
      </w:r>
      <w:r w:rsidRPr="003E2516">
        <w:rPr>
          <w:rFonts w:ascii="Times New Roman" w:hAnsi="Times New Roman" w:cs="Times New Roman"/>
          <w:sz w:val="24"/>
          <w:szCs w:val="24"/>
        </w:rPr>
        <w:t>.</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Evaluation of the current</w:t>
      </w:r>
      <w:r w:rsidR="00D4206C" w:rsidRPr="003E2516">
        <w:rPr>
          <w:rFonts w:ascii="Times New Roman" w:hAnsi="Times New Roman" w:cs="Times New Roman"/>
          <w:sz w:val="24"/>
          <w:szCs w:val="24"/>
        </w:rPr>
        <w:t xml:space="preserve"> student</w:t>
      </w:r>
      <w:r w:rsidRPr="003E2516">
        <w:rPr>
          <w:rFonts w:ascii="Times New Roman" w:hAnsi="Times New Roman" w:cs="Times New Roman"/>
          <w:sz w:val="24"/>
          <w:szCs w:val="24"/>
        </w:rPr>
        <w:t xml:space="preserve"> financial aid system to improve how the funding is disbursed.</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To support the knowledge economy the number of PhD graduates will increase from 1 870 per year in 2013 to 3 000 per year by 2019.</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Increased graduate numbers in engineering science to 57 000 over the five year period</w:t>
      </w:r>
      <w:r w:rsidR="001C724F" w:rsidRPr="003E2516">
        <w:rPr>
          <w:rFonts w:ascii="Times New Roman" w:hAnsi="Times New Roman" w:cs="Times New Roman"/>
          <w:sz w:val="24"/>
          <w:szCs w:val="24"/>
        </w:rPr>
        <w:t>.</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Increased graduate number</w:t>
      </w:r>
      <w:r w:rsidR="0013406F" w:rsidRPr="003E2516">
        <w:rPr>
          <w:rFonts w:ascii="Times New Roman" w:hAnsi="Times New Roman" w:cs="Times New Roman"/>
          <w:sz w:val="24"/>
          <w:szCs w:val="24"/>
        </w:rPr>
        <w:t>s</w:t>
      </w:r>
      <w:r w:rsidRPr="003E2516">
        <w:rPr>
          <w:rFonts w:ascii="Times New Roman" w:hAnsi="Times New Roman" w:cs="Times New Roman"/>
          <w:sz w:val="24"/>
          <w:szCs w:val="24"/>
        </w:rPr>
        <w:t xml:space="preserve"> in human and animal and health, 45 000 over the five year period.</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lastRenderedPageBreak/>
        <w:t>Increased graduate numbers in natural and physical sciences, 36 000 over the five year period.</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Increased graduate number</w:t>
      </w:r>
      <w:r w:rsidR="0013406F" w:rsidRPr="003E2516">
        <w:rPr>
          <w:rFonts w:ascii="Times New Roman" w:hAnsi="Times New Roman" w:cs="Times New Roman"/>
          <w:sz w:val="24"/>
          <w:szCs w:val="24"/>
        </w:rPr>
        <w:t>s</w:t>
      </w:r>
      <w:r w:rsidRPr="003E2516">
        <w:rPr>
          <w:rFonts w:ascii="Times New Roman" w:hAnsi="Times New Roman" w:cs="Times New Roman"/>
          <w:sz w:val="24"/>
          <w:szCs w:val="24"/>
        </w:rPr>
        <w:t xml:space="preserve"> in teacher education, 20 000 per year by 2019. This is to support </w:t>
      </w:r>
      <w:r w:rsidR="001C724F" w:rsidRPr="003E2516">
        <w:rPr>
          <w:rFonts w:ascii="Times New Roman" w:hAnsi="Times New Roman" w:cs="Times New Roman"/>
          <w:sz w:val="24"/>
          <w:szCs w:val="24"/>
        </w:rPr>
        <w:t>B</w:t>
      </w:r>
      <w:r w:rsidRPr="003E2516">
        <w:rPr>
          <w:rFonts w:ascii="Times New Roman" w:hAnsi="Times New Roman" w:cs="Times New Roman"/>
          <w:sz w:val="24"/>
          <w:szCs w:val="24"/>
        </w:rPr>
        <w:t xml:space="preserve">asic </w:t>
      </w:r>
      <w:r w:rsidR="001C724F" w:rsidRPr="003E2516">
        <w:rPr>
          <w:rFonts w:ascii="Times New Roman" w:hAnsi="Times New Roman" w:cs="Times New Roman"/>
          <w:sz w:val="24"/>
          <w:szCs w:val="24"/>
        </w:rPr>
        <w:t>E</w:t>
      </w:r>
      <w:r w:rsidRPr="003E2516">
        <w:rPr>
          <w:rFonts w:ascii="Times New Roman" w:hAnsi="Times New Roman" w:cs="Times New Roman"/>
          <w:sz w:val="24"/>
          <w:szCs w:val="24"/>
        </w:rPr>
        <w:t>ducation.</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To support the quality of lecturing, 10 </w:t>
      </w:r>
      <w:r w:rsidR="001C724F" w:rsidRPr="003E2516">
        <w:rPr>
          <w:rFonts w:ascii="Times New Roman" w:hAnsi="Times New Roman" w:cs="Times New Roman"/>
          <w:sz w:val="24"/>
          <w:szCs w:val="24"/>
        </w:rPr>
        <w:t>U</w:t>
      </w:r>
      <w:r w:rsidRPr="003E2516">
        <w:rPr>
          <w:rFonts w:ascii="Times New Roman" w:hAnsi="Times New Roman" w:cs="Times New Roman"/>
          <w:sz w:val="24"/>
          <w:szCs w:val="24"/>
        </w:rPr>
        <w:t xml:space="preserve">niversities will offer TVET lecturing qualifications by 2019. This is to improve the quality of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by ensuring that the number of qualified lecturers </w:t>
      </w:r>
      <w:r w:rsidR="001C724F" w:rsidRPr="003E2516">
        <w:rPr>
          <w:rFonts w:ascii="Times New Roman" w:hAnsi="Times New Roman" w:cs="Times New Roman"/>
          <w:sz w:val="24"/>
          <w:szCs w:val="24"/>
        </w:rPr>
        <w:t xml:space="preserve">are </w:t>
      </w:r>
      <w:r w:rsidRPr="003E2516">
        <w:rPr>
          <w:rFonts w:ascii="Times New Roman" w:hAnsi="Times New Roman" w:cs="Times New Roman"/>
          <w:sz w:val="24"/>
          <w:szCs w:val="24"/>
        </w:rPr>
        <w:t>increased and administration is improved.</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Increased number of lecturers with PhDs</w:t>
      </w:r>
      <w:r w:rsidR="001C724F" w:rsidRPr="003E2516">
        <w:rPr>
          <w:rFonts w:ascii="Times New Roman" w:hAnsi="Times New Roman" w:cs="Times New Roman"/>
          <w:sz w:val="24"/>
          <w:szCs w:val="24"/>
        </w:rPr>
        <w:t>,</w:t>
      </w:r>
      <w:r w:rsidRPr="003E2516">
        <w:rPr>
          <w:rFonts w:ascii="Times New Roman" w:hAnsi="Times New Roman" w:cs="Times New Roman"/>
          <w:sz w:val="24"/>
          <w:szCs w:val="24"/>
        </w:rPr>
        <w:t xml:space="preserve"> while reducing the student dropout rate.</w:t>
      </w:r>
    </w:p>
    <w:p w:rsidR="007D1A8D" w:rsidRPr="003E2516" w:rsidRDefault="007D1A8D" w:rsidP="003E2516">
      <w:pPr>
        <w:pStyle w:val="ListParagraph"/>
        <w:numPr>
          <w:ilvl w:val="0"/>
          <w:numId w:val="28"/>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To produce the next generation of lecturers by increasing the pool of post-graduate students and research output.</w:t>
      </w:r>
    </w:p>
    <w:p w:rsidR="007D1A8D" w:rsidRPr="003E2516" w:rsidRDefault="007D1A8D"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2.1.2. Technical and Vocational Education and Training Sector</w:t>
      </w:r>
      <w:r w:rsidR="001C724F" w:rsidRPr="003E2516">
        <w:rPr>
          <w:rFonts w:ascii="Times New Roman" w:hAnsi="Times New Roman" w:cs="Times New Roman"/>
          <w:b/>
          <w:sz w:val="24"/>
          <w:szCs w:val="24"/>
        </w:rPr>
        <w:t xml:space="preserve"> (TVET)</w:t>
      </w:r>
    </w:p>
    <w:p w:rsidR="007D1A8D" w:rsidRPr="003E2516" w:rsidRDefault="007D1A8D" w:rsidP="003E2516">
      <w:pPr>
        <w:pStyle w:val="ListParagraph"/>
        <w:numPr>
          <w:ilvl w:val="0"/>
          <w:numId w:val="29"/>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To ensure more students have access to post-school education and training, there is a need to provide more </w:t>
      </w:r>
      <w:r w:rsidR="00AC74D8" w:rsidRPr="003E2516">
        <w:rPr>
          <w:rFonts w:ascii="Times New Roman" w:hAnsi="Times New Roman" w:cs="Times New Roman"/>
          <w:sz w:val="24"/>
          <w:szCs w:val="24"/>
        </w:rPr>
        <w:t>infrastructure</w:t>
      </w:r>
      <w:r w:rsidRPr="003E2516">
        <w:rPr>
          <w:rFonts w:ascii="Times New Roman" w:hAnsi="Times New Roman" w:cs="Times New Roman"/>
          <w:sz w:val="24"/>
          <w:szCs w:val="24"/>
        </w:rPr>
        <w:t>, such as new TVET college campuses and student accommodation</w:t>
      </w:r>
      <w:r w:rsidR="0013406F" w:rsidRPr="003E2516">
        <w:rPr>
          <w:rFonts w:ascii="Times New Roman" w:hAnsi="Times New Roman" w:cs="Times New Roman"/>
          <w:sz w:val="24"/>
          <w:szCs w:val="24"/>
        </w:rPr>
        <w:t>.</w:t>
      </w:r>
    </w:p>
    <w:p w:rsidR="007D1A8D" w:rsidRPr="003E2516" w:rsidRDefault="007D1A8D" w:rsidP="003E2516">
      <w:pPr>
        <w:pStyle w:val="ListParagraph"/>
        <w:numPr>
          <w:ilvl w:val="0"/>
          <w:numId w:val="29"/>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number</w:t>
      </w:r>
      <w:r w:rsidR="0013406F" w:rsidRPr="003E2516">
        <w:rPr>
          <w:rFonts w:ascii="Times New Roman" w:hAnsi="Times New Roman" w:cs="Times New Roman"/>
          <w:sz w:val="24"/>
          <w:szCs w:val="24"/>
        </w:rPr>
        <w:t xml:space="preserve"> of students</w:t>
      </w:r>
      <w:r w:rsidRPr="003E2516">
        <w:rPr>
          <w:rFonts w:ascii="Times New Roman" w:hAnsi="Times New Roman" w:cs="Times New Roman"/>
          <w:sz w:val="24"/>
          <w:szCs w:val="24"/>
        </w:rPr>
        <w:t xml:space="preserve"> enrolled in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will increase from 670 455 in 2013 to 1.238 million in 201</w:t>
      </w:r>
      <w:r w:rsidR="003B4DEA" w:rsidRPr="003E2516">
        <w:rPr>
          <w:rFonts w:ascii="Times New Roman" w:hAnsi="Times New Roman" w:cs="Times New Roman"/>
          <w:sz w:val="24"/>
          <w:szCs w:val="24"/>
        </w:rPr>
        <w:t>9</w:t>
      </w:r>
      <w:r w:rsidR="0013406F" w:rsidRPr="003E2516">
        <w:rPr>
          <w:rFonts w:ascii="Times New Roman" w:hAnsi="Times New Roman" w:cs="Times New Roman"/>
          <w:sz w:val="24"/>
          <w:szCs w:val="24"/>
        </w:rPr>
        <w:t>.</w:t>
      </w:r>
    </w:p>
    <w:p w:rsidR="007D1A8D" w:rsidRPr="003E2516" w:rsidRDefault="007D1A8D" w:rsidP="003E2516">
      <w:pPr>
        <w:pStyle w:val="ListParagraph"/>
        <w:numPr>
          <w:ilvl w:val="0"/>
          <w:numId w:val="29"/>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30 percent of TVET college lecturers should have work-place exposure every year by 2019.</w:t>
      </w:r>
    </w:p>
    <w:p w:rsidR="007D1A8D" w:rsidRPr="003E2516" w:rsidRDefault="007D1A8D"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2.1.3. Skills Development Sector</w:t>
      </w:r>
    </w:p>
    <w:p w:rsidR="007D1A8D" w:rsidRPr="003E2516" w:rsidRDefault="007D1A8D" w:rsidP="003E2516">
      <w:pPr>
        <w:pStyle w:val="ListParagraph"/>
        <w:numPr>
          <w:ilvl w:val="0"/>
          <w:numId w:val="30"/>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number of artisans produced every year will increase from 18 110 in 2013 to 24 000 per annum by 2019, to meet the needs of a growing economy</w:t>
      </w:r>
      <w:r w:rsidR="0013406F" w:rsidRPr="003E2516">
        <w:rPr>
          <w:rFonts w:ascii="Times New Roman" w:hAnsi="Times New Roman" w:cs="Times New Roman"/>
          <w:sz w:val="24"/>
          <w:szCs w:val="24"/>
        </w:rPr>
        <w:t>.</w:t>
      </w:r>
    </w:p>
    <w:p w:rsidR="007D1A8D" w:rsidRPr="003E2516" w:rsidRDefault="007D1A8D" w:rsidP="003E2516">
      <w:pPr>
        <w:pStyle w:val="ListParagraph"/>
        <w:numPr>
          <w:ilvl w:val="0"/>
          <w:numId w:val="30"/>
        </w:numPr>
        <w:spacing w:before="120" w:after="120" w:line="240" w:lineRule="auto"/>
        <w:jc w:val="both"/>
        <w:rPr>
          <w:rFonts w:ascii="Times New Roman" w:hAnsi="Times New Roman" w:cs="Times New Roman"/>
          <w:b/>
          <w:sz w:val="24"/>
          <w:szCs w:val="24"/>
        </w:rPr>
      </w:pPr>
      <w:r w:rsidRPr="003E2516">
        <w:rPr>
          <w:rFonts w:ascii="Times New Roman" w:hAnsi="Times New Roman" w:cs="Times New Roman"/>
          <w:sz w:val="24"/>
          <w:szCs w:val="24"/>
        </w:rPr>
        <w:t>140 000 work-based training</w:t>
      </w:r>
      <w:r w:rsidR="00AC74D8" w:rsidRPr="003E2516">
        <w:rPr>
          <w:rFonts w:ascii="Times New Roman" w:hAnsi="Times New Roman" w:cs="Times New Roman"/>
          <w:sz w:val="24"/>
          <w:szCs w:val="24"/>
        </w:rPr>
        <w:t xml:space="preserve"> opportunities</w:t>
      </w:r>
      <w:r w:rsidRPr="003E2516">
        <w:rPr>
          <w:rFonts w:ascii="Times New Roman" w:hAnsi="Times New Roman" w:cs="Times New Roman"/>
          <w:sz w:val="24"/>
          <w:szCs w:val="24"/>
        </w:rPr>
        <w:t xml:space="preserve"> and experience by 2019.</w:t>
      </w:r>
    </w:p>
    <w:p w:rsidR="007D1A8D" w:rsidRPr="003E2516" w:rsidRDefault="007D1A8D" w:rsidP="003E2516">
      <w:pPr>
        <w:pStyle w:val="ListParagraph"/>
        <w:numPr>
          <w:ilvl w:val="0"/>
          <w:numId w:val="30"/>
        </w:numPr>
        <w:spacing w:before="120" w:after="120" w:line="240" w:lineRule="auto"/>
        <w:jc w:val="both"/>
        <w:rPr>
          <w:rFonts w:ascii="Times New Roman" w:hAnsi="Times New Roman" w:cs="Times New Roman"/>
          <w:b/>
          <w:sz w:val="24"/>
          <w:szCs w:val="24"/>
        </w:rPr>
      </w:pPr>
      <w:r w:rsidRPr="003E2516">
        <w:rPr>
          <w:rFonts w:ascii="Times New Roman" w:hAnsi="Times New Roman" w:cs="Times New Roman"/>
          <w:sz w:val="24"/>
          <w:szCs w:val="24"/>
        </w:rPr>
        <w:t>Increasing partnerships between SETAs and employers for placements.</w:t>
      </w:r>
    </w:p>
    <w:p w:rsidR="007D1A8D" w:rsidRPr="003E2516" w:rsidRDefault="007D1A8D"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2.2. 2017 State of the Nation Address (SONA)</w:t>
      </w:r>
    </w:p>
    <w:p w:rsidR="007D1A8D" w:rsidRPr="003E2516" w:rsidRDefault="007D1A8D"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On 9 February 2017, </w:t>
      </w:r>
      <w:r w:rsidR="001C724F" w:rsidRPr="003E2516">
        <w:rPr>
          <w:rFonts w:ascii="Times New Roman" w:hAnsi="Times New Roman" w:cs="Times New Roman"/>
          <w:sz w:val="24"/>
          <w:szCs w:val="24"/>
        </w:rPr>
        <w:t>during the</w:t>
      </w:r>
      <w:r w:rsidRPr="003E2516">
        <w:rPr>
          <w:rFonts w:ascii="Times New Roman" w:hAnsi="Times New Roman" w:cs="Times New Roman"/>
          <w:sz w:val="24"/>
          <w:szCs w:val="24"/>
        </w:rPr>
        <w:t xml:space="preserve"> State of the Nation Address, outlining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policy priorities for the 2017/18 financial year. For the PSET sector, the President announced that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provided funds to ensure that no student whose combined family income of up to R600 000 per annum</w:t>
      </w:r>
      <w:r w:rsidR="00AC74D8" w:rsidRPr="003E2516">
        <w:rPr>
          <w:rFonts w:ascii="Times New Roman" w:hAnsi="Times New Roman" w:cs="Times New Roman"/>
          <w:sz w:val="24"/>
          <w:szCs w:val="24"/>
        </w:rPr>
        <w:t>,</w:t>
      </w:r>
      <w:r w:rsidRPr="003E2516">
        <w:rPr>
          <w:rFonts w:ascii="Times New Roman" w:hAnsi="Times New Roman" w:cs="Times New Roman"/>
          <w:sz w:val="24"/>
          <w:szCs w:val="24"/>
        </w:rPr>
        <w:t xml:space="preserve"> will </w:t>
      </w:r>
      <w:r w:rsidR="0013406F" w:rsidRPr="003E2516">
        <w:rPr>
          <w:rFonts w:ascii="Times New Roman" w:hAnsi="Times New Roman" w:cs="Times New Roman"/>
          <w:sz w:val="24"/>
          <w:szCs w:val="24"/>
        </w:rPr>
        <w:t>be affected by</w:t>
      </w:r>
      <w:r w:rsidRPr="003E2516">
        <w:rPr>
          <w:rFonts w:ascii="Times New Roman" w:hAnsi="Times New Roman" w:cs="Times New Roman"/>
          <w:sz w:val="24"/>
          <w:szCs w:val="24"/>
        </w:rPr>
        <w:t xml:space="preserve"> fee increases at universities and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for</w:t>
      </w:r>
      <w:r w:rsidR="0013406F" w:rsidRPr="003E2516">
        <w:rPr>
          <w:rFonts w:ascii="Times New Roman" w:hAnsi="Times New Roman" w:cs="Times New Roman"/>
          <w:sz w:val="24"/>
          <w:szCs w:val="24"/>
        </w:rPr>
        <w:t xml:space="preserve"> the</w:t>
      </w:r>
      <w:r w:rsidRPr="003E2516">
        <w:rPr>
          <w:rFonts w:ascii="Times New Roman" w:hAnsi="Times New Roman" w:cs="Times New Roman"/>
          <w:sz w:val="24"/>
          <w:szCs w:val="24"/>
        </w:rPr>
        <w:t xml:space="preserve"> 2017 academic year. </w:t>
      </w:r>
      <w:r w:rsidR="00AC74D8" w:rsidRPr="003E2516">
        <w:rPr>
          <w:rFonts w:ascii="Times New Roman" w:hAnsi="Times New Roman" w:cs="Times New Roman"/>
          <w:sz w:val="24"/>
          <w:szCs w:val="24"/>
        </w:rPr>
        <w:t>He said a</w:t>
      </w:r>
      <w:r w:rsidRPr="003E2516">
        <w:rPr>
          <w:rFonts w:ascii="Times New Roman" w:hAnsi="Times New Roman" w:cs="Times New Roman"/>
          <w:sz w:val="24"/>
          <w:szCs w:val="24"/>
        </w:rPr>
        <w:t xml:space="preserve">ll students who qualify for </w:t>
      </w:r>
      <w:r w:rsidR="001C724F" w:rsidRPr="003E2516">
        <w:rPr>
          <w:rFonts w:ascii="Times New Roman" w:hAnsi="Times New Roman" w:cs="Times New Roman"/>
          <w:sz w:val="24"/>
          <w:szCs w:val="24"/>
        </w:rPr>
        <w:t>the National Student Financial Aid Scheme (</w:t>
      </w:r>
      <w:r w:rsidRPr="003E2516">
        <w:rPr>
          <w:rFonts w:ascii="Times New Roman" w:hAnsi="Times New Roman" w:cs="Times New Roman"/>
          <w:sz w:val="24"/>
          <w:szCs w:val="24"/>
        </w:rPr>
        <w:t>NSFAS</w:t>
      </w:r>
      <w:r w:rsidR="001C724F" w:rsidRPr="003E2516">
        <w:rPr>
          <w:rFonts w:ascii="Times New Roman" w:hAnsi="Times New Roman" w:cs="Times New Roman"/>
          <w:sz w:val="24"/>
          <w:szCs w:val="24"/>
        </w:rPr>
        <w:t>) funding</w:t>
      </w:r>
      <w:r w:rsidRPr="003E2516">
        <w:rPr>
          <w:rFonts w:ascii="Times New Roman" w:hAnsi="Times New Roman" w:cs="Times New Roman"/>
          <w:sz w:val="24"/>
          <w:szCs w:val="24"/>
        </w:rPr>
        <w:t xml:space="preserve"> and who have been accepted by universities and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will be funded. The Department of Higher Education and Training has reiterated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's commitment to funding the 2017 fee adjustments for the poor, working class and missing middle students at universities and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For the 2017/18 financial year, an amount of R2.5 billion is allocated to cover fee increases for 2017 academic year, up to a maximum of 8 percent, for </w:t>
      </w:r>
      <w:r w:rsidR="00AC74D8" w:rsidRPr="003E2516">
        <w:rPr>
          <w:rFonts w:ascii="Times New Roman" w:hAnsi="Times New Roman" w:cs="Times New Roman"/>
          <w:sz w:val="24"/>
          <w:szCs w:val="24"/>
        </w:rPr>
        <w:t xml:space="preserve"> those </w:t>
      </w:r>
      <w:r w:rsidRPr="003E2516">
        <w:rPr>
          <w:rFonts w:ascii="Times New Roman" w:hAnsi="Times New Roman" w:cs="Times New Roman"/>
          <w:sz w:val="24"/>
          <w:szCs w:val="24"/>
        </w:rPr>
        <w:t xml:space="preserve">students who come from households earning less than R600 000 per annum. </w:t>
      </w:r>
    </w:p>
    <w:p w:rsidR="007D1A8D" w:rsidRPr="003E2516" w:rsidRDefault="007D1A8D"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3. MANDATE OF THE COMMITTEE</w:t>
      </w:r>
    </w:p>
    <w:p w:rsidR="00B47B28" w:rsidRPr="003E2516" w:rsidRDefault="005D4448"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Portfolio Committee on Higher Education and Training is established by the rules of the National Assembly as enshrined in Section 57(2) (a) of the Constitution of the Republic of South Africa, (Act 108 of 1996), which stipulates that the rules and orders of the National Assembly must provide for the establishment, composition, powers, functions, procedures, and duration of its committees. The Committee is therefore an extension of the National Assembly and derives its mandate from Parliament. The </w:t>
      </w:r>
      <w:r w:rsidR="007A32E7" w:rsidRPr="003E2516">
        <w:rPr>
          <w:rFonts w:ascii="Times New Roman" w:hAnsi="Times New Roman" w:cs="Times New Roman"/>
          <w:sz w:val="24"/>
          <w:szCs w:val="24"/>
        </w:rPr>
        <w:t>mandate of the Portfolio Committee is as follows:</w:t>
      </w:r>
    </w:p>
    <w:p w:rsidR="007A32E7" w:rsidRPr="003E2516" w:rsidRDefault="007A32E7" w:rsidP="003E2516">
      <w:pPr>
        <w:pStyle w:val="ListParagraph"/>
        <w:numPr>
          <w:ilvl w:val="0"/>
          <w:numId w:val="43"/>
        </w:numPr>
        <w:spacing w:before="120" w:after="120" w:line="240" w:lineRule="auto"/>
        <w:rPr>
          <w:rFonts w:ascii="Times New Roman" w:hAnsi="Times New Roman" w:cs="Times New Roman"/>
          <w:sz w:val="24"/>
          <w:szCs w:val="24"/>
          <w:lang w:val="en-US"/>
        </w:rPr>
      </w:pPr>
      <w:r w:rsidRPr="003E2516">
        <w:rPr>
          <w:rFonts w:ascii="Times New Roman" w:hAnsi="Times New Roman" w:cs="Times New Roman"/>
          <w:sz w:val="24"/>
          <w:szCs w:val="24"/>
          <w:lang w:val="en-US"/>
        </w:rPr>
        <w:t>To consider legislation referred to it and facilitates public participation;</w:t>
      </w:r>
    </w:p>
    <w:p w:rsidR="007A32E7" w:rsidRPr="003E2516" w:rsidRDefault="007A32E7" w:rsidP="003E2516">
      <w:pPr>
        <w:pStyle w:val="ListParagraph"/>
        <w:numPr>
          <w:ilvl w:val="0"/>
          <w:numId w:val="43"/>
        </w:numPr>
        <w:spacing w:before="120" w:after="120" w:line="240" w:lineRule="auto"/>
        <w:rPr>
          <w:rFonts w:ascii="Times New Roman" w:hAnsi="Times New Roman" w:cs="Times New Roman"/>
          <w:sz w:val="24"/>
          <w:szCs w:val="24"/>
          <w:lang w:val="en-US"/>
        </w:rPr>
      </w:pPr>
      <w:r w:rsidRPr="003E2516">
        <w:rPr>
          <w:rFonts w:ascii="Times New Roman" w:hAnsi="Times New Roman" w:cs="Times New Roman"/>
          <w:sz w:val="24"/>
          <w:szCs w:val="24"/>
          <w:lang w:val="en-US"/>
        </w:rPr>
        <w:lastRenderedPageBreak/>
        <w:t>To conduct oversight of any organ of state and constitutional institution falling within its portfolio;</w:t>
      </w:r>
    </w:p>
    <w:p w:rsidR="007A32E7" w:rsidRPr="003E2516" w:rsidRDefault="007A32E7" w:rsidP="003E2516">
      <w:pPr>
        <w:pStyle w:val="ListParagraph"/>
        <w:numPr>
          <w:ilvl w:val="0"/>
          <w:numId w:val="43"/>
        </w:numPr>
        <w:spacing w:before="120" w:after="120" w:line="240" w:lineRule="auto"/>
        <w:rPr>
          <w:rFonts w:ascii="Times New Roman" w:hAnsi="Times New Roman" w:cs="Times New Roman"/>
          <w:sz w:val="24"/>
          <w:szCs w:val="24"/>
          <w:lang w:val="en-US"/>
        </w:rPr>
      </w:pPr>
      <w:r w:rsidRPr="003E2516">
        <w:rPr>
          <w:rFonts w:ascii="Times New Roman" w:hAnsi="Times New Roman" w:cs="Times New Roman"/>
          <w:sz w:val="24"/>
          <w:szCs w:val="24"/>
          <w:lang w:val="en-US"/>
        </w:rPr>
        <w:t>To consider international agreements; and</w:t>
      </w:r>
    </w:p>
    <w:p w:rsidR="007A32E7" w:rsidRPr="003E2516" w:rsidRDefault="007A32E7" w:rsidP="003E2516">
      <w:pPr>
        <w:pStyle w:val="ListParagraph"/>
        <w:numPr>
          <w:ilvl w:val="0"/>
          <w:numId w:val="43"/>
        </w:numPr>
        <w:spacing w:before="120" w:after="120" w:line="240" w:lineRule="auto"/>
        <w:rPr>
          <w:rFonts w:ascii="Times New Roman" w:hAnsi="Times New Roman" w:cs="Times New Roman"/>
          <w:sz w:val="24"/>
          <w:szCs w:val="24"/>
          <w:lang w:val="en-US"/>
        </w:rPr>
      </w:pPr>
      <w:r w:rsidRPr="003E2516">
        <w:rPr>
          <w:rFonts w:ascii="Times New Roman" w:hAnsi="Times New Roman" w:cs="Times New Roman"/>
          <w:sz w:val="24"/>
          <w:szCs w:val="24"/>
          <w:lang w:val="en-US"/>
        </w:rPr>
        <w:t>To consider</w:t>
      </w:r>
      <w:r w:rsidR="00BA7D78" w:rsidRPr="003E2516">
        <w:rPr>
          <w:rFonts w:ascii="Times New Roman" w:hAnsi="Times New Roman" w:cs="Times New Roman"/>
          <w:sz w:val="24"/>
          <w:szCs w:val="24"/>
          <w:lang w:val="en-US"/>
        </w:rPr>
        <w:t xml:space="preserve"> the</w:t>
      </w:r>
      <w:r w:rsidRPr="003E2516">
        <w:rPr>
          <w:rFonts w:ascii="Times New Roman" w:hAnsi="Times New Roman" w:cs="Times New Roman"/>
          <w:sz w:val="24"/>
          <w:szCs w:val="24"/>
          <w:lang w:val="en-US"/>
        </w:rPr>
        <w:t xml:space="preserve"> budget of department and entities falling within its portfolio.</w:t>
      </w:r>
    </w:p>
    <w:p w:rsidR="00A27714" w:rsidRPr="003E2516" w:rsidRDefault="007D1A8D"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4.</w:t>
      </w:r>
      <w:r w:rsidR="00A27714" w:rsidRPr="003E2516">
        <w:rPr>
          <w:rFonts w:ascii="Times New Roman" w:hAnsi="Times New Roman" w:cs="Times New Roman"/>
          <w:b/>
          <w:sz w:val="24"/>
          <w:szCs w:val="24"/>
        </w:rPr>
        <w:t xml:space="preserve"> P</w:t>
      </w:r>
      <w:r w:rsidRPr="003E2516">
        <w:rPr>
          <w:rFonts w:ascii="Times New Roman" w:hAnsi="Times New Roman" w:cs="Times New Roman"/>
          <w:b/>
          <w:sz w:val="24"/>
          <w:szCs w:val="24"/>
        </w:rPr>
        <w:t xml:space="preserve">URPOSE OF THE </w:t>
      </w:r>
      <w:r w:rsidR="00A27714" w:rsidRPr="003E2516">
        <w:rPr>
          <w:rFonts w:ascii="Times New Roman" w:hAnsi="Times New Roman" w:cs="Times New Roman"/>
          <w:b/>
          <w:sz w:val="24"/>
          <w:szCs w:val="24"/>
        </w:rPr>
        <w:t>R</w:t>
      </w:r>
      <w:r w:rsidRPr="003E2516">
        <w:rPr>
          <w:rFonts w:ascii="Times New Roman" w:hAnsi="Times New Roman" w:cs="Times New Roman"/>
          <w:b/>
          <w:sz w:val="24"/>
          <w:szCs w:val="24"/>
        </w:rPr>
        <w:t>EPORT</w:t>
      </w:r>
    </w:p>
    <w:p w:rsidR="00C53A14" w:rsidRPr="003E2516" w:rsidRDefault="00A2771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purpose of this report </w:t>
      </w:r>
      <w:r w:rsidR="003B7119" w:rsidRPr="003E2516">
        <w:rPr>
          <w:rFonts w:ascii="Times New Roman" w:hAnsi="Times New Roman" w:cs="Times New Roman"/>
          <w:sz w:val="24"/>
          <w:szCs w:val="24"/>
        </w:rPr>
        <w:t>i</w:t>
      </w:r>
      <w:r w:rsidRPr="003E2516">
        <w:rPr>
          <w:rFonts w:ascii="Times New Roman" w:hAnsi="Times New Roman" w:cs="Times New Roman"/>
          <w:sz w:val="24"/>
          <w:szCs w:val="24"/>
        </w:rPr>
        <w:t>s to account for work done by the Portfolio Committee on Higher Education and Training</w:t>
      </w:r>
      <w:r w:rsidR="005D5D36" w:rsidRPr="003E2516">
        <w:rPr>
          <w:rFonts w:ascii="Times New Roman" w:hAnsi="Times New Roman" w:cs="Times New Roman"/>
          <w:sz w:val="24"/>
          <w:szCs w:val="24"/>
        </w:rPr>
        <w:t xml:space="preserve"> </w:t>
      </w:r>
      <w:r w:rsidRPr="003E2516">
        <w:rPr>
          <w:rFonts w:ascii="Times New Roman" w:hAnsi="Times New Roman" w:cs="Times New Roman"/>
          <w:sz w:val="24"/>
          <w:szCs w:val="24"/>
        </w:rPr>
        <w:t>during assessment of the</w:t>
      </w:r>
      <w:r w:rsidR="00F93CA1" w:rsidRPr="003E2516">
        <w:rPr>
          <w:rFonts w:ascii="Times New Roman" w:hAnsi="Times New Roman" w:cs="Times New Roman"/>
          <w:sz w:val="24"/>
          <w:szCs w:val="24"/>
        </w:rPr>
        <w:t xml:space="preserve"> Revised Strategic Plan 2015/16 – 2019/20 and</w:t>
      </w:r>
      <w:r w:rsidRPr="003E2516">
        <w:rPr>
          <w:rFonts w:ascii="Times New Roman" w:hAnsi="Times New Roman" w:cs="Times New Roman"/>
          <w:sz w:val="24"/>
          <w:szCs w:val="24"/>
        </w:rPr>
        <w:t xml:space="preserve"> </w:t>
      </w:r>
      <w:r w:rsidR="00E6083C" w:rsidRPr="003E2516">
        <w:rPr>
          <w:rFonts w:ascii="Times New Roman" w:hAnsi="Times New Roman" w:cs="Times New Roman"/>
          <w:sz w:val="24"/>
          <w:szCs w:val="24"/>
        </w:rPr>
        <w:t xml:space="preserve">Annual Performance </w:t>
      </w:r>
      <w:r w:rsidRPr="003E2516">
        <w:rPr>
          <w:rFonts w:ascii="Times New Roman" w:hAnsi="Times New Roman" w:cs="Times New Roman"/>
          <w:sz w:val="24"/>
          <w:szCs w:val="24"/>
        </w:rPr>
        <w:t>P</w:t>
      </w:r>
      <w:r w:rsidR="002F377D" w:rsidRPr="003E2516">
        <w:rPr>
          <w:rFonts w:ascii="Times New Roman" w:hAnsi="Times New Roman" w:cs="Times New Roman"/>
          <w:sz w:val="24"/>
          <w:szCs w:val="24"/>
        </w:rPr>
        <w:t>lan (APP) 2017/18</w:t>
      </w:r>
      <w:r w:rsidRPr="003E2516">
        <w:rPr>
          <w:rFonts w:ascii="Times New Roman" w:hAnsi="Times New Roman" w:cs="Times New Roman"/>
          <w:sz w:val="24"/>
          <w:szCs w:val="24"/>
        </w:rPr>
        <w:t xml:space="preserve"> of the Department. The report further makes financial and non-financial recommendations for consideration by the Minister responsible for the </w:t>
      </w:r>
      <w:r w:rsidR="00FA6C94" w:rsidRPr="003E2516">
        <w:rPr>
          <w:rFonts w:ascii="Times New Roman" w:hAnsi="Times New Roman" w:cs="Times New Roman"/>
          <w:sz w:val="24"/>
          <w:szCs w:val="24"/>
        </w:rPr>
        <w:t>Department</w:t>
      </w:r>
      <w:r w:rsidRPr="003E2516">
        <w:rPr>
          <w:rFonts w:ascii="Times New Roman" w:hAnsi="Times New Roman" w:cs="Times New Roman"/>
          <w:sz w:val="24"/>
          <w:szCs w:val="24"/>
        </w:rPr>
        <w:t xml:space="preserve"> and the Minister of Finance. </w:t>
      </w:r>
    </w:p>
    <w:p w:rsidR="00A27714" w:rsidRPr="003E2516" w:rsidRDefault="007D1A8D"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5.</w:t>
      </w:r>
      <w:r w:rsidR="00A27714" w:rsidRPr="003E2516">
        <w:rPr>
          <w:rFonts w:ascii="Times New Roman" w:hAnsi="Times New Roman" w:cs="Times New Roman"/>
          <w:b/>
          <w:sz w:val="24"/>
          <w:szCs w:val="24"/>
        </w:rPr>
        <w:t xml:space="preserve"> M</w:t>
      </w:r>
      <w:r w:rsidRPr="003E2516">
        <w:rPr>
          <w:rFonts w:ascii="Times New Roman" w:hAnsi="Times New Roman" w:cs="Times New Roman"/>
          <w:b/>
          <w:sz w:val="24"/>
          <w:szCs w:val="24"/>
        </w:rPr>
        <w:t>ETHOD</w:t>
      </w:r>
    </w:p>
    <w:p w:rsidR="007248D6" w:rsidRPr="003E2516" w:rsidRDefault="00A27714" w:rsidP="003E2516">
      <w:pPr>
        <w:pStyle w:val="ListParagraph"/>
        <w:spacing w:before="120" w:after="120" w:line="240" w:lineRule="auto"/>
        <w:ind w:left="0"/>
        <w:jc w:val="both"/>
        <w:rPr>
          <w:rFonts w:ascii="Times New Roman" w:hAnsi="Times New Roman" w:cs="Times New Roman"/>
          <w:b/>
          <w:sz w:val="24"/>
          <w:szCs w:val="24"/>
        </w:rPr>
      </w:pPr>
      <w:r w:rsidRPr="003E2516">
        <w:rPr>
          <w:rFonts w:ascii="Times New Roman" w:hAnsi="Times New Roman" w:cs="Times New Roman"/>
          <w:iCs/>
          <w:sz w:val="24"/>
          <w:szCs w:val="24"/>
        </w:rPr>
        <w:t>In preparation for the review process</w:t>
      </w:r>
      <w:r w:rsidR="00F93CA1" w:rsidRPr="003E2516">
        <w:rPr>
          <w:rFonts w:ascii="Times New Roman" w:hAnsi="Times New Roman" w:cs="Times New Roman"/>
          <w:iCs/>
          <w:sz w:val="24"/>
          <w:szCs w:val="24"/>
        </w:rPr>
        <w:t>,</w:t>
      </w:r>
      <w:r w:rsidRPr="003E2516">
        <w:rPr>
          <w:rFonts w:ascii="Times New Roman" w:hAnsi="Times New Roman" w:cs="Times New Roman"/>
          <w:iCs/>
          <w:sz w:val="24"/>
          <w:szCs w:val="24"/>
        </w:rPr>
        <w:t xml:space="preserve"> the </w:t>
      </w:r>
      <w:r w:rsidR="00AA1987" w:rsidRPr="003E2516">
        <w:rPr>
          <w:rFonts w:ascii="Times New Roman" w:hAnsi="Times New Roman" w:cs="Times New Roman"/>
          <w:iCs/>
          <w:sz w:val="24"/>
          <w:szCs w:val="24"/>
        </w:rPr>
        <w:t>Committee</w:t>
      </w:r>
      <w:r w:rsidRPr="003E2516">
        <w:rPr>
          <w:rFonts w:ascii="Times New Roman" w:hAnsi="Times New Roman" w:cs="Times New Roman"/>
          <w:iCs/>
          <w:sz w:val="24"/>
          <w:szCs w:val="24"/>
        </w:rPr>
        <w:t xml:space="preserve"> considered key policy documents that inform the work of the Department, among others, the National Development Plan (NDP), </w:t>
      </w:r>
      <w:r w:rsidR="007D1A8D" w:rsidRPr="003E2516">
        <w:rPr>
          <w:rFonts w:ascii="Times New Roman" w:hAnsi="Times New Roman" w:cs="Times New Roman"/>
          <w:iCs/>
          <w:sz w:val="24"/>
          <w:szCs w:val="24"/>
        </w:rPr>
        <w:t xml:space="preserve">and </w:t>
      </w:r>
      <w:r w:rsidRPr="003E2516">
        <w:rPr>
          <w:rFonts w:ascii="Times New Roman" w:hAnsi="Times New Roman" w:cs="Times New Roman"/>
          <w:iCs/>
          <w:sz w:val="24"/>
          <w:szCs w:val="24"/>
        </w:rPr>
        <w:t xml:space="preserve">the 2014-2019 </w:t>
      </w:r>
      <w:r w:rsidR="00706BC6" w:rsidRPr="003E2516">
        <w:rPr>
          <w:rFonts w:ascii="Times New Roman" w:hAnsi="Times New Roman" w:cs="Times New Roman"/>
          <w:iCs/>
          <w:sz w:val="24"/>
          <w:szCs w:val="24"/>
        </w:rPr>
        <w:t>Medium Term Strategic Framework (</w:t>
      </w:r>
      <w:r w:rsidRPr="003E2516">
        <w:rPr>
          <w:rFonts w:ascii="Times New Roman" w:hAnsi="Times New Roman" w:cs="Times New Roman"/>
          <w:iCs/>
          <w:sz w:val="24"/>
          <w:szCs w:val="24"/>
        </w:rPr>
        <w:t>MTSF</w:t>
      </w:r>
      <w:r w:rsidR="00706BC6" w:rsidRPr="003E2516">
        <w:rPr>
          <w:rFonts w:ascii="Times New Roman" w:hAnsi="Times New Roman" w:cs="Times New Roman"/>
          <w:iCs/>
          <w:sz w:val="24"/>
          <w:szCs w:val="24"/>
        </w:rPr>
        <w:t>)</w:t>
      </w:r>
      <w:r w:rsidR="007D1A8D" w:rsidRPr="003E2516">
        <w:rPr>
          <w:rFonts w:ascii="Times New Roman" w:hAnsi="Times New Roman" w:cs="Times New Roman"/>
          <w:iCs/>
          <w:sz w:val="24"/>
          <w:szCs w:val="24"/>
        </w:rPr>
        <w:t>.</w:t>
      </w:r>
      <w:r w:rsidR="00E6083C" w:rsidRPr="003E2516">
        <w:rPr>
          <w:rFonts w:ascii="Times New Roman" w:hAnsi="Times New Roman" w:cs="Times New Roman"/>
          <w:iCs/>
          <w:sz w:val="24"/>
          <w:szCs w:val="24"/>
        </w:rPr>
        <w:t xml:space="preserve"> </w:t>
      </w:r>
      <w:r w:rsidRPr="003E2516">
        <w:rPr>
          <w:rFonts w:ascii="Times New Roman" w:hAnsi="Times New Roman" w:cs="Times New Roman"/>
          <w:iCs/>
          <w:sz w:val="24"/>
          <w:szCs w:val="24"/>
        </w:rPr>
        <w:t xml:space="preserve">The </w:t>
      </w:r>
      <w:r w:rsidR="00AA1987" w:rsidRPr="003E2516">
        <w:rPr>
          <w:rFonts w:ascii="Times New Roman" w:hAnsi="Times New Roman" w:cs="Times New Roman"/>
          <w:iCs/>
          <w:sz w:val="24"/>
          <w:szCs w:val="24"/>
        </w:rPr>
        <w:t>Committee</w:t>
      </w:r>
      <w:r w:rsidRPr="003E2516">
        <w:rPr>
          <w:rFonts w:ascii="Times New Roman" w:hAnsi="Times New Roman" w:cs="Times New Roman"/>
          <w:iCs/>
          <w:sz w:val="24"/>
          <w:szCs w:val="24"/>
        </w:rPr>
        <w:t xml:space="preserve"> held briefings with the Financial and Fiscal Commission (FFC)</w:t>
      </w:r>
      <w:r w:rsidR="00BC673C" w:rsidRPr="003E2516">
        <w:rPr>
          <w:rFonts w:ascii="Times New Roman" w:hAnsi="Times New Roman" w:cs="Times New Roman"/>
          <w:iCs/>
          <w:sz w:val="24"/>
          <w:szCs w:val="24"/>
        </w:rPr>
        <w:t xml:space="preserve"> and</w:t>
      </w:r>
      <w:r w:rsidR="00AC74D8" w:rsidRPr="003E2516">
        <w:rPr>
          <w:rFonts w:ascii="Times New Roman" w:hAnsi="Times New Roman" w:cs="Times New Roman"/>
          <w:iCs/>
          <w:sz w:val="24"/>
          <w:szCs w:val="24"/>
        </w:rPr>
        <w:t xml:space="preserve"> the</w:t>
      </w:r>
      <w:r w:rsidR="00BC673C" w:rsidRPr="003E2516">
        <w:rPr>
          <w:rFonts w:ascii="Times New Roman" w:hAnsi="Times New Roman" w:cs="Times New Roman"/>
          <w:iCs/>
          <w:sz w:val="24"/>
          <w:szCs w:val="24"/>
        </w:rPr>
        <w:t xml:space="preserve"> Technical and Vocational Education and Training </w:t>
      </w:r>
      <w:r w:rsidR="00863577" w:rsidRPr="003E2516">
        <w:rPr>
          <w:rFonts w:ascii="Times New Roman" w:hAnsi="Times New Roman" w:cs="Times New Roman"/>
          <w:iCs/>
          <w:sz w:val="24"/>
          <w:szCs w:val="24"/>
        </w:rPr>
        <w:t>Colleges</w:t>
      </w:r>
      <w:r w:rsidR="00BC673C" w:rsidRPr="003E2516">
        <w:rPr>
          <w:rFonts w:ascii="Times New Roman" w:hAnsi="Times New Roman" w:cs="Times New Roman"/>
          <w:iCs/>
          <w:sz w:val="24"/>
          <w:szCs w:val="24"/>
        </w:rPr>
        <w:t xml:space="preserve"> Governors Council (TVETCGC)</w:t>
      </w:r>
      <w:r w:rsidRPr="003E2516">
        <w:rPr>
          <w:rFonts w:ascii="Times New Roman" w:hAnsi="Times New Roman" w:cs="Times New Roman"/>
          <w:iCs/>
          <w:sz w:val="24"/>
          <w:szCs w:val="24"/>
        </w:rPr>
        <w:t xml:space="preserve"> on </w:t>
      </w:r>
      <w:r w:rsidR="008F53E5" w:rsidRPr="003E2516">
        <w:rPr>
          <w:rFonts w:ascii="Times New Roman" w:hAnsi="Times New Roman" w:cs="Times New Roman"/>
          <w:iCs/>
          <w:sz w:val="24"/>
          <w:szCs w:val="24"/>
        </w:rPr>
        <w:t xml:space="preserve">the </w:t>
      </w:r>
      <w:r w:rsidRPr="003E2516">
        <w:rPr>
          <w:rFonts w:ascii="Times New Roman" w:hAnsi="Times New Roman" w:cs="Times New Roman"/>
          <w:iCs/>
          <w:sz w:val="24"/>
          <w:szCs w:val="24"/>
        </w:rPr>
        <w:t>analysis of the Department’s</w:t>
      </w:r>
      <w:r w:rsidR="00F93CA1" w:rsidRPr="003E2516">
        <w:rPr>
          <w:rFonts w:ascii="Times New Roman" w:hAnsi="Times New Roman" w:cs="Times New Roman"/>
          <w:iCs/>
          <w:sz w:val="24"/>
          <w:szCs w:val="24"/>
        </w:rPr>
        <w:t xml:space="preserve"> MTEF </w:t>
      </w:r>
      <w:r w:rsidRPr="003E2516">
        <w:rPr>
          <w:rFonts w:ascii="Times New Roman" w:hAnsi="Times New Roman" w:cs="Times New Roman"/>
          <w:iCs/>
          <w:sz w:val="24"/>
          <w:szCs w:val="24"/>
        </w:rPr>
        <w:t>budget</w:t>
      </w:r>
      <w:r w:rsidR="0042331D" w:rsidRPr="003E2516">
        <w:rPr>
          <w:rFonts w:ascii="Times New Roman" w:hAnsi="Times New Roman" w:cs="Times New Roman"/>
          <w:iCs/>
          <w:sz w:val="24"/>
          <w:szCs w:val="24"/>
        </w:rPr>
        <w:t>,</w:t>
      </w:r>
      <w:r w:rsidRPr="003E2516">
        <w:rPr>
          <w:rFonts w:ascii="Times New Roman" w:hAnsi="Times New Roman" w:cs="Times New Roman"/>
          <w:iCs/>
          <w:sz w:val="24"/>
          <w:szCs w:val="24"/>
        </w:rPr>
        <w:t xml:space="preserve"> the </w:t>
      </w:r>
      <w:r w:rsidR="00E6083C" w:rsidRPr="003E2516">
        <w:rPr>
          <w:rFonts w:ascii="Times New Roman" w:hAnsi="Times New Roman" w:cs="Times New Roman"/>
          <w:iCs/>
          <w:sz w:val="24"/>
          <w:szCs w:val="24"/>
        </w:rPr>
        <w:t>r</w:t>
      </w:r>
      <w:r w:rsidR="008F53E5" w:rsidRPr="003E2516">
        <w:rPr>
          <w:rFonts w:ascii="Times New Roman" w:hAnsi="Times New Roman" w:cs="Times New Roman"/>
          <w:iCs/>
          <w:sz w:val="24"/>
          <w:szCs w:val="24"/>
        </w:rPr>
        <w:t xml:space="preserve">eport by the </w:t>
      </w:r>
      <w:r w:rsidRPr="003E2516">
        <w:rPr>
          <w:rFonts w:ascii="Times New Roman" w:hAnsi="Times New Roman" w:cs="Times New Roman"/>
          <w:iCs/>
          <w:sz w:val="24"/>
          <w:szCs w:val="24"/>
        </w:rPr>
        <w:t>Auditor-General of South Africa (AGSA) on the audit outcomes of the</w:t>
      </w:r>
      <w:r w:rsidR="00E6083C" w:rsidRPr="003E2516">
        <w:rPr>
          <w:rFonts w:ascii="Times New Roman" w:hAnsi="Times New Roman" w:cs="Times New Roman"/>
          <w:iCs/>
          <w:sz w:val="24"/>
          <w:szCs w:val="24"/>
        </w:rPr>
        <w:t xml:space="preserve"> </w:t>
      </w:r>
      <w:r w:rsidRPr="003E2516">
        <w:rPr>
          <w:rFonts w:ascii="Times New Roman" w:hAnsi="Times New Roman" w:cs="Times New Roman"/>
          <w:iCs/>
          <w:sz w:val="24"/>
          <w:szCs w:val="24"/>
        </w:rPr>
        <w:t>Department and entities</w:t>
      </w:r>
      <w:r w:rsidR="00AC74D8" w:rsidRPr="003E2516">
        <w:rPr>
          <w:rFonts w:ascii="Times New Roman" w:hAnsi="Times New Roman" w:cs="Times New Roman"/>
          <w:iCs/>
          <w:sz w:val="24"/>
          <w:szCs w:val="24"/>
        </w:rPr>
        <w:t xml:space="preserve"> APP 2017/18</w:t>
      </w:r>
      <w:r w:rsidR="0042331D" w:rsidRPr="003E2516">
        <w:rPr>
          <w:rFonts w:ascii="Times New Roman" w:hAnsi="Times New Roman" w:cs="Times New Roman"/>
          <w:iCs/>
          <w:sz w:val="24"/>
          <w:szCs w:val="24"/>
        </w:rPr>
        <w:t>, the Estimates of National Expenditure (ENE) and the speech of the Minister of Finance</w:t>
      </w:r>
      <w:r w:rsidR="00E6083C" w:rsidRPr="003E2516">
        <w:rPr>
          <w:rFonts w:ascii="Times New Roman" w:hAnsi="Times New Roman" w:cs="Times New Roman"/>
          <w:iCs/>
          <w:sz w:val="24"/>
          <w:szCs w:val="24"/>
        </w:rPr>
        <w:t>.</w:t>
      </w:r>
      <w:r w:rsidR="00D101CA" w:rsidRPr="003E2516">
        <w:rPr>
          <w:rFonts w:ascii="Times New Roman" w:hAnsi="Times New Roman" w:cs="Times New Roman"/>
          <w:iCs/>
          <w:sz w:val="24"/>
          <w:szCs w:val="24"/>
        </w:rPr>
        <w:t xml:space="preserve"> </w:t>
      </w:r>
    </w:p>
    <w:p w:rsidR="00BA7D78" w:rsidRPr="003E2516" w:rsidRDefault="00BA7D78" w:rsidP="003E2516">
      <w:pPr>
        <w:spacing w:before="120" w:after="120" w:line="240" w:lineRule="auto"/>
        <w:jc w:val="both"/>
        <w:rPr>
          <w:rFonts w:ascii="Times New Roman" w:hAnsi="Times New Roman" w:cs="Times New Roman"/>
          <w:b/>
          <w:sz w:val="24"/>
          <w:szCs w:val="24"/>
        </w:rPr>
      </w:pPr>
    </w:p>
    <w:p w:rsidR="00DD41DF"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A27714" w:rsidRPr="003E2516">
        <w:rPr>
          <w:rFonts w:ascii="Times New Roman" w:hAnsi="Times New Roman" w:cs="Times New Roman"/>
          <w:b/>
          <w:sz w:val="24"/>
          <w:szCs w:val="24"/>
        </w:rPr>
        <w:t>. O</w:t>
      </w:r>
      <w:r w:rsidR="00DD41DF" w:rsidRPr="003E2516">
        <w:rPr>
          <w:rFonts w:ascii="Times New Roman" w:hAnsi="Times New Roman" w:cs="Times New Roman"/>
          <w:b/>
          <w:sz w:val="24"/>
          <w:szCs w:val="24"/>
        </w:rPr>
        <w:t xml:space="preserve">VERVIEW AND ASSESSMENT OF THE 2015/16 – 2019/20 REVISED STRATEGIC PLAN AND ANNUAL PERFORMANCE PLAN (APP) OF THE DEPARTMNENT OF HIGHER EDUCATION AND TRAINING </w:t>
      </w:r>
    </w:p>
    <w:p w:rsidR="003E2516" w:rsidRDefault="003E2516" w:rsidP="003E2516">
      <w:pPr>
        <w:spacing w:before="120" w:after="120" w:line="240" w:lineRule="auto"/>
        <w:jc w:val="both"/>
        <w:rPr>
          <w:rFonts w:ascii="Times New Roman" w:hAnsi="Times New Roman" w:cs="Times New Roman"/>
          <w:b/>
          <w:sz w:val="24"/>
          <w:szCs w:val="24"/>
        </w:rPr>
      </w:pPr>
    </w:p>
    <w:p w:rsidR="00BC673C"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BC673C" w:rsidRPr="003E2516">
        <w:rPr>
          <w:rFonts w:ascii="Times New Roman" w:hAnsi="Times New Roman" w:cs="Times New Roman"/>
          <w:b/>
          <w:sz w:val="24"/>
          <w:szCs w:val="24"/>
        </w:rPr>
        <w:t>.1 Remarks by the Minister of Higher Education and Training</w:t>
      </w:r>
    </w:p>
    <w:p w:rsidR="00BC673C" w:rsidRPr="003E2516" w:rsidRDefault="00BC673C" w:rsidP="003E2516">
      <w:pPr>
        <w:spacing w:before="120" w:after="120" w:line="240" w:lineRule="auto"/>
        <w:jc w:val="both"/>
        <w:rPr>
          <w:rFonts w:ascii="Times New Roman" w:eastAsia="Times New Roman" w:hAnsi="Times New Roman" w:cs="Times New Roman"/>
          <w:sz w:val="24"/>
          <w:szCs w:val="24"/>
          <w:lang w:val="en-US" w:eastAsia="en-US"/>
        </w:rPr>
      </w:pPr>
      <w:r w:rsidRPr="003E2516">
        <w:rPr>
          <w:rFonts w:ascii="Times New Roman" w:eastAsia="Times New Roman" w:hAnsi="Times New Roman" w:cs="Times New Roman"/>
          <w:sz w:val="24"/>
          <w:szCs w:val="24"/>
          <w:lang w:val="en-US" w:eastAsia="en-US"/>
        </w:rPr>
        <w:t xml:space="preserve">The </w:t>
      </w:r>
      <w:r w:rsidR="00DD41DF" w:rsidRPr="003E2516">
        <w:rPr>
          <w:rFonts w:ascii="Times New Roman" w:eastAsia="Times New Roman" w:hAnsi="Times New Roman" w:cs="Times New Roman"/>
          <w:sz w:val="24"/>
          <w:szCs w:val="24"/>
          <w:lang w:val="en-US" w:eastAsia="en-US"/>
        </w:rPr>
        <w:t xml:space="preserve">Minister noted that </w:t>
      </w:r>
      <w:r w:rsidR="00764D8D" w:rsidRPr="003E2516">
        <w:rPr>
          <w:rFonts w:ascii="Times New Roman" w:eastAsia="Times New Roman" w:hAnsi="Times New Roman" w:cs="Times New Roman"/>
          <w:sz w:val="24"/>
          <w:szCs w:val="24"/>
          <w:lang w:val="en-US" w:eastAsia="en-US"/>
        </w:rPr>
        <w:t xml:space="preserve">the </w:t>
      </w:r>
      <w:r w:rsidRPr="003E2516">
        <w:rPr>
          <w:rFonts w:ascii="Times New Roman" w:eastAsia="Times New Roman" w:hAnsi="Times New Roman" w:cs="Times New Roman"/>
          <w:sz w:val="24"/>
          <w:szCs w:val="24"/>
          <w:lang w:val="en-US" w:eastAsia="en-US"/>
        </w:rPr>
        <w:t>Department remained committed to the strategic goals as set in the Strategic Plan 2015/16 – 2019/20 and it was on course to ensure that PSET</w:t>
      </w:r>
      <w:r w:rsidR="00DD41DF" w:rsidRPr="003E2516">
        <w:rPr>
          <w:rFonts w:ascii="Times New Roman" w:eastAsia="Times New Roman" w:hAnsi="Times New Roman" w:cs="Times New Roman"/>
          <w:sz w:val="24"/>
          <w:szCs w:val="24"/>
          <w:lang w:val="en-US" w:eastAsia="en-US"/>
        </w:rPr>
        <w:t xml:space="preserve"> sector </w:t>
      </w:r>
      <w:r w:rsidRPr="003E2516">
        <w:rPr>
          <w:rFonts w:ascii="Times New Roman" w:eastAsia="Times New Roman" w:hAnsi="Times New Roman" w:cs="Times New Roman"/>
          <w:sz w:val="24"/>
          <w:szCs w:val="24"/>
          <w:lang w:val="en-US" w:eastAsia="en-US"/>
        </w:rPr>
        <w:t>is governed by</w:t>
      </w:r>
      <w:r w:rsidR="00AC74D8" w:rsidRPr="003E2516">
        <w:rPr>
          <w:rFonts w:ascii="Times New Roman" w:eastAsia="Times New Roman" w:hAnsi="Times New Roman" w:cs="Times New Roman"/>
          <w:sz w:val="24"/>
          <w:szCs w:val="24"/>
          <w:lang w:val="en-US" w:eastAsia="en-US"/>
        </w:rPr>
        <w:t xml:space="preserve"> a</w:t>
      </w:r>
      <w:r w:rsidRPr="003E2516">
        <w:rPr>
          <w:rFonts w:ascii="Times New Roman" w:eastAsia="Times New Roman" w:hAnsi="Times New Roman" w:cs="Times New Roman"/>
          <w:sz w:val="24"/>
          <w:szCs w:val="24"/>
          <w:lang w:val="en-US" w:eastAsia="en-US"/>
        </w:rPr>
        <w:t xml:space="preserve"> sound legislative framework, </w:t>
      </w:r>
      <w:r w:rsidR="00764D8D" w:rsidRPr="003E2516">
        <w:rPr>
          <w:rFonts w:ascii="Times New Roman" w:eastAsia="Times New Roman" w:hAnsi="Times New Roman" w:cs="Times New Roman"/>
          <w:sz w:val="24"/>
          <w:szCs w:val="24"/>
          <w:lang w:val="en-US" w:eastAsia="en-US"/>
        </w:rPr>
        <w:t xml:space="preserve">provides </w:t>
      </w:r>
      <w:r w:rsidRPr="003E2516">
        <w:rPr>
          <w:rFonts w:ascii="Times New Roman" w:eastAsia="Times New Roman" w:hAnsi="Times New Roman" w:cs="Times New Roman"/>
          <w:sz w:val="24"/>
          <w:szCs w:val="24"/>
          <w:lang w:val="en-US" w:eastAsia="en-US"/>
        </w:rPr>
        <w:t>appropriate teaching and learning support</w:t>
      </w:r>
      <w:r w:rsidR="009E36BD" w:rsidRPr="003E2516">
        <w:rPr>
          <w:rFonts w:ascii="Times New Roman" w:eastAsia="Times New Roman" w:hAnsi="Times New Roman" w:cs="Times New Roman"/>
          <w:sz w:val="24"/>
          <w:szCs w:val="24"/>
          <w:lang w:val="en-US" w:eastAsia="en-US"/>
        </w:rPr>
        <w:t xml:space="preserve">, </w:t>
      </w:r>
      <w:r w:rsidR="00764D8D" w:rsidRPr="003E2516">
        <w:rPr>
          <w:rFonts w:ascii="Times New Roman" w:eastAsia="Times New Roman" w:hAnsi="Times New Roman" w:cs="Times New Roman"/>
          <w:sz w:val="24"/>
          <w:szCs w:val="24"/>
          <w:lang w:val="en-US" w:eastAsia="en-US"/>
        </w:rPr>
        <w:t>develops infrastructure</w:t>
      </w:r>
      <w:r w:rsidRPr="003E2516">
        <w:rPr>
          <w:rFonts w:ascii="Times New Roman" w:eastAsia="Times New Roman" w:hAnsi="Times New Roman" w:cs="Times New Roman"/>
          <w:sz w:val="24"/>
          <w:szCs w:val="24"/>
          <w:lang w:val="en-US" w:eastAsia="en-US"/>
        </w:rPr>
        <w:t xml:space="preserve"> and strong stakeholder relations. The PSET system had performed well in many aspects, which include increased enrolment in higher education, which was consistent with the NDP enrolment target of 1.6 million students in higher education by 2030; expansion of the production of new teacher graduates, which was closing the teacher supply gap and increased graduates in the human and animal health sciences.</w:t>
      </w:r>
    </w:p>
    <w:p w:rsidR="00BC673C" w:rsidRPr="003E2516" w:rsidRDefault="00DD41DF" w:rsidP="003E2516">
      <w:pPr>
        <w:spacing w:before="120" w:after="120" w:line="240" w:lineRule="auto"/>
        <w:jc w:val="both"/>
        <w:rPr>
          <w:rFonts w:ascii="Times New Roman" w:eastAsia="Times New Roman" w:hAnsi="Times New Roman" w:cs="Times New Roman"/>
          <w:sz w:val="24"/>
          <w:szCs w:val="24"/>
          <w:lang w:val="en-US" w:eastAsia="en-US"/>
        </w:rPr>
      </w:pPr>
      <w:r w:rsidRPr="003E2516">
        <w:rPr>
          <w:rFonts w:ascii="Times New Roman" w:eastAsia="Times New Roman" w:hAnsi="Times New Roman" w:cs="Times New Roman"/>
          <w:sz w:val="24"/>
          <w:szCs w:val="24"/>
          <w:lang w:val="en-US" w:eastAsia="en-US"/>
        </w:rPr>
        <w:t>He stated that t</w:t>
      </w:r>
      <w:r w:rsidR="00BC673C" w:rsidRPr="003E2516">
        <w:rPr>
          <w:rFonts w:ascii="Times New Roman" w:eastAsia="Times New Roman" w:hAnsi="Times New Roman" w:cs="Times New Roman"/>
          <w:sz w:val="24"/>
          <w:szCs w:val="24"/>
          <w:lang w:val="en-US" w:eastAsia="en-US"/>
        </w:rPr>
        <w:t>he quest to transform the PSET system was on course</w:t>
      </w:r>
      <w:r w:rsidRPr="003E2516">
        <w:rPr>
          <w:rFonts w:ascii="Times New Roman" w:eastAsia="Times New Roman" w:hAnsi="Times New Roman" w:cs="Times New Roman"/>
          <w:sz w:val="24"/>
          <w:szCs w:val="24"/>
          <w:lang w:val="en-US" w:eastAsia="en-US"/>
        </w:rPr>
        <w:t>,</w:t>
      </w:r>
      <w:r w:rsidR="00BC673C" w:rsidRPr="003E2516">
        <w:rPr>
          <w:rFonts w:ascii="Times New Roman" w:eastAsia="Times New Roman" w:hAnsi="Times New Roman" w:cs="Times New Roman"/>
          <w:sz w:val="24"/>
          <w:szCs w:val="24"/>
          <w:lang w:val="en-US" w:eastAsia="en-US"/>
        </w:rPr>
        <w:t xml:space="preserve"> through the implementation of the Staffing South Africa’s Universities Framework (SSAUF) and </w:t>
      </w:r>
      <w:r w:rsidR="00CB053C" w:rsidRPr="003E2516">
        <w:rPr>
          <w:rFonts w:ascii="Times New Roman" w:eastAsia="Times New Roman" w:hAnsi="Times New Roman" w:cs="Times New Roman"/>
          <w:sz w:val="24"/>
          <w:szCs w:val="24"/>
          <w:lang w:val="en-US" w:eastAsia="en-US"/>
        </w:rPr>
        <w:t xml:space="preserve">the </w:t>
      </w:r>
      <w:r w:rsidR="00BC673C" w:rsidRPr="003E2516">
        <w:rPr>
          <w:rFonts w:ascii="Times New Roman" w:eastAsia="Times New Roman" w:hAnsi="Times New Roman" w:cs="Times New Roman"/>
          <w:sz w:val="24"/>
          <w:szCs w:val="24"/>
          <w:lang w:val="en-US" w:eastAsia="en-US"/>
        </w:rPr>
        <w:t>new Generation of Academics Programme (n</w:t>
      </w:r>
      <w:r w:rsidR="00764D8D" w:rsidRPr="003E2516">
        <w:rPr>
          <w:rFonts w:ascii="Times New Roman" w:eastAsia="Times New Roman" w:hAnsi="Times New Roman" w:cs="Times New Roman"/>
          <w:sz w:val="24"/>
          <w:szCs w:val="24"/>
          <w:lang w:val="en-US" w:eastAsia="en-US"/>
        </w:rPr>
        <w:t>-</w:t>
      </w:r>
      <w:r w:rsidR="00BC673C" w:rsidRPr="003E2516">
        <w:rPr>
          <w:rFonts w:ascii="Times New Roman" w:eastAsia="Times New Roman" w:hAnsi="Times New Roman" w:cs="Times New Roman"/>
          <w:sz w:val="24"/>
          <w:szCs w:val="24"/>
          <w:lang w:val="en-US" w:eastAsia="en-US"/>
        </w:rPr>
        <w:t xml:space="preserve">GAP), to achieve the NDP target of 75 percent academics with Doctoral degrees by 2030. The system experienced a huge challenge in the production of PhDs among black South Africans. </w:t>
      </w:r>
      <w:r w:rsidR="00571C6E" w:rsidRPr="003E2516">
        <w:rPr>
          <w:rFonts w:ascii="Times New Roman" w:eastAsia="Times New Roman" w:hAnsi="Times New Roman" w:cs="Times New Roman"/>
          <w:sz w:val="24"/>
          <w:szCs w:val="24"/>
          <w:lang w:val="en-US" w:eastAsia="en-US"/>
        </w:rPr>
        <w:t xml:space="preserve">The Minister </w:t>
      </w:r>
      <w:r w:rsidRPr="003E2516">
        <w:rPr>
          <w:rFonts w:ascii="Times New Roman" w:eastAsia="Times New Roman" w:hAnsi="Times New Roman" w:cs="Times New Roman"/>
          <w:sz w:val="24"/>
          <w:szCs w:val="24"/>
          <w:lang w:val="en-US" w:eastAsia="en-US"/>
        </w:rPr>
        <w:t>expressed a concern about t</w:t>
      </w:r>
      <w:r w:rsidR="00BC673C" w:rsidRPr="003E2516">
        <w:rPr>
          <w:rFonts w:ascii="Times New Roman" w:eastAsia="Times New Roman" w:hAnsi="Times New Roman" w:cs="Times New Roman"/>
          <w:sz w:val="24"/>
          <w:szCs w:val="24"/>
          <w:lang w:val="en-US" w:eastAsia="en-US"/>
        </w:rPr>
        <w:t>he number of black South Africans graduating with PhDs in universities</w:t>
      </w:r>
      <w:r w:rsidRPr="003E2516">
        <w:rPr>
          <w:rFonts w:ascii="Times New Roman" w:eastAsia="Times New Roman" w:hAnsi="Times New Roman" w:cs="Times New Roman"/>
          <w:sz w:val="24"/>
          <w:szCs w:val="24"/>
          <w:lang w:val="en-US" w:eastAsia="en-US"/>
        </w:rPr>
        <w:t xml:space="preserve">, which </w:t>
      </w:r>
      <w:r w:rsidR="00BC673C" w:rsidRPr="003E2516">
        <w:rPr>
          <w:rFonts w:ascii="Times New Roman" w:eastAsia="Times New Roman" w:hAnsi="Times New Roman" w:cs="Times New Roman"/>
          <w:sz w:val="24"/>
          <w:szCs w:val="24"/>
          <w:lang w:val="en-US" w:eastAsia="en-US"/>
        </w:rPr>
        <w:t xml:space="preserve">remained </w:t>
      </w:r>
      <w:r w:rsidRPr="003E2516">
        <w:rPr>
          <w:rFonts w:ascii="Times New Roman" w:eastAsia="Times New Roman" w:hAnsi="Times New Roman" w:cs="Times New Roman"/>
          <w:sz w:val="24"/>
          <w:szCs w:val="24"/>
          <w:lang w:val="en-US" w:eastAsia="en-US"/>
        </w:rPr>
        <w:t>low</w:t>
      </w:r>
      <w:r w:rsidR="00BC673C" w:rsidRPr="003E2516">
        <w:rPr>
          <w:rFonts w:ascii="Times New Roman" w:eastAsia="Times New Roman" w:hAnsi="Times New Roman" w:cs="Times New Roman"/>
          <w:sz w:val="24"/>
          <w:szCs w:val="24"/>
          <w:lang w:val="en-US" w:eastAsia="en-US"/>
        </w:rPr>
        <w:t xml:space="preserve">. </w:t>
      </w:r>
      <w:r w:rsidR="00571C6E" w:rsidRPr="003E2516">
        <w:rPr>
          <w:rFonts w:ascii="Times New Roman" w:eastAsia="Times New Roman" w:hAnsi="Times New Roman" w:cs="Times New Roman"/>
          <w:sz w:val="24"/>
          <w:szCs w:val="24"/>
          <w:lang w:val="en-US" w:eastAsia="en-US"/>
        </w:rPr>
        <w:t xml:space="preserve">The Minister </w:t>
      </w:r>
      <w:r w:rsidRPr="003E2516">
        <w:rPr>
          <w:rFonts w:ascii="Times New Roman" w:eastAsia="Times New Roman" w:hAnsi="Times New Roman" w:cs="Times New Roman"/>
          <w:sz w:val="24"/>
          <w:szCs w:val="24"/>
          <w:lang w:val="en-US" w:eastAsia="en-US"/>
        </w:rPr>
        <w:t>indicated that a</w:t>
      </w:r>
      <w:r w:rsidR="00BC673C" w:rsidRPr="003E2516">
        <w:rPr>
          <w:rFonts w:ascii="Times New Roman" w:eastAsia="Times New Roman" w:hAnsi="Times New Roman" w:cs="Times New Roman"/>
          <w:sz w:val="24"/>
          <w:szCs w:val="24"/>
          <w:lang w:val="en-US" w:eastAsia="en-US"/>
        </w:rPr>
        <w:t>necdotal information indicate</w:t>
      </w:r>
      <w:r w:rsidRPr="003E2516">
        <w:rPr>
          <w:rFonts w:ascii="Times New Roman" w:eastAsia="Times New Roman" w:hAnsi="Times New Roman" w:cs="Times New Roman"/>
          <w:sz w:val="24"/>
          <w:szCs w:val="24"/>
          <w:lang w:val="en-US" w:eastAsia="en-US"/>
        </w:rPr>
        <w:t>d</w:t>
      </w:r>
      <w:r w:rsidR="00BC673C" w:rsidRPr="003E2516">
        <w:rPr>
          <w:rFonts w:ascii="Times New Roman" w:eastAsia="Times New Roman" w:hAnsi="Times New Roman" w:cs="Times New Roman"/>
          <w:sz w:val="24"/>
          <w:szCs w:val="24"/>
          <w:lang w:val="en-US" w:eastAsia="en-US"/>
        </w:rPr>
        <w:t xml:space="preserve"> that the majority of black South African graduates exited the university system after obtaining their first degree and this was largely </w:t>
      </w:r>
      <w:r w:rsidR="00764D8D" w:rsidRPr="003E2516">
        <w:rPr>
          <w:rFonts w:ascii="Times New Roman" w:eastAsia="Times New Roman" w:hAnsi="Times New Roman" w:cs="Times New Roman"/>
          <w:sz w:val="24"/>
          <w:szCs w:val="24"/>
          <w:lang w:val="en-US" w:eastAsia="en-US"/>
        </w:rPr>
        <w:t>attributed to</w:t>
      </w:r>
      <w:r w:rsidR="00BC673C" w:rsidRPr="003E2516">
        <w:rPr>
          <w:rFonts w:ascii="Times New Roman" w:eastAsia="Times New Roman" w:hAnsi="Times New Roman" w:cs="Times New Roman"/>
          <w:sz w:val="24"/>
          <w:szCs w:val="24"/>
          <w:lang w:val="en-US" w:eastAsia="en-US"/>
        </w:rPr>
        <w:t xml:space="preserve"> the socio-economic challenges they faced; gatekeeping where research proposals are rejected ma</w:t>
      </w:r>
      <w:r w:rsidRPr="003E2516">
        <w:rPr>
          <w:rFonts w:ascii="Times New Roman" w:eastAsia="Times New Roman" w:hAnsi="Times New Roman" w:cs="Times New Roman"/>
          <w:sz w:val="24"/>
          <w:szCs w:val="24"/>
          <w:lang w:val="en-US" w:eastAsia="en-US"/>
        </w:rPr>
        <w:t>n</w:t>
      </w:r>
      <w:r w:rsidR="00BC673C" w:rsidRPr="003E2516">
        <w:rPr>
          <w:rFonts w:ascii="Times New Roman" w:eastAsia="Times New Roman" w:hAnsi="Times New Roman" w:cs="Times New Roman"/>
          <w:sz w:val="24"/>
          <w:szCs w:val="24"/>
          <w:lang w:val="en-US" w:eastAsia="en-US"/>
        </w:rPr>
        <w:t xml:space="preserve">y times and </w:t>
      </w:r>
      <w:r w:rsidRPr="003E2516">
        <w:rPr>
          <w:rFonts w:ascii="Times New Roman" w:eastAsia="Times New Roman" w:hAnsi="Times New Roman" w:cs="Times New Roman"/>
          <w:sz w:val="24"/>
          <w:szCs w:val="24"/>
          <w:lang w:val="en-US" w:eastAsia="en-US"/>
        </w:rPr>
        <w:t xml:space="preserve">the </w:t>
      </w:r>
      <w:r w:rsidR="00BC673C" w:rsidRPr="003E2516">
        <w:rPr>
          <w:rFonts w:ascii="Times New Roman" w:eastAsia="Times New Roman" w:hAnsi="Times New Roman" w:cs="Times New Roman"/>
          <w:sz w:val="24"/>
          <w:szCs w:val="24"/>
          <w:lang w:val="en-US" w:eastAsia="en-US"/>
        </w:rPr>
        <w:t xml:space="preserve">inadequate supervisory capacity. </w:t>
      </w:r>
      <w:r w:rsidRPr="003E2516">
        <w:rPr>
          <w:rFonts w:ascii="Times New Roman" w:eastAsia="Times New Roman" w:hAnsi="Times New Roman" w:cs="Times New Roman"/>
          <w:sz w:val="24"/>
          <w:szCs w:val="24"/>
          <w:lang w:val="en-US" w:eastAsia="en-US"/>
        </w:rPr>
        <w:t>The Minister reported that a</w:t>
      </w:r>
      <w:r w:rsidR="00BC673C" w:rsidRPr="003E2516">
        <w:rPr>
          <w:rFonts w:ascii="Times New Roman" w:eastAsia="Times New Roman" w:hAnsi="Times New Roman" w:cs="Times New Roman"/>
          <w:sz w:val="24"/>
          <w:szCs w:val="24"/>
          <w:lang w:val="en-US" w:eastAsia="en-US"/>
        </w:rPr>
        <w:t xml:space="preserve"> Ministerial Task Team (MTT) would be established to investigate the </w:t>
      </w:r>
      <w:r w:rsidRPr="003E2516">
        <w:rPr>
          <w:rFonts w:ascii="Times New Roman" w:eastAsia="Times New Roman" w:hAnsi="Times New Roman" w:cs="Times New Roman"/>
          <w:sz w:val="24"/>
          <w:szCs w:val="24"/>
          <w:lang w:val="en-US" w:eastAsia="en-US"/>
        </w:rPr>
        <w:t xml:space="preserve">low </w:t>
      </w:r>
      <w:r w:rsidR="00BC673C" w:rsidRPr="003E2516">
        <w:rPr>
          <w:rFonts w:ascii="Times New Roman" w:eastAsia="Times New Roman" w:hAnsi="Times New Roman" w:cs="Times New Roman"/>
          <w:sz w:val="24"/>
          <w:szCs w:val="24"/>
          <w:lang w:val="en-US" w:eastAsia="en-US"/>
        </w:rPr>
        <w:lastRenderedPageBreak/>
        <w:t>production of black South African graduates with PhDs, and</w:t>
      </w:r>
      <w:r w:rsidR="00AC74D8" w:rsidRPr="003E2516">
        <w:rPr>
          <w:rFonts w:ascii="Times New Roman" w:eastAsia="Times New Roman" w:hAnsi="Times New Roman" w:cs="Times New Roman"/>
          <w:sz w:val="24"/>
          <w:szCs w:val="24"/>
          <w:lang w:val="en-US" w:eastAsia="en-US"/>
        </w:rPr>
        <w:t xml:space="preserve"> suggested that</w:t>
      </w:r>
      <w:r w:rsidR="00BC673C" w:rsidRPr="003E2516">
        <w:rPr>
          <w:rFonts w:ascii="Times New Roman" w:eastAsia="Times New Roman" w:hAnsi="Times New Roman" w:cs="Times New Roman"/>
          <w:sz w:val="24"/>
          <w:szCs w:val="24"/>
          <w:lang w:val="en-US" w:eastAsia="en-US"/>
        </w:rPr>
        <w:t xml:space="preserve"> Parliament </w:t>
      </w:r>
      <w:r w:rsidR="00AA1987" w:rsidRPr="003E2516">
        <w:rPr>
          <w:rFonts w:ascii="Times New Roman" w:eastAsia="Times New Roman" w:hAnsi="Times New Roman" w:cs="Times New Roman"/>
          <w:sz w:val="24"/>
          <w:szCs w:val="24"/>
          <w:lang w:val="en-US" w:eastAsia="en-US"/>
        </w:rPr>
        <w:t>Committee</w:t>
      </w:r>
      <w:r w:rsidR="00BC673C" w:rsidRPr="003E2516">
        <w:rPr>
          <w:rFonts w:ascii="Times New Roman" w:eastAsia="Times New Roman" w:hAnsi="Times New Roman" w:cs="Times New Roman"/>
          <w:sz w:val="24"/>
          <w:szCs w:val="24"/>
          <w:lang w:val="en-US" w:eastAsia="en-US"/>
        </w:rPr>
        <w:t xml:space="preserve"> should also look into the matter.</w:t>
      </w:r>
    </w:p>
    <w:p w:rsidR="00BC673C" w:rsidRPr="003E2516" w:rsidRDefault="0013406F" w:rsidP="003E2516">
      <w:pPr>
        <w:spacing w:before="120" w:after="120" w:line="240" w:lineRule="auto"/>
        <w:jc w:val="both"/>
        <w:rPr>
          <w:rFonts w:ascii="Times New Roman" w:eastAsia="Times New Roman" w:hAnsi="Times New Roman" w:cs="Times New Roman"/>
          <w:sz w:val="24"/>
          <w:szCs w:val="24"/>
          <w:lang w:val="en-US" w:eastAsia="en-US"/>
        </w:rPr>
      </w:pPr>
      <w:r w:rsidRPr="003E2516">
        <w:rPr>
          <w:rFonts w:ascii="Times New Roman" w:eastAsia="Times New Roman" w:hAnsi="Times New Roman" w:cs="Times New Roman"/>
          <w:sz w:val="24"/>
          <w:szCs w:val="24"/>
          <w:lang w:val="en-US" w:eastAsia="en-US"/>
        </w:rPr>
        <w:t>The Minister indicated that e</w:t>
      </w:r>
      <w:r w:rsidR="00BC673C" w:rsidRPr="003E2516">
        <w:rPr>
          <w:rFonts w:ascii="Times New Roman" w:eastAsia="Times New Roman" w:hAnsi="Times New Roman" w:cs="Times New Roman"/>
          <w:sz w:val="24"/>
          <w:szCs w:val="24"/>
          <w:lang w:val="en-US" w:eastAsia="en-US"/>
        </w:rPr>
        <w:t xml:space="preserve">fforts were underway to implement the </w:t>
      </w:r>
      <w:r w:rsidR="00CB053C" w:rsidRPr="003E2516">
        <w:rPr>
          <w:rFonts w:ascii="Times New Roman" w:eastAsia="Times New Roman" w:hAnsi="Times New Roman" w:cs="Times New Roman"/>
          <w:sz w:val="24"/>
          <w:szCs w:val="24"/>
          <w:lang w:val="en-US" w:eastAsia="en-US"/>
        </w:rPr>
        <w:t>turnaround</w:t>
      </w:r>
      <w:r w:rsidR="00BC673C" w:rsidRPr="003E2516">
        <w:rPr>
          <w:rFonts w:ascii="Times New Roman" w:eastAsia="Times New Roman" w:hAnsi="Times New Roman" w:cs="Times New Roman"/>
          <w:sz w:val="24"/>
          <w:szCs w:val="24"/>
          <w:lang w:val="en-US" w:eastAsia="en-US"/>
        </w:rPr>
        <w:t xml:space="preserve"> strategy for the TVET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xml:space="preserve">, with a particular focus on teaching and learning, management and leadership. </w:t>
      </w:r>
      <w:r w:rsidR="00DD41DF" w:rsidRPr="003E2516">
        <w:rPr>
          <w:rFonts w:ascii="Times New Roman" w:eastAsia="Times New Roman" w:hAnsi="Times New Roman" w:cs="Times New Roman"/>
          <w:sz w:val="24"/>
          <w:szCs w:val="24"/>
          <w:lang w:val="en-US" w:eastAsia="en-US"/>
        </w:rPr>
        <w:t>He cautioned that t</w:t>
      </w:r>
      <w:r w:rsidR="00BC673C" w:rsidRPr="003E2516">
        <w:rPr>
          <w:rFonts w:ascii="Times New Roman" w:eastAsia="Times New Roman" w:hAnsi="Times New Roman" w:cs="Times New Roman"/>
          <w:sz w:val="24"/>
          <w:szCs w:val="24"/>
          <w:lang w:val="en-US" w:eastAsia="en-US"/>
        </w:rPr>
        <w:t>he gross underfunding of the TVET sector remained a challenge and a big threat</w:t>
      </w:r>
      <w:r w:rsidR="00CB053C" w:rsidRPr="003E2516">
        <w:rPr>
          <w:rFonts w:ascii="Times New Roman" w:eastAsia="Times New Roman" w:hAnsi="Times New Roman" w:cs="Times New Roman"/>
          <w:sz w:val="24"/>
          <w:szCs w:val="24"/>
          <w:lang w:val="en-US" w:eastAsia="en-US"/>
        </w:rPr>
        <w:t xml:space="preserve"> to</w:t>
      </w:r>
      <w:r w:rsidR="00BC673C" w:rsidRPr="003E2516">
        <w:rPr>
          <w:rFonts w:ascii="Times New Roman" w:eastAsia="Times New Roman" w:hAnsi="Times New Roman" w:cs="Times New Roman"/>
          <w:sz w:val="24"/>
          <w:szCs w:val="24"/>
          <w:lang w:val="en-US" w:eastAsia="en-US"/>
        </w:rPr>
        <w:t xml:space="preserve"> the expansion of the PSET system.</w:t>
      </w:r>
      <w:r w:rsidR="00DD41DF" w:rsidRPr="003E2516">
        <w:rPr>
          <w:rFonts w:ascii="Times New Roman" w:eastAsia="Times New Roman" w:hAnsi="Times New Roman" w:cs="Times New Roman"/>
          <w:sz w:val="24"/>
          <w:szCs w:val="24"/>
          <w:lang w:val="en-US" w:eastAsia="en-US"/>
        </w:rPr>
        <w:t xml:space="preserve"> </w:t>
      </w:r>
      <w:r w:rsidR="00771208" w:rsidRPr="003E2516">
        <w:rPr>
          <w:rFonts w:ascii="Times New Roman" w:eastAsia="Times New Roman" w:hAnsi="Times New Roman" w:cs="Times New Roman"/>
          <w:sz w:val="24"/>
          <w:szCs w:val="24"/>
          <w:lang w:val="en-US" w:eastAsia="en-US"/>
        </w:rPr>
        <w:t>The Minister also expressed a concern about a</w:t>
      </w:r>
      <w:r w:rsidR="00BC673C" w:rsidRPr="003E2516">
        <w:rPr>
          <w:rFonts w:ascii="Times New Roman" w:eastAsia="Times New Roman" w:hAnsi="Times New Roman" w:cs="Times New Roman"/>
          <w:sz w:val="24"/>
          <w:szCs w:val="24"/>
          <w:lang w:val="en-US" w:eastAsia="en-US"/>
        </w:rPr>
        <w:t xml:space="preserve">dditional resources of the Department </w:t>
      </w:r>
      <w:r w:rsidR="004A2BC8" w:rsidRPr="003E2516">
        <w:rPr>
          <w:rFonts w:ascii="Times New Roman" w:eastAsia="Times New Roman" w:hAnsi="Times New Roman" w:cs="Times New Roman"/>
          <w:sz w:val="24"/>
          <w:szCs w:val="24"/>
          <w:lang w:val="en-US" w:eastAsia="en-US"/>
        </w:rPr>
        <w:t>that have</w:t>
      </w:r>
      <w:r w:rsidR="00A76AE5" w:rsidRPr="003E2516">
        <w:rPr>
          <w:rFonts w:ascii="Times New Roman" w:eastAsia="Times New Roman" w:hAnsi="Times New Roman" w:cs="Times New Roman"/>
          <w:sz w:val="24"/>
          <w:szCs w:val="24"/>
          <w:lang w:val="en-US" w:eastAsia="en-US"/>
        </w:rPr>
        <w:t xml:space="preserve"> </w:t>
      </w:r>
      <w:r w:rsidR="00BC673C" w:rsidRPr="003E2516">
        <w:rPr>
          <w:rFonts w:ascii="Times New Roman" w:eastAsia="Times New Roman" w:hAnsi="Times New Roman" w:cs="Times New Roman"/>
          <w:sz w:val="24"/>
          <w:szCs w:val="24"/>
          <w:lang w:val="en-US" w:eastAsia="en-US"/>
        </w:rPr>
        <w:t xml:space="preserve">been allocated to universities, and </w:t>
      </w:r>
      <w:r w:rsidR="00771208" w:rsidRPr="003E2516">
        <w:rPr>
          <w:rFonts w:ascii="Times New Roman" w:eastAsia="Times New Roman" w:hAnsi="Times New Roman" w:cs="Times New Roman"/>
          <w:sz w:val="24"/>
          <w:szCs w:val="24"/>
          <w:lang w:val="en-US" w:eastAsia="en-US"/>
        </w:rPr>
        <w:t xml:space="preserve">the fact that </w:t>
      </w:r>
      <w:r w:rsidR="00BC673C" w:rsidRPr="003E2516">
        <w:rPr>
          <w:rFonts w:ascii="Times New Roman" w:eastAsia="Times New Roman" w:hAnsi="Times New Roman" w:cs="Times New Roman"/>
          <w:sz w:val="24"/>
          <w:szCs w:val="24"/>
          <w:lang w:val="en-US" w:eastAsia="en-US"/>
        </w:rPr>
        <w:t xml:space="preserve">there had not been an increase in the number </w:t>
      </w:r>
      <w:r w:rsidR="00771208" w:rsidRPr="003E2516">
        <w:rPr>
          <w:rFonts w:ascii="Times New Roman" w:eastAsia="Times New Roman" w:hAnsi="Times New Roman" w:cs="Times New Roman"/>
          <w:sz w:val="24"/>
          <w:szCs w:val="24"/>
          <w:lang w:val="en-US" w:eastAsia="en-US"/>
        </w:rPr>
        <w:t xml:space="preserve">of </w:t>
      </w:r>
      <w:r w:rsidR="00BC673C" w:rsidRPr="003E2516">
        <w:rPr>
          <w:rFonts w:ascii="Times New Roman" w:eastAsia="Times New Roman" w:hAnsi="Times New Roman" w:cs="Times New Roman"/>
          <w:sz w:val="24"/>
          <w:szCs w:val="24"/>
          <w:lang w:val="en-US" w:eastAsia="en-US"/>
        </w:rPr>
        <w:t xml:space="preserve">students in TVET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xml:space="preserve"> for 2017. The Department was funding TVET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xml:space="preserve"> at</w:t>
      </w:r>
      <w:r w:rsidR="00AC74D8" w:rsidRPr="003E2516">
        <w:rPr>
          <w:rFonts w:ascii="Times New Roman" w:eastAsia="Times New Roman" w:hAnsi="Times New Roman" w:cs="Times New Roman"/>
          <w:sz w:val="24"/>
          <w:szCs w:val="24"/>
          <w:lang w:val="en-US" w:eastAsia="en-US"/>
        </w:rPr>
        <w:t xml:space="preserve"> a</w:t>
      </w:r>
      <w:r w:rsidR="00BC673C" w:rsidRPr="003E2516">
        <w:rPr>
          <w:rFonts w:ascii="Times New Roman" w:eastAsia="Times New Roman" w:hAnsi="Times New Roman" w:cs="Times New Roman"/>
          <w:sz w:val="24"/>
          <w:szCs w:val="24"/>
          <w:lang w:val="en-US" w:eastAsia="en-US"/>
        </w:rPr>
        <w:t xml:space="preserve"> 54 percent </w:t>
      </w:r>
      <w:r w:rsidR="00AC74D8" w:rsidRPr="003E2516">
        <w:rPr>
          <w:rFonts w:ascii="Times New Roman" w:eastAsia="Times New Roman" w:hAnsi="Times New Roman" w:cs="Times New Roman"/>
          <w:sz w:val="24"/>
          <w:szCs w:val="24"/>
          <w:lang w:val="en-US" w:eastAsia="en-US"/>
        </w:rPr>
        <w:t xml:space="preserve">rate </w:t>
      </w:r>
      <w:r w:rsidR="00BC673C" w:rsidRPr="003E2516">
        <w:rPr>
          <w:rFonts w:ascii="Times New Roman" w:eastAsia="Times New Roman" w:hAnsi="Times New Roman" w:cs="Times New Roman"/>
          <w:sz w:val="24"/>
          <w:szCs w:val="24"/>
          <w:lang w:val="en-US" w:eastAsia="en-US"/>
        </w:rPr>
        <w:t>instead of 80 percent</w:t>
      </w:r>
      <w:r w:rsidR="00AC74D8" w:rsidRPr="003E2516">
        <w:rPr>
          <w:rFonts w:ascii="Times New Roman" w:eastAsia="Times New Roman" w:hAnsi="Times New Roman" w:cs="Times New Roman"/>
          <w:sz w:val="24"/>
          <w:szCs w:val="24"/>
          <w:lang w:val="en-US" w:eastAsia="en-US"/>
        </w:rPr>
        <w:t xml:space="preserve"> rate</w:t>
      </w:r>
      <w:r w:rsidR="00BC673C" w:rsidRPr="003E2516">
        <w:rPr>
          <w:rFonts w:ascii="Times New Roman" w:eastAsia="Times New Roman" w:hAnsi="Times New Roman" w:cs="Times New Roman"/>
          <w:sz w:val="24"/>
          <w:szCs w:val="24"/>
          <w:lang w:val="en-US" w:eastAsia="en-US"/>
        </w:rPr>
        <w:t xml:space="preserve"> due t</w:t>
      </w:r>
      <w:r w:rsidR="00CB053C" w:rsidRPr="003E2516">
        <w:rPr>
          <w:rFonts w:ascii="Times New Roman" w:eastAsia="Times New Roman" w:hAnsi="Times New Roman" w:cs="Times New Roman"/>
          <w:sz w:val="24"/>
          <w:szCs w:val="24"/>
          <w:lang w:val="en-US" w:eastAsia="en-US"/>
        </w:rPr>
        <w:t>o funding shortfall</w:t>
      </w:r>
      <w:r w:rsidR="00BC673C" w:rsidRPr="003E2516">
        <w:rPr>
          <w:rFonts w:ascii="Times New Roman" w:eastAsia="Times New Roman" w:hAnsi="Times New Roman" w:cs="Times New Roman"/>
          <w:sz w:val="24"/>
          <w:szCs w:val="24"/>
          <w:lang w:val="en-US" w:eastAsia="en-US"/>
        </w:rPr>
        <w:t xml:space="preserve">. </w:t>
      </w:r>
    </w:p>
    <w:p w:rsidR="00BC673C" w:rsidRDefault="00D23544" w:rsidP="003E2516">
      <w:pPr>
        <w:spacing w:before="120" w:after="120" w:line="240" w:lineRule="auto"/>
        <w:jc w:val="both"/>
        <w:rPr>
          <w:rFonts w:ascii="Times New Roman" w:eastAsia="Times New Roman" w:hAnsi="Times New Roman" w:cs="Times New Roman"/>
          <w:sz w:val="24"/>
          <w:szCs w:val="24"/>
          <w:lang w:val="en-US" w:eastAsia="en-US"/>
        </w:rPr>
      </w:pPr>
      <w:r w:rsidRPr="003E2516">
        <w:rPr>
          <w:rFonts w:ascii="Times New Roman" w:eastAsia="Times New Roman" w:hAnsi="Times New Roman" w:cs="Times New Roman"/>
          <w:sz w:val="24"/>
          <w:szCs w:val="24"/>
          <w:lang w:val="en-US" w:eastAsia="en-US"/>
        </w:rPr>
        <w:t xml:space="preserve">The Minister </w:t>
      </w:r>
      <w:r w:rsidR="00E84FFB" w:rsidRPr="003E2516">
        <w:rPr>
          <w:rFonts w:ascii="Times New Roman" w:eastAsia="Times New Roman" w:hAnsi="Times New Roman" w:cs="Times New Roman"/>
          <w:sz w:val="24"/>
          <w:szCs w:val="24"/>
          <w:lang w:val="en-US" w:eastAsia="en-US"/>
        </w:rPr>
        <w:t>noted</w:t>
      </w:r>
      <w:r w:rsidRPr="003E2516">
        <w:rPr>
          <w:rFonts w:ascii="Times New Roman" w:eastAsia="Times New Roman" w:hAnsi="Times New Roman" w:cs="Times New Roman"/>
          <w:sz w:val="24"/>
          <w:szCs w:val="24"/>
          <w:lang w:val="en-US" w:eastAsia="en-US"/>
        </w:rPr>
        <w:t xml:space="preserve"> that t</w:t>
      </w:r>
      <w:r w:rsidR="00BC673C" w:rsidRPr="003E2516">
        <w:rPr>
          <w:rFonts w:ascii="Times New Roman" w:eastAsia="Times New Roman" w:hAnsi="Times New Roman" w:cs="Times New Roman"/>
          <w:sz w:val="24"/>
          <w:szCs w:val="24"/>
          <w:lang w:val="en-US" w:eastAsia="en-US"/>
        </w:rPr>
        <w:t>he priorities for the 2017/18 Medium Term Expenditure Framework (MTEF) period are</w:t>
      </w:r>
      <w:r w:rsidRPr="003E2516">
        <w:rPr>
          <w:rFonts w:ascii="Times New Roman" w:eastAsia="Times New Roman" w:hAnsi="Times New Roman" w:cs="Times New Roman"/>
          <w:sz w:val="24"/>
          <w:szCs w:val="24"/>
          <w:lang w:val="en-US" w:eastAsia="en-US"/>
        </w:rPr>
        <w:t xml:space="preserve">: </w:t>
      </w:r>
      <w:r w:rsidR="00BC673C" w:rsidRPr="003E2516">
        <w:rPr>
          <w:rFonts w:ascii="Times New Roman" w:eastAsia="Times New Roman" w:hAnsi="Times New Roman" w:cs="Times New Roman"/>
          <w:sz w:val="24"/>
          <w:szCs w:val="24"/>
          <w:lang w:val="en-US" w:eastAsia="en-US"/>
        </w:rPr>
        <w:t xml:space="preserve">to </w:t>
      </w:r>
      <w:r w:rsidRPr="003E2516">
        <w:rPr>
          <w:rFonts w:ascii="Times New Roman" w:eastAsia="Times New Roman" w:hAnsi="Times New Roman" w:cs="Times New Roman"/>
          <w:sz w:val="24"/>
          <w:szCs w:val="24"/>
          <w:lang w:val="en-US" w:eastAsia="en-US"/>
        </w:rPr>
        <w:t>f</w:t>
      </w:r>
      <w:r w:rsidR="00BC673C" w:rsidRPr="003E2516">
        <w:rPr>
          <w:rFonts w:ascii="Times New Roman" w:eastAsia="Times New Roman" w:hAnsi="Times New Roman" w:cs="Times New Roman"/>
          <w:sz w:val="24"/>
          <w:szCs w:val="24"/>
          <w:lang w:val="en-US" w:eastAsia="en-US"/>
        </w:rPr>
        <w:t>inalise the National Plan for Post-School Education and Training (NP-</w:t>
      </w:r>
      <w:r w:rsidR="0077323B" w:rsidRPr="003E2516">
        <w:rPr>
          <w:rFonts w:ascii="Times New Roman" w:eastAsia="Times New Roman" w:hAnsi="Times New Roman" w:cs="Times New Roman"/>
          <w:sz w:val="24"/>
          <w:szCs w:val="24"/>
          <w:lang w:val="en-US" w:eastAsia="en-US"/>
        </w:rPr>
        <w:t>P</w:t>
      </w:r>
      <w:r w:rsidR="00BC673C" w:rsidRPr="003E2516">
        <w:rPr>
          <w:rFonts w:ascii="Times New Roman" w:eastAsia="Times New Roman" w:hAnsi="Times New Roman" w:cs="Times New Roman"/>
          <w:sz w:val="24"/>
          <w:szCs w:val="24"/>
          <w:lang w:val="en-US" w:eastAsia="en-US"/>
        </w:rPr>
        <w:t xml:space="preserve">SET); to increase funding for the TVET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xml:space="preserve">; publishing regulations for the implementation of the Higher Education Act; integration of the Agricultural and other public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xml:space="preserve"> to the PSET system; expanding the TVET sector for the production of mid-level skills; to provide clarity regarding the role of SETA</w:t>
      </w:r>
      <w:r w:rsidR="00C82BAA" w:rsidRPr="003E2516">
        <w:rPr>
          <w:rFonts w:ascii="Times New Roman" w:eastAsia="Times New Roman" w:hAnsi="Times New Roman" w:cs="Times New Roman"/>
          <w:sz w:val="24"/>
          <w:szCs w:val="24"/>
          <w:lang w:val="en-US" w:eastAsia="en-US"/>
        </w:rPr>
        <w:t>s</w:t>
      </w:r>
      <w:r w:rsidR="00BC673C" w:rsidRPr="003E2516">
        <w:rPr>
          <w:rFonts w:ascii="Times New Roman" w:eastAsia="Times New Roman" w:hAnsi="Times New Roman" w:cs="Times New Roman"/>
          <w:sz w:val="24"/>
          <w:szCs w:val="24"/>
          <w:lang w:val="en-US" w:eastAsia="en-US"/>
        </w:rPr>
        <w:t xml:space="preserve"> Office</w:t>
      </w:r>
      <w:r w:rsidR="00C82BAA" w:rsidRPr="003E2516">
        <w:rPr>
          <w:rFonts w:ascii="Times New Roman" w:eastAsia="Times New Roman" w:hAnsi="Times New Roman" w:cs="Times New Roman"/>
          <w:sz w:val="24"/>
          <w:szCs w:val="24"/>
          <w:lang w:val="en-US" w:eastAsia="en-US"/>
        </w:rPr>
        <w:t>s</w:t>
      </w:r>
      <w:r w:rsidR="00BC673C" w:rsidRPr="003E2516">
        <w:rPr>
          <w:rFonts w:ascii="Times New Roman" w:eastAsia="Times New Roman" w:hAnsi="Times New Roman" w:cs="Times New Roman"/>
          <w:sz w:val="24"/>
          <w:szCs w:val="24"/>
          <w:lang w:val="en-US" w:eastAsia="en-US"/>
        </w:rPr>
        <w:t xml:space="preserve"> in TVET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securing additional sites for the establishment of pilot C</w:t>
      </w:r>
      <w:r w:rsidR="0077323B" w:rsidRPr="003E2516">
        <w:rPr>
          <w:rFonts w:ascii="Times New Roman" w:eastAsia="Times New Roman" w:hAnsi="Times New Roman" w:cs="Times New Roman"/>
          <w:sz w:val="24"/>
          <w:szCs w:val="24"/>
          <w:lang w:val="en-US" w:eastAsia="en-US"/>
        </w:rPr>
        <w:t xml:space="preserve">ommunity </w:t>
      </w:r>
      <w:r w:rsidR="00BC673C" w:rsidRPr="003E2516">
        <w:rPr>
          <w:rFonts w:ascii="Times New Roman" w:eastAsia="Times New Roman" w:hAnsi="Times New Roman" w:cs="Times New Roman"/>
          <w:sz w:val="24"/>
          <w:szCs w:val="24"/>
          <w:lang w:val="en-US" w:eastAsia="en-US"/>
        </w:rPr>
        <w:t>E</w:t>
      </w:r>
      <w:r w:rsidR="0077323B" w:rsidRPr="003E2516">
        <w:rPr>
          <w:rFonts w:ascii="Times New Roman" w:eastAsia="Times New Roman" w:hAnsi="Times New Roman" w:cs="Times New Roman"/>
          <w:sz w:val="24"/>
          <w:szCs w:val="24"/>
          <w:lang w:val="en-US" w:eastAsia="en-US"/>
        </w:rPr>
        <w:t xml:space="preserve">ducation and </w:t>
      </w:r>
      <w:r w:rsidR="00BC673C" w:rsidRPr="003E2516">
        <w:rPr>
          <w:rFonts w:ascii="Times New Roman" w:eastAsia="Times New Roman" w:hAnsi="Times New Roman" w:cs="Times New Roman"/>
          <w:sz w:val="24"/>
          <w:szCs w:val="24"/>
          <w:lang w:val="en-US" w:eastAsia="en-US"/>
        </w:rPr>
        <w:t>T</w:t>
      </w:r>
      <w:r w:rsidR="0077323B" w:rsidRPr="003E2516">
        <w:rPr>
          <w:rFonts w:ascii="Times New Roman" w:eastAsia="Times New Roman" w:hAnsi="Times New Roman" w:cs="Times New Roman"/>
          <w:sz w:val="24"/>
          <w:szCs w:val="24"/>
          <w:lang w:val="en-US" w:eastAsia="en-US"/>
        </w:rPr>
        <w:t>raining</w:t>
      </w:r>
      <w:r w:rsidR="00BC673C" w:rsidRPr="003E2516">
        <w:rPr>
          <w:rFonts w:ascii="Times New Roman" w:eastAsia="Times New Roman" w:hAnsi="Times New Roman" w:cs="Times New Roman"/>
          <w:sz w:val="24"/>
          <w:szCs w:val="24"/>
          <w:lang w:val="en-US" w:eastAsia="en-US"/>
        </w:rPr>
        <w:t xml:space="preserve"> </w:t>
      </w:r>
      <w:r w:rsidR="00863577" w:rsidRPr="003E2516">
        <w:rPr>
          <w:rFonts w:ascii="Times New Roman" w:eastAsia="Times New Roman" w:hAnsi="Times New Roman" w:cs="Times New Roman"/>
          <w:sz w:val="24"/>
          <w:szCs w:val="24"/>
          <w:lang w:val="en-US" w:eastAsia="en-US"/>
        </w:rPr>
        <w:t>Colleges</w:t>
      </w:r>
      <w:r w:rsidR="00BC673C" w:rsidRPr="003E2516">
        <w:rPr>
          <w:rFonts w:ascii="Times New Roman" w:eastAsia="Times New Roman" w:hAnsi="Times New Roman" w:cs="Times New Roman"/>
          <w:sz w:val="24"/>
          <w:szCs w:val="24"/>
          <w:lang w:val="en-US" w:eastAsia="en-US"/>
        </w:rPr>
        <w:t>; providing funding for poor students and expanding financial assistance to support students from lower and middle class fa</w:t>
      </w:r>
      <w:r w:rsidR="00AC74D8" w:rsidRPr="003E2516">
        <w:rPr>
          <w:rFonts w:ascii="Times New Roman" w:eastAsia="Times New Roman" w:hAnsi="Times New Roman" w:cs="Times New Roman"/>
          <w:sz w:val="24"/>
          <w:szCs w:val="24"/>
          <w:lang w:val="en-US" w:eastAsia="en-US"/>
        </w:rPr>
        <w:t xml:space="preserve">milies and to provide finality </w:t>
      </w:r>
      <w:r w:rsidR="00BC673C" w:rsidRPr="003E2516">
        <w:rPr>
          <w:rFonts w:ascii="Times New Roman" w:eastAsia="Times New Roman" w:hAnsi="Times New Roman" w:cs="Times New Roman"/>
          <w:sz w:val="24"/>
          <w:szCs w:val="24"/>
          <w:lang w:val="en-US" w:eastAsia="en-US"/>
        </w:rPr>
        <w:t>o</w:t>
      </w:r>
      <w:r w:rsidR="00AC74D8" w:rsidRPr="003E2516">
        <w:rPr>
          <w:rFonts w:ascii="Times New Roman" w:eastAsia="Times New Roman" w:hAnsi="Times New Roman" w:cs="Times New Roman"/>
          <w:sz w:val="24"/>
          <w:szCs w:val="24"/>
          <w:lang w:val="en-US" w:eastAsia="en-US"/>
        </w:rPr>
        <w:t>n</w:t>
      </w:r>
      <w:r w:rsidR="00BC673C" w:rsidRPr="003E2516">
        <w:rPr>
          <w:rFonts w:ascii="Times New Roman" w:eastAsia="Times New Roman" w:hAnsi="Times New Roman" w:cs="Times New Roman"/>
          <w:sz w:val="24"/>
          <w:szCs w:val="24"/>
          <w:lang w:val="en-US" w:eastAsia="en-US"/>
        </w:rPr>
        <w:t xml:space="preserve"> the issues of student funding by the Heher Commission.</w:t>
      </w:r>
    </w:p>
    <w:p w:rsidR="003E2516" w:rsidRPr="003E2516" w:rsidRDefault="003E2516" w:rsidP="003E2516">
      <w:pPr>
        <w:spacing w:before="120" w:after="120" w:line="240" w:lineRule="auto"/>
        <w:jc w:val="both"/>
        <w:rPr>
          <w:rFonts w:ascii="Times New Roman" w:eastAsia="Times New Roman" w:hAnsi="Times New Roman" w:cs="Times New Roman"/>
          <w:sz w:val="24"/>
          <w:szCs w:val="24"/>
          <w:lang w:val="en-US" w:eastAsia="en-US"/>
        </w:rPr>
      </w:pPr>
    </w:p>
    <w:p w:rsidR="00BC673C"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BC673C" w:rsidRPr="003E2516">
        <w:rPr>
          <w:rFonts w:ascii="Times New Roman" w:hAnsi="Times New Roman" w:cs="Times New Roman"/>
          <w:b/>
          <w:sz w:val="24"/>
          <w:szCs w:val="24"/>
        </w:rPr>
        <w:t>.2 Strategic Overview</w:t>
      </w:r>
    </w:p>
    <w:p w:rsidR="003E2516" w:rsidRPr="003E2516" w:rsidRDefault="003E2516" w:rsidP="003E2516">
      <w:pPr>
        <w:spacing w:before="120" w:after="120" w:line="240" w:lineRule="auto"/>
        <w:jc w:val="both"/>
        <w:rPr>
          <w:rFonts w:ascii="Times New Roman" w:hAnsi="Times New Roman" w:cs="Times New Roman"/>
          <w:b/>
          <w:sz w:val="24"/>
          <w:szCs w:val="24"/>
        </w:rPr>
      </w:pPr>
    </w:p>
    <w:p w:rsidR="000E0806" w:rsidRPr="003E2516" w:rsidRDefault="00C82BAA" w:rsidP="003E2516">
      <w:pPr>
        <w:spacing w:before="120" w:after="120" w:line="240" w:lineRule="auto"/>
        <w:jc w:val="both"/>
        <w:textAlignment w:val="center"/>
        <w:rPr>
          <w:rFonts w:ascii="Times New Roman" w:hAnsi="Times New Roman" w:cs="Times New Roman"/>
          <w:color w:val="000000" w:themeColor="text1"/>
          <w:kern w:val="24"/>
          <w:sz w:val="24"/>
          <w:szCs w:val="24"/>
          <w:lang w:eastAsia="en-US"/>
        </w:rPr>
      </w:pPr>
      <w:r w:rsidRPr="003E2516">
        <w:rPr>
          <w:rFonts w:ascii="Times New Roman" w:hAnsi="Times New Roman" w:cs="Times New Roman"/>
          <w:color w:val="000000" w:themeColor="text1"/>
          <w:kern w:val="24"/>
          <w:sz w:val="24"/>
          <w:szCs w:val="24"/>
          <w:lang w:eastAsia="en-US"/>
        </w:rPr>
        <w:t>The Director-General, Mr Qonde, noted that t</w:t>
      </w:r>
      <w:r w:rsidR="000E0806" w:rsidRPr="003E2516">
        <w:rPr>
          <w:rFonts w:ascii="Times New Roman" w:hAnsi="Times New Roman" w:cs="Times New Roman"/>
          <w:color w:val="000000" w:themeColor="text1"/>
          <w:kern w:val="24"/>
          <w:sz w:val="24"/>
          <w:szCs w:val="24"/>
          <w:lang w:eastAsia="en-US"/>
        </w:rPr>
        <w:t xml:space="preserve">he Post School Education and Training (PSET) system needs to be an integrated system. </w:t>
      </w:r>
      <w:r w:rsidRPr="003E2516">
        <w:rPr>
          <w:rFonts w:ascii="Times New Roman" w:hAnsi="Times New Roman" w:cs="Times New Roman"/>
          <w:color w:val="000000" w:themeColor="text1"/>
          <w:kern w:val="24"/>
          <w:sz w:val="24"/>
          <w:szCs w:val="24"/>
          <w:lang w:eastAsia="en-US"/>
        </w:rPr>
        <w:t xml:space="preserve">He indicated that the </w:t>
      </w:r>
      <w:r w:rsidR="000E0806" w:rsidRPr="003E2516">
        <w:rPr>
          <w:rFonts w:ascii="Times New Roman" w:hAnsi="Times New Roman" w:cs="Times New Roman"/>
          <w:color w:val="000000" w:themeColor="text1"/>
          <w:kern w:val="24"/>
          <w:sz w:val="24"/>
          <w:szCs w:val="24"/>
          <w:lang w:eastAsia="en-US"/>
        </w:rPr>
        <w:t xml:space="preserve">Department provides the necessary leadership and resolved to focus </w:t>
      </w:r>
      <w:r w:rsidR="000E0806" w:rsidRPr="003E2516">
        <w:rPr>
          <w:rFonts w:ascii="Times New Roman" w:hAnsi="Times New Roman" w:cs="Times New Roman"/>
          <w:color w:val="000000" w:themeColor="text1"/>
          <w:kern w:val="24"/>
          <w:sz w:val="24"/>
          <w:szCs w:val="24"/>
          <w:lang w:val="en-US" w:eastAsia="en-US"/>
        </w:rPr>
        <w:t xml:space="preserve">on: </w:t>
      </w:r>
      <w:r w:rsidR="00AC74D8" w:rsidRPr="003E2516">
        <w:rPr>
          <w:rFonts w:ascii="Times New Roman" w:hAnsi="Times New Roman" w:cs="Times New Roman"/>
          <w:color w:val="000000" w:themeColor="text1"/>
          <w:kern w:val="24"/>
          <w:sz w:val="24"/>
          <w:szCs w:val="24"/>
          <w:lang w:val="en-US" w:eastAsia="en-US"/>
        </w:rPr>
        <w:t xml:space="preserve">the </w:t>
      </w:r>
      <w:r w:rsidR="000E0806" w:rsidRPr="003E2516">
        <w:rPr>
          <w:rFonts w:ascii="Times New Roman" w:hAnsi="Times New Roman" w:cs="Times New Roman"/>
          <w:color w:val="000000" w:themeColor="text1"/>
          <w:kern w:val="24"/>
          <w:sz w:val="24"/>
          <w:szCs w:val="24"/>
          <w:lang w:val="en-US" w:eastAsia="en-US"/>
        </w:rPr>
        <w:t xml:space="preserve">provision of a sound legislative framework; teaching and learning support; development </w:t>
      </w:r>
      <w:r w:rsidRPr="003E2516">
        <w:rPr>
          <w:rFonts w:ascii="Times New Roman" w:hAnsi="Times New Roman" w:cs="Times New Roman"/>
          <w:color w:val="000000" w:themeColor="text1"/>
          <w:kern w:val="24"/>
          <w:sz w:val="24"/>
          <w:szCs w:val="24"/>
          <w:lang w:val="en-US" w:eastAsia="en-US"/>
        </w:rPr>
        <w:t xml:space="preserve">of </w:t>
      </w:r>
      <w:r w:rsidR="000E0806" w:rsidRPr="003E2516">
        <w:rPr>
          <w:rFonts w:ascii="Times New Roman" w:hAnsi="Times New Roman" w:cs="Times New Roman"/>
          <w:color w:val="000000" w:themeColor="text1"/>
          <w:kern w:val="24"/>
          <w:sz w:val="24"/>
          <w:szCs w:val="24"/>
          <w:lang w:val="en-US" w:eastAsia="en-US"/>
        </w:rPr>
        <w:t xml:space="preserve">infrastructure and </w:t>
      </w:r>
      <w:r w:rsidRPr="003E2516">
        <w:rPr>
          <w:rFonts w:ascii="Times New Roman" w:hAnsi="Times New Roman" w:cs="Times New Roman"/>
          <w:color w:val="000000" w:themeColor="text1"/>
          <w:kern w:val="24"/>
          <w:sz w:val="24"/>
          <w:szCs w:val="24"/>
          <w:lang w:val="en-US" w:eastAsia="en-US"/>
        </w:rPr>
        <w:t xml:space="preserve">to </w:t>
      </w:r>
      <w:r w:rsidR="000E0806" w:rsidRPr="003E2516">
        <w:rPr>
          <w:rFonts w:ascii="Times New Roman" w:hAnsi="Times New Roman" w:cs="Times New Roman"/>
          <w:color w:val="000000" w:themeColor="text1"/>
          <w:kern w:val="24"/>
          <w:sz w:val="24"/>
          <w:szCs w:val="24"/>
          <w:lang w:val="en-US" w:eastAsia="en-US"/>
        </w:rPr>
        <w:t xml:space="preserve">promote a strong stakeholder network. </w:t>
      </w:r>
      <w:r w:rsidR="000E0806" w:rsidRPr="003E2516">
        <w:rPr>
          <w:rFonts w:ascii="Times New Roman" w:hAnsi="Times New Roman" w:cs="Times New Roman"/>
          <w:color w:val="000000" w:themeColor="text1"/>
          <w:kern w:val="24"/>
          <w:sz w:val="24"/>
          <w:szCs w:val="24"/>
          <w:lang w:eastAsia="en-US"/>
        </w:rPr>
        <w:t>The 2016/17 financial year marks exactly two years since the Department’s 2015 - 2020 Strategic Plan was tabled in Parliament.</w:t>
      </w:r>
    </w:p>
    <w:p w:rsidR="008B60EE" w:rsidRPr="003E2516" w:rsidRDefault="003A365E" w:rsidP="003E2516">
      <w:pPr>
        <w:spacing w:before="120" w:after="120" w:line="240" w:lineRule="auto"/>
        <w:jc w:val="both"/>
        <w:textAlignment w:val="center"/>
        <w:rPr>
          <w:rFonts w:ascii="Times New Roman" w:hAnsi="Times New Roman" w:cs="Times New Roman"/>
          <w:color w:val="000000" w:themeColor="text1"/>
          <w:kern w:val="24"/>
          <w:sz w:val="24"/>
          <w:szCs w:val="24"/>
          <w:lang w:eastAsia="en-US"/>
        </w:rPr>
      </w:pPr>
      <w:r w:rsidRPr="003E2516">
        <w:rPr>
          <w:rFonts w:ascii="Times New Roman" w:hAnsi="Times New Roman" w:cs="Times New Roman"/>
          <w:color w:val="000000" w:themeColor="text1"/>
          <w:kern w:val="24"/>
          <w:sz w:val="24"/>
          <w:szCs w:val="24"/>
        </w:rPr>
        <w:t>The Department’s Strategic Plan</w:t>
      </w:r>
      <w:r w:rsidR="008B60EE" w:rsidRPr="003E2516">
        <w:rPr>
          <w:rFonts w:ascii="Times New Roman" w:hAnsi="Times New Roman" w:cs="Times New Roman"/>
          <w:color w:val="000000" w:themeColor="text1"/>
          <w:kern w:val="24"/>
          <w:sz w:val="24"/>
          <w:szCs w:val="24"/>
        </w:rPr>
        <w:t xml:space="preserve"> 2015/16 – 2019/20</w:t>
      </w:r>
      <w:r w:rsidRPr="003E2516">
        <w:rPr>
          <w:rFonts w:ascii="Times New Roman" w:hAnsi="Times New Roman" w:cs="Times New Roman"/>
          <w:color w:val="000000" w:themeColor="text1"/>
          <w:kern w:val="24"/>
          <w:sz w:val="24"/>
          <w:szCs w:val="24"/>
        </w:rPr>
        <w:t xml:space="preserve"> has been reviewed and the review has revealed that the Department has made significant progress in a number of areas which include: Prioritisation of funding for the marginalised, thereby enabling them to access post-school institutions and fulfil dreams of careers thought to be unrealisable; improving learning opportunities across the post-school education and training sector by expanding and strengthening the post-school distance education landscape through open learning; introduction of a new institutional type, the Community Education and Training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 with a primary objective of promoting education and training opportunities for those young people who cannot access </w:t>
      </w:r>
      <w:r w:rsidR="00571C6E" w:rsidRPr="003E2516">
        <w:rPr>
          <w:rFonts w:ascii="Times New Roman" w:hAnsi="Times New Roman" w:cs="Times New Roman"/>
          <w:color w:val="000000" w:themeColor="text1"/>
          <w:kern w:val="24"/>
          <w:sz w:val="24"/>
          <w:szCs w:val="24"/>
        </w:rPr>
        <w:t>U</w:t>
      </w:r>
      <w:r w:rsidRPr="003E2516">
        <w:rPr>
          <w:rFonts w:ascii="Times New Roman" w:hAnsi="Times New Roman" w:cs="Times New Roman"/>
          <w:color w:val="000000" w:themeColor="text1"/>
          <w:kern w:val="24"/>
          <w:sz w:val="24"/>
          <w:szCs w:val="24"/>
        </w:rPr>
        <w:t xml:space="preserve">niversities or TVET </w:t>
      </w:r>
      <w:r w:rsidR="00863577" w:rsidRPr="003E2516">
        <w:rPr>
          <w:rFonts w:ascii="Times New Roman" w:hAnsi="Times New Roman" w:cs="Times New Roman"/>
          <w:color w:val="000000" w:themeColor="text1"/>
          <w:kern w:val="24"/>
          <w:sz w:val="24"/>
          <w:szCs w:val="24"/>
        </w:rPr>
        <w:t>Colleges</w:t>
      </w:r>
      <w:r w:rsidR="008B60EE" w:rsidRPr="003E2516">
        <w:rPr>
          <w:rFonts w:ascii="Times New Roman" w:hAnsi="Times New Roman" w:cs="Times New Roman"/>
          <w:color w:val="000000" w:themeColor="text1"/>
          <w:kern w:val="24"/>
          <w:sz w:val="24"/>
          <w:szCs w:val="24"/>
        </w:rPr>
        <w:t xml:space="preserve">; establishment of nine </w:t>
      </w:r>
      <w:r w:rsidR="008B60EE" w:rsidRPr="003E2516">
        <w:rPr>
          <w:rFonts w:ascii="Times New Roman" w:hAnsi="Times New Roman" w:cs="Times New Roman"/>
          <w:color w:val="000000" w:themeColor="text1"/>
          <w:kern w:val="24"/>
          <w:sz w:val="24"/>
          <w:szCs w:val="24"/>
          <w:lang w:eastAsia="en-US"/>
        </w:rPr>
        <w:t xml:space="preserve">Community Education and Training (CET) </w:t>
      </w:r>
      <w:r w:rsidR="00863577" w:rsidRPr="003E2516">
        <w:rPr>
          <w:rFonts w:ascii="Times New Roman" w:hAnsi="Times New Roman" w:cs="Times New Roman"/>
          <w:color w:val="000000" w:themeColor="text1"/>
          <w:kern w:val="24"/>
          <w:sz w:val="24"/>
          <w:szCs w:val="24"/>
          <w:lang w:eastAsia="en-US"/>
        </w:rPr>
        <w:t>Colleges</w:t>
      </w:r>
      <w:r w:rsidR="008B60EE" w:rsidRPr="003E2516">
        <w:rPr>
          <w:rFonts w:ascii="Times New Roman" w:hAnsi="Times New Roman" w:cs="Times New Roman"/>
          <w:color w:val="000000" w:themeColor="text1"/>
          <w:kern w:val="24"/>
          <w:sz w:val="24"/>
          <w:szCs w:val="24"/>
          <w:lang w:eastAsia="en-US"/>
        </w:rPr>
        <w:t xml:space="preserve"> (one in each province), establishment of a branch within the Department to provide a dedicated focus for CET, transfer of TVET </w:t>
      </w:r>
      <w:r w:rsidR="00863577" w:rsidRPr="003E2516">
        <w:rPr>
          <w:rFonts w:ascii="Times New Roman" w:hAnsi="Times New Roman" w:cs="Times New Roman"/>
          <w:color w:val="000000" w:themeColor="text1"/>
          <w:kern w:val="24"/>
          <w:sz w:val="24"/>
          <w:szCs w:val="24"/>
          <w:lang w:eastAsia="en-US"/>
        </w:rPr>
        <w:t>Colleges</w:t>
      </w:r>
      <w:r w:rsidR="008B60EE" w:rsidRPr="003E2516">
        <w:rPr>
          <w:rFonts w:ascii="Times New Roman" w:hAnsi="Times New Roman" w:cs="Times New Roman"/>
          <w:color w:val="000000" w:themeColor="text1"/>
          <w:kern w:val="24"/>
          <w:sz w:val="24"/>
          <w:szCs w:val="24"/>
          <w:lang w:eastAsia="en-US"/>
        </w:rPr>
        <w:t xml:space="preserve"> from Provincial Departments of Education to the DHET and other key milestones.</w:t>
      </w:r>
    </w:p>
    <w:p w:rsidR="008B60EE" w:rsidRPr="003E2516" w:rsidRDefault="008B60EE" w:rsidP="003E2516">
      <w:pPr>
        <w:pStyle w:val="NormalWeb"/>
        <w:kinsoku w:val="0"/>
        <w:overflowPunct w:val="0"/>
        <w:spacing w:before="120" w:beforeAutospacing="0" w:after="120" w:afterAutospacing="0"/>
        <w:jc w:val="both"/>
        <w:textAlignment w:val="center"/>
        <w:rPr>
          <w:rFonts w:eastAsiaTheme="minorEastAsia"/>
          <w:color w:val="000000" w:themeColor="text1"/>
          <w:kern w:val="24"/>
          <w:lang w:val="en-ZA"/>
        </w:rPr>
      </w:pPr>
      <w:r w:rsidRPr="003E2516">
        <w:rPr>
          <w:color w:val="000000" w:themeColor="text1"/>
          <w:kern w:val="24"/>
        </w:rPr>
        <w:t xml:space="preserve">In relation to the system performance, </w:t>
      </w:r>
      <w:r w:rsidRPr="003E2516">
        <w:rPr>
          <w:rFonts w:eastAsiaTheme="minorEastAsia"/>
          <w:color w:val="000000" w:themeColor="text1"/>
          <w:kern w:val="24"/>
          <w:lang w:val="en-ZA"/>
        </w:rPr>
        <w:t xml:space="preserve">the </w:t>
      </w:r>
      <w:r w:rsidR="00571C6E" w:rsidRPr="003E2516">
        <w:rPr>
          <w:rFonts w:eastAsiaTheme="minorEastAsia"/>
          <w:color w:val="000000" w:themeColor="text1"/>
          <w:kern w:val="24"/>
          <w:lang w:val="en-ZA"/>
        </w:rPr>
        <w:t>U</w:t>
      </w:r>
      <w:r w:rsidRPr="003E2516">
        <w:rPr>
          <w:rFonts w:eastAsiaTheme="minorEastAsia"/>
          <w:color w:val="000000" w:themeColor="text1"/>
          <w:kern w:val="24"/>
          <w:lang w:val="en-ZA"/>
        </w:rPr>
        <w:t xml:space="preserve">niversity system has not grown in accordance with the Ministerial enrolment targets for two academic years (2014 and 2015), 1 000 100 and 1 020 000 respectively, for the first time. The TVET college sector enrolled 14 465 </w:t>
      </w:r>
      <w:r w:rsidR="00E96EB8" w:rsidRPr="003E2516">
        <w:rPr>
          <w:rFonts w:eastAsiaTheme="minorEastAsia"/>
          <w:color w:val="000000" w:themeColor="text1"/>
          <w:kern w:val="24"/>
          <w:lang w:val="en-ZA"/>
        </w:rPr>
        <w:t>fewer students</w:t>
      </w:r>
      <w:r w:rsidRPr="003E2516">
        <w:rPr>
          <w:rFonts w:eastAsiaTheme="minorEastAsia"/>
          <w:color w:val="000000" w:themeColor="text1"/>
          <w:kern w:val="24"/>
          <w:lang w:val="en-ZA"/>
        </w:rPr>
        <w:t xml:space="preserve"> in 2015 than the targeted 725 000. Preliminary figures als</w:t>
      </w:r>
      <w:r w:rsidR="00C908CE" w:rsidRPr="003E2516">
        <w:rPr>
          <w:rFonts w:eastAsiaTheme="minorEastAsia"/>
          <w:color w:val="000000" w:themeColor="text1"/>
          <w:kern w:val="24"/>
          <w:lang w:val="en-ZA"/>
        </w:rPr>
        <w:t>o show that enrolments in 2016 we</w:t>
      </w:r>
      <w:r w:rsidRPr="003E2516">
        <w:rPr>
          <w:rFonts w:eastAsiaTheme="minorEastAsia"/>
          <w:color w:val="000000" w:themeColor="text1"/>
          <w:kern w:val="24"/>
          <w:lang w:val="en-ZA"/>
        </w:rPr>
        <w:t xml:space="preserve">re below target. </w:t>
      </w:r>
    </w:p>
    <w:p w:rsidR="00DA5E3E"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lastRenderedPageBreak/>
        <w:t>6</w:t>
      </w:r>
      <w:r w:rsidR="00DA5E3E" w:rsidRPr="003E2516">
        <w:rPr>
          <w:rFonts w:ascii="Times New Roman" w:hAnsi="Times New Roman" w:cs="Times New Roman"/>
          <w:b/>
          <w:color w:val="000000" w:themeColor="text1"/>
          <w:kern w:val="24"/>
          <w:sz w:val="24"/>
          <w:szCs w:val="24"/>
        </w:rPr>
        <w:t>.3. Submissions by stakeholders</w:t>
      </w:r>
    </w:p>
    <w:p w:rsidR="00DA5E3E"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6</w:t>
      </w:r>
      <w:r w:rsidR="00DA5E3E" w:rsidRPr="003E2516">
        <w:rPr>
          <w:rFonts w:ascii="Times New Roman" w:hAnsi="Times New Roman" w:cs="Times New Roman"/>
          <w:b/>
          <w:color w:val="000000" w:themeColor="text1"/>
          <w:kern w:val="24"/>
          <w:sz w:val="24"/>
          <w:szCs w:val="24"/>
        </w:rPr>
        <w:t>.3.1 Financial and Fiscal Commission (FFC)</w:t>
      </w:r>
    </w:p>
    <w:p w:rsidR="003E2516" w:rsidRPr="003E2516" w:rsidRDefault="003E2516"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FFC in its submission on the Department’s MTEF Budget 2017/18 noted that </w:t>
      </w:r>
      <w:r w:rsidR="00571C6E" w:rsidRPr="003E2516">
        <w:rPr>
          <w:rFonts w:ascii="Times New Roman" w:hAnsi="Times New Roman" w:cs="Times New Roman"/>
          <w:color w:val="000000" w:themeColor="text1"/>
          <w:kern w:val="24"/>
          <w:sz w:val="24"/>
          <w:szCs w:val="24"/>
        </w:rPr>
        <w:t>H</w:t>
      </w:r>
      <w:r w:rsidRPr="003E2516">
        <w:rPr>
          <w:rFonts w:ascii="Times New Roman" w:hAnsi="Times New Roman" w:cs="Times New Roman"/>
          <w:color w:val="000000" w:themeColor="text1"/>
          <w:kern w:val="24"/>
          <w:sz w:val="24"/>
          <w:szCs w:val="24"/>
        </w:rPr>
        <w:t xml:space="preserve">igher </w:t>
      </w:r>
      <w:r w:rsidR="00571C6E" w:rsidRPr="003E2516">
        <w:rPr>
          <w:rFonts w:ascii="Times New Roman" w:hAnsi="Times New Roman" w:cs="Times New Roman"/>
          <w:color w:val="000000" w:themeColor="text1"/>
          <w:kern w:val="24"/>
          <w:sz w:val="24"/>
          <w:szCs w:val="24"/>
        </w:rPr>
        <w:t>E</w:t>
      </w:r>
      <w:r w:rsidRPr="003E2516">
        <w:rPr>
          <w:rFonts w:ascii="Times New Roman" w:hAnsi="Times New Roman" w:cs="Times New Roman"/>
          <w:color w:val="000000" w:themeColor="text1"/>
          <w:kern w:val="24"/>
          <w:sz w:val="24"/>
          <w:szCs w:val="24"/>
        </w:rPr>
        <w:t xml:space="preserve">ducation was moving towards its national development goals. However, the access and education performance was still racially and regionally inequitable with low graduate output. In relation to the TVET sector, the </w:t>
      </w:r>
      <w:r w:rsidR="00431F88" w:rsidRPr="003E2516">
        <w:rPr>
          <w:rFonts w:ascii="Times New Roman" w:hAnsi="Times New Roman" w:cs="Times New Roman"/>
          <w:color w:val="000000" w:themeColor="text1"/>
          <w:kern w:val="24"/>
          <w:sz w:val="24"/>
          <w:szCs w:val="24"/>
        </w:rPr>
        <w:t>Commission</w:t>
      </w:r>
      <w:r w:rsidRPr="003E2516">
        <w:rPr>
          <w:rFonts w:ascii="Times New Roman" w:hAnsi="Times New Roman" w:cs="Times New Roman"/>
          <w:color w:val="000000" w:themeColor="text1"/>
          <w:kern w:val="24"/>
          <w:sz w:val="24"/>
          <w:szCs w:val="24"/>
        </w:rPr>
        <w:t xml:space="preserve"> noted that there were few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that had qualified teaching staff with adequate teaching and technical skills and this had implications on the overall output of the sector. </w:t>
      </w:r>
    </w:p>
    <w:p w:rsidR="00E84FFB" w:rsidRPr="003E2516" w:rsidRDefault="00E84FFB"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In relation to the APP 2017/18, the FFC </w:t>
      </w:r>
      <w:r w:rsidR="00431F88" w:rsidRPr="003E2516">
        <w:rPr>
          <w:rFonts w:ascii="Times New Roman" w:hAnsi="Times New Roman" w:cs="Times New Roman"/>
          <w:color w:val="000000" w:themeColor="text1"/>
          <w:kern w:val="24"/>
          <w:sz w:val="24"/>
          <w:szCs w:val="24"/>
        </w:rPr>
        <w:t>expressed a concern</w:t>
      </w:r>
      <w:r w:rsidRPr="003E2516">
        <w:rPr>
          <w:rFonts w:ascii="Times New Roman" w:hAnsi="Times New Roman" w:cs="Times New Roman"/>
          <w:color w:val="000000" w:themeColor="text1"/>
          <w:kern w:val="24"/>
          <w:sz w:val="24"/>
          <w:szCs w:val="24"/>
        </w:rPr>
        <w:t xml:space="preserve"> that the university system was not growing in accordance with its targets (headcount enrolment increased by 1.7 percent to 985 212 students during the 2015 academic year). There were challenges with enrolment in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as </w:t>
      </w:r>
      <w:r w:rsidR="00CB053C" w:rsidRPr="003E2516">
        <w:rPr>
          <w:rFonts w:ascii="Times New Roman" w:hAnsi="Times New Roman" w:cs="Times New Roman"/>
          <w:color w:val="000000" w:themeColor="text1"/>
          <w:kern w:val="24"/>
          <w:sz w:val="24"/>
          <w:szCs w:val="24"/>
        </w:rPr>
        <w:t xml:space="preserve">a </w:t>
      </w:r>
      <w:r w:rsidRPr="003E2516">
        <w:rPr>
          <w:rFonts w:ascii="Times New Roman" w:hAnsi="Times New Roman" w:cs="Times New Roman"/>
          <w:color w:val="000000" w:themeColor="text1"/>
          <w:kern w:val="24"/>
          <w:sz w:val="24"/>
          <w:szCs w:val="24"/>
        </w:rPr>
        <w:t xml:space="preserve">result of inadequate infrastructure, insufficient funding, shortage of human resources, lack of relevant teaching and learning equipment and </w:t>
      </w:r>
      <w:r w:rsidR="00C908CE" w:rsidRPr="003E2516">
        <w:rPr>
          <w:rFonts w:ascii="Times New Roman" w:hAnsi="Times New Roman" w:cs="Times New Roman"/>
          <w:color w:val="000000" w:themeColor="text1"/>
          <w:kern w:val="24"/>
          <w:sz w:val="24"/>
          <w:szCs w:val="24"/>
        </w:rPr>
        <w:t xml:space="preserve">the </w:t>
      </w:r>
      <w:r w:rsidRPr="003E2516">
        <w:rPr>
          <w:rFonts w:ascii="Times New Roman" w:hAnsi="Times New Roman" w:cs="Times New Roman"/>
          <w:color w:val="000000" w:themeColor="text1"/>
          <w:kern w:val="24"/>
          <w:sz w:val="24"/>
          <w:szCs w:val="24"/>
        </w:rPr>
        <w:t xml:space="preserve">low student access and certification rate. </w:t>
      </w: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With regard to the Department</w:t>
      </w:r>
      <w:r w:rsidR="00E84FFB" w:rsidRPr="003E2516">
        <w:rPr>
          <w:rFonts w:ascii="Times New Roman" w:hAnsi="Times New Roman" w:cs="Times New Roman"/>
          <w:color w:val="000000" w:themeColor="text1"/>
          <w:kern w:val="24"/>
          <w:sz w:val="24"/>
          <w:szCs w:val="24"/>
        </w:rPr>
        <w:t>’s</w:t>
      </w:r>
      <w:r w:rsidRPr="003E2516">
        <w:rPr>
          <w:rFonts w:ascii="Times New Roman" w:hAnsi="Times New Roman" w:cs="Times New Roman"/>
          <w:color w:val="000000" w:themeColor="text1"/>
          <w:kern w:val="24"/>
          <w:sz w:val="24"/>
          <w:szCs w:val="24"/>
        </w:rPr>
        <w:t xml:space="preserve"> budget, the FFC indicated that over the 2017 MTEF period, real annual average growth of the Department’s budget was 4.1 percent. As at 2017/18, the University Education programme consumed the largest share of the Department’s budget at R41.9 billion. The second largest driver of the Department’s budget was the TVET programme followed by the CET programme. </w:t>
      </w: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E84FFB"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In relation to the historical spending performance of the Department from 2013/14 – 2015/16, the Department consistently </w:t>
      </w:r>
      <w:r w:rsidR="00C908CE" w:rsidRPr="003E2516">
        <w:rPr>
          <w:rFonts w:ascii="Times New Roman" w:hAnsi="Times New Roman" w:cs="Times New Roman"/>
          <w:color w:val="000000" w:themeColor="text1"/>
          <w:kern w:val="24"/>
          <w:sz w:val="24"/>
          <w:szCs w:val="24"/>
        </w:rPr>
        <w:t xml:space="preserve">spent </w:t>
      </w:r>
      <w:r w:rsidR="00A76AE5" w:rsidRPr="003E2516">
        <w:rPr>
          <w:rFonts w:ascii="Times New Roman" w:hAnsi="Times New Roman" w:cs="Times New Roman"/>
          <w:color w:val="000000" w:themeColor="text1"/>
          <w:kern w:val="24"/>
          <w:sz w:val="24"/>
          <w:szCs w:val="24"/>
        </w:rPr>
        <w:t>over 99</w:t>
      </w:r>
      <w:r w:rsidRPr="003E2516">
        <w:rPr>
          <w:rFonts w:ascii="Times New Roman" w:hAnsi="Times New Roman" w:cs="Times New Roman"/>
          <w:color w:val="000000" w:themeColor="text1"/>
          <w:kern w:val="24"/>
          <w:sz w:val="24"/>
          <w:szCs w:val="24"/>
        </w:rPr>
        <w:t xml:space="preserve"> percent of its total budget. Underspending in 2015/16 was equivalent to roughly R84.5 million as a result of slow filling of vacant posts due to the large volumes of applications and posts that were advertised as part of the TVET and CET function shift. The department achieved 73 percent of its </w:t>
      </w:r>
      <w:r w:rsidR="00A76AE5" w:rsidRPr="003E2516">
        <w:rPr>
          <w:rFonts w:ascii="Times New Roman" w:hAnsi="Times New Roman" w:cs="Times New Roman"/>
          <w:color w:val="000000" w:themeColor="text1"/>
          <w:kern w:val="24"/>
          <w:sz w:val="24"/>
          <w:szCs w:val="24"/>
        </w:rPr>
        <w:t>targets</w:t>
      </w:r>
      <w:r w:rsidRPr="003E2516">
        <w:rPr>
          <w:rFonts w:ascii="Times New Roman" w:hAnsi="Times New Roman" w:cs="Times New Roman"/>
          <w:color w:val="000000" w:themeColor="text1"/>
          <w:kern w:val="24"/>
          <w:sz w:val="24"/>
          <w:szCs w:val="24"/>
        </w:rPr>
        <w:t>, but spent 99.8 percent of its budget, suggesting that</w:t>
      </w:r>
      <w:r w:rsidR="00C908CE" w:rsidRPr="003E2516">
        <w:rPr>
          <w:rFonts w:ascii="Times New Roman" w:hAnsi="Times New Roman" w:cs="Times New Roman"/>
          <w:color w:val="000000" w:themeColor="text1"/>
          <w:kern w:val="24"/>
          <w:sz w:val="24"/>
          <w:szCs w:val="24"/>
        </w:rPr>
        <w:t xml:space="preserve"> the</w:t>
      </w:r>
      <w:r w:rsidRPr="003E2516">
        <w:rPr>
          <w:rFonts w:ascii="Times New Roman" w:hAnsi="Times New Roman" w:cs="Times New Roman"/>
          <w:color w:val="000000" w:themeColor="text1"/>
          <w:kern w:val="24"/>
          <w:sz w:val="24"/>
          <w:szCs w:val="24"/>
        </w:rPr>
        <w:t xml:space="preserve"> budget and performance</w:t>
      </w:r>
      <w:r w:rsidR="00C908CE" w:rsidRPr="003E2516">
        <w:rPr>
          <w:rFonts w:ascii="Times New Roman" w:hAnsi="Times New Roman" w:cs="Times New Roman"/>
          <w:color w:val="000000" w:themeColor="text1"/>
          <w:kern w:val="24"/>
          <w:sz w:val="24"/>
          <w:szCs w:val="24"/>
        </w:rPr>
        <w:t xml:space="preserve"> outcomes</w:t>
      </w:r>
      <w:r w:rsidRPr="003E2516">
        <w:rPr>
          <w:rFonts w:ascii="Times New Roman" w:hAnsi="Times New Roman" w:cs="Times New Roman"/>
          <w:color w:val="000000" w:themeColor="text1"/>
          <w:kern w:val="24"/>
          <w:sz w:val="24"/>
          <w:szCs w:val="24"/>
        </w:rPr>
        <w:t xml:space="preserve"> were not aligned</w:t>
      </w:r>
      <w:r w:rsidR="00C908CE"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which raise</w:t>
      </w:r>
      <w:r w:rsidR="00863577" w:rsidRPr="003E2516">
        <w:rPr>
          <w:rFonts w:ascii="Times New Roman" w:hAnsi="Times New Roman" w:cs="Times New Roman"/>
          <w:color w:val="000000" w:themeColor="text1"/>
          <w:kern w:val="24"/>
          <w:sz w:val="24"/>
          <w:szCs w:val="24"/>
        </w:rPr>
        <w:t>s</w:t>
      </w:r>
      <w:r w:rsidRPr="003E2516">
        <w:rPr>
          <w:rFonts w:ascii="Times New Roman" w:hAnsi="Times New Roman" w:cs="Times New Roman"/>
          <w:color w:val="000000" w:themeColor="text1"/>
          <w:kern w:val="24"/>
          <w:sz w:val="24"/>
          <w:szCs w:val="24"/>
        </w:rPr>
        <w:t xml:space="preserve"> the issue of effectiveness and value for money. </w:t>
      </w:r>
    </w:p>
    <w:p w:rsidR="00E84FFB" w:rsidRPr="003E2516" w:rsidRDefault="00E84FFB"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6</w:t>
      </w:r>
      <w:r w:rsidR="00DA5E3E" w:rsidRPr="003E2516">
        <w:rPr>
          <w:rFonts w:ascii="Times New Roman" w:hAnsi="Times New Roman" w:cs="Times New Roman"/>
          <w:b/>
          <w:color w:val="000000" w:themeColor="text1"/>
          <w:kern w:val="24"/>
          <w:sz w:val="24"/>
          <w:szCs w:val="24"/>
        </w:rPr>
        <w:t xml:space="preserve">.3.2 Technical and Vocational Education and Training </w:t>
      </w:r>
      <w:r w:rsidR="00863577" w:rsidRPr="003E2516">
        <w:rPr>
          <w:rFonts w:ascii="Times New Roman" w:hAnsi="Times New Roman" w:cs="Times New Roman"/>
          <w:b/>
          <w:color w:val="000000" w:themeColor="text1"/>
          <w:kern w:val="24"/>
          <w:sz w:val="24"/>
          <w:szCs w:val="24"/>
        </w:rPr>
        <w:t>Colleges</w:t>
      </w:r>
      <w:r w:rsidR="00DA5E3E" w:rsidRPr="003E2516">
        <w:rPr>
          <w:rFonts w:ascii="Times New Roman" w:hAnsi="Times New Roman" w:cs="Times New Roman"/>
          <w:b/>
          <w:color w:val="000000" w:themeColor="text1"/>
          <w:kern w:val="24"/>
          <w:sz w:val="24"/>
          <w:szCs w:val="24"/>
        </w:rPr>
        <w:t xml:space="preserve"> Governors Council</w:t>
      </w: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TVETCGC in its submission on the Department’s MTEF Budget 2017/18 indicated that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were highly underfunded </w:t>
      </w:r>
      <w:r w:rsidR="00DD211F" w:rsidRPr="003E2516">
        <w:rPr>
          <w:rFonts w:ascii="Times New Roman" w:hAnsi="Times New Roman" w:cs="Times New Roman"/>
          <w:color w:val="000000" w:themeColor="text1"/>
          <w:kern w:val="24"/>
          <w:sz w:val="24"/>
          <w:szCs w:val="24"/>
        </w:rPr>
        <w:t>such that</w:t>
      </w:r>
      <w:r w:rsidRPr="003E2516">
        <w:rPr>
          <w:rFonts w:ascii="Times New Roman" w:hAnsi="Times New Roman" w:cs="Times New Roman"/>
          <w:color w:val="000000" w:themeColor="text1"/>
          <w:kern w:val="24"/>
          <w:sz w:val="24"/>
          <w:szCs w:val="24"/>
        </w:rPr>
        <w:t xml:space="preserve"> the funding was not commensurate with </w:t>
      </w:r>
      <w:r w:rsidR="001C724F" w:rsidRPr="003E2516">
        <w:rPr>
          <w:rFonts w:ascii="Times New Roman" w:hAnsi="Times New Roman" w:cs="Times New Roman"/>
          <w:color w:val="000000" w:themeColor="text1"/>
          <w:kern w:val="24"/>
          <w:sz w:val="24"/>
          <w:szCs w:val="24"/>
        </w:rPr>
        <w:t>Government</w:t>
      </w:r>
      <w:r w:rsidRPr="003E2516">
        <w:rPr>
          <w:rFonts w:ascii="Times New Roman" w:hAnsi="Times New Roman" w:cs="Times New Roman"/>
          <w:color w:val="000000" w:themeColor="text1"/>
          <w:kern w:val="24"/>
          <w:sz w:val="24"/>
          <w:szCs w:val="24"/>
        </w:rPr>
        <w:t xml:space="preserve"> policy position by far. The implications of this was that the NDP targets would not be met if there was no meaningful change in funding levels. The funding made available to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by the Department covered 62 percent of all students in all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and 38 percent of students were not funded. </w:t>
      </w:r>
    </w:p>
    <w:p w:rsidR="00E84FFB" w:rsidRPr="003E2516" w:rsidRDefault="00E84FFB"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The TVETCGC noted that the Department used</w:t>
      </w:r>
      <w:r w:rsidR="00C908CE" w:rsidRPr="003E2516">
        <w:rPr>
          <w:rFonts w:ascii="Times New Roman" w:hAnsi="Times New Roman" w:cs="Times New Roman"/>
          <w:color w:val="000000" w:themeColor="text1"/>
          <w:kern w:val="24"/>
          <w:sz w:val="24"/>
          <w:szCs w:val="24"/>
        </w:rPr>
        <w:t xml:space="preserve"> a</w:t>
      </w:r>
      <w:r w:rsidRPr="003E2516">
        <w:rPr>
          <w:rFonts w:ascii="Times New Roman" w:hAnsi="Times New Roman" w:cs="Times New Roman"/>
          <w:color w:val="000000" w:themeColor="text1"/>
          <w:kern w:val="24"/>
          <w:sz w:val="24"/>
          <w:szCs w:val="24"/>
        </w:rPr>
        <w:t xml:space="preserve"> 80 percent programme</w:t>
      </w:r>
      <w:r w:rsidR="00C908CE"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based cost</w:t>
      </w:r>
      <w:r w:rsidR="00C908CE"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funding model for allocation to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The challenge experienced by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was that the allocation was far less than 80 percent because of the full</w:t>
      </w:r>
      <w:r w:rsidR="00C908CE"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time equivalent (FTE) concept that reduced funding further. The current gross underfunding for 2016/17 would see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80 </w:t>
      </w:r>
      <w:r w:rsidRPr="003E2516">
        <w:rPr>
          <w:rFonts w:ascii="Times New Roman" w:hAnsi="Times New Roman" w:cs="Times New Roman"/>
          <w:color w:val="000000" w:themeColor="text1"/>
          <w:kern w:val="24"/>
          <w:sz w:val="24"/>
          <w:szCs w:val="24"/>
        </w:rPr>
        <w:lastRenderedPageBreak/>
        <w:t>percent allocation being reduced to 46 percent</w:t>
      </w:r>
      <w:r w:rsidR="00CB053C"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thus leaving the deficit of 54 percent </w:t>
      </w:r>
      <w:r w:rsidR="00CB053C" w:rsidRPr="003E2516">
        <w:rPr>
          <w:rFonts w:ascii="Times New Roman" w:hAnsi="Times New Roman" w:cs="Times New Roman"/>
          <w:color w:val="000000" w:themeColor="text1"/>
          <w:kern w:val="24"/>
          <w:sz w:val="24"/>
          <w:szCs w:val="24"/>
        </w:rPr>
        <w:t>of</w:t>
      </w:r>
      <w:r w:rsidRPr="003E2516">
        <w:rPr>
          <w:rFonts w:ascii="Times New Roman" w:hAnsi="Times New Roman" w:cs="Times New Roman"/>
          <w:color w:val="000000" w:themeColor="text1"/>
          <w:kern w:val="24"/>
          <w:sz w:val="24"/>
          <w:szCs w:val="24"/>
        </w:rPr>
        <w:t xml:space="preserve"> the 80 percent allocation.</w:t>
      </w:r>
    </w:p>
    <w:p w:rsidR="00E84FFB" w:rsidRPr="003E2516" w:rsidRDefault="00E84FFB"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With regard to the APP 2017/18, the TVETCGC indicated that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should be funded a full R13.6 billion that was determined as a required budget for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for 2017/18 and </w:t>
      </w:r>
      <w:r w:rsidR="00C908CE" w:rsidRPr="003E2516">
        <w:rPr>
          <w:rFonts w:ascii="Times New Roman" w:hAnsi="Times New Roman" w:cs="Times New Roman"/>
          <w:color w:val="000000" w:themeColor="text1"/>
          <w:kern w:val="24"/>
          <w:sz w:val="24"/>
          <w:szCs w:val="24"/>
        </w:rPr>
        <w:t xml:space="preserve">a further </w:t>
      </w:r>
      <w:r w:rsidRPr="003E2516">
        <w:rPr>
          <w:rFonts w:ascii="Times New Roman" w:hAnsi="Times New Roman" w:cs="Times New Roman"/>
          <w:color w:val="000000" w:themeColor="text1"/>
          <w:kern w:val="24"/>
          <w:sz w:val="24"/>
          <w:szCs w:val="24"/>
        </w:rPr>
        <w:t>R5 billion</w:t>
      </w:r>
      <w:r w:rsidR="00C908CE" w:rsidRPr="003E2516">
        <w:rPr>
          <w:rFonts w:ascii="Times New Roman" w:hAnsi="Times New Roman" w:cs="Times New Roman"/>
          <w:color w:val="000000" w:themeColor="text1"/>
          <w:kern w:val="24"/>
          <w:sz w:val="24"/>
          <w:szCs w:val="24"/>
        </w:rPr>
        <w:t xml:space="preserve"> should</w:t>
      </w:r>
      <w:r w:rsidRPr="003E2516">
        <w:rPr>
          <w:rFonts w:ascii="Times New Roman" w:hAnsi="Times New Roman" w:cs="Times New Roman"/>
          <w:color w:val="000000" w:themeColor="text1"/>
          <w:kern w:val="24"/>
          <w:sz w:val="24"/>
          <w:szCs w:val="24"/>
        </w:rPr>
        <w:t xml:space="preserve"> be made available for infrastructure development. The funding for operations and capital projects </w:t>
      </w:r>
      <w:r w:rsidR="00C908CE" w:rsidRPr="003E2516">
        <w:rPr>
          <w:rFonts w:ascii="Times New Roman" w:hAnsi="Times New Roman" w:cs="Times New Roman"/>
          <w:color w:val="000000" w:themeColor="text1"/>
          <w:kern w:val="24"/>
          <w:sz w:val="24"/>
          <w:szCs w:val="24"/>
        </w:rPr>
        <w:t>should</w:t>
      </w:r>
      <w:r w:rsidRPr="003E2516">
        <w:rPr>
          <w:rFonts w:ascii="Times New Roman" w:hAnsi="Times New Roman" w:cs="Times New Roman"/>
          <w:color w:val="000000" w:themeColor="text1"/>
          <w:kern w:val="24"/>
          <w:sz w:val="24"/>
          <w:szCs w:val="24"/>
        </w:rPr>
        <w:t xml:space="preserve"> be equitable in the whole post-school education sector</w:t>
      </w:r>
      <w:r w:rsidR="00C908CE"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while taking into account the historical </w:t>
      </w:r>
      <w:r w:rsidR="00C908CE" w:rsidRPr="003E2516">
        <w:rPr>
          <w:rFonts w:ascii="Times New Roman" w:hAnsi="Times New Roman" w:cs="Times New Roman"/>
          <w:color w:val="000000" w:themeColor="text1"/>
          <w:kern w:val="24"/>
          <w:sz w:val="24"/>
          <w:szCs w:val="24"/>
        </w:rPr>
        <w:t>backlogs of</w:t>
      </w:r>
      <w:r w:rsidRPr="003E2516">
        <w:rPr>
          <w:rFonts w:ascii="Times New Roman" w:hAnsi="Times New Roman" w:cs="Times New Roman"/>
          <w:color w:val="000000" w:themeColor="text1"/>
          <w:kern w:val="24"/>
          <w:sz w:val="24"/>
          <w:szCs w:val="24"/>
        </w:rPr>
        <w:t xml:space="preserve"> the TVET sector as well as the size of this sector in terms of the NDP targets. The TVETCGC emphasised that the SETAs partnership with TVETs needed to be reviewed.</w:t>
      </w:r>
    </w:p>
    <w:p w:rsidR="00DA5E3E" w:rsidRPr="003E2516" w:rsidRDefault="00DA5E3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DA5E3E" w:rsidRPr="003E2516" w:rsidRDefault="00C908CE"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The TVETCGC proposed the following immediate recommendations to be implemented in the 2017/18 budget of the Department</w:t>
      </w:r>
      <w:r w:rsidR="00DA5E3E" w:rsidRPr="003E2516">
        <w:rPr>
          <w:rFonts w:ascii="Times New Roman" w:hAnsi="Times New Roman" w:cs="Times New Roman"/>
          <w:color w:val="000000" w:themeColor="text1"/>
          <w:kern w:val="24"/>
          <w:sz w:val="24"/>
          <w:szCs w:val="24"/>
        </w:rPr>
        <w:t>: Full funding of the estimated R13.6 billion for 2017/18</w:t>
      </w:r>
      <w:r w:rsidR="000B79F5" w:rsidRPr="003E2516">
        <w:rPr>
          <w:rFonts w:ascii="Times New Roman" w:hAnsi="Times New Roman" w:cs="Times New Roman"/>
          <w:color w:val="000000" w:themeColor="text1"/>
          <w:kern w:val="24"/>
          <w:sz w:val="24"/>
          <w:szCs w:val="24"/>
        </w:rPr>
        <w:t xml:space="preserve"> be allocated</w:t>
      </w:r>
      <w:r w:rsidR="00DA5E3E" w:rsidRPr="003E2516">
        <w:rPr>
          <w:rFonts w:ascii="Times New Roman" w:hAnsi="Times New Roman" w:cs="Times New Roman"/>
          <w:color w:val="000000" w:themeColor="text1"/>
          <w:kern w:val="24"/>
          <w:sz w:val="24"/>
          <w:szCs w:val="24"/>
        </w:rPr>
        <w:t>, refund</w:t>
      </w:r>
      <w:r w:rsidRPr="003E2516">
        <w:rPr>
          <w:rFonts w:ascii="Times New Roman" w:hAnsi="Times New Roman" w:cs="Times New Roman"/>
          <w:color w:val="000000" w:themeColor="text1"/>
          <w:kern w:val="24"/>
          <w:sz w:val="24"/>
          <w:szCs w:val="24"/>
        </w:rPr>
        <w:t>ing</w:t>
      </w:r>
      <w:r w:rsidR="00DA5E3E" w:rsidRPr="003E2516">
        <w:rPr>
          <w:rFonts w:ascii="Times New Roman" w:hAnsi="Times New Roman" w:cs="Times New Roman"/>
          <w:color w:val="000000" w:themeColor="text1"/>
          <w:kern w:val="24"/>
          <w:sz w:val="24"/>
          <w:szCs w:val="24"/>
        </w:rPr>
        <w:t xml:space="preserve"> of </w:t>
      </w:r>
      <w:r w:rsidRPr="003E2516">
        <w:rPr>
          <w:rFonts w:ascii="Times New Roman" w:hAnsi="Times New Roman" w:cs="Times New Roman"/>
          <w:color w:val="000000" w:themeColor="text1"/>
          <w:kern w:val="24"/>
          <w:sz w:val="24"/>
          <w:szCs w:val="24"/>
        </w:rPr>
        <w:t xml:space="preserve">the </w:t>
      </w:r>
      <w:r w:rsidR="00DA5E3E" w:rsidRPr="003E2516">
        <w:rPr>
          <w:rFonts w:ascii="Times New Roman" w:hAnsi="Times New Roman" w:cs="Times New Roman"/>
          <w:color w:val="000000" w:themeColor="text1"/>
          <w:kern w:val="24"/>
          <w:sz w:val="24"/>
          <w:szCs w:val="24"/>
        </w:rPr>
        <w:t xml:space="preserve">R388 million taken for salaries, student debt relief for the TVET </w:t>
      </w:r>
      <w:r w:rsidR="00863577" w:rsidRPr="003E2516">
        <w:rPr>
          <w:rFonts w:ascii="Times New Roman" w:hAnsi="Times New Roman" w:cs="Times New Roman"/>
          <w:color w:val="000000" w:themeColor="text1"/>
          <w:kern w:val="24"/>
          <w:sz w:val="24"/>
          <w:szCs w:val="24"/>
        </w:rPr>
        <w:t>Colleges</w:t>
      </w:r>
      <w:r w:rsidR="00DA5E3E" w:rsidRPr="003E2516">
        <w:rPr>
          <w:rFonts w:ascii="Times New Roman" w:hAnsi="Times New Roman" w:cs="Times New Roman"/>
          <w:color w:val="000000" w:themeColor="text1"/>
          <w:kern w:val="24"/>
          <w:sz w:val="24"/>
          <w:szCs w:val="24"/>
        </w:rPr>
        <w:t xml:space="preserve"> as done in universities, funding of Student Support Service, infrastructure, teaching, research and governance capacity development.</w:t>
      </w:r>
    </w:p>
    <w:p w:rsidR="00E84FFB" w:rsidRPr="003E2516" w:rsidRDefault="00E84FFB" w:rsidP="003E2516">
      <w:pPr>
        <w:spacing w:before="120" w:after="120" w:line="240" w:lineRule="auto"/>
        <w:jc w:val="both"/>
        <w:textAlignment w:val="center"/>
        <w:rPr>
          <w:rFonts w:ascii="Times New Roman" w:eastAsia="Times New Roman" w:hAnsi="Times New Roman" w:cs="Times New Roman"/>
          <w:sz w:val="24"/>
          <w:szCs w:val="24"/>
          <w:lang w:val="en-US" w:eastAsia="en-US"/>
        </w:rPr>
      </w:pPr>
    </w:p>
    <w:p w:rsidR="00DF7A6F"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DF7A6F" w:rsidRPr="003E2516">
        <w:rPr>
          <w:rFonts w:ascii="Times New Roman" w:hAnsi="Times New Roman" w:cs="Times New Roman"/>
          <w:b/>
          <w:sz w:val="24"/>
          <w:szCs w:val="24"/>
        </w:rPr>
        <w:t xml:space="preserve">.4. Overview and assessment of the 2015/16 – 2019/20 Revised Strategic Plan and 2017/18 Annual Performance Plan </w:t>
      </w:r>
    </w:p>
    <w:p w:rsidR="00DF7A6F"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DF7A6F" w:rsidRPr="003E2516">
        <w:rPr>
          <w:rFonts w:ascii="Times New Roman" w:hAnsi="Times New Roman" w:cs="Times New Roman"/>
          <w:b/>
          <w:sz w:val="24"/>
          <w:szCs w:val="24"/>
        </w:rPr>
        <w:t>.4.1. Revised</w:t>
      </w:r>
      <w:r w:rsidR="00B81E3A" w:rsidRPr="003E2516">
        <w:rPr>
          <w:rFonts w:ascii="Times New Roman" w:hAnsi="Times New Roman" w:cs="Times New Roman"/>
          <w:b/>
          <w:sz w:val="24"/>
          <w:szCs w:val="24"/>
        </w:rPr>
        <w:t xml:space="preserve"> Strategic Plan</w:t>
      </w:r>
      <w:r w:rsidR="00DF7A6F" w:rsidRPr="003E2516">
        <w:rPr>
          <w:rFonts w:ascii="Times New Roman" w:hAnsi="Times New Roman" w:cs="Times New Roman"/>
          <w:b/>
          <w:sz w:val="24"/>
          <w:szCs w:val="24"/>
        </w:rPr>
        <w:t xml:space="preserve"> 2015/16 – 2019/20</w:t>
      </w:r>
    </w:p>
    <w:p w:rsidR="0044089E" w:rsidRPr="003E2516" w:rsidRDefault="0044089E"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During the 2016/17 financial year, the Department reconfigured the Vocational and Continuing Education and Training</w:t>
      </w:r>
      <w:r w:rsidR="00E84FFB" w:rsidRPr="003E2516">
        <w:rPr>
          <w:rFonts w:ascii="Times New Roman" w:hAnsi="Times New Roman" w:cs="Times New Roman"/>
          <w:sz w:val="24"/>
          <w:szCs w:val="24"/>
        </w:rPr>
        <w:t xml:space="preserve"> (VCET)</w:t>
      </w:r>
      <w:r w:rsidRPr="003E2516">
        <w:rPr>
          <w:rFonts w:ascii="Times New Roman" w:hAnsi="Times New Roman" w:cs="Times New Roman"/>
          <w:sz w:val="24"/>
          <w:szCs w:val="24"/>
        </w:rPr>
        <w:t xml:space="preserve"> Branch by splitting it into two delivery programmes, namely; Technical Vocational Education and Training</w:t>
      </w:r>
      <w:r w:rsidR="00E84FFB" w:rsidRPr="003E2516">
        <w:rPr>
          <w:rFonts w:ascii="Times New Roman" w:hAnsi="Times New Roman" w:cs="Times New Roman"/>
          <w:sz w:val="24"/>
          <w:szCs w:val="24"/>
        </w:rPr>
        <w:t xml:space="preserve"> (TVET)</w:t>
      </w:r>
      <w:r w:rsidRPr="003E2516">
        <w:rPr>
          <w:rFonts w:ascii="Times New Roman" w:hAnsi="Times New Roman" w:cs="Times New Roman"/>
          <w:sz w:val="24"/>
          <w:szCs w:val="24"/>
        </w:rPr>
        <w:t xml:space="preserve"> and Community Education and Training</w:t>
      </w:r>
      <w:r w:rsidR="00E84FFB" w:rsidRPr="003E2516">
        <w:rPr>
          <w:rFonts w:ascii="Times New Roman" w:hAnsi="Times New Roman" w:cs="Times New Roman"/>
          <w:sz w:val="24"/>
          <w:szCs w:val="24"/>
        </w:rPr>
        <w:t xml:space="preserve"> (CET)</w:t>
      </w:r>
      <w:r w:rsidRPr="003E2516">
        <w:rPr>
          <w:rFonts w:ascii="Times New Roman" w:hAnsi="Times New Roman" w:cs="Times New Roman"/>
          <w:sz w:val="24"/>
          <w:szCs w:val="24"/>
        </w:rPr>
        <w:t>. This reconfiguration increased the number of</w:t>
      </w:r>
      <w:r w:rsidR="00E84FFB" w:rsidRPr="003E2516">
        <w:rPr>
          <w:rFonts w:ascii="Times New Roman" w:hAnsi="Times New Roman" w:cs="Times New Roman"/>
          <w:sz w:val="24"/>
          <w:szCs w:val="24"/>
        </w:rPr>
        <w:t xml:space="preserve"> the</w:t>
      </w:r>
      <w:r w:rsidR="00E9009E" w:rsidRPr="003E2516">
        <w:rPr>
          <w:rFonts w:ascii="Times New Roman" w:hAnsi="Times New Roman" w:cs="Times New Roman"/>
          <w:sz w:val="24"/>
          <w:szCs w:val="24"/>
        </w:rPr>
        <w:t xml:space="preserve"> departmental</w:t>
      </w:r>
      <w:r w:rsidRPr="003E2516">
        <w:rPr>
          <w:rFonts w:ascii="Times New Roman" w:hAnsi="Times New Roman" w:cs="Times New Roman"/>
          <w:sz w:val="24"/>
          <w:szCs w:val="24"/>
        </w:rPr>
        <w:t xml:space="preserve"> budget programmes from five in 2015/16 to six in 2016/17. The newly established programme is Community Education and Training</w:t>
      </w:r>
      <w:r w:rsidR="00DD211F" w:rsidRPr="003E2516">
        <w:rPr>
          <w:rFonts w:ascii="Times New Roman" w:hAnsi="Times New Roman" w:cs="Times New Roman"/>
          <w:sz w:val="24"/>
          <w:szCs w:val="24"/>
        </w:rPr>
        <w:t>, which is</w:t>
      </w:r>
      <w:r w:rsidRPr="003E2516">
        <w:rPr>
          <w:rFonts w:ascii="Times New Roman" w:hAnsi="Times New Roman" w:cs="Times New Roman"/>
          <w:sz w:val="24"/>
          <w:szCs w:val="24"/>
        </w:rPr>
        <w:t xml:space="preserve"> headed by a Deputy-Director-General. Subsequent to the split of programme 4, the programme was then renamed Technical and Vocational Education and Training, responsible for all matters related to technical and vocational education and training only. Sub-programme 1: Programme Management: Vocational Education and Continuing Education and Training was renamed Programme Management: Technical and Vocational Education and Training, while a new sub-programme 5: Financial Planning was introduced.</w:t>
      </w:r>
    </w:p>
    <w:p w:rsidR="0044089E" w:rsidRPr="003E2516" w:rsidRDefault="0044089E"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renaming of programmes and sub-programmes also occurred in programme 2 previously known as Human Resource Development, Planning and Monitoring Coordination. The programme was renamed Planning, Policy and Strategy. This was to avoid confusion that the Programme was responsible for Department’s internal </w:t>
      </w:r>
      <w:r w:rsidR="00E9009E" w:rsidRPr="003E2516">
        <w:rPr>
          <w:rFonts w:ascii="Times New Roman" w:hAnsi="Times New Roman" w:cs="Times New Roman"/>
          <w:sz w:val="24"/>
          <w:szCs w:val="24"/>
        </w:rPr>
        <w:t>Human Resource</w:t>
      </w:r>
      <w:r w:rsidRPr="003E2516">
        <w:rPr>
          <w:rFonts w:ascii="Times New Roman" w:hAnsi="Times New Roman" w:cs="Times New Roman"/>
          <w:sz w:val="24"/>
          <w:szCs w:val="24"/>
        </w:rPr>
        <w:t xml:space="preserve"> matters, while its purpose is to provide strategic direction in the development, implementation and monitoring of Departmental policies and the Human Resource Development Council of South Africa (HRDCSA). Sub-programme 1: Programme Management: Human Resource Development, Planning and Monitoring Coordination had been renamed Programmed Management: Planning, Policy and Strategy to align it with the new name of the Programme.</w:t>
      </w:r>
    </w:p>
    <w:p w:rsidR="00DF7A6F" w:rsidRPr="003E2516" w:rsidRDefault="00DF7A6F" w:rsidP="003E2516">
      <w:pPr>
        <w:spacing w:before="120" w:after="120" w:line="240" w:lineRule="auto"/>
        <w:jc w:val="both"/>
        <w:rPr>
          <w:rFonts w:ascii="Times New Roman" w:hAnsi="Times New Roman" w:cs="Times New Roman"/>
          <w:color w:val="000000" w:themeColor="text1"/>
          <w:sz w:val="24"/>
          <w:szCs w:val="24"/>
        </w:rPr>
      </w:pPr>
      <w:r w:rsidRPr="003E2516">
        <w:rPr>
          <w:rFonts w:ascii="Times New Roman" w:hAnsi="Times New Roman" w:cs="Times New Roman"/>
          <w:sz w:val="24"/>
          <w:szCs w:val="24"/>
        </w:rPr>
        <w:t>With the extreme funding challenges impacting on the realisation of both the White Paper</w:t>
      </w:r>
      <w:r w:rsidR="00B52035" w:rsidRPr="003E2516">
        <w:rPr>
          <w:rFonts w:ascii="Times New Roman" w:hAnsi="Times New Roman" w:cs="Times New Roman"/>
          <w:sz w:val="24"/>
          <w:szCs w:val="24"/>
        </w:rPr>
        <w:t xml:space="preserve"> for Post-School Education and Training</w:t>
      </w:r>
      <w:r w:rsidRPr="003E2516">
        <w:rPr>
          <w:rFonts w:ascii="Times New Roman" w:hAnsi="Times New Roman" w:cs="Times New Roman"/>
          <w:sz w:val="24"/>
          <w:szCs w:val="24"/>
        </w:rPr>
        <w:t xml:space="preserve"> and NDP targets, the Department revised downwards the targets for the remainder of the </w:t>
      </w:r>
      <w:r w:rsidR="0044089E" w:rsidRPr="003E2516">
        <w:rPr>
          <w:rFonts w:ascii="Times New Roman" w:hAnsi="Times New Roman" w:cs="Times New Roman"/>
          <w:sz w:val="24"/>
          <w:szCs w:val="24"/>
        </w:rPr>
        <w:t>MT</w:t>
      </w:r>
      <w:r w:rsidR="00384CF3" w:rsidRPr="003E2516">
        <w:rPr>
          <w:rFonts w:ascii="Times New Roman" w:hAnsi="Times New Roman" w:cs="Times New Roman"/>
          <w:sz w:val="24"/>
          <w:szCs w:val="24"/>
        </w:rPr>
        <w:t>S</w:t>
      </w:r>
      <w:r w:rsidR="0044089E" w:rsidRPr="003E2516">
        <w:rPr>
          <w:rFonts w:ascii="Times New Roman" w:hAnsi="Times New Roman" w:cs="Times New Roman"/>
          <w:sz w:val="24"/>
          <w:szCs w:val="24"/>
        </w:rPr>
        <w:t xml:space="preserve">F </w:t>
      </w:r>
      <w:r w:rsidRPr="003E2516">
        <w:rPr>
          <w:rFonts w:ascii="Times New Roman" w:hAnsi="Times New Roman" w:cs="Times New Roman"/>
          <w:sz w:val="24"/>
          <w:szCs w:val="24"/>
        </w:rPr>
        <w:t xml:space="preserve">period. The Department’s targets are set in terms of direct deliverables, which constitute interventions by the Department envisaged to steer the system during the MTSF period and per year; and indirect deliverables, which are the </w:t>
      </w:r>
      <w:r w:rsidRPr="003E2516">
        <w:rPr>
          <w:rFonts w:ascii="Times New Roman" w:hAnsi="Times New Roman" w:cs="Times New Roman"/>
          <w:sz w:val="24"/>
          <w:szCs w:val="24"/>
        </w:rPr>
        <w:lastRenderedPageBreak/>
        <w:t>expected outcomes or performance of the system resulting from the interventions by the Department. For the TVET sector, there are 16 MTSF system targets relating to sub-outcome 2: Increase access and success in programmes leading to intermediate and high learning of the Outcome 5 of the 2014-2019 MTSF. Of the 16 MTSF system targets, five were revised downwards. Th</w:t>
      </w:r>
      <w:r w:rsidR="00CB053C" w:rsidRPr="003E2516">
        <w:rPr>
          <w:rFonts w:ascii="Times New Roman" w:hAnsi="Times New Roman" w:cs="Times New Roman"/>
          <w:sz w:val="24"/>
          <w:szCs w:val="24"/>
        </w:rPr>
        <w:t>ese</w:t>
      </w:r>
      <w:r w:rsidRPr="003E2516">
        <w:rPr>
          <w:rFonts w:ascii="Times New Roman" w:hAnsi="Times New Roman" w:cs="Times New Roman"/>
          <w:sz w:val="24"/>
          <w:szCs w:val="24"/>
        </w:rPr>
        <w:t xml:space="preserve"> include: </w:t>
      </w:r>
      <w:r w:rsidRPr="003E2516">
        <w:rPr>
          <w:rFonts w:ascii="Times New Roman" w:hAnsi="Times New Roman" w:cs="Times New Roman"/>
          <w:color w:val="000000" w:themeColor="text1"/>
          <w:sz w:val="24"/>
          <w:szCs w:val="24"/>
        </w:rPr>
        <w:t xml:space="preserve">the headcount enrolments in TVET </w:t>
      </w:r>
      <w:r w:rsidR="00863577" w:rsidRPr="003E2516">
        <w:rPr>
          <w:rFonts w:ascii="Times New Roman" w:hAnsi="Times New Roman" w:cs="Times New Roman"/>
          <w:color w:val="000000" w:themeColor="text1"/>
          <w:sz w:val="24"/>
          <w:szCs w:val="24"/>
        </w:rPr>
        <w:t>Colleges</w:t>
      </w:r>
      <w:r w:rsidRPr="003E2516">
        <w:rPr>
          <w:rFonts w:ascii="Times New Roman" w:hAnsi="Times New Roman" w:cs="Times New Roman"/>
          <w:color w:val="000000" w:themeColor="text1"/>
          <w:sz w:val="24"/>
          <w:szCs w:val="24"/>
        </w:rPr>
        <w:t xml:space="preserve"> (revised from 1 238 000 to 710 535), percentage of NC(V) L4: certification rate (revised from 65 to 40</w:t>
      </w:r>
      <w:r w:rsidR="00A65720" w:rsidRPr="003E2516">
        <w:rPr>
          <w:rFonts w:ascii="Times New Roman" w:hAnsi="Times New Roman" w:cs="Times New Roman"/>
          <w:color w:val="000000" w:themeColor="text1"/>
          <w:sz w:val="24"/>
          <w:szCs w:val="24"/>
        </w:rPr>
        <w:t xml:space="preserve"> percent</w:t>
      </w:r>
      <w:r w:rsidRPr="003E2516">
        <w:rPr>
          <w:rFonts w:ascii="Times New Roman" w:hAnsi="Times New Roman" w:cs="Times New Roman"/>
          <w:color w:val="000000" w:themeColor="text1"/>
          <w:sz w:val="24"/>
          <w:szCs w:val="24"/>
        </w:rPr>
        <w:t>), the percentage of N6: certification rate (revised from 65</w:t>
      </w:r>
      <w:r w:rsidR="00A65720" w:rsidRPr="003E2516">
        <w:rPr>
          <w:rFonts w:ascii="Times New Roman" w:hAnsi="Times New Roman" w:cs="Times New Roman"/>
          <w:color w:val="000000" w:themeColor="text1"/>
          <w:sz w:val="24"/>
          <w:szCs w:val="24"/>
        </w:rPr>
        <w:t xml:space="preserve"> percent</w:t>
      </w:r>
      <w:r w:rsidRPr="003E2516">
        <w:rPr>
          <w:rFonts w:ascii="Times New Roman" w:hAnsi="Times New Roman" w:cs="Times New Roman"/>
          <w:color w:val="000000" w:themeColor="text1"/>
          <w:sz w:val="24"/>
          <w:szCs w:val="24"/>
        </w:rPr>
        <w:t xml:space="preserve"> to 50</w:t>
      </w:r>
      <w:r w:rsidR="00A65720" w:rsidRPr="003E2516">
        <w:rPr>
          <w:rFonts w:ascii="Times New Roman" w:hAnsi="Times New Roman" w:cs="Times New Roman"/>
          <w:color w:val="000000" w:themeColor="text1"/>
          <w:sz w:val="24"/>
          <w:szCs w:val="24"/>
        </w:rPr>
        <w:t xml:space="preserve"> percent</w:t>
      </w:r>
      <w:r w:rsidRPr="003E2516">
        <w:rPr>
          <w:rFonts w:ascii="Times New Roman" w:hAnsi="Times New Roman" w:cs="Times New Roman"/>
          <w:color w:val="000000" w:themeColor="text1"/>
          <w:sz w:val="24"/>
          <w:szCs w:val="24"/>
        </w:rPr>
        <w:t>), the percentage of funded NC(V) L4 students obtaining qualifications within the stipulated time (revised from 60</w:t>
      </w:r>
      <w:r w:rsidR="00A65720" w:rsidRPr="003E2516">
        <w:rPr>
          <w:rFonts w:ascii="Times New Roman" w:hAnsi="Times New Roman" w:cs="Times New Roman"/>
          <w:color w:val="000000" w:themeColor="text1"/>
          <w:sz w:val="24"/>
          <w:szCs w:val="24"/>
        </w:rPr>
        <w:t xml:space="preserve"> percent</w:t>
      </w:r>
      <w:r w:rsidRPr="003E2516">
        <w:rPr>
          <w:rFonts w:ascii="Times New Roman" w:hAnsi="Times New Roman" w:cs="Times New Roman"/>
          <w:color w:val="000000" w:themeColor="text1"/>
          <w:sz w:val="24"/>
          <w:szCs w:val="24"/>
        </w:rPr>
        <w:t xml:space="preserve"> to 40</w:t>
      </w:r>
      <w:r w:rsidR="00A65720" w:rsidRPr="003E2516">
        <w:rPr>
          <w:rFonts w:ascii="Times New Roman" w:hAnsi="Times New Roman" w:cs="Times New Roman"/>
          <w:color w:val="000000" w:themeColor="text1"/>
          <w:sz w:val="24"/>
          <w:szCs w:val="24"/>
        </w:rPr>
        <w:t xml:space="preserve"> percent</w:t>
      </w:r>
      <w:r w:rsidRPr="003E2516">
        <w:rPr>
          <w:rFonts w:ascii="Times New Roman" w:hAnsi="Times New Roman" w:cs="Times New Roman"/>
          <w:color w:val="000000" w:themeColor="text1"/>
          <w:sz w:val="24"/>
          <w:szCs w:val="24"/>
        </w:rPr>
        <w:t xml:space="preserve">) and the number of qualifying TVET students obtaining NSFAS financial assistance (revised from 1 000 000 to 200 000). </w:t>
      </w:r>
    </w:p>
    <w:p w:rsidR="00DF7A6F" w:rsidRPr="003E2516" w:rsidRDefault="00DF7A6F" w:rsidP="003E2516">
      <w:pPr>
        <w:spacing w:before="120" w:after="120" w:line="240" w:lineRule="auto"/>
        <w:jc w:val="both"/>
        <w:rPr>
          <w:rFonts w:ascii="Times New Roman" w:hAnsi="Times New Roman" w:cs="Times New Roman"/>
          <w:color w:val="000000" w:themeColor="text1"/>
          <w:sz w:val="24"/>
          <w:szCs w:val="24"/>
        </w:rPr>
      </w:pPr>
      <w:r w:rsidRPr="003E2516">
        <w:rPr>
          <w:rFonts w:ascii="Times New Roman" w:hAnsi="Times New Roman" w:cs="Times New Roman"/>
          <w:color w:val="000000" w:themeColor="text1"/>
          <w:sz w:val="24"/>
          <w:szCs w:val="24"/>
        </w:rPr>
        <w:t xml:space="preserve">Four MTSF targets were discontinued for the remainder of the MTSF (2017/18 – 2019/20) period. This includes: the number of additional beds for student accommodation in public TVET </w:t>
      </w:r>
      <w:r w:rsidR="00863577" w:rsidRPr="003E2516">
        <w:rPr>
          <w:rFonts w:ascii="Times New Roman" w:hAnsi="Times New Roman" w:cs="Times New Roman"/>
          <w:color w:val="000000" w:themeColor="text1"/>
          <w:sz w:val="24"/>
          <w:szCs w:val="24"/>
        </w:rPr>
        <w:t>Colleges</w:t>
      </w:r>
      <w:r w:rsidRPr="003E2516">
        <w:rPr>
          <w:rFonts w:ascii="Times New Roman" w:hAnsi="Times New Roman" w:cs="Times New Roman"/>
          <w:color w:val="000000" w:themeColor="text1"/>
          <w:sz w:val="24"/>
          <w:szCs w:val="24"/>
        </w:rPr>
        <w:t>, the number of TVET lecturers undergoing specified hours of work in their industry for a specified period, every two years from 2019, the number of students entering the foundation programmes by March 2017 and the success rate in foundation programmes.</w:t>
      </w:r>
    </w:p>
    <w:p w:rsidR="00DF7A6F" w:rsidRPr="003E2516" w:rsidRDefault="00DF7A6F" w:rsidP="003E251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E2516">
        <w:rPr>
          <w:rFonts w:ascii="Times New Roman" w:hAnsi="Times New Roman" w:cs="Times New Roman"/>
          <w:color w:val="000000" w:themeColor="text1"/>
          <w:sz w:val="24"/>
          <w:szCs w:val="24"/>
        </w:rPr>
        <w:t>The Department has maintained MTSF system targets in programme 3: University Education, programme 5: Skills Development and programme 6: Community Education and Training.</w:t>
      </w:r>
    </w:p>
    <w:p w:rsidR="00DF7A6F"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BB5187" w:rsidRPr="003E2516">
        <w:rPr>
          <w:rFonts w:ascii="Times New Roman" w:hAnsi="Times New Roman" w:cs="Times New Roman"/>
          <w:b/>
          <w:sz w:val="24"/>
          <w:szCs w:val="24"/>
        </w:rPr>
        <w:t>.4.1.</w:t>
      </w:r>
      <w:r w:rsidR="00BB5187" w:rsidRPr="003E2516">
        <w:rPr>
          <w:rFonts w:ascii="Times New Roman" w:hAnsi="Times New Roman" w:cs="Times New Roman"/>
          <w:sz w:val="24"/>
          <w:szCs w:val="24"/>
        </w:rPr>
        <w:t xml:space="preserve"> </w:t>
      </w:r>
      <w:r w:rsidR="00BB5187" w:rsidRPr="003E2516">
        <w:rPr>
          <w:rFonts w:ascii="Times New Roman" w:hAnsi="Times New Roman" w:cs="Times New Roman"/>
          <w:b/>
          <w:sz w:val="24"/>
          <w:szCs w:val="24"/>
        </w:rPr>
        <w:t xml:space="preserve">Overview and assessment of the 2017/18 Annual Performance Plan </w:t>
      </w:r>
    </w:p>
    <w:p w:rsidR="00BB5187" w:rsidRPr="003E2516" w:rsidRDefault="00BB518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For the 2017 MTEF</w:t>
      </w:r>
      <w:r w:rsidR="00D80A94" w:rsidRPr="003E2516">
        <w:rPr>
          <w:rFonts w:ascii="Times New Roman" w:hAnsi="Times New Roman" w:cs="Times New Roman"/>
          <w:sz w:val="24"/>
          <w:szCs w:val="24"/>
        </w:rPr>
        <w:t xml:space="preserve"> period</w:t>
      </w:r>
      <w:r w:rsidRPr="003E2516">
        <w:rPr>
          <w:rFonts w:ascii="Times New Roman" w:hAnsi="Times New Roman" w:cs="Times New Roman"/>
          <w:sz w:val="24"/>
          <w:szCs w:val="24"/>
        </w:rPr>
        <w:t xml:space="preserve">, the Department has retained its six budget programmes, namely Administration, Planning, Policy and Strategy, University Education, Technical and Vocational Education and Training, Skills Development and Community Education and Training. All six programmes have also retained their sub-programmes. </w:t>
      </w:r>
    </w:p>
    <w:p w:rsidR="00860FDD"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BB5187" w:rsidRPr="003E2516">
        <w:rPr>
          <w:rFonts w:ascii="Times New Roman" w:hAnsi="Times New Roman" w:cs="Times New Roman"/>
          <w:b/>
          <w:sz w:val="24"/>
          <w:szCs w:val="24"/>
        </w:rPr>
        <w:t>.4.1.1.</w:t>
      </w:r>
      <w:r w:rsidR="00860FDD" w:rsidRPr="003E2516">
        <w:rPr>
          <w:rFonts w:ascii="Times New Roman" w:hAnsi="Times New Roman" w:cs="Times New Roman"/>
          <w:b/>
          <w:sz w:val="24"/>
          <w:szCs w:val="24"/>
        </w:rPr>
        <w:t xml:space="preserve"> Programme 1: Administration</w:t>
      </w:r>
    </w:p>
    <w:p w:rsidR="00BB5187" w:rsidRPr="003E2516" w:rsidRDefault="00860FDD"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purpose of this programme is to provide strategic leadership, management and support services to the Department.</w:t>
      </w:r>
      <w:r w:rsidR="00BB5187" w:rsidRPr="003E2516">
        <w:rPr>
          <w:rFonts w:ascii="Times New Roman" w:hAnsi="Times New Roman" w:cs="Times New Roman"/>
          <w:sz w:val="24"/>
          <w:szCs w:val="24"/>
        </w:rPr>
        <w:t xml:space="preserve"> The Programme has</w:t>
      </w:r>
      <w:r w:rsidR="0002537D" w:rsidRPr="003E2516">
        <w:rPr>
          <w:rFonts w:ascii="Times New Roman" w:hAnsi="Times New Roman" w:cs="Times New Roman"/>
          <w:sz w:val="24"/>
          <w:szCs w:val="24"/>
        </w:rPr>
        <w:t xml:space="preserve"> six</w:t>
      </w:r>
      <w:r w:rsidR="00BB5187" w:rsidRPr="003E2516">
        <w:rPr>
          <w:rFonts w:ascii="Times New Roman" w:hAnsi="Times New Roman" w:cs="Times New Roman"/>
          <w:sz w:val="24"/>
          <w:szCs w:val="24"/>
        </w:rPr>
        <w:t xml:space="preserve"> sub-programmes</w:t>
      </w:r>
      <w:r w:rsidR="0002537D" w:rsidRPr="003E2516">
        <w:rPr>
          <w:rFonts w:ascii="Times New Roman" w:hAnsi="Times New Roman" w:cs="Times New Roman"/>
          <w:sz w:val="24"/>
          <w:szCs w:val="24"/>
        </w:rPr>
        <w:t>,</w:t>
      </w:r>
      <w:r w:rsidR="00BB5187" w:rsidRPr="003E2516">
        <w:rPr>
          <w:rFonts w:ascii="Times New Roman" w:hAnsi="Times New Roman" w:cs="Times New Roman"/>
          <w:sz w:val="24"/>
          <w:szCs w:val="24"/>
        </w:rPr>
        <w:t xml:space="preserve"> namely: Ministry, Department Management, and the Office of the Chief Financial Officer, Internal Audit and Office Accommodation.</w:t>
      </w:r>
    </w:p>
    <w:p w:rsidR="00BB5187" w:rsidRPr="003E2516" w:rsidRDefault="00BB518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three Strategic Objectives (SO), namely: SO 1: to ensure effective human resource management within the Department through sound human resource management practices, including </w:t>
      </w:r>
      <w:r w:rsidR="00E9009E" w:rsidRPr="003E2516">
        <w:rPr>
          <w:rFonts w:ascii="Times New Roman" w:hAnsi="Times New Roman" w:cs="Times New Roman"/>
          <w:sz w:val="24"/>
          <w:szCs w:val="24"/>
        </w:rPr>
        <w:t xml:space="preserve">staff </w:t>
      </w:r>
      <w:r w:rsidRPr="003E2516">
        <w:rPr>
          <w:rFonts w:ascii="Times New Roman" w:hAnsi="Times New Roman" w:cs="Times New Roman"/>
          <w:sz w:val="24"/>
          <w:szCs w:val="24"/>
        </w:rPr>
        <w:t>management practices, human resource development, performance management, labour relations and</w:t>
      </w:r>
      <w:r w:rsidR="00E9009E" w:rsidRPr="003E2516">
        <w:rPr>
          <w:rFonts w:ascii="Times New Roman" w:hAnsi="Times New Roman" w:cs="Times New Roman"/>
          <w:sz w:val="24"/>
          <w:szCs w:val="24"/>
        </w:rPr>
        <w:t xml:space="preserve"> a sound</w:t>
      </w:r>
      <w:r w:rsidRPr="003E2516">
        <w:rPr>
          <w:rFonts w:ascii="Times New Roman" w:hAnsi="Times New Roman" w:cs="Times New Roman"/>
          <w:sz w:val="24"/>
          <w:szCs w:val="24"/>
        </w:rPr>
        <w:t xml:space="preserve"> human resource administrative system; SO 2: to ensure effective financial management; ensuring effective financial management through </w:t>
      </w:r>
      <w:r w:rsidR="00E9009E" w:rsidRPr="003E2516">
        <w:rPr>
          <w:rFonts w:ascii="Times New Roman" w:hAnsi="Times New Roman" w:cs="Times New Roman"/>
          <w:sz w:val="24"/>
          <w:szCs w:val="24"/>
        </w:rPr>
        <w:t xml:space="preserve">the </w:t>
      </w:r>
      <w:r w:rsidRPr="003E2516">
        <w:rPr>
          <w:rFonts w:ascii="Times New Roman" w:hAnsi="Times New Roman" w:cs="Times New Roman"/>
          <w:sz w:val="24"/>
          <w:szCs w:val="24"/>
        </w:rPr>
        <w:t xml:space="preserve">application of good financial management systems, including management accounting, financial accounting and supply chain management in line with the requirements of the Public Finance Management Act (PMFA); and SO 3: to improve efficiency through the development of approved annual information communication technology (ICT) procurement plans for the implementation of the necessary information technology infrastructure and systems. </w:t>
      </w:r>
    </w:p>
    <w:p w:rsidR="00810556" w:rsidRPr="003E2516" w:rsidRDefault="00BB518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targets for 2017/18 are to fill 90 percent of approved funded positions; to reduce the average number of days to fill an advertised position to 180 days per annum, to resolve 100 percent of disciplinary cases within 90 days, to pay creditors within 30 days, to have a reviewed Human Resource Plan approved, to have a plan to improve HR recruitment and selection process approved and to have improved ICT services implemented.</w:t>
      </w:r>
    </w:p>
    <w:p w:rsidR="002F377D" w:rsidRPr="003E2516" w:rsidRDefault="00A76AE5" w:rsidP="003E2516">
      <w:pPr>
        <w:autoSpaceDE w:val="0"/>
        <w:autoSpaceDN w:val="0"/>
        <w:adjustRightInd w:val="0"/>
        <w:spacing w:before="120" w:after="120" w:line="240" w:lineRule="auto"/>
        <w:rPr>
          <w:rFonts w:ascii="Times New Roman" w:hAnsi="Times New Roman" w:cs="Times New Roman"/>
          <w:b/>
          <w:bCs/>
          <w:sz w:val="24"/>
          <w:szCs w:val="24"/>
          <w:lang w:val="en-US"/>
        </w:rPr>
      </w:pPr>
      <w:r w:rsidRPr="003E2516">
        <w:rPr>
          <w:rFonts w:ascii="Times New Roman" w:hAnsi="Times New Roman" w:cs="Times New Roman"/>
          <w:b/>
          <w:sz w:val="24"/>
          <w:szCs w:val="24"/>
        </w:rPr>
        <w:t>6</w:t>
      </w:r>
      <w:r w:rsidR="00462D94" w:rsidRPr="003E2516">
        <w:rPr>
          <w:rFonts w:ascii="Times New Roman" w:hAnsi="Times New Roman" w:cs="Times New Roman"/>
          <w:b/>
          <w:sz w:val="24"/>
          <w:szCs w:val="24"/>
        </w:rPr>
        <w:t xml:space="preserve">.4.1.2. </w:t>
      </w:r>
      <w:r w:rsidR="00407725" w:rsidRPr="003E2516">
        <w:rPr>
          <w:rFonts w:ascii="Times New Roman" w:hAnsi="Times New Roman" w:cs="Times New Roman"/>
          <w:b/>
          <w:bCs/>
          <w:sz w:val="24"/>
          <w:szCs w:val="24"/>
          <w:lang w:val="en-US"/>
        </w:rPr>
        <w:t>Programme</w:t>
      </w:r>
      <w:r w:rsidR="00C75461" w:rsidRPr="003E2516">
        <w:rPr>
          <w:rFonts w:ascii="Times New Roman" w:hAnsi="Times New Roman" w:cs="Times New Roman"/>
          <w:b/>
          <w:bCs/>
          <w:sz w:val="24"/>
          <w:szCs w:val="24"/>
          <w:lang w:val="en-US"/>
        </w:rPr>
        <w:t xml:space="preserve"> 2</w:t>
      </w:r>
      <w:r w:rsidR="00407725" w:rsidRPr="003E2516">
        <w:rPr>
          <w:rFonts w:ascii="Times New Roman" w:hAnsi="Times New Roman" w:cs="Times New Roman"/>
          <w:b/>
          <w:bCs/>
          <w:sz w:val="24"/>
          <w:szCs w:val="24"/>
          <w:lang w:val="en-US"/>
        </w:rPr>
        <w:t xml:space="preserve">: Planning, </w:t>
      </w:r>
      <w:r w:rsidR="00263298" w:rsidRPr="003E2516">
        <w:rPr>
          <w:rFonts w:ascii="Times New Roman" w:hAnsi="Times New Roman" w:cs="Times New Roman"/>
          <w:b/>
          <w:bCs/>
          <w:sz w:val="24"/>
          <w:szCs w:val="24"/>
          <w:lang w:val="en-US"/>
        </w:rPr>
        <w:t>P</w:t>
      </w:r>
      <w:r w:rsidR="00407725" w:rsidRPr="003E2516">
        <w:rPr>
          <w:rFonts w:ascii="Times New Roman" w:hAnsi="Times New Roman" w:cs="Times New Roman"/>
          <w:b/>
          <w:bCs/>
          <w:sz w:val="24"/>
          <w:szCs w:val="24"/>
          <w:lang w:val="en-US"/>
        </w:rPr>
        <w:t xml:space="preserve">olicy and </w:t>
      </w:r>
      <w:r w:rsidR="00263298" w:rsidRPr="003E2516">
        <w:rPr>
          <w:rFonts w:ascii="Times New Roman" w:hAnsi="Times New Roman" w:cs="Times New Roman"/>
          <w:b/>
          <w:bCs/>
          <w:sz w:val="24"/>
          <w:szCs w:val="24"/>
          <w:lang w:val="en-US"/>
        </w:rPr>
        <w:t>S</w:t>
      </w:r>
      <w:r w:rsidR="00407725" w:rsidRPr="003E2516">
        <w:rPr>
          <w:rFonts w:ascii="Times New Roman" w:hAnsi="Times New Roman" w:cs="Times New Roman"/>
          <w:b/>
          <w:bCs/>
          <w:sz w:val="24"/>
          <w:szCs w:val="24"/>
          <w:lang w:val="en-US"/>
        </w:rPr>
        <w:t>trategy</w:t>
      </w:r>
    </w:p>
    <w:p w:rsidR="00810556" w:rsidRPr="003E2516" w:rsidRDefault="00151E48"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lang w:val="en-US"/>
        </w:rPr>
        <w:t>The purpose of this programme is to p</w:t>
      </w:r>
      <w:r w:rsidR="002F377D" w:rsidRPr="003E2516">
        <w:rPr>
          <w:rFonts w:ascii="Times New Roman" w:hAnsi="Times New Roman" w:cs="Times New Roman"/>
          <w:sz w:val="24"/>
          <w:szCs w:val="24"/>
          <w:lang w:val="en-US"/>
        </w:rPr>
        <w:t xml:space="preserve">rovide strategic direction in the development, implementation and monitoring of departmental policies and in the human resource </w:t>
      </w:r>
      <w:r w:rsidR="002F377D" w:rsidRPr="003E2516">
        <w:rPr>
          <w:rFonts w:ascii="Times New Roman" w:hAnsi="Times New Roman" w:cs="Times New Roman"/>
          <w:sz w:val="24"/>
          <w:szCs w:val="24"/>
          <w:lang w:val="en-US"/>
        </w:rPr>
        <w:lastRenderedPageBreak/>
        <w:t>development strategy for South Africa.</w:t>
      </w:r>
      <w:r w:rsidR="00DE3D10" w:rsidRPr="003E2516">
        <w:rPr>
          <w:rFonts w:ascii="Times New Roman" w:hAnsi="Times New Roman" w:cs="Times New Roman"/>
          <w:sz w:val="24"/>
          <w:szCs w:val="24"/>
          <w:lang w:val="en-US"/>
        </w:rPr>
        <w:t xml:space="preserve"> </w:t>
      </w:r>
      <w:r w:rsidR="00DE3D10" w:rsidRPr="003E2516">
        <w:rPr>
          <w:rFonts w:ascii="Times New Roman" w:hAnsi="Times New Roman" w:cs="Times New Roman"/>
          <w:sz w:val="24"/>
          <w:szCs w:val="24"/>
        </w:rPr>
        <w:t>The Programme has si</w:t>
      </w:r>
      <w:r w:rsidR="00E9009E" w:rsidRPr="003E2516">
        <w:rPr>
          <w:rFonts w:ascii="Times New Roman" w:hAnsi="Times New Roman" w:cs="Times New Roman"/>
          <w:sz w:val="24"/>
          <w:szCs w:val="24"/>
        </w:rPr>
        <w:t>x budget sub-programmes, namely;</w:t>
      </w:r>
      <w:r w:rsidR="00DE3D10" w:rsidRPr="003E2516">
        <w:rPr>
          <w:rFonts w:ascii="Times New Roman" w:hAnsi="Times New Roman" w:cs="Times New Roman"/>
          <w:sz w:val="24"/>
          <w:szCs w:val="24"/>
        </w:rPr>
        <w:t xml:space="preserve"> Programme Management: Planning, Policy and Strategy; Human Resource Development Strategic Planning and Coordination; Planning, Information, Monitoring and Evaluation Coordination; International Relations; Legal and Legislative Services and Social Inclusion in Education. </w:t>
      </w:r>
    </w:p>
    <w:p w:rsidR="00C728F4" w:rsidRPr="003E2516" w:rsidRDefault="00C728F4" w:rsidP="003E2516">
      <w:pPr>
        <w:autoSpaceDE w:val="0"/>
        <w:autoSpaceDN w:val="0"/>
        <w:adjustRightInd w:val="0"/>
        <w:spacing w:before="120" w:after="120" w:line="240" w:lineRule="auto"/>
        <w:jc w:val="both"/>
        <w:rPr>
          <w:rFonts w:ascii="Times New Roman" w:hAnsi="Times New Roman" w:cs="Times New Roman"/>
          <w:sz w:val="24"/>
          <w:szCs w:val="24"/>
          <w:lang w:val="en-US"/>
        </w:rPr>
      </w:pPr>
    </w:p>
    <w:p w:rsidR="00462D94" w:rsidRPr="003E2516" w:rsidRDefault="00462D9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Programme has five Strategic Objectives namely: SO1: to ensure a sound PSET system through the development of appropriate steering mechanisms by the end March 2020; SO2: SO3: to ensure effective oversight of the PSET system by implementing oversight instruments by the end March 2020; SO4: to develop and implement teaching and learning support plans aimed at improving access to quality teaching and learning in the PSET system by the end March 2020, and SO5: to provide student support services in order to promote the success of students within the PSET system by the end March 2020</w:t>
      </w:r>
      <w:r w:rsidR="00C53F31" w:rsidRPr="003E2516">
        <w:rPr>
          <w:rFonts w:ascii="Times New Roman" w:hAnsi="Times New Roman" w:cs="Times New Roman"/>
          <w:sz w:val="24"/>
          <w:szCs w:val="24"/>
        </w:rPr>
        <w:t>.</w:t>
      </w:r>
    </w:p>
    <w:p w:rsidR="00462D94" w:rsidRPr="003E2516" w:rsidRDefault="00462D94" w:rsidP="003E2516">
      <w:pPr>
        <w:autoSpaceDE w:val="0"/>
        <w:autoSpaceDN w:val="0"/>
        <w:adjustRightInd w:val="0"/>
        <w:spacing w:before="120" w:after="120" w:line="240" w:lineRule="auto"/>
        <w:jc w:val="both"/>
        <w:rPr>
          <w:rFonts w:ascii="Times New Roman" w:hAnsi="Times New Roman" w:cs="Times New Roman"/>
          <w:sz w:val="24"/>
          <w:szCs w:val="24"/>
        </w:rPr>
      </w:pPr>
    </w:p>
    <w:p w:rsidR="00462D94" w:rsidRPr="003E2516" w:rsidRDefault="00462D94"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sz w:val="24"/>
          <w:szCs w:val="24"/>
        </w:rPr>
        <w:t>For 2017/18 financial</w:t>
      </w:r>
      <w:r w:rsidR="00E9009E" w:rsidRPr="003E2516">
        <w:rPr>
          <w:rFonts w:ascii="Times New Roman" w:hAnsi="Times New Roman" w:cs="Times New Roman"/>
          <w:sz w:val="24"/>
          <w:szCs w:val="24"/>
        </w:rPr>
        <w:t xml:space="preserve"> year</w:t>
      </w:r>
      <w:r w:rsidRPr="003E2516">
        <w:rPr>
          <w:rFonts w:ascii="Times New Roman" w:hAnsi="Times New Roman" w:cs="Times New Roman"/>
          <w:sz w:val="24"/>
          <w:szCs w:val="24"/>
        </w:rPr>
        <w:t xml:space="preserve">, the programme has 10 targets. The Department planned to have a list of occupations in high demand developed and approved by the Director-General by 31 March 2018; to have a Policy Framework on Disability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by 31 March 2018; to have one reviewed steering mechanisms approved; to have a draft National Qualifications Framework Bill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by 31 March 2018 for submission to Cabinet for promulgation; to have three annual reports on the implementation of Social Inclusion in PSET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annual report on the implementation of Open Learning in PSET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and annual report on the implementation of Career Development Services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to have status report on International Relations implementation plan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to have a report on investment trends in Post-School Education and Training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to have a communication strategy for student support services developed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and to have </w:t>
      </w:r>
      <w:r w:rsidR="00E9009E" w:rsidRPr="003E2516">
        <w:rPr>
          <w:rFonts w:ascii="Times New Roman" w:hAnsi="Times New Roman" w:cs="Times New Roman"/>
          <w:sz w:val="24"/>
          <w:szCs w:val="24"/>
        </w:rPr>
        <w:t xml:space="preserve">a </w:t>
      </w:r>
      <w:r w:rsidRPr="003E2516">
        <w:rPr>
          <w:rFonts w:ascii="Times New Roman" w:hAnsi="Times New Roman" w:cs="Times New Roman"/>
          <w:sz w:val="24"/>
          <w:szCs w:val="24"/>
        </w:rPr>
        <w:t xml:space="preserve">Management Information System for Public Community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designed and </w:t>
      </w:r>
      <w:r w:rsidR="00863577"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w:t>
      </w:r>
    </w:p>
    <w:p w:rsidR="00DD065A" w:rsidRPr="003E2516" w:rsidRDefault="00A76AE5" w:rsidP="003E2516">
      <w:pPr>
        <w:autoSpaceDE w:val="0"/>
        <w:autoSpaceDN w:val="0"/>
        <w:adjustRightInd w:val="0"/>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144E97" w:rsidRPr="003E2516">
        <w:rPr>
          <w:rFonts w:ascii="Times New Roman" w:hAnsi="Times New Roman" w:cs="Times New Roman"/>
          <w:b/>
          <w:sz w:val="24"/>
          <w:szCs w:val="24"/>
        </w:rPr>
        <w:t xml:space="preserve">.4.1.3. </w:t>
      </w:r>
      <w:r w:rsidR="00DD065A" w:rsidRPr="003E2516">
        <w:rPr>
          <w:rFonts w:ascii="Times New Roman" w:hAnsi="Times New Roman" w:cs="Times New Roman"/>
          <w:b/>
          <w:sz w:val="24"/>
          <w:szCs w:val="24"/>
        </w:rPr>
        <w:t>Programme 3: University Education</w:t>
      </w:r>
    </w:p>
    <w:p w:rsidR="00DD065A" w:rsidRPr="003E2516" w:rsidRDefault="00151E48"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lang w:val="en-US"/>
        </w:rPr>
        <w:t>The purpose of this programme is to d</w:t>
      </w:r>
      <w:r w:rsidR="00DD065A" w:rsidRPr="003E2516">
        <w:rPr>
          <w:rFonts w:ascii="Times New Roman" w:hAnsi="Times New Roman" w:cs="Times New Roman"/>
          <w:sz w:val="24"/>
          <w:szCs w:val="24"/>
          <w:lang w:val="en-US"/>
        </w:rPr>
        <w:t>evelop and coordinate policy and regulatory frameworks for an effective and efficient university education system</w:t>
      </w:r>
      <w:r w:rsidR="00E9009E" w:rsidRPr="003E2516">
        <w:rPr>
          <w:rFonts w:ascii="Times New Roman" w:hAnsi="Times New Roman" w:cs="Times New Roman"/>
          <w:sz w:val="24"/>
          <w:szCs w:val="24"/>
          <w:lang w:val="en-US"/>
        </w:rPr>
        <w:t xml:space="preserve"> and to</w:t>
      </w:r>
      <w:r w:rsidR="00DD065A" w:rsidRPr="003E2516">
        <w:rPr>
          <w:rFonts w:ascii="Times New Roman" w:hAnsi="Times New Roman" w:cs="Times New Roman"/>
          <w:sz w:val="24"/>
          <w:szCs w:val="24"/>
          <w:lang w:val="en-US"/>
        </w:rPr>
        <w:t xml:space="preserve"> </w:t>
      </w:r>
      <w:r w:rsidR="00E9009E" w:rsidRPr="003E2516">
        <w:rPr>
          <w:rFonts w:ascii="Times New Roman" w:hAnsi="Times New Roman" w:cs="Times New Roman"/>
          <w:sz w:val="24"/>
          <w:szCs w:val="24"/>
          <w:lang w:val="en-US"/>
        </w:rPr>
        <w:t>p</w:t>
      </w:r>
      <w:r w:rsidR="00DD065A" w:rsidRPr="003E2516">
        <w:rPr>
          <w:rFonts w:ascii="Times New Roman" w:hAnsi="Times New Roman" w:cs="Times New Roman"/>
          <w:sz w:val="24"/>
          <w:szCs w:val="24"/>
          <w:lang w:val="en-US"/>
        </w:rPr>
        <w:t>rovide financial support to universities, the National Student Financial Aid Scheme and national</w:t>
      </w:r>
      <w:r w:rsidR="00DB1446" w:rsidRPr="003E2516">
        <w:rPr>
          <w:rFonts w:ascii="Times New Roman" w:hAnsi="Times New Roman" w:cs="Times New Roman"/>
          <w:sz w:val="24"/>
          <w:szCs w:val="24"/>
          <w:lang w:val="en-US"/>
        </w:rPr>
        <w:t xml:space="preserve"> </w:t>
      </w:r>
      <w:r w:rsidR="00DD065A" w:rsidRPr="003E2516">
        <w:rPr>
          <w:rFonts w:ascii="Times New Roman" w:hAnsi="Times New Roman" w:cs="Times New Roman"/>
          <w:sz w:val="24"/>
          <w:szCs w:val="24"/>
          <w:lang w:val="en-US"/>
        </w:rPr>
        <w:t>institutes for higher education.</w:t>
      </w:r>
      <w:r w:rsidR="00724F6A" w:rsidRPr="003E2516">
        <w:rPr>
          <w:rFonts w:ascii="Times New Roman" w:hAnsi="Times New Roman" w:cs="Times New Roman"/>
          <w:sz w:val="24"/>
          <w:szCs w:val="24"/>
          <w:lang w:val="en-US"/>
        </w:rPr>
        <w:t xml:space="preserve"> </w:t>
      </w:r>
      <w:r w:rsidR="00724F6A" w:rsidRPr="003E2516">
        <w:rPr>
          <w:rFonts w:ascii="Times New Roman" w:hAnsi="Times New Roman" w:cs="Times New Roman"/>
          <w:sz w:val="24"/>
          <w:szCs w:val="24"/>
        </w:rPr>
        <w:t>This Programme has six budget sub-programmes, namely; Programme</w:t>
      </w:r>
      <w:r w:rsidR="00E9009E" w:rsidRPr="003E2516">
        <w:rPr>
          <w:rFonts w:ascii="Times New Roman" w:hAnsi="Times New Roman" w:cs="Times New Roman"/>
          <w:sz w:val="24"/>
          <w:szCs w:val="24"/>
        </w:rPr>
        <w:t xml:space="preserve"> Management;</w:t>
      </w:r>
      <w:r w:rsidR="00724F6A" w:rsidRPr="003E2516">
        <w:rPr>
          <w:rFonts w:ascii="Times New Roman" w:hAnsi="Times New Roman" w:cs="Times New Roman"/>
          <w:sz w:val="24"/>
          <w:szCs w:val="24"/>
        </w:rPr>
        <w:t xml:space="preserve"> University Education; University – Academic Planning and Management; University – Financial Planning and Information Systems; University – Policy and Development; Teacher Education, and University- Subsidies. There were no changes made to the Programme and Sub-Programme</w:t>
      </w:r>
      <w:r w:rsidR="00B104B6" w:rsidRPr="003E2516">
        <w:rPr>
          <w:rFonts w:ascii="Times New Roman" w:hAnsi="Times New Roman" w:cs="Times New Roman"/>
          <w:sz w:val="24"/>
          <w:szCs w:val="24"/>
        </w:rPr>
        <w:t xml:space="preserve"> classification</w:t>
      </w:r>
      <w:r w:rsidR="00724F6A" w:rsidRPr="003E2516">
        <w:rPr>
          <w:rFonts w:ascii="Times New Roman" w:hAnsi="Times New Roman" w:cs="Times New Roman"/>
          <w:sz w:val="24"/>
          <w:szCs w:val="24"/>
        </w:rPr>
        <w:t>.</w:t>
      </w:r>
    </w:p>
    <w:p w:rsidR="00724F6A" w:rsidRPr="003E2516" w:rsidRDefault="00724F6A" w:rsidP="003E2516">
      <w:pPr>
        <w:autoSpaceDE w:val="0"/>
        <w:autoSpaceDN w:val="0"/>
        <w:adjustRightInd w:val="0"/>
        <w:spacing w:before="120" w:after="120" w:line="240" w:lineRule="auto"/>
        <w:jc w:val="both"/>
        <w:rPr>
          <w:rFonts w:ascii="Times New Roman" w:hAnsi="Times New Roman" w:cs="Times New Roman"/>
          <w:sz w:val="24"/>
          <w:szCs w:val="24"/>
          <w:lang w:val="en-US"/>
        </w:rPr>
      </w:pPr>
    </w:p>
    <w:p w:rsidR="00144E97" w:rsidRPr="003E2516" w:rsidRDefault="00144E9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seven Strategic Objectives, namely: SO1: to ensure a sound PSET system through the development of appropriate steering mechanisms for </w:t>
      </w:r>
      <w:r w:rsidR="00863577" w:rsidRPr="003E2516">
        <w:rPr>
          <w:rFonts w:ascii="Times New Roman" w:hAnsi="Times New Roman" w:cs="Times New Roman"/>
          <w:sz w:val="24"/>
          <w:szCs w:val="24"/>
        </w:rPr>
        <w:t>U</w:t>
      </w:r>
      <w:r w:rsidRPr="003E2516">
        <w:rPr>
          <w:rFonts w:ascii="Times New Roman" w:hAnsi="Times New Roman" w:cs="Times New Roman"/>
          <w:sz w:val="24"/>
          <w:szCs w:val="24"/>
        </w:rPr>
        <w:t xml:space="preserve">niversity education by 31 March 2020; SO2: to ensure integrated planning in support of an improved collaboration within the PSET sub-systems by 31 March 2020; SO3: to implement oversight instruments on higher education institutions to ensure an effective monitoring and evaluation </w:t>
      </w:r>
      <w:r w:rsidRPr="003E2516">
        <w:rPr>
          <w:rFonts w:ascii="Times New Roman" w:hAnsi="Times New Roman" w:cs="Times New Roman"/>
          <w:sz w:val="24"/>
          <w:szCs w:val="24"/>
        </w:rPr>
        <w:lastRenderedPageBreak/>
        <w:t>of the university education sector by 31 March 2020; SO4: to provide teaching and learning support services aimed at improving access to quality teaching and learning in higher education institutions by 31 March 2020; SO5:  to provide student support services for higher education institutions in order to promote the success of students within the PSET system by 31 March 2020; SO6: to annually provide management information and statistics on the performance of higher education institutions; and SO7: to ensure a strong university education stakeholder network in support of effective collaboration of stakeholders within the PSET system by 31 March 2020.</w:t>
      </w:r>
    </w:p>
    <w:p w:rsidR="00B00F3C" w:rsidRPr="003E2516" w:rsidRDefault="00B00F3C"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This Programme has two types of targets planned for the year, namely; direct deliverables which constitute interventions by the Department envisaged for the system during the financial year, and indirect deliverables which are expected outcomes or performance of the system resulting from the intervention by the Department. There are 36 targets planned for the financial year. These include, 20 targets in the direct deliverables and 15 targets in the indirect deliverables, which are system performance targets. In the direct deliverables the Department planned to have the Central Applications Services Policy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by 30 September 2017; to have a Policy framework on collaboration between professional bodies,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departments and quality councils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on 31 March 2018; to amended NSFAS Act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by 31 March 2018 for submission to Cabinet; to have the National Plan for PSET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Minister by 31 March 2018; to have 15 monitoring and evaluation reports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and to have an updated cohort study report on higher education including the 2016 audited data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approved by the Director-General by 31 March 2018.</w:t>
      </w:r>
    </w:p>
    <w:p w:rsidR="00B00F3C" w:rsidRPr="003E2516" w:rsidRDefault="00B00F3C" w:rsidP="003E2516">
      <w:pPr>
        <w:autoSpaceDE w:val="0"/>
        <w:autoSpaceDN w:val="0"/>
        <w:adjustRightInd w:val="0"/>
        <w:spacing w:before="120" w:after="120" w:line="240" w:lineRule="auto"/>
        <w:rPr>
          <w:rFonts w:ascii="Times New Roman" w:hAnsi="Times New Roman" w:cs="Times New Roman"/>
          <w:sz w:val="24"/>
          <w:szCs w:val="24"/>
        </w:rPr>
      </w:pPr>
    </w:p>
    <w:p w:rsidR="00B00F3C" w:rsidRPr="003E2516" w:rsidRDefault="00B00F3C"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indirect deliverables are the system targets aligned to the MTSF Sub-outcome 3: Increase access to high-level occupationally directed programmes in required areas. The targets include, among others: 995 000 students enrolled in public higher education studies at universities, 13 000 graduates in Engineering Sciences from universities, 8 300 graduates in Natural Sciences from universities, 2 700 Doctoral graduates from universities, 20 800 graduates in Initial Teacher Education from universities, and 2 200 Doctoral graduates, 7 600 Research Masters graduates, one university offering accredited TVET College Lecturer Qualifications and 205 000 eligible university student obtaining financial aid. </w:t>
      </w:r>
    </w:p>
    <w:p w:rsidR="00DB1446" w:rsidRPr="003E2516" w:rsidRDefault="00A76AE5" w:rsidP="003E2516">
      <w:pPr>
        <w:autoSpaceDE w:val="0"/>
        <w:autoSpaceDN w:val="0"/>
        <w:adjustRightInd w:val="0"/>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A78B2" w:rsidRPr="003E2516">
        <w:rPr>
          <w:rFonts w:ascii="Times New Roman" w:hAnsi="Times New Roman" w:cs="Times New Roman"/>
          <w:b/>
          <w:sz w:val="24"/>
          <w:szCs w:val="24"/>
        </w:rPr>
        <w:t xml:space="preserve">.4.1.4. </w:t>
      </w:r>
      <w:r w:rsidR="00815267" w:rsidRPr="003E2516">
        <w:rPr>
          <w:rFonts w:ascii="Times New Roman" w:hAnsi="Times New Roman" w:cs="Times New Roman"/>
          <w:b/>
          <w:sz w:val="24"/>
          <w:szCs w:val="24"/>
        </w:rPr>
        <w:t>Programme 4: Technical and Vocational Education and Training</w:t>
      </w:r>
    </w:p>
    <w:p w:rsidR="00615968" w:rsidRPr="003E2516" w:rsidRDefault="00151E4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lang w:val="en-US"/>
        </w:rPr>
        <w:t>The purpose of this programme is to p</w:t>
      </w:r>
      <w:r w:rsidR="00815267" w:rsidRPr="003E2516">
        <w:rPr>
          <w:rFonts w:ascii="Times New Roman" w:hAnsi="Times New Roman" w:cs="Times New Roman"/>
          <w:sz w:val="24"/>
          <w:szCs w:val="24"/>
          <w:lang w:val="en-US"/>
        </w:rPr>
        <w:t>lan, develop, implement, monitor, maintain and evaluate national policy, programme assessment practices and systems for technical and vocational education and training.</w:t>
      </w:r>
      <w:r w:rsidR="00615968" w:rsidRPr="003E2516">
        <w:rPr>
          <w:rFonts w:ascii="Times New Roman" w:hAnsi="Times New Roman" w:cs="Times New Roman"/>
          <w:sz w:val="24"/>
          <w:szCs w:val="24"/>
          <w:lang w:val="en-US"/>
        </w:rPr>
        <w:t xml:space="preserve"> The programme has </w:t>
      </w:r>
      <w:r w:rsidR="00615968" w:rsidRPr="003E2516">
        <w:rPr>
          <w:rFonts w:ascii="Times New Roman" w:hAnsi="Times New Roman" w:cs="Times New Roman"/>
          <w:sz w:val="24"/>
          <w:szCs w:val="24"/>
        </w:rPr>
        <w:t xml:space="preserve">five budget sub-programmes. The sub-programmes are: Programme Management: Technical and Vocational Education and Training; Technical and Vocational Education and Training System Planning and Institutional Support; Programmes and Qualifications; National Examination and Assessments and Financial Planning. </w:t>
      </w:r>
    </w:p>
    <w:p w:rsidR="00615968" w:rsidRPr="003E2516" w:rsidRDefault="0061596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six strategic objectives namely: SO1: to develop and review TVET steering mechanisms in support of a sound PSET system by 31 March 2020; SO2: to implement oversight instruments on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ensure effective monitoring and evaluation of the TVET sector by 31 March 2020; SO3: to provide TVET teaching and learning support plans aimed at improving access to quality teaching and learning in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by 31 March 2020; SO4: to provide student support services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in </w:t>
      </w:r>
      <w:r w:rsidRPr="003E2516">
        <w:rPr>
          <w:rFonts w:ascii="Times New Roman" w:hAnsi="Times New Roman" w:cs="Times New Roman"/>
          <w:sz w:val="24"/>
          <w:szCs w:val="24"/>
        </w:rPr>
        <w:lastRenderedPageBreak/>
        <w:t xml:space="preserve">support of an improved PSET system by 31 March 2020; SO5: to develop infrastructure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ensure optimal geographic spread by 31 March 2020; and SO5: to ensure a strong TVET stakeholder network in support of effective collaboration of stakeholders in the PSET system by 31 March 2020</w:t>
      </w:r>
    </w:p>
    <w:p w:rsidR="00615968" w:rsidRPr="003E2516" w:rsidRDefault="0061596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a total of 23 targets for the financial year, 12 direct deliverables and 11 indirect deliverables. In the direct deliverables, the Department planned to have four new steering mechanisms: a performance reporting policy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approved by the Director-General by 31 December 2017, a policy for TVET College finance management developed by the Director-General by 31 March 2018, a policy for the South African Institute for Vocational and Continuing Education and Training</w:t>
      </w:r>
      <w:r w:rsidR="00A81C59" w:rsidRPr="003E2516">
        <w:rPr>
          <w:rFonts w:ascii="Times New Roman" w:hAnsi="Times New Roman" w:cs="Times New Roman"/>
          <w:sz w:val="24"/>
          <w:szCs w:val="24"/>
        </w:rPr>
        <w:t xml:space="preserve"> (SAIVCET)</w:t>
      </w:r>
      <w:r w:rsidRPr="003E2516">
        <w:rPr>
          <w:rFonts w:ascii="Times New Roman" w:hAnsi="Times New Roman" w:cs="Times New Roman"/>
          <w:sz w:val="24"/>
          <w:szCs w:val="24"/>
        </w:rPr>
        <w:t xml:space="preserve">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 policy for administration/management of student admission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The Department also planned to have a reviewed funding framework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30 September 2017, to have 16 monitoring and evaluation reports approved, to have infrastructure funding model for TVET College sector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approved by the Director-General by 31 March 2018; to have</w:t>
      </w:r>
      <w:r w:rsidR="004C68D4" w:rsidRPr="003E2516">
        <w:rPr>
          <w:rFonts w:ascii="Times New Roman" w:hAnsi="Times New Roman" w:cs="Times New Roman"/>
          <w:sz w:val="24"/>
          <w:szCs w:val="24"/>
        </w:rPr>
        <w:t xml:space="preserve"> </w:t>
      </w:r>
      <w:r w:rsidRPr="003E2516">
        <w:rPr>
          <w:rFonts w:ascii="Times New Roman" w:hAnsi="Times New Roman" w:cs="Times New Roman"/>
          <w:sz w:val="24"/>
          <w:szCs w:val="24"/>
        </w:rPr>
        <w:t>infrastruc</w:t>
      </w:r>
      <w:r w:rsidR="004156D2" w:rsidRPr="003E2516">
        <w:rPr>
          <w:rFonts w:ascii="Times New Roman" w:hAnsi="Times New Roman" w:cs="Times New Roman"/>
          <w:sz w:val="24"/>
          <w:szCs w:val="24"/>
        </w:rPr>
        <w:t>ture maintenance plan for TVET c</w:t>
      </w:r>
      <w:r w:rsidRPr="003E2516">
        <w:rPr>
          <w:rFonts w:ascii="Times New Roman" w:hAnsi="Times New Roman" w:cs="Times New Roman"/>
          <w:sz w:val="24"/>
          <w:szCs w:val="24"/>
        </w:rPr>
        <w:t xml:space="preserve">ollege sector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 xml:space="preserve">approved by the Director-General by 31 March 2018 and to have a national infrastructure asset management system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w:t>
      </w:r>
      <w:r w:rsidR="00294FB3" w:rsidRPr="003E2516">
        <w:rPr>
          <w:rFonts w:ascii="Times New Roman" w:hAnsi="Times New Roman" w:cs="Times New Roman"/>
          <w:sz w:val="24"/>
          <w:szCs w:val="24"/>
        </w:rPr>
        <w:t xml:space="preserve">to be </w:t>
      </w:r>
      <w:r w:rsidRPr="003E2516">
        <w:rPr>
          <w:rFonts w:ascii="Times New Roman" w:hAnsi="Times New Roman" w:cs="Times New Roman"/>
          <w:sz w:val="24"/>
          <w:szCs w:val="24"/>
        </w:rPr>
        <w:t>approved by the Director-General by 31 March 2018.</w:t>
      </w:r>
    </w:p>
    <w:p w:rsidR="00615968" w:rsidRPr="003E2516" w:rsidRDefault="0061596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For the system performance targets, the Department planned to have 710 535 headcount enrolments in the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to have 3 months lead time to issue certificates to qualifying candidates, to have</w:t>
      </w:r>
      <w:r w:rsidR="004C68D4" w:rsidRPr="003E2516">
        <w:rPr>
          <w:rFonts w:ascii="Times New Roman" w:hAnsi="Times New Roman" w:cs="Times New Roman"/>
          <w:sz w:val="24"/>
          <w:szCs w:val="24"/>
        </w:rPr>
        <w:t xml:space="preserve"> a</w:t>
      </w:r>
      <w:r w:rsidRPr="003E2516">
        <w:rPr>
          <w:rFonts w:ascii="Times New Roman" w:hAnsi="Times New Roman" w:cs="Times New Roman"/>
          <w:sz w:val="24"/>
          <w:szCs w:val="24"/>
        </w:rPr>
        <w:t xml:space="preserve"> 30 percent NC(V) L4: certification rate, to have </w:t>
      </w:r>
      <w:r w:rsidR="004C68D4" w:rsidRPr="003E2516">
        <w:rPr>
          <w:rFonts w:ascii="Times New Roman" w:hAnsi="Times New Roman" w:cs="Times New Roman"/>
          <w:sz w:val="24"/>
          <w:szCs w:val="24"/>
        </w:rPr>
        <w:t xml:space="preserve">a </w:t>
      </w:r>
      <w:r w:rsidRPr="003E2516">
        <w:rPr>
          <w:rFonts w:ascii="Times New Roman" w:hAnsi="Times New Roman" w:cs="Times New Roman"/>
          <w:sz w:val="24"/>
          <w:szCs w:val="24"/>
        </w:rPr>
        <w:t>55 percent N3: certification rate,</w:t>
      </w:r>
      <w:r w:rsidR="004C68D4" w:rsidRPr="003E2516">
        <w:rPr>
          <w:rFonts w:ascii="Times New Roman" w:hAnsi="Times New Roman" w:cs="Times New Roman"/>
          <w:sz w:val="24"/>
          <w:szCs w:val="24"/>
        </w:rPr>
        <w:t xml:space="preserve"> to have</w:t>
      </w:r>
      <w:r w:rsidRPr="003E2516">
        <w:rPr>
          <w:rFonts w:ascii="Times New Roman" w:hAnsi="Times New Roman" w:cs="Times New Roman"/>
          <w:sz w:val="24"/>
          <w:szCs w:val="24"/>
        </w:rPr>
        <w:t xml:space="preserve"> 100 percent of public TVET college examination centres conducting national examinations and assessments in compliance with national policy, to have 200 000 qualifying TVET students obtaining NSFAS financial assistance per annum. </w:t>
      </w:r>
    </w:p>
    <w:p w:rsidR="00F63D2B" w:rsidRPr="003E2516" w:rsidRDefault="00A76AE5" w:rsidP="003E2516">
      <w:pPr>
        <w:autoSpaceDE w:val="0"/>
        <w:autoSpaceDN w:val="0"/>
        <w:adjustRightInd w:val="0"/>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A78B2" w:rsidRPr="003E2516">
        <w:rPr>
          <w:rFonts w:ascii="Times New Roman" w:hAnsi="Times New Roman" w:cs="Times New Roman"/>
          <w:b/>
          <w:sz w:val="24"/>
          <w:szCs w:val="24"/>
        </w:rPr>
        <w:t xml:space="preserve">.4.1.5. </w:t>
      </w:r>
      <w:r w:rsidR="00F63D2B" w:rsidRPr="003E2516">
        <w:rPr>
          <w:rFonts w:ascii="Times New Roman" w:hAnsi="Times New Roman" w:cs="Times New Roman"/>
          <w:b/>
          <w:sz w:val="24"/>
          <w:szCs w:val="24"/>
        </w:rPr>
        <w:t>Programme 5: Skills Development</w:t>
      </w:r>
    </w:p>
    <w:p w:rsidR="006B542B" w:rsidRPr="003E2516" w:rsidRDefault="00151E48" w:rsidP="003E2516">
      <w:pPr>
        <w:autoSpaceDE w:val="0"/>
        <w:autoSpaceDN w:val="0"/>
        <w:adjustRightInd w:val="0"/>
        <w:spacing w:before="120" w:after="120" w:line="240" w:lineRule="auto"/>
        <w:jc w:val="both"/>
        <w:rPr>
          <w:rFonts w:ascii="Times New Roman" w:hAnsi="Times New Roman" w:cs="Times New Roman"/>
          <w:sz w:val="24"/>
          <w:szCs w:val="24"/>
          <w:lang w:val="en-US"/>
        </w:rPr>
      </w:pPr>
      <w:r w:rsidRPr="003E2516">
        <w:rPr>
          <w:rFonts w:ascii="Times New Roman" w:hAnsi="Times New Roman" w:cs="Times New Roman"/>
          <w:sz w:val="24"/>
          <w:szCs w:val="24"/>
          <w:lang w:val="en-US"/>
        </w:rPr>
        <w:t>The purpose of this programme is to p</w:t>
      </w:r>
      <w:r w:rsidR="0085069B" w:rsidRPr="003E2516">
        <w:rPr>
          <w:rFonts w:ascii="Times New Roman" w:hAnsi="Times New Roman" w:cs="Times New Roman"/>
          <w:sz w:val="24"/>
          <w:szCs w:val="24"/>
          <w:lang w:val="en-US"/>
        </w:rPr>
        <w:t>romote and monitor the national skills development strategy. Develop a skills development policy and regulatory framework for an effective skills development system.</w:t>
      </w:r>
      <w:r w:rsidR="00F00C5B" w:rsidRPr="003E2516">
        <w:rPr>
          <w:rFonts w:ascii="Times New Roman" w:hAnsi="Times New Roman" w:cs="Times New Roman"/>
          <w:sz w:val="24"/>
          <w:szCs w:val="24"/>
          <w:lang w:val="en-US"/>
        </w:rPr>
        <w:t xml:space="preserve"> This programme has four sub-programmes, namely: Programme Management – Skills Development; SETA Coordination; National Skills Development Services and Quality Development and Promotion.</w:t>
      </w:r>
    </w:p>
    <w:p w:rsidR="006B542B" w:rsidRPr="003E2516" w:rsidRDefault="006B542B" w:rsidP="003E2516">
      <w:pPr>
        <w:autoSpaceDE w:val="0"/>
        <w:autoSpaceDN w:val="0"/>
        <w:adjustRightInd w:val="0"/>
        <w:spacing w:before="120" w:after="120" w:line="240" w:lineRule="auto"/>
        <w:jc w:val="both"/>
        <w:rPr>
          <w:rFonts w:ascii="Times New Roman" w:hAnsi="Times New Roman" w:cs="Times New Roman"/>
          <w:sz w:val="24"/>
          <w:szCs w:val="24"/>
          <w:lang w:val="en-US"/>
        </w:rPr>
      </w:pPr>
    </w:p>
    <w:p w:rsidR="006B542B" w:rsidRPr="003E2516" w:rsidRDefault="00FE6977"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bCs/>
          <w:sz w:val="24"/>
          <w:szCs w:val="24"/>
        </w:rPr>
        <w:t xml:space="preserve">The Programme has four Strategic Objectives, namely: SO1: </w:t>
      </w:r>
      <w:r w:rsidRPr="003E2516">
        <w:rPr>
          <w:rFonts w:ascii="Times New Roman" w:hAnsi="Times New Roman" w:cs="Times New Roman"/>
          <w:sz w:val="24"/>
          <w:szCs w:val="24"/>
        </w:rPr>
        <w:t>to develop and review steering mechanisms for artisan development in support of a sound PSET system by 31 March 2020; SO2: to implement oversight instruments on skills development to ensure effective monitoring and evaluation of artisan development by 31 March 2020; SO3: to ensure effective artisan development assessment services in support of an improved PSET system by 31 March 2020, and SO4: to develop infrastructure/facilities in order to improve artisan development by 31 March 2020</w:t>
      </w:r>
      <w:r w:rsidR="006B542B" w:rsidRPr="003E2516">
        <w:rPr>
          <w:rFonts w:ascii="Times New Roman" w:hAnsi="Times New Roman" w:cs="Times New Roman"/>
          <w:sz w:val="24"/>
          <w:szCs w:val="24"/>
        </w:rPr>
        <w:t>.</w:t>
      </w:r>
    </w:p>
    <w:p w:rsidR="006B542B" w:rsidRPr="003E2516" w:rsidRDefault="006B542B" w:rsidP="003E2516">
      <w:pPr>
        <w:autoSpaceDE w:val="0"/>
        <w:autoSpaceDN w:val="0"/>
        <w:adjustRightInd w:val="0"/>
        <w:spacing w:before="120" w:after="120" w:line="240" w:lineRule="auto"/>
        <w:jc w:val="both"/>
        <w:rPr>
          <w:rFonts w:ascii="Times New Roman" w:hAnsi="Times New Roman" w:cs="Times New Roman"/>
          <w:sz w:val="24"/>
          <w:szCs w:val="24"/>
          <w:lang w:val="en-US"/>
        </w:rPr>
      </w:pPr>
    </w:p>
    <w:p w:rsidR="000C747A" w:rsidRPr="003E2516" w:rsidRDefault="00FE6977" w:rsidP="003E2516">
      <w:pPr>
        <w:spacing w:before="120" w:after="120" w:line="240" w:lineRule="auto"/>
        <w:jc w:val="both"/>
        <w:rPr>
          <w:rFonts w:ascii="Times New Roman" w:hAnsi="Times New Roman" w:cs="Times New Roman"/>
          <w:bCs/>
          <w:sz w:val="24"/>
          <w:szCs w:val="24"/>
        </w:rPr>
      </w:pPr>
      <w:r w:rsidRPr="003E2516">
        <w:rPr>
          <w:rFonts w:ascii="Times New Roman" w:hAnsi="Times New Roman" w:cs="Times New Roman"/>
          <w:sz w:val="24"/>
          <w:szCs w:val="24"/>
        </w:rPr>
        <w:t>For the 2017/18</w:t>
      </w:r>
      <w:r w:rsidR="006B542B" w:rsidRPr="003E2516">
        <w:rPr>
          <w:rFonts w:ascii="Times New Roman" w:hAnsi="Times New Roman" w:cs="Times New Roman"/>
          <w:sz w:val="24"/>
          <w:szCs w:val="24"/>
        </w:rPr>
        <w:t xml:space="preserve"> financial year</w:t>
      </w:r>
      <w:r w:rsidRPr="003E2516">
        <w:rPr>
          <w:rFonts w:ascii="Times New Roman" w:hAnsi="Times New Roman" w:cs="Times New Roman"/>
          <w:sz w:val="24"/>
          <w:szCs w:val="24"/>
        </w:rPr>
        <w:t xml:space="preserve">, the programme has a total of 15 targets spread across the four strategic objectives. Of these, nine targets are the Department’s direct deliverables. The Department planned to have a reviewed National Skills Development Plan developed and approved by the Director-General </w:t>
      </w:r>
      <w:r w:rsidR="004C68D4" w:rsidRPr="003E2516">
        <w:rPr>
          <w:rFonts w:ascii="Times New Roman" w:hAnsi="Times New Roman" w:cs="Times New Roman"/>
          <w:sz w:val="24"/>
          <w:szCs w:val="24"/>
        </w:rPr>
        <w:t>by 31 March 2018, to have five m</w:t>
      </w:r>
      <w:r w:rsidRPr="003E2516">
        <w:rPr>
          <w:rFonts w:ascii="Times New Roman" w:hAnsi="Times New Roman" w:cs="Times New Roman"/>
          <w:sz w:val="24"/>
          <w:szCs w:val="24"/>
        </w:rPr>
        <w:t xml:space="preserve">onitoring and evaluation reports developed and approved; and to have a report on the implementation of the security infrastructure development plan at </w:t>
      </w:r>
      <w:r w:rsidR="000C747A" w:rsidRPr="003E2516">
        <w:rPr>
          <w:rFonts w:ascii="Times New Roman" w:hAnsi="Times New Roman" w:cs="Times New Roman"/>
          <w:sz w:val="24"/>
          <w:szCs w:val="24"/>
        </w:rPr>
        <w:t>the</w:t>
      </w:r>
      <w:r w:rsidR="000B79F5" w:rsidRPr="003E2516">
        <w:rPr>
          <w:rFonts w:ascii="Times New Roman" w:hAnsi="Times New Roman" w:cs="Times New Roman"/>
          <w:sz w:val="24"/>
          <w:szCs w:val="24"/>
        </w:rPr>
        <w:t xml:space="preserve"> Institute for</w:t>
      </w:r>
      <w:r w:rsidR="000C747A" w:rsidRPr="003E2516">
        <w:rPr>
          <w:rFonts w:ascii="Times New Roman" w:hAnsi="Times New Roman" w:cs="Times New Roman"/>
          <w:sz w:val="24"/>
          <w:szCs w:val="24"/>
        </w:rPr>
        <w:t xml:space="preserve"> </w:t>
      </w:r>
      <w:r w:rsidR="000C747A" w:rsidRPr="003E2516">
        <w:rPr>
          <w:rFonts w:ascii="Times New Roman" w:hAnsi="Times New Roman" w:cs="Times New Roman"/>
          <w:sz w:val="24"/>
          <w:szCs w:val="24"/>
          <w:lang w:val="en-US"/>
        </w:rPr>
        <w:t xml:space="preserve">National Development of Learnerships, </w:t>
      </w:r>
      <w:r w:rsidR="000C747A" w:rsidRPr="003E2516">
        <w:rPr>
          <w:rFonts w:ascii="Times New Roman" w:hAnsi="Times New Roman" w:cs="Times New Roman"/>
          <w:sz w:val="24"/>
          <w:szCs w:val="24"/>
          <w:lang w:val="en-US"/>
        </w:rPr>
        <w:lastRenderedPageBreak/>
        <w:t>Employment Skills and Labour Assessments (</w:t>
      </w:r>
      <w:r w:rsidRPr="003E2516">
        <w:rPr>
          <w:rFonts w:ascii="Times New Roman" w:hAnsi="Times New Roman" w:cs="Times New Roman"/>
          <w:sz w:val="24"/>
          <w:szCs w:val="24"/>
        </w:rPr>
        <w:t>INDLELA</w:t>
      </w:r>
      <w:r w:rsidR="000C747A" w:rsidRPr="003E2516">
        <w:rPr>
          <w:rFonts w:ascii="Times New Roman" w:hAnsi="Times New Roman" w:cs="Times New Roman"/>
          <w:sz w:val="24"/>
          <w:szCs w:val="24"/>
        </w:rPr>
        <w:t>)</w:t>
      </w:r>
      <w:r w:rsidRPr="003E2516">
        <w:rPr>
          <w:rFonts w:ascii="Times New Roman" w:hAnsi="Times New Roman" w:cs="Times New Roman"/>
          <w:sz w:val="24"/>
          <w:szCs w:val="24"/>
        </w:rPr>
        <w:t xml:space="preserve"> developed and</w:t>
      </w:r>
      <w:r w:rsidR="008C6D23" w:rsidRPr="003E2516">
        <w:rPr>
          <w:rFonts w:ascii="Times New Roman" w:hAnsi="Times New Roman" w:cs="Times New Roman"/>
          <w:sz w:val="24"/>
          <w:szCs w:val="24"/>
        </w:rPr>
        <w:t xml:space="preserve"> to be</w:t>
      </w:r>
      <w:r w:rsidRPr="003E2516">
        <w:rPr>
          <w:rFonts w:ascii="Times New Roman" w:hAnsi="Times New Roman" w:cs="Times New Roman"/>
          <w:sz w:val="24"/>
          <w:szCs w:val="24"/>
        </w:rPr>
        <w:t xml:space="preserve"> approved by the Director-General by 31 March 2018</w:t>
      </w:r>
      <w:r w:rsidR="000C747A" w:rsidRPr="003E2516">
        <w:rPr>
          <w:rFonts w:ascii="Times New Roman" w:hAnsi="Times New Roman" w:cs="Times New Roman"/>
          <w:sz w:val="24"/>
          <w:szCs w:val="24"/>
        </w:rPr>
        <w:t xml:space="preserve">, and to </w:t>
      </w:r>
      <w:r w:rsidR="000C747A" w:rsidRPr="003E2516">
        <w:rPr>
          <w:rFonts w:ascii="Times New Roman" w:hAnsi="Times New Roman" w:cs="Times New Roman"/>
          <w:bCs/>
          <w:color w:val="000000" w:themeColor="text1"/>
          <w:kern w:val="24"/>
          <w:sz w:val="24"/>
          <w:szCs w:val="24"/>
        </w:rPr>
        <w:t>reduce the average lead time on trade testing for all qualifying applications from the baseline of 169 days in 2015/16 to 100 days</w:t>
      </w:r>
    </w:p>
    <w:p w:rsidR="00FE6977" w:rsidRPr="003E2516" w:rsidRDefault="00FE6977" w:rsidP="003E2516">
      <w:pPr>
        <w:spacing w:before="120" w:after="120" w:line="240" w:lineRule="auto"/>
        <w:jc w:val="both"/>
        <w:rPr>
          <w:rFonts w:ascii="Times New Roman" w:hAnsi="Times New Roman" w:cs="Times New Roman"/>
          <w:bCs/>
          <w:sz w:val="24"/>
          <w:szCs w:val="24"/>
        </w:rPr>
      </w:pPr>
      <w:r w:rsidRPr="003E2516">
        <w:rPr>
          <w:rFonts w:ascii="Times New Roman" w:hAnsi="Times New Roman" w:cs="Times New Roman"/>
          <w:sz w:val="24"/>
          <w:szCs w:val="24"/>
        </w:rPr>
        <w:t xml:space="preserve">For the system performance targets, the Department planned to have 130 000 work based learning opportunities, 21 110 new artisans qualified per annum, to have 60 percent of new artisan learners employed or self-employed, to have 21 110 new artisan learners qualified and 27 750 new artisan learners registered.  </w:t>
      </w:r>
    </w:p>
    <w:p w:rsidR="0085069B" w:rsidRPr="003E2516" w:rsidRDefault="00A76AE5" w:rsidP="003E2516">
      <w:pPr>
        <w:autoSpaceDE w:val="0"/>
        <w:autoSpaceDN w:val="0"/>
        <w:adjustRightInd w:val="0"/>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A78B2" w:rsidRPr="003E2516">
        <w:rPr>
          <w:rFonts w:ascii="Times New Roman" w:hAnsi="Times New Roman" w:cs="Times New Roman"/>
          <w:b/>
          <w:sz w:val="24"/>
          <w:szCs w:val="24"/>
        </w:rPr>
        <w:t xml:space="preserve">.4.1.6. </w:t>
      </w:r>
      <w:r w:rsidR="0085069B" w:rsidRPr="003E2516">
        <w:rPr>
          <w:rFonts w:ascii="Times New Roman" w:hAnsi="Times New Roman" w:cs="Times New Roman"/>
          <w:b/>
          <w:sz w:val="24"/>
          <w:szCs w:val="24"/>
        </w:rPr>
        <w:t>Programme 6: Community Education Training</w:t>
      </w:r>
    </w:p>
    <w:p w:rsidR="00FD643E" w:rsidRPr="003E2516" w:rsidRDefault="00151E48" w:rsidP="003E2516">
      <w:pPr>
        <w:autoSpaceDE w:val="0"/>
        <w:autoSpaceDN w:val="0"/>
        <w:adjustRightInd w:val="0"/>
        <w:spacing w:before="120" w:after="120" w:line="240" w:lineRule="auto"/>
        <w:jc w:val="both"/>
        <w:rPr>
          <w:rFonts w:ascii="Times New Roman" w:hAnsi="Times New Roman" w:cs="Times New Roman"/>
          <w:iCs/>
          <w:sz w:val="24"/>
          <w:szCs w:val="24"/>
          <w:lang w:val="en-US"/>
        </w:rPr>
      </w:pPr>
      <w:r w:rsidRPr="003E2516">
        <w:rPr>
          <w:rFonts w:ascii="Times New Roman" w:hAnsi="Times New Roman" w:cs="Times New Roman"/>
          <w:sz w:val="24"/>
          <w:szCs w:val="24"/>
          <w:lang w:val="en-US"/>
        </w:rPr>
        <w:t>The purpose of this programme is to p</w:t>
      </w:r>
      <w:r w:rsidR="00FD643E" w:rsidRPr="003E2516">
        <w:rPr>
          <w:rFonts w:ascii="Times New Roman" w:hAnsi="Times New Roman" w:cs="Times New Roman"/>
          <w:sz w:val="24"/>
          <w:szCs w:val="24"/>
          <w:lang w:val="en-US"/>
        </w:rPr>
        <w:t>lan, develop, implement, monitor, maintain and evaluate national policy, programme assessment practices and systems for community education and training.</w:t>
      </w:r>
      <w:r w:rsidR="00CA78B2" w:rsidRPr="003E2516">
        <w:rPr>
          <w:rFonts w:ascii="Times New Roman" w:hAnsi="Times New Roman" w:cs="Times New Roman"/>
          <w:sz w:val="24"/>
          <w:szCs w:val="24"/>
          <w:lang w:val="en-US"/>
        </w:rPr>
        <w:t xml:space="preserve"> The programme has four sub-programmes, namely: </w:t>
      </w:r>
      <w:r w:rsidR="00CA78B2" w:rsidRPr="003E2516">
        <w:rPr>
          <w:rFonts w:ascii="Times New Roman" w:hAnsi="Times New Roman" w:cs="Times New Roman"/>
          <w:iCs/>
          <w:sz w:val="24"/>
          <w:szCs w:val="24"/>
          <w:lang w:val="en-US"/>
        </w:rPr>
        <w:t xml:space="preserve">Programme Management: Community Education and Training; Community Education and Training </w:t>
      </w:r>
      <w:r w:rsidR="00863577" w:rsidRPr="003E2516">
        <w:rPr>
          <w:rFonts w:ascii="Times New Roman" w:hAnsi="Times New Roman" w:cs="Times New Roman"/>
          <w:iCs/>
          <w:sz w:val="24"/>
          <w:szCs w:val="24"/>
          <w:lang w:val="en-US"/>
        </w:rPr>
        <w:t>Colleges</w:t>
      </w:r>
      <w:r w:rsidR="00CA78B2" w:rsidRPr="003E2516">
        <w:rPr>
          <w:rFonts w:ascii="Times New Roman" w:hAnsi="Times New Roman" w:cs="Times New Roman"/>
          <w:iCs/>
          <w:sz w:val="24"/>
          <w:szCs w:val="24"/>
          <w:lang w:val="en-US"/>
        </w:rPr>
        <w:t xml:space="preserve"> Systems Planning, Institutional Development and Support; Financial Planning; and Education and Training and Development Support.</w:t>
      </w: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iCs/>
          <w:sz w:val="24"/>
          <w:szCs w:val="24"/>
          <w:lang w:val="en-US"/>
        </w:rPr>
      </w:pP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four Strategic Objectives, namely: SO1: to develop and review CET steering mechanisms in support of a sound PSET system by 31 March 2020; SO2:  to implement oversight instruments on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ensure effective monitoring and evaluation of the CET sector by 31 March 2020; SO3: to  provide CET teaching and learning support plans aimed at improving access to quality teaching and learning in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(beginning 2017) by 31 March 2020; SO4: and to develop infrastructure for CET</w:t>
      </w:r>
    </w:p>
    <w:p w:rsidR="00CA78B2" w:rsidRPr="003E2516" w:rsidRDefault="00863577"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Colleges</w:t>
      </w:r>
      <w:r w:rsidR="00CA78B2" w:rsidRPr="003E2516">
        <w:rPr>
          <w:rFonts w:ascii="Times New Roman" w:hAnsi="Times New Roman" w:cs="Times New Roman"/>
          <w:sz w:val="24"/>
          <w:szCs w:val="24"/>
        </w:rPr>
        <w:t xml:space="preserve"> to ensure the optimal geographic spread by 31 March 2020.</w:t>
      </w: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sz w:val="24"/>
          <w:szCs w:val="24"/>
        </w:rPr>
      </w:pP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six planned targets, which four are Department direct deliverables and two system targets. The Department planned to have the CET service delivery model developed and approved by the Director-General by 30 September 2017, to have a Reporting policy for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approved by the Minister by 31 March 2018, to have a Reviewed funding framework for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approved by the Minister by 30 September 2017, and to have three monitoring and evaluation reports on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developed and approved by the Director-General by 31 March 2018. </w:t>
      </w: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sz w:val="24"/>
          <w:szCs w:val="24"/>
        </w:rPr>
      </w:pPr>
    </w:p>
    <w:p w:rsidR="00CA78B2" w:rsidRPr="003E2516" w:rsidRDefault="00CA78B2" w:rsidP="003E2516">
      <w:pPr>
        <w:autoSpaceDE w:val="0"/>
        <w:autoSpaceDN w:val="0"/>
        <w:adjustRightInd w:val="0"/>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For the system targets, the Department planned to have 340 000 headcount enrolment in the CET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and to have</w:t>
      </w:r>
      <w:r w:rsidR="004C68D4" w:rsidRPr="003E2516">
        <w:rPr>
          <w:rFonts w:ascii="Times New Roman" w:hAnsi="Times New Roman" w:cs="Times New Roman"/>
          <w:sz w:val="24"/>
          <w:szCs w:val="24"/>
        </w:rPr>
        <w:t xml:space="preserve"> a 45 percent certification rate</w:t>
      </w:r>
      <w:r w:rsidRPr="003E2516">
        <w:rPr>
          <w:rFonts w:ascii="Times New Roman" w:hAnsi="Times New Roman" w:cs="Times New Roman"/>
          <w:sz w:val="24"/>
          <w:szCs w:val="24"/>
        </w:rPr>
        <w:t xml:space="preserve"> in CET formal qualifications.</w:t>
      </w:r>
    </w:p>
    <w:p w:rsidR="00C728F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728F4" w:rsidRPr="003E2516">
        <w:rPr>
          <w:rFonts w:ascii="Times New Roman" w:hAnsi="Times New Roman" w:cs="Times New Roman"/>
          <w:b/>
          <w:sz w:val="24"/>
          <w:szCs w:val="24"/>
        </w:rPr>
        <w:t>.4.2. Overview and assessment of the 2017/18 Medium-Term Expenditure Framework (MTEF) Budget</w:t>
      </w:r>
    </w:p>
    <w:p w:rsidR="00C728F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728F4" w:rsidRPr="003E2516">
        <w:rPr>
          <w:rFonts w:ascii="Times New Roman" w:hAnsi="Times New Roman" w:cs="Times New Roman"/>
          <w:b/>
          <w:sz w:val="24"/>
          <w:szCs w:val="24"/>
        </w:rPr>
        <w:t>.4.2.1. Overall Budget Allocation and Expenditure Estimates: 2017/18 financial year</w:t>
      </w:r>
    </w:p>
    <w:p w:rsidR="003E2516" w:rsidRDefault="003E2516">
      <w:pPr>
        <w:rPr>
          <w:rFonts w:ascii="Times New Roman" w:hAnsi="Times New Roman" w:cs="Times New Roman"/>
          <w:sz w:val="24"/>
          <w:szCs w:val="24"/>
        </w:rPr>
      </w:pPr>
      <w:r>
        <w:rPr>
          <w:rFonts w:ascii="Times New Roman" w:hAnsi="Times New Roman" w:cs="Times New Roman"/>
          <w:sz w:val="24"/>
          <w:szCs w:val="24"/>
        </w:rPr>
        <w:br w:type="page"/>
      </w:r>
    </w:p>
    <w:p w:rsidR="00C728F4" w:rsidRPr="003E2516" w:rsidRDefault="00C728F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lastRenderedPageBreak/>
        <w:t>Table 1: Overall budget allocation and expenditure estimates of the Department</w:t>
      </w:r>
    </w:p>
    <w:tbl>
      <w:tblPr>
        <w:tblStyle w:val="TableGrid"/>
        <w:tblW w:w="8784" w:type="dxa"/>
        <w:tblLayout w:type="fixed"/>
        <w:tblLook w:val="04A0" w:firstRow="1" w:lastRow="0" w:firstColumn="1" w:lastColumn="0" w:noHBand="0" w:noVBand="1"/>
      </w:tblPr>
      <w:tblGrid>
        <w:gridCol w:w="2263"/>
        <w:gridCol w:w="1701"/>
        <w:gridCol w:w="1560"/>
        <w:gridCol w:w="1701"/>
        <w:gridCol w:w="1559"/>
      </w:tblGrid>
      <w:tr w:rsidR="00C728F4" w:rsidRPr="003E2516" w:rsidTr="00C728F4">
        <w:tc>
          <w:tcPr>
            <w:tcW w:w="2263" w:type="dxa"/>
            <w:vMerge w:val="restart"/>
            <w:shd w:val="clear" w:color="auto" w:fill="EEECE1" w:themeFill="background2"/>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Programmes</w:t>
            </w:r>
          </w:p>
        </w:tc>
        <w:tc>
          <w:tcPr>
            <w:tcW w:w="6521" w:type="dxa"/>
            <w:gridSpan w:val="4"/>
            <w:shd w:val="clear" w:color="auto" w:fill="EEECE1" w:themeFill="background2"/>
          </w:tcPr>
          <w:p w:rsidR="00C728F4" w:rsidRPr="003E2516" w:rsidRDefault="00C728F4" w:rsidP="003E2516">
            <w:pPr>
              <w:spacing w:before="120" w:after="120"/>
              <w:jc w:val="center"/>
              <w:rPr>
                <w:rFonts w:ascii="Times New Roman" w:hAnsi="Times New Roman" w:cs="Times New Roman"/>
                <w:b/>
                <w:sz w:val="24"/>
                <w:szCs w:val="24"/>
              </w:rPr>
            </w:pPr>
            <w:r w:rsidRPr="003E2516">
              <w:rPr>
                <w:rFonts w:ascii="Times New Roman" w:hAnsi="Times New Roman" w:cs="Times New Roman"/>
                <w:b/>
                <w:sz w:val="24"/>
                <w:szCs w:val="24"/>
              </w:rPr>
              <w:t>VOTE 15: HIGHER EDUCATION AND TRAINING</w:t>
            </w:r>
          </w:p>
          <w:p w:rsidR="00C728F4" w:rsidRPr="003E2516" w:rsidRDefault="00C728F4" w:rsidP="003E2516">
            <w:pPr>
              <w:spacing w:before="120" w:after="120"/>
              <w:jc w:val="center"/>
              <w:rPr>
                <w:rFonts w:ascii="Times New Roman" w:hAnsi="Times New Roman" w:cs="Times New Roman"/>
                <w:b/>
                <w:sz w:val="24"/>
                <w:szCs w:val="24"/>
              </w:rPr>
            </w:pPr>
          </w:p>
        </w:tc>
      </w:tr>
      <w:tr w:rsidR="00C728F4" w:rsidRPr="003E2516" w:rsidTr="00C728F4">
        <w:tc>
          <w:tcPr>
            <w:tcW w:w="2263" w:type="dxa"/>
            <w:vMerge/>
            <w:shd w:val="clear" w:color="auto" w:fill="EEECE1" w:themeFill="background2"/>
          </w:tcPr>
          <w:p w:rsidR="00C728F4" w:rsidRPr="003E2516" w:rsidRDefault="00C728F4" w:rsidP="003E2516">
            <w:pPr>
              <w:spacing w:before="120" w:after="120"/>
              <w:jc w:val="both"/>
              <w:rPr>
                <w:rFonts w:ascii="Times New Roman" w:hAnsi="Times New Roman" w:cs="Times New Roman"/>
                <w:b/>
                <w:sz w:val="24"/>
                <w:szCs w:val="24"/>
              </w:rPr>
            </w:pPr>
          </w:p>
        </w:tc>
        <w:tc>
          <w:tcPr>
            <w:tcW w:w="6521" w:type="dxa"/>
            <w:gridSpan w:val="4"/>
            <w:shd w:val="clear" w:color="auto" w:fill="C0504D" w:themeFill="accent2"/>
          </w:tcPr>
          <w:p w:rsidR="00C728F4" w:rsidRPr="003E2516" w:rsidRDefault="00C728F4" w:rsidP="003E2516">
            <w:pPr>
              <w:spacing w:before="120" w:after="120"/>
              <w:jc w:val="center"/>
              <w:rPr>
                <w:rFonts w:ascii="Times New Roman" w:hAnsi="Times New Roman" w:cs="Times New Roman"/>
                <w:b/>
                <w:sz w:val="24"/>
                <w:szCs w:val="24"/>
              </w:rPr>
            </w:pPr>
            <w:r w:rsidRPr="003E2516">
              <w:rPr>
                <w:rFonts w:ascii="Times New Roman" w:hAnsi="Times New Roman" w:cs="Times New Roman"/>
                <w:b/>
                <w:sz w:val="24"/>
                <w:szCs w:val="24"/>
              </w:rPr>
              <w:t>Medium-Term Expenditure Estimates</w:t>
            </w:r>
          </w:p>
          <w:p w:rsidR="00C728F4" w:rsidRPr="003E2516" w:rsidRDefault="00C728F4" w:rsidP="003E2516">
            <w:pPr>
              <w:spacing w:before="120" w:after="120"/>
              <w:jc w:val="center"/>
              <w:rPr>
                <w:rFonts w:ascii="Times New Roman" w:hAnsi="Times New Roman" w:cs="Times New Roman"/>
                <w:b/>
                <w:sz w:val="24"/>
                <w:szCs w:val="24"/>
              </w:rPr>
            </w:pPr>
          </w:p>
        </w:tc>
      </w:tr>
      <w:tr w:rsidR="00C728F4" w:rsidRPr="003E2516" w:rsidTr="00C728F4">
        <w:tc>
          <w:tcPr>
            <w:tcW w:w="2263" w:type="dxa"/>
            <w:vMerge/>
            <w:shd w:val="clear" w:color="auto" w:fill="EEECE1" w:themeFill="background2"/>
          </w:tcPr>
          <w:p w:rsidR="00C728F4" w:rsidRPr="003E2516" w:rsidRDefault="00C728F4" w:rsidP="003E2516">
            <w:pPr>
              <w:spacing w:before="120" w:after="120"/>
              <w:jc w:val="both"/>
              <w:rPr>
                <w:rFonts w:ascii="Times New Roman" w:hAnsi="Times New Roman" w:cs="Times New Roman"/>
                <w:b/>
                <w:sz w:val="24"/>
                <w:szCs w:val="24"/>
              </w:rPr>
            </w:pPr>
          </w:p>
        </w:tc>
        <w:tc>
          <w:tcPr>
            <w:tcW w:w="1701" w:type="dxa"/>
            <w:shd w:val="clear" w:color="auto" w:fill="C0504D" w:themeFill="accent2"/>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2016/17 Adjusted Appropriations</w:t>
            </w:r>
          </w:p>
        </w:tc>
        <w:tc>
          <w:tcPr>
            <w:tcW w:w="1560" w:type="dxa"/>
            <w:shd w:val="clear" w:color="auto" w:fill="C0504D" w:themeFill="accent2"/>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2017/18</w:t>
            </w:r>
          </w:p>
        </w:tc>
        <w:tc>
          <w:tcPr>
            <w:tcW w:w="1701" w:type="dxa"/>
            <w:shd w:val="clear" w:color="auto" w:fill="C0504D" w:themeFill="accent2"/>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2018/19</w:t>
            </w:r>
          </w:p>
        </w:tc>
        <w:tc>
          <w:tcPr>
            <w:tcW w:w="1559" w:type="dxa"/>
            <w:shd w:val="clear" w:color="auto" w:fill="C0504D" w:themeFill="accent2"/>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2019/20</w:t>
            </w:r>
          </w:p>
        </w:tc>
      </w:tr>
      <w:tr w:rsidR="00C728F4" w:rsidRPr="003E2516" w:rsidTr="00C728F4">
        <w:tc>
          <w:tcPr>
            <w:tcW w:w="2263" w:type="dxa"/>
            <w:shd w:val="clear" w:color="auto" w:fill="FFFFFF" w:themeFill="background1"/>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R million</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R’000</w:t>
            </w:r>
          </w:p>
        </w:tc>
        <w:tc>
          <w:tcPr>
            <w:tcW w:w="1560"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R’000</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R’000</w:t>
            </w:r>
          </w:p>
        </w:tc>
        <w:tc>
          <w:tcPr>
            <w:tcW w:w="1559"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R’000</w:t>
            </w:r>
          </w:p>
        </w:tc>
      </w:tr>
      <w:tr w:rsidR="00C728F4" w:rsidRPr="003E2516" w:rsidTr="00C728F4">
        <w:tc>
          <w:tcPr>
            <w:tcW w:w="2263" w:type="dxa"/>
            <w:shd w:val="clear" w:color="auto" w:fill="FFFFFF" w:themeFill="background1"/>
          </w:tcPr>
          <w:p w:rsidR="00C728F4" w:rsidRPr="003E2516" w:rsidRDefault="00C728F4" w:rsidP="003E2516">
            <w:pPr>
              <w:spacing w:before="120" w:after="120"/>
              <w:jc w:val="both"/>
              <w:rPr>
                <w:rFonts w:ascii="Times New Roman" w:hAnsi="Times New Roman" w:cs="Times New Roman"/>
                <w:sz w:val="24"/>
                <w:szCs w:val="24"/>
              </w:rPr>
            </w:pPr>
          </w:p>
        </w:tc>
        <w:tc>
          <w:tcPr>
            <w:tcW w:w="1701" w:type="dxa"/>
          </w:tcPr>
          <w:p w:rsidR="00C728F4" w:rsidRPr="003E2516" w:rsidRDefault="00C728F4" w:rsidP="003E2516">
            <w:pPr>
              <w:spacing w:before="120" w:after="120"/>
              <w:jc w:val="both"/>
              <w:rPr>
                <w:rFonts w:ascii="Times New Roman" w:hAnsi="Times New Roman" w:cs="Times New Roman"/>
                <w:sz w:val="24"/>
                <w:szCs w:val="24"/>
              </w:rPr>
            </w:pPr>
          </w:p>
        </w:tc>
        <w:tc>
          <w:tcPr>
            <w:tcW w:w="1560" w:type="dxa"/>
          </w:tcPr>
          <w:p w:rsidR="00C728F4" w:rsidRPr="003E2516" w:rsidRDefault="00C728F4" w:rsidP="003E2516">
            <w:pPr>
              <w:spacing w:before="120" w:after="120"/>
              <w:jc w:val="both"/>
              <w:rPr>
                <w:rFonts w:ascii="Times New Roman" w:hAnsi="Times New Roman" w:cs="Times New Roman"/>
                <w:sz w:val="24"/>
                <w:szCs w:val="24"/>
              </w:rPr>
            </w:pPr>
          </w:p>
        </w:tc>
        <w:tc>
          <w:tcPr>
            <w:tcW w:w="1701" w:type="dxa"/>
          </w:tcPr>
          <w:p w:rsidR="00C728F4" w:rsidRPr="003E2516" w:rsidRDefault="00C728F4" w:rsidP="003E2516">
            <w:pPr>
              <w:spacing w:before="120" w:after="120"/>
              <w:jc w:val="both"/>
              <w:rPr>
                <w:rFonts w:ascii="Times New Roman" w:hAnsi="Times New Roman" w:cs="Times New Roman"/>
                <w:sz w:val="24"/>
                <w:szCs w:val="24"/>
              </w:rPr>
            </w:pPr>
          </w:p>
        </w:tc>
        <w:tc>
          <w:tcPr>
            <w:tcW w:w="1559" w:type="dxa"/>
          </w:tcPr>
          <w:p w:rsidR="00C728F4" w:rsidRPr="003E2516" w:rsidRDefault="00C728F4" w:rsidP="003E2516">
            <w:pPr>
              <w:spacing w:before="120" w:after="120"/>
              <w:jc w:val="both"/>
              <w:rPr>
                <w:rFonts w:ascii="Times New Roman" w:hAnsi="Times New Roman" w:cs="Times New Roman"/>
                <w:sz w:val="24"/>
                <w:szCs w:val="24"/>
              </w:rPr>
            </w:pP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Administration</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372.7</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403.4</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441.0</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471.6</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Planning, Policy and Strategy</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71.6</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73.3</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79.7</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85.7</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University Education</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39 532.5</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41 943.5</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49 498.6</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52 344.4</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Vocational and Continuing Education and Training</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6 960.2</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7 408.2</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8 029.3</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8 604.5</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Skills Development</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181.4</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244.3</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266.8</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284.3</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Community Education and Training</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2 069.8</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2 234.9</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2 356.4</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 xml:space="preserve"> 2 530.3</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b/>
                <w:sz w:val="24"/>
                <w:szCs w:val="24"/>
              </w:rPr>
            </w:pPr>
            <w:r w:rsidRPr="003E2516">
              <w:rPr>
                <w:rFonts w:ascii="Times New Roman" w:hAnsi="Times New Roman" w:cs="Times New Roman"/>
                <w:b/>
                <w:sz w:val="24"/>
                <w:szCs w:val="24"/>
              </w:rPr>
              <w:t xml:space="preserve">Sub-Total </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 xml:space="preserve"> 49 188.2</w:t>
            </w:r>
          </w:p>
        </w:tc>
        <w:tc>
          <w:tcPr>
            <w:tcW w:w="1560"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 xml:space="preserve"> 52 307.6</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 xml:space="preserve">  60 671.8</w:t>
            </w:r>
          </w:p>
        </w:tc>
        <w:tc>
          <w:tcPr>
            <w:tcW w:w="1559"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64 320.9</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b/>
                <w:sz w:val="24"/>
                <w:szCs w:val="24"/>
              </w:rPr>
            </w:pPr>
            <w:r w:rsidRPr="003E2516">
              <w:rPr>
                <w:rFonts w:ascii="Times New Roman" w:hAnsi="Times New Roman" w:cs="Times New Roman"/>
                <w:b/>
                <w:sz w:val="24"/>
                <w:szCs w:val="24"/>
              </w:rPr>
              <w:t>Direct Charges against the National Revenue</w:t>
            </w:r>
            <w:r w:rsidR="00383178" w:rsidRPr="003E2516">
              <w:rPr>
                <w:rFonts w:ascii="Times New Roman" w:hAnsi="Times New Roman" w:cs="Times New Roman"/>
                <w:b/>
                <w:sz w:val="24"/>
                <w:szCs w:val="24"/>
              </w:rPr>
              <w:t xml:space="preserve"> Fund</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15 462.2</w:t>
            </w:r>
          </w:p>
        </w:tc>
        <w:tc>
          <w:tcPr>
            <w:tcW w:w="1560"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16 641.5</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17 968.2</w:t>
            </w:r>
          </w:p>
        </w:tc>
        <w:tc>
          <w:tcPr>
            <w:tcW w:w="1559"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19 454.1</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Sector Education and Training Authorities</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12 370.5</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13 313.2</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14 374.6</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15 563.3</w:t>
            </w:r>
          </w:p>
        </w:tc>
      </w:tr>
      <w:tr w:rsidR="00C728F4" w:rsidRPr="003E2516" w:rsidTr="00C728F4">
        <w:tc>
          <w:tcPr>
            <w:tcW w:w="2263" w:type="dxa"/>
            <w:shd w:val="clear" w:color="auto" w:fill="FFFFFF" w:themeFill="background1"/>
          </w:tcPr>
          <w:p w:rsidR="00C728F4" w:rsidRPr="003E2516" w:rsidRDefault="00C728F4" w:rsidP="003E2516">
            <w:pPr>
              <w:spacing w:before="120" w:after="120"/>
              <w:rPr>
                <w:rFonts w:ascii="Times New Roman" w:hAnsi="Times New Roman" w:cs="Times New Roman"/>
                <w:sz w:val="24"/>
                <w:szCs w:val="24"/>
              </w:rPr>
            </w:pPr>
            <w:r w:rsidRPr="003E2516">
              <w:rPr>
                <w:rFonts w:ascii="Times New Roman" w:hAnsi="Times New Roman" w:cs="Times New Roman"/>
                <w:sz w:val="24"/>
                <w:szCs w:val="24"/>
              </w:rPr>
              <w:t>National Skills Fund</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3 091.7</w:t>
            </w:r>
          </w:p>
        </w:tc>
        <w:tc>
          <w:tcPr>
            <w:tcW w:w="1560"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3 328.3</w:t>
            </w:r>
          </w:p>
        </w:tc>
        <w:tc>
          <w:tcPr>
            <w:tcW w:w="1701"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3.593.6</w:t>
            </w:r>
          </w:p>
        </w:tc>
        <w:tc>
          <w:tcPr>
            <w:tcW w:w="1559" w:type="dxa"/>
          </w:tcPr>
          <w:p w:rsidR="00C728F4" w:rsidRPr="003E2516" w:rsidRDefault="00C728F4" w:rsidP="003E2516">
            <w:pPr>
              <w:spacing w:before="120" w:after="120"/>
              <w:jc w:val="both"/>
              <w:rPr>
                <w:rFonts w:ascii="Times New Roman" w:hAnsi="Times New Roman" w:cs="Times New Roman"/>
                <w:sz w:val="24"/>
                <w:szCs w:val="24"/>
              </w:rPr>
            </w:pPr>
            <w:r w:rsidRPr="003E2516">
              <w:rPr>
                <w:rFonts w:ascii="Times New Roman" w:hAnsi="Times New Roman" w:cs="Times New Roman"/>
                <w:sz w:val="24"/>
                <w:szCs w:val="24"/>
              </w:rPr>
              <w:t>3 890.8</w:t>
            </w:r>
          </w:p>
        </w:tc>
      </w:tr>
      <w:tr w:rsidR="00C728F4" w:rsidRPr="003E2516" w:rsidTr="00C728F4">
        <w:tc>
          <w:tcPr>
            <w:tcW w:w="2263" w:type="dxa"/>
            <w:shd w:val="clear" w:color="auto" w:fill="FFFFFF" w:themeFill="background1"/>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 xml:space="preserve">Total </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64 650.4</w:t>
            </w:r>
          </w:p>
        </w:tc>
        <w:tc>
          <w:tcPr>
            <w:tcW w:w="1560"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68 949.1</w:t>
            </w:r>
          </w:p>
        </w:tc>
        <w:tc>
          <w:tcPr>
            <w:tcW w:w="1701"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78 640.0</w:t>
            </w:r>
          </w:p>
        </w:tc>
        <w:tc>
          <w:tcPr>
            <w:tcW w:w="1559" w:type="dxa"/>
          </w:tcPr>
          <w:p w:rsidR="00C728F4" w:rsidRPr="003E2516" w:rsidRDefault="00C728F4" w:rsidP="003E2516">
            <w:pPr>
              <w:spacing w:before="120" w:after="120"/>
              <w:jc w:val="both"/>
              <w:rPr>
                <w:rFonts w:ascii="Times New Roman" w:hAnsi="Times New Roman" w:cs="Times New Roman"/>
                <w:b/>
                <w:sz w:val="24"/>
                <w:szCs w:val="24"/>
              </w:rPr>
            </w:pPr>
            <w:r w:rsidRPr="003E2516">
              <w:rPr>
                <w:rFonts w:ascii="Times New Roman" w:hAnsi="Times New Roman" w:cs="Times New Roman"/>
                <w:b/>
                <w:sz w:val="24"/>
                <w:szCs w:val="24"/>
              </w:rPr>
              <w:t>83 775.0</w:t>
            </w:r>
          </w:p>
        </w:tc>
      </w:tr>
    </w:tbl>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lastRenderedPageBreak/>
        <w:t>The budget of the Department increases at an average rate of 9.4 percent</w:t>
      </w:r>
      <w:r w:rsidR="004C68D4" w:rsidRPr="003E2516">
        <w:rPr>
          <w:rFonts w:ascii="Times New Roman" w:hAnsi="Times New Roman" w:cs="Times New Roman"/>
          <w:color w:val="000000" w:themeColor="text1"/>
          <w:kern w:val="24"/>
          <w:sz w:val="24"/>
          <w:szCs w:val="24"/>
        </w:rPr>
        <w:t xml:space="preserve"> annually</w:t>
      </w:r>
      <w:r w:rsidRPr="003E2516">
        <w:rPr>
          <w:rFonts w:ascii="Times New Roman" w:hAnsi="Times New Roman" w:cs="Times New Roman"/>
          <w:color w:val="000000" w:themeColor="text1"/>
          <w:kern w:val="24"/>
          <w:sz w:val="24"/>
          <w:szCs w:val="24"/>
        </w:rPr>
        <w:t>, from R49.2 billion in 2016/17 to R64.3 billion in 2019/20</w:t>
      </w:r>
      <w:r w:rsidR="004C68D4"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excluding the skills levy. The allocation for 2017/18 amounts to R52.3 billion, which is an increase of R3.</w:t>
      </w:r>
      <w:r w:rsidR="00003625" w:rsidRPr="003E2516">
        <w:rPr>
          <w:rFonts w:ascii="Times New Roman" w:hAnsi="Times New Roman" w:cs="Times New Roman"/>
          <w:color w:val="000000" w:themeColor="text1"/>
          <w:kern w:val="24"/>
          <w:sz w:val="24"/>
          <w:szCs w:val="24"/>
        </w:rPr>
        <w:t>1</w:t>
      </w:r>
      <w:r w:rsidRPr="003E2516">
        <w:rPr>
          <w:rFonts w:ascii="Times New Roman" w:hAnsi="Times New Roman" w:cs="Times New Roman"/>
          <w:color w:val="000000" w:themeColor="text1"/>
          <w:kern w:val="24"/>
          <w:sz w:val="24"/>
          <w:szCs w:val="24"/>
        </w:rPr>
        <w:t xml:space="preserve"> bil</w:t>
      </w:r>
      <w:r w:rsidR="00003625" w:rsidRPr="003E2516">
        <w:rPr>
          <w:rFonts w:ascii="Times New Roman" w:hAnsi="Times New Roman" w:cs="Times New Roman"/>
          <w:color w:val="000000" w:themeColor="text1"/>
          <w:kern w:val="24"/>
          <w:sz w:val="24"/>
          <w:szCs w:val="24"/>
        </w:rPr>
        <w:t>lion (nominal increase of 6.3 percent</w:t>
      </w:r>
      <w:r w:rsidRPr="003E2516">
        <w:rPr>
          <w:rFonts w:ascii="Times New Roman" w:hAnsi="Times New Roman" w:cs="Times New Roman"/>
          <w:color w:val="000000" w:themeColor="text1"/>
          <w:kern w:val="24"/>
          <w:sz w:val="24"/>
          <w:szCs w:val="24"/>
        </w:rPr>
        <w:t>) on the 2016/17 allocation. The Department’s budget is dominated by Programme 3: University Education, which represents 80.2 percent of the budget in 2017/18, mainly as a result of the subsidy payments to universities and the National Student Financial Aid Scheme.</w:t>
      </w:r>
      <w:r w:rsidR="004C68D4" w:rsidRPr="003E2516">
        <w:rPr>
          <w:rFonts w:ascii="Times New Roman" w:hAnsi="Times New Roman" w:cs="Times New Roman"/>
          <w:color w:val="000000" w:themeColor="text1"/>
          <w:kern w:val="24"/>
          <w:sz w:val="24"/>
          <w:szCs w:val="24"/>
        </w:rPr>
        <w:t xml:space="preserve"> T</w:t>
      </w:r>
      <w:r w:rsidRPr="003E2516">
        <w:rPr>
          <w:rFonts w:ascii="Times New Roman" w:hAnsi="Times New Roman" w:cs="Times New Roman"/>
          <w:color w:val="000000" w:themeColor="text1"/>
          <w:kern w:val="24"/>
          <w:sz w:val="24"/>
          <w:szCs w:val="24"/>
        </w:rPr>
        <w:t xml:space="preserve">ransfer payments also dominate the budget in terms of the economic classification of expenditure. Normal Departmental services </w:t>
      </w:r>
      <w:r w:rsidR="00C53F31" w:rsidRPr="003E2516">
        <w:rPr>
          <w:rFonts w:ascii="Times New Roman" w:hAnsi="Times New Roman" w:cs="Times New Roman"/>
          <w:color w:val="000000" w:themeColor="text1"/>
          <w:kern w:val="24"/>
          <w:sz w:val="24"/>
          <w:szCs w:val="24"/>
        </w:rPr>
        <w:t>represent</w:t>
      </w:r>
      <w:r w:rsidRPr="003E2516">
        <w:rPr>
          <w:rFonts w:ascii="Times New Roman" w:hAnsi="Times New Roman" w:cs="Times New Roman"/>
          <w:color w:val="000000" w:themeColor="text1"/>
          <w:kern w:val="24"/>
          <w:sz w:val="24"/>
          <w:szCs w:val="24"/>
        </w:rPr>
        <w:t xml:space="preserve"> R8.855 billion (16.9 percent) of the budget</w:t>
      </w:r>
      <w:r w:rsidR="004C68D4"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which consists of compensation of employees and the operational activities of the Department and excludes all transfer payments (such as universities,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CET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public entities) as well as earmarked funds (such as for the rental costs of buildings)</w:t>
      </w:r>
      <w:r w:rsidR="00473463"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w:t>
      </w: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For the 2017/18 financial year, compensation of employees amounts to R8.425 billion (95.1</w:t>
      </w:r>
      <w:r w:rsidR="002B6E33" w:rsidRPr="003E2516">
        <w:rPr>
          <w:rFonts w:ascii="Times New Roman" w:hAnsi="Times New Roman" w:cs="Times New Roman"/>
          <w:color w:val="000000" w:themeColor="text1"/>
          <w:kern w:val="24"/>
          <w:sz w:val="24"/>
          <w:szCs w:val="24"/>
        </w:rPr>
        <w:t xml:space="preserve"> </w:t>
      </w:r>
      <w:r w:rsidRPr="003E2516">
        <w:rPr>
          <w:rFonts w:ascii="Times New Roman" w:hAnsi="Times New Roman" w:cs="Times New Roman"/>
          <w:color w:val="000000" w:themeColor="text1"/>
          <w:kern w:val="24"/>
          <w:sz w:val="24"/>
          <w:szCs w:val="24"/>
        </w:rPr>
        <w:t xml:space="preserve">percent) of Departmental services. This leaves the Department with an amount of R429.541 million (0.8 percent) for normal operational activities including earmarked allocations. Resources at the Department are limited (R365 </w:t>
      </w:r>
      <w:r w:rsidR="00C53F31" w:rsidRPr="003E2516">
        <w:rPr>
          <w:rFonts w:ascii="Times New Roman" w:hAnsi="Times New Roman" w:cs="Times New Roman"/>
          <w:color w:val="000000" w:themeColor="text1"/>
          <w:kern w:val="24"/>
          <w:sz w:val="24"/>
          <w:szCs w:val="24"/>
        </w:rPr>
        <w:t>million, excluding</w:t>
      </w:r>
      <w:r w:rsidRPr="003E2516">
        <w:rPr>
          <w:rFonts w:ascii="Times New Roman" w:hAnsi="Times New Roman" w:cs="Times New Roman"/>
          <w:color w:val="000000" w:themeColor="text1"/>
          <w:kern w:val="24"/>
          <w:sz w:val="24"/>
          <w:szCs w:val="24"/>
        </w:rPr>
        <w:t xml:space="preserve"> earmarked allocations), especially taking into account that examination services as well as the operations of INDLELA are accommodated within this amount. The current funding (2017/18) of both examination services (R95.741</w:t>
      </w:r>
      <w:r w:rsidR="004156D2" w:rsidRPr="003E2516">
        <w:rPr>
          <w:rFonts w:ascii="Times New Roman" w:hAnsi="Times New Roman" w:cs="Times New Roman"/>
          <w:color w:val="000000" w:themeColor="text1"/>
          <w:kern w:val="24"/>
          <w:sz w:val="24"/>
          <w:szCs w:val="24"/>
        </w:rPr>
        <w:t xml:space="preserve"> </w:t>
      </w:r>
      <w:r w:rsidRPr="003E2516">
        <w:rPr>
          <w:rFonts w:ascii="Times New Roman" w:hAnsi="Times New Roman" w:cs="Times New Roman"/>
          <w:color w:val="000000" w:themeColor="text1"/>
          <w:kern w:val="24"/>
          <w:sz w:val="24"/>
          <w:szCs w:val="24"/>
        </w:rPr>
        <w:t>million) and the operations of INDLELA (R10.8 million) is below requirements and it leaves only R259 million for the operations of the rest of the Department including the Regional Offices.</w:t>
      </w:r>
    </w:p>
    <w:p w:rsidR="00A91B06" w:rsidRPr="003E2516" w:rsidRDefault="00A91B06" w:rsidP="003E2516">
      <w:pPr>
        <w:pStyle w:val="NormalWeb"/>
        <w:kinsoku w:val="0"/>
        <w:overflowPunct w:val="0"/>
        <w:spacing w:before="120" w:beforeAutospacing="0" w:after="120" w:afterAutospacing="0"/>
        <w:jc w:val="both"/>
        <w:textAlignment w:val="baseline"/>
        <w:rPr>
          <w:rFonts w:eastAsiaTheme="minorEastAsia"/>
          <w:color w:val="000000" w:themeColor="text1"/>
          <w:kern w:val="24"/>
          <w:lang w:val="en-ZA"/>
        </w:rPr>
      </w:pPr>
      <w:r w:rsidRPr="003E2516">
        <w:rPr>
          <w:rFonts w:eastAsiaTheme="minorEastAsia"/>
          <w:color w:val="000000" w:themeColor="text1"/>
          <w:kern w:val="24"/>
          <w:lang w:val="en-ZA"/>
        </w:rPr>
        <w:t xml:space="preserve">The Department’s baseline adjustments (additional allocations) over the 2017 MTEF period amounts to R5.3 billion in 2018/19 and R5.717 billion in 2019/20. These additional funds are mainly for: National Student Financial Aid Scheme (NSFAS) - Unfunded university students from the 2016 academic year, R2.5 billion in 2018/19 and R2.7 billion in 2019/20; compensation for the carry-through cost of the 8 percent fee increase for the 2017 academic year for Universities 2018/19: R2.6 billion and 2019/20: R2.7 billion; TVET </w:t>
      </w:r>
      <w:r w:rsidR="00863577" w:rsidRPr="003E2516">
        <w:rPr>
          <w:rFonts w:eastAsiaTheme="minorEastAsia"/>
          <w:color w:val="000000" w:themeColor="text1"/>
          <w:kern w:val="24"/>
          <w:lang w:val="en-ZA"/>
        </w:rPr>
        <w:t>Colleges</w:t>
      </w:r>
      <w:r w:rsidRPr="003E2516">
        <w:rPr>
          <w:rFonts w:eastAsiaTheme="minorEastAsia"/>
          <w:color w:val="000000" w:themeColor="text1"/>
          <w:kern w:val="24"/>
          <w:lang w:val="en-ZA"/>
        </w:rPr>
        <w:t xml:space="preserve"> 2018/19: R168 million and 2019/20: R178.5 million.</w:t>
      </w: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The impact of the 8 percent fee increase for the 2017 academic year (during the 2017/18 financial year) is funded through reprioritisation of funds within the PSET system. The funds have been earmarked from the SETAs and National Skills Fund (NSF) surpluses and amounts to R4.9 billion. The Department provisionally received an additional R5 billion for the 2019/20 financial year, and this amount must still be allocated and distributed within the PSET system.</w:t>
      </w:r>
    </w:p>
    <w:p w:rsidR="00C728F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6</w:t>
      </w:r>
      <w:r w:rsidR="00C728F4" w:rsidRPr="003E2516">
        <w:rPr>
          <w:rFonts w:ascii="Times New Roman" w:hAnsi="Times New Roman" w:cs="Times New Roman"/>
          <w:b/>
          <w:sz w:val="24"/>
          <w:szCs w:val="24"/>
        </w:rPr>
        <w:t>.4.2.2. Programme budget and expenditure estimates: 2017/18 financial year</w:t>
      </w:r>
    </w:p>
    <w:p w:rsidR="00810556"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i. Programme 1: Administration</w:t>
      </w:r>
    </w:p>
    <w:p w:rsidR="00C728F4" w:rsidRPr="003E2516" w:rsidRDefault="00C728F4" w:rsidP="003E2516">
      <w:pPr>
        <w:spacing w:before="120" w:after="120" w:line="240" w:lineRule="auto"/>
        <w:jc w:val="both"/>
        <w:textAlignment w:val="baseline"/>
        <w:rPr>
          <w:rFonts w:ascii="Times New Roman" w:hAnsi="Times New Roman" w:cs="Times New Roman"/>
          <w:sz w:val="24"/>
          <w:szCs w:val="24"/>
        </w:rPr>
      </w:pPr>
      <w:r w:rsidRPr="003E2516">
        <w:rPr>
          <w:rFonts w:ascii="Times New Roman" w:hAnsi="Times New Roman" w:cs="Times New Roman"/>
          <w:sz w:val="24"/>
          <w:szCs w:val="24"/>
        </w:rPr>
        <w:t>For the 2017/18 financial year, the programme received an allocation of R403.4 million, which accounts for 0.77 percent of the Department’s budget. The budget increased by R30.7 million from the R372.7 million allocated in 2016/17 financial year and projec</w:t>
      </w:r>
      <w:r w:rsidR="00383178" w:rsidRPr="003E2516">
        <w:rPr>
          <w:rFonts w:ascii="Times New Roman" w:hAnsi="Times New Roman" w:cs="Times New Roman"/>
          <w:sz w:val="24"/>
          <w:szCs w:val="24"/>
        </w:rPr>
        <w:t xml:space="preserve">ted to increase to R441 million </w:t>
      </w:r>
      <w:r w:rsidRPr="003E2516">
        <w:rPr>
          <w:rFonts w:ascii="Times New Roman" w:hAnsi="Times New Roman" w:cs="Times New Roman"/>
          <w:sz w:val="24"/>
          <w:szCs w:val="24"/>
        </w:rPr>
        <w:t xml:space="preserve">and R471.6 million in 2018/19 and 2019/20 respectively. </w:t>
      </w:r>
    </w:p>
    <w:p w:rsidR="00C728F4" w:rsidRPr="003E2516" w:rsidRDefault="00C728F4" w:rsidP="003E2516">
      <w:pPr>
        <w:spacing w:before="120" w:after="120" w:line="240" w:lineRule="auto"/>
        <w:jc w:val="both"/>
        <w:textAlignment w:val="baseline"/>
        <w:rPr>
          <w:rFonts w:ascii="Times New Roman" w:hAnsi="Times New Roman" w:cs="Times New Roman"/>
          <w:sz w:val="24"/>
          <w:szCs w:val="24"/>
        </w:rPr>
      </w:pPr>
    </w:p>
    <w:p w:rsidR="00C728F4" w:rsidRPr="003E2516" w:rsidRDefault="00C728F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 terms of economic classification, R398 million is allocated for current payments which consists of R222.2 million for compensation of employees and R175.9 million for</w:t>
      </w:r>
      <w:r w:rsidR="004156D2" w:rsidRPr="003E2516">
        <w:rPr>
          <w:rFonts w:ascii="Times New Roman" w:hAnsi="Times New Roman" w:cs="Times New Roman"/>
          <w:sz w:val="24"/>
          <w:szCs w:val="24"/>
        </w:rPr>
        <w:t xml:space="preserve"> goods and services. Allocation</w:t>
      </w:r>
      <w:r w:rsidRPr="003E2516">
        <w:rPr>
          <w:rFonts w:ascii="Times New Roman" w:hAnsi="Times New Roman" w:cs="Times New Roman"/>
          <w:sz w:val="24"/>
          <w:szCs w:val="24"/>
        </w:rPr>
        <w:t xml:space="preserve"> for spending on compensation of employees constitutes the bulk of the programme’s budget. The budget has increased by R18.8 million from R203.4 million allocated in 2016/17.  Of the R175.9 million allocated for spending on goods and services, R60.4 million is allocated for the property payments line item, which increased by R9.3 </w:t>
      </w:r>
      <w:r w:rsidRPr="003E2516">
        <w:rPr>
          <w:rFonts w:ascii="Times New Roman" w:hAnsi="Times New Roman" w:cs="Times New Roman"/>
          <w:sz w:val="24"/>
          <w:szCs w:val="24"/>
        </w:rPr>
        <w:lastRenderedPageBreak/>
        <w:t>million from R51.1 million allocated in 2016/17. Allocation fo</w:t>
      </w:r>
      <w:r w:rsidR="004156D2" w:rsidRPr="003E2516">
        <w:rPr>
          <w:rFonts w:ascii="Times New Roman" w:hAnsi="Times New Roman" w:cs="Times New Roman"/>
          <w:sz w:val="24"/>
          <w:szCs w:val="24"/>
        </w:rPr>
        <w:t>r spending on computer services which amounts to</w:t>
      </w:r>
      <w:r w:rsidRPr="003E2516">
        <w:rPr>
          <w:rFonts w:ascii="Times New Roman" w:hAnsi="Times New Roman" w:cs="Times New Roman"/>
          <w:sz w:val="24"/>
          <w:szCs w:val="24"/>
        </w:rPr>
        <w:t xml:space="preserve"> R36.8 million is the highest line item, followed by the allocation for travel and subsistence at R19.1 million. Allocation for spending on consultants: </w:t>
      </w:r>
      <w:r w:rsidR="004C68D4" w:rsidRPr="003E2516">
        <w:rPr>
          <w:rFonts w:ascii="Times New Roman" w:hAnsi="Times New Roman" w:cs="Times New Roman"/>
          <w:sz w:val="24"/>
          <w:szCs w:val="24"/>
        </w:rPr>
        <w:t>b</w:t>
      </w:r>
      <w:r w:rsidRPr="003E2516">
        <w:rPr>
          <w:rFonts w:ascii="Times New Roman" w:hAnsi="Times New Roman" w:cs="Times New Roman"/>
          <w:sz w:val="24"/>
          <w:szCs w:val="24"/>
        </w:rPr>
        <w:t>usiness and advisory services increased from R5.2 million in 2016/17 to R7.4</w:t>
      </w:r>
      <w:r w:rsidR="004156D2" w:rsidRPr="003E2516">
        <w:rPr>
          <w:rFonts w:ascii="Times New Roman" w:hAnsi="Times New Roman" w:cs="Times New Roman"/>
          <w:sz w:val="24"/>
          <w:szCs w:val="24"/>
        </w:rPr>
        <w:t xml:space="preserve"> million in 2017/18. Allocation</w:t>
      </w:r>
      <w:r w:rsidRPr="003E2516">
        <w:rPr>
          <w:rFonts w:ascii="Times New Roman" w:hAnsi="Times New Roman" w:cs="Times New Roman"/>
          <w:sz w:val="24"/>
          <w:szCs w:val="24"/>
        </w:rPr>
        <w:t xml:space="preserve"> for spending on payments for capital assets is R5.3 million.</w:t>
      </w:r>
    </w:p>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ii. Programme 2: Planning, Policy and Strategy</w:t>
      </w:r>
    </w:p>
    <w:p w:rsidR="00866E22" w:rsidRPr="003E2516" w:rsidRDefault="00866E22"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For the 2017/18 financial year, the programme received an allocation of R73.3 million, which is 0.14 percent of the Higher Education and Training total budget. This budget increased marginally by R1.7 million in nominal terms, which is a decrease of R2.6 million when factoring </w:t>
      </w:r>
      <w:r w:rsidR="004C68D4" w:rsidRPr="003E2516">
        <w:rPr>
          <w:rFonts w:ascii="Times New Roman" w:hAnsi="Times New Roman" w:cs="Times New Roman"/>
          <w:sz w:val="24"/>
          <w:szCs w:val="24"/>
        </w:rPr>
        <w:t xml:space="preserve">in </w:t>
      </w:r>
      <w:r w:rsidRPr="003E2516">
        <w:rPr>
          <w:rFonts w:ascii="Times New Roman" w:hAnsi="Times New Roman" w:cs="Times New Roman"/>
          <w:sz w:val="24"/>
          <w:szCs w:val="24"/>
        </w:rPr>
        <w:t xml:space="preserve">inflation. R69.6 million of this budget is allocated for current payments, which consist of R59.8 million for compensation of employees and R9.8 million for goods and services. Allocation for spending on compensation of employees constitute the bulk of the programme’s budget. </w:t>
      </w:r>
    </w:p>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iii. Programme 3: University Education</w:t>
      </w:r>
    </w:p>
    <w:p w:rsidR="00F02F60" w:rsidRPr="003E2516" w:rsidRDefault="00F02F60"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Programme has a total budget of R41.9 billion, from R39.5 billion allocated in 2016/17. This programme’s budget represents 80.19 percent of the total Higher Education and Training budget. The budget allocation is expected to increase to R49.4 billion and R52.3 billion in 2018/19 and 2019/20 respectively. The budget increased by R2.4 billion from R39.5 billion allocated in </w:t>
      </w:r>
      <w:r w:rsidR="004C68D4" w:rsidRPr="003E2516">
        <w:rPr>
          <w:rFonts w:ascii="Times New Roman" w:hAnsi="Times New Roman" w:cs="Times New Roman"/>
          <w:sz w:val="24"/>
          <w:szCs w:val="24"/>
        </w:rPr>
        <w:t xml:space="preserve">the </w:t>
      </w:r>
      <w:r w:rsidRPr="003E2516">
        <w:rPr>
          <w:rFonts w:ascii="Times New Roman" w:hAnsi="Times New Roman" w:cs="Times New Roman"/>
          <w:sz w:val="24"/>
          <w:szCs w:val="24"/>
        </w:rPr>
        <w:t>2016/17 f</w:t>
      </w:r>
      <w:r w:rsidR="00C549A0" w:rsidRPr="003E2516">
        <w:rPr>
          <w:rFonts w:ascii="Times New Roman" w:hAnsi="Times New Roman" w:cs="Times New Roman"/>
          <w:sz w:val="24"/>
          <w:szCs w:val="24"/>
        </w:rPr>
        <w:t>inancial year, which is 6.1 per</w:t>
      </w:r>
      <w:r w:rsidRPr="003E2516">
        <w:rPr>
          <w:rFonts w:ascii="Times New Roman" w:hAnsi="Times New Roman" w:cs="Times New Roman"/>
          <w:sz w:val="24"/>
          <w:szCs w:val="24"/>
        </w:rPr>
        <w:t>cent in nominal terms or -0.19 percent in real terms when considering inflation. The budget is projected to grow by the real annual average growth of 5.5 per cent o</w:t>
      </w:r>
      <w:r w:rsidR="00C549A0" w:rsidRPr="003E2516">
        <w:rPr>
          <w:rFonts w:ascii="Times New Roman" w:hAnsi="Times New Roman" w:cs="Times New Roman"/>
          <w:sz w:val="24"/>
          <w:szCs w:val="24"/>
        </w:rPr>
        <w:t>ver the MTEF period. Allocation</w:t>
      </w:r>
      <w:r w:rsidRPr="003E2516">
        <w:rPr>
          <w:rFonts w:ascii="Times New Roman" w:hAnsi="Times New Roman" w:cs="Times New Roman"/>
          <w:sz w:val="24"/>
          <w:szCs w:val="24"/>
        </w:rPr>
        <w:t xml:space="preserve"> for spending on Sub-programme 6: University Subsidies, R31.6 billion constitute the bulk (75.36 per cent) of the programme’s total budget. The budget increased by R3.6 billion in nom</w:t>
      </w:r>
      <w:r w:rsidR="00C549A0" w:rsidRPr="003E2516">
        <w:rPr>
          <w:rFonts w:ascii="Times New Roman" w:hAnsi="Times New Roman" w:cs="Times New Roman"/>
          <w:sz w:val="24"/>
          <w:szCs w:val="24"/>
        </w:rPr>
        <w:t>inal terms</w:t>
      </w:r>
      <w:r w:rsidRPr="003E2516">
        <w:rPr>
          <w:rFonts w:ascii="Times New Roman" w:hAnsi="Times New Roman" w:cs="Times New Roman"/>
          <w:sz w:val="24"/>
          <w:szCs w:val="24"/>
        </w:rPr>
        <w:t xml:space="preserve">. When </w:t>
      </w:r>
      <w:r w:rsidR="00C369EA" w:rsidRPr="003E2516">
        <w:rPr>
          <w:rFonts w:ascii="Times New Roman" w:hAnsi="Times New Roman" w:cs="Times New Roman"/>
          <w:sz w:val="24"/>
          <w:szCs w:val="24"/>
        </w:rPr>
        <w:t>factoring</w:t>
      </w:r>
      <w:r w:rsidR="00C549A0" w:rsidRPr="003E2516">
        <w:rPr>
          <w:rFonts w:ascii="Times New Roman" w:hAnsi="Times New Roman" w:cs="Times New Roman"/>
          <w:sz w:val="24"/>
          <w:szCs w:val="24"/>
        </w:rPr>
        <w:t xml:space="preserve"> </w:t>
      </w:r>
      <w:r w:rsidRPr="003E2516">
        <w:rPr>
          <w:rFonts w:ascii="Times New Roman" w:hAnsi="Times New Roman" w:cs="Times New Roman"/>
          <w:sz w:val="24"/>
          <w:szCs w:val="24"/>
        </w:rPr>
        <w:t xml:space="preserve">inflation, the real increase is R1.7 billion.  </w:t>
      </w:r>
    </w:p>
    <w:p w:rsidR="00F02F60" w:rsidRPr="003E2516" w:rsidRDefault="00F02F60"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Allocations for spending on sub-programme 2: University - Academic Planning and Management constitutes the second highest spending at R10.2 billion. T</w:t>
      </w:r>
      <w:r w:rsidR="004C68D4" w:rsidRPr="003E2516">
        <w:rPr>
          <w:rFonts w:ascii="Times New Roman" w:hAnsi="Times New Roman" w:cs="Times New Roman"/>
          <w:sz w:val="24"/>
          <w:szCs w:val="24"/>
        </w:rPr>
        <w:t>he budget in this sub-programme</w:t>
      </w:r>
      <w:r w:rsidRPr="003E2516">
        <w:rPr>
          <w:rFonts w:ascii="Times New Roman" w:hAnsi="Times New Roman" w:cs="Times New Roman"/>
          <w:sz w:val="24"/>
          <w:szCs w:val="24"/>
        </w:rPr>
        <w:t xml:space="preserve"> decreased by R1.2 billion from R11.5 billion allocated in 2016/17. There are budget decreases for Sub-programme 1: Programme Management: University Education  (decreased by R0.4 million in nominal terms from R4.7 million allocated in 2016/17 to R4.3 million in 2017/18), Sub-programme 3: University - Financial Planning and Information Systems (decreased by R1.3 million in nominal terms from R12.6 million in 2016/17 to R11.4 </w:t>
      </w:r>
      <w:r w:rsidR="00C369EA" w:rsidRPr="003E2516">
        <w:rPr>
          <w:rFonts w:ascii="Times New Roman" w:hAnsi="Times New Roman" w:cs="Times New Roman"/>
          <w:sz w:val="24"/>
          <w:szCs w:val="24"/>
        </w:rPr>
        <w:t xml:space="preserve">million in 2017/18). </w:t>
      </w:r>
      <w:r w:rsidR="004C68D4" w:rsidRPr="003E2516">
        <w:rPr>
          <w:rFonts w:ascii="Times New Roman" w:hAnsi="Times New Roman" w:cs="Times New Roman"/>
          <w:sz w:val="24"/>
          <w:szCs w:val="24"/>
        </w:rPr>
        <w:t>The a</w:t>
      </w:r>
      <w:r w:rsidR="00C369EA" w:rsidRPr="003E2516">
        <w:rPr>
          <w:rFonts w:ascii="Times New Roman" w:hAnsi="Times New Roman" w:cs="Times New Roman"/>
          <w:sz w:val="24"/>
          <w:szCs w:val="24"/>
        </w:rPr>
        <w:t>llocation</w:t>
      </w:r>
      <w:r w:rsidRPr="003E2516">
        <w:rPr>
          <w:rFonts w:ascii="Times New Roman" w:hAnsi="Times New Roman" w:cs="Times New Roman"/>
          <w:sz w:val="24"/>
          <w:szCs w:val="24"/>
        </w:rPr>
        <w:t xml:space="preserve"> of R27.6 million for Sub-programme 4: University- Policy and Development did not increase from what was allocated in 2016/17. When factoring inflation, the budget decreased by R1.6 million in real terms. Allocation for spending on Sub-programme 5: Teacher Education increased by R5.2 million from R14.3 million allocated in 2016/17 to R19.5 million in 2017/18.</w:t>
      </w:r>
    </w:p>
    <w:p w:rsidR="00F02F60" w:rsidRPr="003E2516" w:rsidRDefault="00F02F60"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In terms of economic classification, R71.8 million is allocated to current payment</w:t>
      </w:r>
      <w:r w:rsidR="00C369EA" w:rsidRPr="003E2516">
        <w:rPr>
          <w:rFonts w:ascii="Times New Roman" w:hAnsi="Times New Roman" w:cs="Times New Roman"/>
          <w:sz w:val="24"/>
          <w:szCs w:val="24"/>
        </w:rPr>
        <w:t>s</w:t>
      </w:r>
      <w:r w:rsidRPr="003E2516">
        <w:rPr>
          <w:rFonts w:ascii="Times New Roman" w:hAnsi="Times New Roman" w:cs="Times New Roman"/>
          <w:sz w:val="24"/>
          <w:szCs w:val="24"/>
        </w:rPr>
        <w:t>,</w:t>
      </w:r>
      <w:r w:rsidR="00C369EA" w:rsidRPr="003E2516">
        <w:rPr>
          <w:rFonts w:ascii="Times New Roman" w:hAnsi="Times New Roman" w:cs="Times New Roman"/>
          <w:sz w:val="24"/>
          <w:szCs w:val="24"/>
        </w:rPr>
        <w:t xml:space="preserve"> of</w:t>
      </w:r>
      <w:r w:rsidRPr="003E2516">
        <w:rPr>
          <w:rFonts w:ascii="Times New Roman" w:hAnsi="Times New Roman" w:cs="Times New Roman"/>
          <w:sz w:val="24"/>
          <w:szCs w:val="24"/>
        </w:rPr>
        <w:t xml:space="preserve"> which R65.4 million is allocated to compensation of employees and R6.4 million for</w:t>
      </w:r>
      <w:r w:rsidR="00C369EA" w:rsidRPr="003E2516">
        <w:rPr>
          <w:rFonts w:ascii="Times New Roman" w:hAnsi="Times New Roman" w:cs="Times New Roman"/>
          <w:sz w:val="24"/>
          <w:szCs w:val="24"/>
        </w:rPr>
        <w:t xml:space="preserve"> goods and services. </w:t>
      </w:r>
      <w:r w:rsidR="004C68D4" w:rsidRPr="003E2516">
        <w:rPr>
          <w:rFonts w:ascii="Times New Roman" w:hAnsi="Times New Roman" w:cs="Times New Roman"/>
          <w:sz w:val="24"/>
          <w:szCs w:val="24"/>
        </w:rPr>
        <w:t>The a</w:t>
      </w:r>
      <w:r w:rsidR="00C369EA" w:rsidRPr="003E2516">
        <w:rPr>
          <w:rFonts w:ascii="Times New Roman" w:hAnsi="Times New Roman" w:cs="Times New Roman"/>
          <w:sz w:val="24"/>
          <w:szCs w:val="24"/>
        </w:rPr>
        <w:t>llocation</w:t>
      </w:r>
      <w:r w:rsidRPr="003E2516">
        <w:rPr>
          <w:rFonts w:ascii="Times New Roman" w:hAnsi="Times New Roman" w:cs="Times New Roman"/>
          <w:sz w:val="24"/>
          <w:szCs w:val="24"/>
        </w:rPr>
        <w:t xml:space="preserve"> for spe</w:t>
      </w:r>
      <w:r w:rsidR="00C369EA" w:rsidRPr="003E2516">
        <w:rPr>
          <w:rFonts w:ascii="Times New Roman" w:hAnsi="Times New Roman" w:cs="Times New Roman"/>
          <w:sz w:val="24"/>
          <w:szCs w:val="24"/>
        </w:rPr>
        <w:t>nding on travel and subsistence amounts to</w:t>
      </w:r>
      <w:r w:rsidRPr="003E2516">
        <w:rPr>
          <w:rFonts w:ascii="Times New Roman" w:hAnsi="Times New Roman" w:cs="Times New Roman"/>
          <w:sz w:val="24"/>
          <w:szCs w:val="24"/>
        </w:rPr>
        <w:t xml:space="preserve"> R3.6 million</w:t>
      </w:r>
      <w:r w:rsidR="004C68D4" w:rsidRPr="003E2516">
        <w:rPr>
          <w:rFonts w:ascii="Times New Roman" w:hAnsi="Times New Roman" w:cs="Times New Roman"/>
          <w:sz w:val="24"/>
          <w:szCs w:val="24"/>
        </w:rPr>
        <w:t>.</w:t>
      </w:r>
      <w:r w:rsidR="00C369EA" w:rsidRPr="003E2516">
        <w:rPr>
          <w:rFonts w:ascii="Times New Roman" w:hAnsi="Times New Roman" w:cs="Times New Roman"/>
          <w:sz w:val="24"/>
          <w:szCs w:val="24"/>
        </w:rPr>
        <w:t xml:space="preserve"> </w:t>
      </w:r>
    </w:p>
    <w:p w:rsidR="00F02F60" w:rsidRPr="003E2516" w:rsidRDefault="004C68D4"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a</w:t>
      </w:r>
      <w:r w:rsidR="00C369EA" w:rsidRPr="003E2516">
        <w:rPr>
          <w:rFonts w:ascii="Times New Roman" w:hAnsi="Times New Roman" w:cs="Times New Roman"/>
          <w:sz w:val="24"/>
          <w:szCs w:val="24"/>
        </w:rPr>
        <w:t>llocation for t</w:t>
      </w:r>
      <w:r w:rsidR="00F02F60" w:rsidRPr="003E2516">
        <w:rPr>
          <w:rFonts w:ascii="Times New Roman" w:hAnsi="Times New Roman" w:cs="Times New Roman"/>
          <w:sz w:val="24"/>
          <w:szCs w:val="24"/>
        </w:rPr>
        <w:t xml:space="preserve">ransfers and subsidies </w:t>
      </w:r>
      <w:r w:rsidR="00C369EA" w:rsidRPr="003E2516">
        <w:rPr>
          <w:rFonts w:ascii="Times New Roman" w:hAnsi="Times New Roman" w:cs="Times New Roman"/>
          <w:sz w:val="24"/>
          <w:szCs w:val="24"/>
        </w:rPr>
        <w:t>amounts to</w:t>
      </w:r>
      <w:r w:rsidR="00F02F60" w:rsidRPr="003E2516">
        <w:rPr>
          <w:rFonts w:ascii="Times New Roman" w:hAnsi="Times New Roman" w:cs="Times New Roman"/>
          <w:sz w:val="24"/>
          <w:szCs w:val="24"/>
        </w:rPr>
        <w:t xml:space="preserve"> R41.8 billion. Of this, R10.2 billion is allocated to the Departmental agencies, namely: the National Student Financial Aid Scheme (NSFAS), the Council on Higher Education (CHE) and the South African Qualifications Authority (SAQA). R28.08 billion is allocated </w:t>
      </w:r>
      <w:r w:rsidR="009B0111" w:rsidRPr="003E2516">
        <w:rPr>
          <w:rFonts w:ascii="Times New Roman" w:hAnsi="Times New Roman" w:cs="Times New Roman"/>
          <w:sz w:val="24"/>
          <w:szCs w:val="24"/>
        </w:rPr>
        <w:t xml:space="preserve">to </w:t>
      </w:r>
      <w:r w:rsidR="00F02F60" w:rsidRPr="003E2516">
        <w:rPr>
          <w:rFonts w:ascii="Times New Roman" w:hAnsi="Times New Roman" w:cs="Times New Roman"/>
          <w:sz w:val="24"/>
          <w:szCs w:val="24"/>
        </w:rPr>
        <w:t xml:space="preserve">the 24 </w:t>
      </w:r>
      <w:r w:rsidR="009B0111" w:rsidRPr="003E2516">
        <w:rPr>
          <w:rFonts w:ascii="Times New Roman" w:hAnsi="Times New Roman" w:cs="Times New Roman"/>
          <w:sz w:val="24"/>
          <w:szCs w:val="24"/>
        </w:rPr>
        <w:t>u</w:t>
      </w:r>
      <w:r w:rsidR="00F02F60" w:rsidRPr="003E2516">
        <w:rPr>
          <w:rFonts w:ascii="Times New Roman" w:hAnsi="Times New Roman" w:cs="Times New Roman"/>
          <w:sz w:val="24"/>
          <w:szCs w:val="24"/>
        </w:rPr>
        <w:t>niversities, with the two new universities, University of Mpumalanga</w:t>
      </w:r>
      <w:r w:rsidR="009B0111" w:rsidRPr="003E2516">
        <w:rPr>
          <w:rFonts w:ascii="Times New Roman" w:hAnsi="Times New Roman" w:cs="Times New Roman"/>
          <w:sz w:val="24"/>
          <w:szCs w:val="24"/>
        </w:rPr>
        <w:t xml:space="preserve"> (UMP)</w:t>
      </w:r>
      <w:r w:rsidR="00F02F60" w:rsidRPr="003E2516">
        <w:rPr>
          <w:rFonts w:ascii="Times New Roman" w:hAnsi="Times New Roman" w:cs="Times New Roman"/>
          <w:sz w:val="24"/>
          <w:szCs w:val="24"/>
        </w:rPr>
        <w:t xml:space="preserve"> and Sol Plaatje University </w:t>
      </w:r>
      <w:r w:rsidR="009B0111" w:rsidRPr="003E2516">
        <w:rPr>
          <w:rFonts w:ascii="Times New Roman" w:hAnsi="Times New Roman" w:cs="Times New Roman"/>
          <w:sz w:val="24"/>
          <w:szCs w:val="24"/>
        </w:rPr>
        <w:t xml:space="preserve">(SPU) </w:t>
      </w:r>
      <w:r w:rsidR="00F02F60" w:rsidRPr="003E2516">
        <w:rPr>
          <w:rFonts w:ascii="Times New Roman" w:hAnsi="Times New Roman" w:cs="Times New Roman"/>
          <w:sz w:val="24"/>
          <w:szCs w:val="24"/>
        </w:rPr>
        <w:t xml:space="preserve">receiving a special funding. Allocations for capital expenditure at universities, including the </w:t>
      </w:r>
      <w:r w:rsidR="009B0111" w:rsidRPr="003E2516">
        <w:rPr>
          <w:rFonts w:ascii="Times New Roman" w:hAnsi="Times New Roman" w:cs="Times New Roman"/>
          <w:sz w:val="24"/>
          <w:szCs w:val="24"/>
        </w:rPr>
        <w:t>U</w:t>
      </w:r>
      <w:r w:rsidR="00F02F60" w:rsidRPr="003E2516">
        <w:rPr>
          <w:rFonts w:ascii="Times New Roman" w:hAnsi="Times New Roman" w:cs="Times New Roman"/>
          <w:sz w:val="24"/>
          <w:szCs w:val="24"/>
        </w:rPr>
        <w:t xml:space="preserve">niversity of Mpumalanga and Sol Plaatje University amounts to R3.5 billion. The budget is expected to increase to R3.8 billion in 2019/20. </w:t>
      </w:r>
    </w:p>
    <w:p w:rsidR="003E2516" w:rsidRDefault="003E2516">
      <w:pP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lastRenderedPageBreak/>
        <w:br w:type="page"/>
      </w:r>
    </w:p>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lastRenderedPageBreak/>
        <w:t>iv. Programme 4: Technical and Vocational Education and Training</w:t>
      </w:r>
    </w:p>
    <w:p w:rsidR="00E35C28" w:rsidRPr="003E2516" w:rsidRDefault="00E35C2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For the 2017/18 financial year, the Programme received an allocation of R7.4 billio</w:t>
      </w:r>
      <w:r w:rsidR="00170124" w:rsidRPr="003E2516">
        <w:rPr>
          <w:rFonts w:ascii="Times New Roman" w:hAnsi="Times New Roman" w:cs="Times New Roman"/>
          <w:sz w:val="24"/>
          <w:szCs w:val="24"/>
        </w:rPr>
        <w:t>n, which accounts for 14.16 per</w:t>
      </w:r>
      <w:r w:rsidRPr="003E2516">
        <w:rPr>
          <w:rFonts w:ascii="Times New Roman" w:hAnsi="Times New Roman" w:cs="Times New Roman"/>
          <w:sz w:val="24"/>
          <w:szCs w:val="24"/>
        </w:rPr>
        <w:t>cent of the total Higher Education and Training budget (R52.3 billion), excluding direct charges. The programme budget increased by R448 million in nominal terms from R6.9 billion allocated in 2016/17, which repr</w:t>
      </w:r>
      <w:r w:rsidR="00170124" w:rsidRPr="003E2516">
        <w:rPr>
          <w:rFonts w:ascii="Times New Roman" w:hAnsi="Times New Roman" w:cs="Times New Roman"/>
          <w:sz w:val="24"/>
          <w:szCs w:val="24"/>
        </w:rPr>
        <w:t>esents an increase of 6.44 per</w:t>
      </w:r>
      <w:r w:rsidRPr="003E2516">
        <w:rPr>
          <w:rFonts w:ascii="Times New Roman" w:hAnsi="Times New Roman" w:cs="Times New Roman"/>
          <w:sz w:val="24"/>
          <w:szCs w:val="24"/>
        </w:rPr>
        <w:t>cent in nominal terms. The real average annual growth rate for this programme is projected at 1.8 per cent.</w:t>
      </w:r>
    </w:p>
    <w:p w:rsidR="00E35C28" w:rsidRPr="003E2516" w:rsidRDefault="00E35C2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Sub-programme 2: Technical and Vocational Education and Training System Planning and Institutional Support received an allocation of R7.08 billion, which constitutes 95.69 </w:t>
      </w:r>
      <w:r w:rsidR="00170124" w:rsidRPr="003E2516">
        <w:rPr>
          <w:rFonts w:ascii="Times New Roman" w:hAnsi="Times New Roman" w:cs="Times New Roman"/>
          <w:sz w:val="24"/>
          <w:szCs w:val="24"/>
        </w:rPr>
        <w:t xml:space="preserve">percent </w:t>
      </w:r>
      <w:r w:rsidRPr="003E2516">
        <w:rPr>
          <w:rFonts w:ascii="Times New Roman" w:hAnsi="Times New Roman" w:cs="Times New Roman"/>
          <w:sz w:val="24"/>
          <w:szCs w:val="24"/>
        </w:rPr>
        <w:t xml:space="preserve">of the total </w:t>
      </w:r>
      <w:r w:rsidR="00170124" w:rsidRPr="003E2516">
        <w:rPr>
          <w:rFonts w:ascii="Times New Roman" w:hAnsi="Times New Roman" w:cs="Times New Roman"/>
          <w:sz w:val="24"/>
          <w:szCs w:val="24"/>
        </w:rPr>
        <w:t>b</w:t>
      </w:r>
      <w:r w:rsidRPr="003E2516">
        <w:rPr>
          <w:rFonts w:ascii="Times New Roman" w:hAnsi="Times New Roman" w:cs="Times New Roman"/>
          <w:sz w:val="24"/>
          <w:szCs w:val="24"/>
        </w:rPr>
        <w:t>udget</w:t>
      </w:r>
      <w:r w:rsidR="00170124" w:rsidRPr="003E2516">
        <w:rPr>
          <w:rFonts w:ascii="Times New Roman" w:hAnsi="Times New Roman" w:cs="Times New Roman"/>
          <w:sz w:val="24"/>
          <w:szCs w:val="24"/>
        </w:rPr>
        <w:t xml:space="preserve"> of the programme</w:t>
      </w:r>
      <w:r w:rsidRPr="003E2516">
        <w:rPr>
          <w:rFonts w:ascii="Times New Roman" w:hAnsi="Times New Roman" w:cs="Times New Roman"/>
          <w:sz w:val="24"/>
          <w:szCs w:val="24"/>
        </w:rPr>
        <w:t xml:space="preserve">. This sub-programme provides support to management and councils, monitors and evaluates the TVET system performance against set indicators, develops regulatory frameworks for the system, manages and monitors the procurement and distribution of learning and teaching support materials, provides leadership for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enter into partnerships for the use of infrastructure and funding resources, and maps the institutional landscape for the rollout of the TVET college system. </w:t>
      </w:r>
    </w:p>
    <w:p w:rsidR="00E35C28" w:rsidRPr="003E2516" w:rsidRDefault="00E35C2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Sub-programme 4: National Examinations and Assessment, which administers and manages the conduct of national assessment in TVET and community education and training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received an allocation of R294.8 million, which constitute</w:t>
      </w:r>
      <w:r w:rsidR="004C68D4" w:rsidRPr="003E2516">
        <w:rPr>
          <w:rFonts w:ascii="Times New Roman" w:hAnsi="Times New Roman" w:cs="Times New Roman"/>
          <w:sz w:val="24"/>
          <w:szCs w:val="24"/>
        </w:rPr>
        <w:t>s</w:t>
      </w:r>
      <w:r w:rsidRPr="003E2516">
        <w:rPr>
          <w:rFonts w:ascii="Times New Roman" w:hAnsi="Times New Roman" w:cs="Times New Roman"/>
          <w:sz w:val="24"/>
          <w:szCs w:val="24"/>
        </w:rPr>
        <w:t xml:space="preserve"> 3.98 percent of the total sub-programme budget. The budget increased by R16.3 million in nominal terms. However, when </w:t>
      </w:r>
      <w:r w:rsidR="004C68D4" w:rsidRPr="003E2516">
        <w:rPr>
          <w:rFonts w:ascii="Times New Roman" w:hAnsi="Times New Roman" w:cs="Times New Roman"/>
          <w:sz w:val="24"/>
          <w:szCs w:val="24"/>
        </w:rPr>
        <w:t>factoring in</w:t>
      </w:r>
      <w:r w:rsidRPr="003E2516">
        <w:rPr>
          <w:rFonts w:ascii="Times New Roman" w:hAnsi="Times New Roman" w:cs="Times New Roman"/>
          <w:sz w:val="24"/>
          <w:szCs w:val="24"/>
        </w:rPr>
        <w:t xml:space="preserve"> inflation</w:t>
      </w:r>
      <w:r w:rsidR="004C68D4" w:rsidRPr="003E2516">
        <w:rPr>
          <w:rFonts w:ascii="Times New Roman" w:hAnsi="Times New Roman" w:cs="Times New Roman"/>
          <w:sz w:val="24"/>
          <w:szCs w:val="24"/>
        </w:rPr>
        <w:t>,</w:t>
      </w:r>
      <w:r w:rsidRPr="003E2516">
        <w:rPr>
          <w:rFonts w:ascii="Times New Roman" w:hAnsi="Times New Roman" w:cs="Times New Roman"/>
          <w:sz w:val="24"/>
          <w:szCs w:val="24"/>
        </w:rPr>
        <w:t xml:space="preserve"> the budget has decreased by 0.42 percent in real terms. The Department has previously reported a funding shortfall in the examination and assessment services. </w:t>
      </w:r>
    </w:p>
    <w:p w:rsidR="00E35C28" w:rsidRPr="003E2516" w:rsidRDefault="00E35C28"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In terms of economic classification, R6.06 billion is allocated for current payments, R1.3 billion for transfers and subsidies and R0.7 million for payments for capital assets. </w:t>
      </w:r>
      <w:r w:rsidR="004C68D4" w:rsidRPr="003E2516">
        <w:rPr>
          <w:rFonts w:ascii="Times New Roman" w:hAnsi="Times New Roman" w:cs="Times New Roman"/>
          <w:sz w:val="24"/>
          <w:szCs w:val="24"/>
        </w:rPr>
        <w:t>The a</w:t>
      </w:r>
      <w:r w:rsidRPr="003E2516">
        <w:rPr>
          <w:rFonts w:ascii="Times New Roman" w:hAnsi="Times New Roman" w:cs="Times New Roman"/>
          <w:sz w:val="24"/>
          <w:szCs w:val="24"/>
        </w:rPr>
        <w:t>llocation for compensation of employees, which amounts to R5.9 billion constitute</w:t>
      </w:r>
      <w:r w:rsidR="004C68D4" w:rsidRPr="003E2516">
        <w:rPr>
          <w:rFonts w:ascii="Times New Roman" w:hAnsi="Times New Roman" w:cs="Times New Roman"/>
          <w:sz w:val="24"/>
          <w:szCs w:val="24"/>
        </w:rPr>
        <w:t>s</w:t>
      </w:r>
      <w:r w:rsidRPr="003E2516">
        <w:rPr>
          <w:rFonts w:ascii="Times New Roman" w:hAnsi="Times New Roman" w:cs="Times New Roman"/>
          <w:sz w:val="24"/>
          <w:szCs w:val="24"/>
        </w:rPr>
        <w:t xml:space="preserve"> the bulk of the programmes’ budget, with the remaining R154.6 million</w:t>
      </w:r>
      <w:r w:rsidR="007E1890" w:rsidRPr="003E2516">
        <w:rPr>
          <w:rFonts w:ascii="Times New Roman" w:hAnsi="Times New Roman" w:cs="Times New Roman"/>
          <w:sz w:val="24"/>
          <w:szCs w:val="24"/>
        </w:rPr>
        <w:t xml:space="preserve"> allocated</w:t>
      </w:r>
      <w:r w:rsidRPr="003E2516">
        <w:rPr>
          <w:rFonts w:ascii="Times New Roman" w:hAnsi="Times New Roman" w:cs="Times New Roman"/>
          <w:sz w:val="24"/>
          <w:szCs w:val="24"/>
        </w:rPr>
        <w:t xml:space="preserve"> for goods and services. </w:t>
      </w:r>
      <w:r w:rsidR="007E1890" w:rsidRPr="003E2516">
        <w:rPr>
          <w:rFonts w:ascii="Times New Roman" w:hAnsi="Times New Roman" w:cs="Times New Roman"/>
          <w:sz w:val="24"/>
          <w:szCs w:val="24"/>
        </w:rPr>
        <w:t>The budget</w:t>
      </w:r>
      <w:r w:rsidR="008C6D23" w:rsidRPr="003E2516">
        <w:rPr>
          <w:rFonts w:ascii="Times New Roman" w:hAnsi="Times New Roman" w:cs="Times New Roman"/>
          <w:sz w:val="24"/>
          <w:szCs w:val="24"/>
        </w:rPr>
        <w:t>’s</w:t>
      </w:r>
      <w:r w:rsidR="007E1890" w:rsidRPr="003E2516">
        <w:rPr>
          <w:rFonts w:ascii="Times New Roman" w:hAnsi="Times New Roman" w:cs="Times New Roman"/>
          <w:sz w:val="24"/>
          <w:szCs w:val="24"/>
        </w:rPr>
        <w:t xml:space="preserve"> provision for</w:t>
      </w:r>
      <w:r w:rsidRPr="003E2516">
        <w:rPr>
          <w:rFonts w:ascii="Times New Roman" w:hAnsi="Times New Roman" w:cs="Times New Roman"/>
          <w:sz w:val="24"/>
          <w:szCs w:val="24"/>
        </w:rPr>
        <w:t xml:space="preserve"> compensation of employees has increased by R655.8 million from R5.3 billion alloc</w:t>
      </w:r>
      <w:r w:rsidR="007E1890" w:rsidRPr="003E2516">
        <w:rPr>
          <w:rFonts w:ascii="Times New Roman" w:hAnsi="Times New Roman" w:cs="Times New Roman"/>
          <w:sz w:val="24"/>
          <w:szCs w:val="24"/>
        </w:rPr>
        <w:t>ated in 2016/17 financial year to R5.9 billion in the 2017/18 financial year.</w:t>
      </w:r>
    </w:p>
    <w:p w:rsidR="00E35C28" w:rsidRPr="003E2516" w:rsidRDefault="007E1890"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a</w:t>
      </w:r>
      <w:r w:rsidR="00E35C28" w:rsidRPr="003E2516">
        <w:rPr>
          <w:rFonts w:ascii="Times New Roman" w:hAnsi="Times New Roman" w:cs="Times New Roman"/>
          <w:sz w:val="24"/>
          <w:szCs w:val="24"/>
        </w:rPr>
        <w:t>llocation for goods and services in this programme amounts to R154.6 million in 2017/18</w:t>
      </w:r>
      <w:r w:rsidRPr="003E2516">
        <w:rPr>
          <w:rFonts w:ascii="Times New Roman" w:hAnsi="Times New Roman" w:cs="Times New Roman"/>
          <w:sz w:val="24"/>
          <w:szCs w:val="24"/>
        </w:rPr>
        <w:t xml:space="preserve"> up</w:t>
      </w:r>
      <w:r w:rsidR="00E35C28" w:rsidRPr="003E2516">
        <w:rPr>
          <w:rFonts w:ascii="Times New Roman" w:hAnsi="Times New Roman" w:cs="Times New Roman"/>
          <w:sz w:val="24"/>
          <w:szCs w:val="24"/>
        </w:rPr>
        <w:t xml:space="preserve"> from R118 million in 2016/17. The bulk of this </w:t>
      </w:r>
      <w:r w:rsidR="00C53F31" w:rsidRPr="003E2516">
        <w:rPr>
          <w:rFonts w:ascii="Times New Roman" w:hAnsi="Times New Roman" w:cs="Times New Roman"/>
          <w:sz w:val="24"/>
          <w:szCs w:val="24"/>
        </w:rPr>
        <w:t>budget, which</w:t>
      </w:r>
      <w:r w:rsidR="00E35C28" w:rsidRPr="003E2516">
        <w:rPr>
          <w:rFonts w:ascii="Times New Roman" w:hAnsi="Times New Roman" w:cs="Times New Roman"/>
          <w:sz w:val="24"/>
          <w:szCs w:val="24"/>
        </w:rPr>
        <w:t xml:space="preserve"> is R73 million</w:t>
      </w:r>
      <w:r w:rsidRPr="003E2516">
        <w:rPr>
          <w:rFonts w:ascii="Times New Roman" w:hAnsi="Times New Roman" w:cs="Times New Roman"/>
          <w:sz w:val="24"/>
          <w:szCs w:val="24"/>
        </w:rPr>
        <w:t>,</w:t>
      </w:r>
      <w:r w:rsidR="00E35C28" w:rsidRPr="003E2516">
        <w:rPr>
          <w:rFonts w:ascii="Times New Roman" w:hAnsi="Times New Roman" w:cs="Times New Roman"/>
          <w:sz w:val="24"/>
          <w:szCs w:val="24"/>
        </w:rPr>
        <w:t xml:space="preserve"> is allocated to travel and subsistence. This allocation increased by R32.8 million from R40.2 million allocated in 201</w:t>
      </w:r>
      <w:r w:rsidR="00A03596" w:rsidRPr="003E2516">
        <w:rPr>
          <w:rFonts w:ascii="Times New Roman" w:hAnsi="Times New Roman" w:cs="Times New Roman"/>
          <w:sz w:val="24"/>
          <w:szCs w:val="24"/>
        </w:rPr>
        <w:t xml:space="preserve">6/17 financial year. </w:t>
      </w:r>
      <w:r w:rsidRPr="003E2516">
        <w:rPr>
          <w:rFonts w:ascii="Times New Roman" w:hAnsi="Times New Roman" w:cs="Times New Roman"/>
          <w:sz w:val="24"/>
          <w:szCs w:val="24"/>
        </w:rPr>
        <w:t>The a</w:t>
      </w:r>
      <w:r w:rsidR="00A03596" w:rsidRPr="003E2516">
        <w:rPr>
          <w:rFonts w:ascii="Times New Roman" w:hAnsi="Times New Roman" w:cs="Times New Roman"/>
          <w:sz w:val="24"/>
          <w:szCs w:val="24"/>
        </w:rPr>
        <w:t>llocation</w:t>
      </w:r>
      <w:r w:rsidR="00E35C28" w:rsidRPr="003E2516">
        <w:rPr>
          <w:rFonts w:ascii="Times New Roman" w:hAnsi="Times New Roman" w:cs="Times New Roman"/>
          <w:sz w:val="24"/>
          <w:szCs w:val="24"/>
        </w:rPr>
        <w:t xml:space="preserve"> for spending on training and development, which amounts to R32.7 million constitutes the second highest </w:t>
      </w:r>
      <w:r w:rsidRPr="003E2516">
        <w:rPr>
          <w:rFonts w:ascii="Times New Roman" w:hAnsi="Times New Roman" w:cs="Times New Roman"/>
          <w:sz w:val="24"/>
          <w:szCs w:val="24"/>
        </w:rPr>
        <w:t xml:space="preserve">expenditure </w:t>
      </w:r>
      <w:r w:rsidR="00E35C28" w:rsidRPr="003E2516">
        <w:rPr>
          <w:rFonts w:ascii="Times New Roman" w:hAnsi="Times New Roman" w:cs="Times New Roman"/>
          <w:sz w:val="24"/>
          <w:szCs w:val="24"/>
        </w:rPr>
        <w:t xml:space="preserve">on goods and services; followed </w:t>
      </w:r>
      <w:r w:rsidR="00A03596" w:rsidRPr="003E2516">
        <w:rPr>
          <w:rFonts w:ascii="Times New Roman" w:hAnsi="Times New Roman" w:cs="Times New Roman"/>
          <w:sz w:val="24"/>
          <w:szCs w:val="24"/>
        </w:rPr>
        <w:t>by the allocation</w:t>
      </w:r>
      <w:r w:rsidR="00E35C28" w:rsidRPr="003E2516">
        <w:rPr>
          <w:rFonts w:ascii="Times New Roman" w:hAnsi="Times New Roman" w:cs="Times New Roman"/>
          <w:sz w:val="24"/>
          <w:szCs w:val="24"/>
        </w:rPr>
        <w:t xml:space="preserve"> </w:t>
      </w:r>
      <w:r w:rsidRPr="003E2516">
        <w:rPr>
          <w:rFonts w:ascii="Times New Roman" w:hAnsi="Times New Roman" w:cs="Times New Roman"/>
          <w:sz w:val="24"/>
          <w:szCs w:val="24"/>
        </w:rPr>
        <w:t>to</w:t>
      </w:r>
      <w:r w:rsidR="00E35C28" w:rsidRPr="003E2516">
        <w:rPr>
          <w:rFonts w:ascii="Times New Roman" w:hAnsi="Times New Roman" w:cs="Times New Roman"/>
          <w:sz w:val="24"/>
          <w:szCs w:val="24"/>
        </w:rPr>
        <w:t xml:space="preserve"> consumables: stationery, printing and office supplies</w:t>
      </w:r>
      <w:r w:rsidRPr="003E2516">
        <w:rPr>
          <w:rFonts w:ascii="Times New Roman" w:hAnsi="Times New Roman" w:cs="Times New Roman"/>
          <w:sz w:val="24"/>
          <w:szCs w:val="24"/>
        </w:rPr>
        <w:t xml:space="preserve"> which</w:t>
      </w:r>
      <w:r w:rsidR="00E35C28" w:rsidRPr="003E2516">
        <w:rPr>
          <w:rFonts w:ascii="Times New Roman" w:hAnsi="Times New Roman" w:cs="Times New Roman"/>
          <w:sz w:val="24"/>
          <w:szCs w:val="24"/>
        </w:rPr>
        <w:t xml:space="preserve"> constitute</w:t>
      </w:r>
      <w:r w:rsidRPr="003E2516">
        <w:rPr>
          <w:rFonts w:ascii="Times New Roman" w:hAnsi="Times New Roman" w:cs="Times New Roman"/>
          <w:sz w:val="24"/>
          <w:szCs w:val="24"/>
        </w:rPr>
        <w:t>s</w:t>
      </w:r>
      <w:r w:rsidR="00E35C28" w:rsidRPr="003E2516">
        <w:rPr>
          <w:rFonts w:ascii="Times New Roman" w:hAnsi="Times New Roman" w:cs="Times New Roman"/>
          <w:sz w:val="24"/>
          <w:szCs w:val="24"/>
        </w:rPr>
        <w:t xml:space="preserve"> the highest </w:t>
      </w:r>
      <w:r w:rsidRPr="003E2516">
        <w:rPr>
          <w:rFonts w:ascii="Times New Roman" w:hAnsi="Times New Roman" w:cs="Times New Roman"/>
          <w:sz w:val="24"/>
          <w:szCs w:val="24"/>
        </w:rPr>
        <w:t xml:space="preserve">expenditure </w:t>
      </w:r>
      <w:r w:rsidR="00E35C28" w:rsidRPr="003E2516">
        <w:rPr>
          <w:rFonts w:ascii="Times New Roman" w:hAnsi="Times New Roman" w:cs="Times New Roman"/>
          <w:sz w:val="24"/>
          <w:szCs w:val="24"/>
        </w:rPr>
        <w:t>line item in goods and services at R13.6 million. The amount of R1.3 billion is allocated for transfers and subsidies. Of this, R1.3 billion is</w:t>
      </w:r>
      <w:r w:rsidRPr="003E2516">
        <w:rPr>
          <w:rFonts w:ascii="Times New Roman" w:hAnsi="Times New Roman" w:cs="Times New Roman"/>
          <w:sz w:val="24"/>
          <w:szCs w:val="24"/>
        </w:rPr>
        <w:t xml:space="preserve"> for</w:t>
      </w:r>
      <w:r w:rsidR="00E35C28" w:rsidRPr="003E2516">
        <w:rPr>
          <w:rFonts w:ascii="Times New Roman" w:hAnsi="Times New Roman" w:cs="Times New Roman"/>
          <w:sz w:val="24"/>
          <w:szCs w:val="24"/>
        </w:rPr>
        <w:t xml:space="preserve"> subsidies to T</w:t>
      </w:r>
      <w:r w:rsidRPr="003E2516">
        <w:rPr>
          <w:rFonts w:ascii="Times New Roman" w:hAnsi="Times New Roman" w:cs="Times New Roman"/>
          <w:sz w:val="24"/>
          <w:szCs w:val="24"/>
        </w:rPr>
        <w:t xml:space="preserve">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and R14.4 million f</w:t>
      </w:r>
      <w:r w:rsidR="00E35C28" w:rsidRPr="003E2516">
        <w:rPr>
          <w:rFonts w:ascii="Times New Roman" w:hAnsi="Times New Roman" w:cs="Times New Roman"/>
          <w:sz w:val="24"/>
          <w:szCs w:val="24"/>
        </w:rPr>
        <w:t>o</w:t>
      </w:r>
      <w:r w:rsidRPr="003E2516">
        <w:rPr>
          <w:rFonts w:ascii="Times New Roman" w:hAnsi="Times New Roman" w:cs="Times New Roman"/>
          <w:sz w:val="24"/>
          <w:szCs w:val="24"/>
        </w:rPr>
        <w:t>r</w:t>
      </w:r>
      <w:r w:rsidR="00E35C28" w:rsidRPr="003E2516">
        <w:rPr>
          <w:rFonts w:ascii="Times New Roman" w:hAnsi="Times New Roman" w:cs="Times New Roman"/>
          <w:sz w:val="24"/>
          <w:szCs w:val="24"/>
        </w:rPr>
        <w:t xml:space="preserve"> the SETAs. </w:t>
      </w:r>
    </w:p>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v. Programme 5: Skills Development</w:t>
      </w:r>
    </w:p>
    <w:p w:rsidR="00866E22" w:rsidRPr="003E2516" w:rsidRDefault="00A03596"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For the 2017/18 financial year</w:t>
      </w:r>
      <w:r w:rsidR="00866E22" w:rsidRPr="003E2516">
        <w:rPr>
          <w:rFonts w:ascii="Times New Roman" w:hAnsi="Times New Roman" w:cs="Times New Roman"/>
          <w:sz w:val="24"/>
          <w:szCs w:val="24"/>
        </w:rPr>
        <w:t>, the Programme received an allocation of R244.3 million, which represent</w:t>
      </w:r>
      <w:r w:rsidR="007E1890" w:rsidRPr="003E2516">
        <w:rPr>
          <w:rFonts w:ascii="Times New Roman" w:hAnsi="Times New Roman" w:cs="Times New Roman"/>
          <w:sz w:val="24"/>
          <w:szCs w:val="24"/>
        </w:rPr>
        <w:t>s</w:t>
      </w:r>
      <w:r w:rsidR="00866E22" w:rsidRPr="003E2516">
        <w:rPr>
          <w:rFonts w:ascii="Times New Roman" w:hAnsi="Times New Roman" w:cs="Times New Roman"/>
          <w:sz w:val="24"/>
          <w:szCs w:val="24"/>
        </w:rPr>
        <w:t xml:space="preserve"> 0.47 percent of the Higher Education total budget. The budget has increased by R62.9 million or 34.7 percent in nominal terms from</w:t>
      </w:r>
      <w:r w:rsidR="007E1890" w:rsidRPr="003E2516">
        <w:rPr>
          <w:rFonts w:ascii="Times New Roman" w:hAnsi="Times New Roman" w:cs="Times New Roman"/>
          <w:sz w:val="24"/>
          <w:szCs w:val="24"/>
        </w:rPr>
        <w:t xml:space="preserve"> the</w:t>
      </w:r>
      <w:r w:rsidR="00866E22" w:rsidRPr="003E2516">
        <w:rPr>
          <w:rFonts w:ascii="Times New Roman" w:hAnsi="Times New Roman" w:cs="Times New Roman"/>
          <w:sz w:val="24"/>
          <w:szCs w:val="24"/>
        </w:rPr>
        <w:t xml:space="preserve"> R181.4 million</w:t>
      </w:r>
      <w:r w:rsidR="007E1890" w:rsidRPr="003E2516">
        <w:rPr>
          <w:rFonts w:ascii="Times New Roman" w:hAnsi="Times New Roman" w:cs="Times New Roman"/>
          <w:sz w:val="24"/>
          <w:szCs w:val="24"/>
        </w:rPr>
        <w:t xml:space="preserve"> allocation in the</w:t>
      </w:r>
      <w:r w:rsidR="00866E22" w:rsidRPr="003E2516">
        <w:rPr>
          <w:rFonts w:ascii="Times New Roman" w:hAnsi="Times New Roman" w:cs="Times New Roman"/>
          <w:sz w:val="24"/>
          <w:szCs w:val="24"/>
        </w:rPr>
        <w:t xml:space="preserve"> 2016/17 adjusted appropriation. However, when inflation is considered, the budget has increased by 26.69 per cent. Sub-programme 2: SETA Coordination accounts for the biggest portion of the total allocation whi</w:t>
      </w:r>
      <w:r w:rsidR="00170124" w:rsidRPr="003E2516">
        <w:rPr>
          <w:rFonts w:ascii="Times New Roman" w:hAnsi="Times New Roman" w:cs="Times New Roman"/>
          <w:sz w:val="24"/>
          <w:szCs w:val="24"/>
        </w:rPr>
        <w:t>ch is R207.7 million (85.02 per</w:t>
      </w:r>
      <w:r w:rsidR="00866E22" w:rsidRPr="003E2516">
        <w:rPr>
          <w:rFonts w:ascii="Times New Roman" w:hAnsi="Times New Roman" w:cs="Times New Roman"/>
          <w:sz w:val="24"/>
          <w:szCs w:val="24"/>
        </w:rPr>
        <w:t>cent) of the programme’s total budget, followed by Sub programme 4: Quality Development and Promotion that accounts for second largest</w:t>
      </w:r>
      <w:r w:rsidR="007E1890" w:rsidRPr="003E2516">
        <w:rPr>
          <w:rFonts w:ascii="Times New Roman" w:hAnsi="Times New Roman" w:cs="Times New Roman"/>
          <w:sz w:val="24"/>
          <w:szCs w:val="24"/>
        </w:rPr>
        <w:t>,</w:t>
      </w:r>
      <w:r w:rsidR="00866E22" w:rsidRPr="003E2516">
        <w:rPr>
          <w:rFonts w:ascii="Times New Roman" w:hAnsi="Times New Roman" w:cs="Times New Roman"/>
          <w:sz w:val="24"/>
          <w:szCs w:val="24"/>
        </w:rPr>
        <w:t xml:space="preserve"> amounting to R26.9 mill</w:t>
      </w:r>
      <w:r w:rsidR="00170124" w:rsidRPr="003E2516">
        <w:rPr>
          <w:rFonts w:ascii="Times New Roman" w:hAnsi="Times New Roman" w:cs="Times New Roman"/>
          <w:sz w:val="24"/>
          <w:szCs w:val="24"/>
        </w:rPr>
        <w:t>ion, which represents 11.01 per</w:t>
      </w:r>
      <w:r w:rsidR="00866E22" w:rsidRPr="003E2516">
        <w:rPr>
          <w:rFonts w:ascii="Times New Roman" w:hAnsi="Times New Roman" w:cs="Times New Roman"/>
          <w:sz w:val="24"/>
          <w:szCs w:val="24"/>
        </w:rPr>
        <w:t xml:space="preserve">cent of the total programme budget. Sub-programme 1: Programme Management: Skills </w:t>
      </w:r>
      <w:r w:rsidR="00866E22" w:rsidRPr="003E2516">
        <w:rPr>
          <w:rFonts w:ascii="Times New Roman" w:hAnsi="Times New Roman" w:cs="Times New Roman"/>
          <w:sz w:val="24"/>
          <w:szCs w:val="24"/>
        </w:rPr>
        <w:lastRenderedPageBreak/>
        <w:t>Development received no increase for 2017/18, while sub-programme 3: National Skills Development Services received a budget cut of R0.8 million.</w:t>
      </w:r>
    </w:p>
    <w:p w:rsidR="00C728F4" w:rsidRPr="003E2516" w:rsidRDefault="00866E22"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In terms of economic classification, R112.8 million is allocated for current payments. Of this, R97.7 million is allocated for compensation of employees and R15.1 million for goods and services. </w:t>
      </w:r>
      <w:r w:rsidR="007E1890" w:rsidRPr="003E2516">
        <w:rPr>
          <w:rFonts w:ascii="Times New Roman" w:hAnsi="Times New Roman" w:cs="Times New Roman"/>
          <w:sz w:val="24"/>
          <w:szCs w:val="24"/>
        </w:rPr>
        <w:t>The a</w:t>
      </w:r>
      <w:r w:rsidRPr="003E2516">
        <w:rPr>
          <w:rFonts w:ascii="Times New Roman" w:hAnsi="Times New Roman" w:cs="Times New Roman"/>
          <w:sz w:val="24"/>
          <w:szCs w:val="24"/>
        </w:rPr>
        <w:t xml:space="preserve">llocation for transfers and subsidies </w:t>
      </w:r>
      <w:r w:rsidR="000276BE" w:rsidRPr="003E2516">
        <w:rPr>
          <w:rFonts w:ascii="Times New Roman" w:hAnsi="Times New Roman" w:cs="Times New Roman"/>
          <w:sz w:val="24"/>
          <w:szCs w:val="24"/>
        </w:rPr>
        <w:t>amounts to</w:t>
      </w:r>
      <w:r w:rsidRPr="003E2516">
        <w:rPr>
          <w:rFonts w:ascii="Times New Roman" w:hAnsi="Times New Roman" w:cs="Times New Roman"/>
          <w:sz w:val="24"/>
          <w:szCs w:val="24"/>
        </w:rPr>
        <w:t xml:space="preserve"> R130.7 million. The allocation will be transferred to</w:t>
      </w:r>
      <w:r w:rsidR="000276BE" w:rsidRPr="003E2516">
        <w:rPr>
          <w:rFonts w:ascii="Times New Roman" w:hAnsi="Times New Roman" w:cs="Times New Roman"/>
          <w:sz w:val="24"/>
          <w:szCs w:val="24"/>
        </w:rPr>
        <w:t xml:space="preserve"> the</w:t>
      </w:r>
      <w:r w:rsidRPr="003E2516">
        <w:rPr>
          <w:rFonts w:ascii="Times New Roman" w:hAnsi="Times New Roman" w:cs="Times New Roman"/>
          <w:sz w:val="24"/>
          <w:szCs w:val="24"/>
        </w:rPr>
        <w:t xml:space="preserve"> Quality Council for Trades and Occupations</w:t>
      </w:r>
      <w:r w:rsidR="000276BE" w:rsidRPr="003E2516">
        <w:rPr>
          <w:rFonts w:ascii="Times New Roman" w:hAnsi="Times New Roman" w:cs="Times New Roman"/>
          <w:sz w:val="24"/>
          <w:szCs w:val="24"/>
        </w:rPr>
        <w:t xml:space="preserve"> (QCTO)</w:t>
      </w:r>
      <w:r w:rsidRPr="003E2516">
        <w:rPr>
          <w:rFonts w:ascii="Times New Roman" w:hAnsi="Times New Roman" w:cs="Times New Roman"/>
          <w:sz w:val="24"/>
          <w:szCs w:val="24"/>
        </w:rPr>
        <w:t xml:space="preserve"> (R26.9 million) and Public Service SETA (R103.8 million).</w:t>
      </w:r>
    </w:p>
    <w:p w:rsidR="005D4448" w:rsidRPr="003E2516" w:rsidRDefault="005D4448"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p>
    <w:p w:rsidR="00C728F4" w:rsidRPr="003E2516" w:rsidRDefault="00C728F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vi. Programme 6: Community Education and Training</w:t>
      </w:r>
    </w:p>
    <w:p w:rsidR="00866E22" w:rsidRPr="003E2516" w:rsidRDefault="00866E22"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For the 2017/18 financial year, the programme received</w:t>
      </w:r>
      <w:r w:rsidR="00FE49EA" w:rsidRPr="003E2516">
        <w:rPr>
          <w:rFonts w:ascii="Times New Roman" w:hAnsi="Times New Roman" w:cs="Times New Roman"/>
          <w:sz w:val="24"/>
          <w:szCs w:val="24"/>
        </w:rPr>
        <w:t xml:space="preserve"> an</w:t>
      </w:r>
      <w:r w:rsidRPr="003E2516">
        <w:rPr>
          <w:rFonts w:ascii="Times New Roman" w:hAnsi="Times New Roman" w:cs="Times New Roman"/>
          <w:sz w:val="24"/>
          <w:szCs w:val="24"/>
        </w:rPr>
        <w:t xml:space="preserve"> allocation of R2.2 billion, which represents 4.27 percent of the Department’s total budget</w:t>
      </w:r>
      <w:r w:rsidR="007E1890" w:rsidRPr="003E2516">
        <w:rPr>
          <w:rFonts w:ascii="Times New Roman" w:hAnsi="Times New Roman" w:cs="Times New Roman"/>
          <w:sz w:val="24"/>
          <w:szCs w:val="24"/>
        </w:rPr>
        <w:t>,</w:t>
      </w:r>
      <w:r w:rsidRPr="003E2516">
        <w:rPr>
          <w:rFonts w:ascii="Times New Roman" w:hAnsi="Times New Roman" w:cs="Times New Roman"/>
          <w:sz w:val="24"/>
          <w:szCs w:val="24"/>
        </w:rPr>
        <w:t xml:space="preserve"> excluding direct charge</w:t>
      </w:r>
      <w:r w:rsidR="007E1890" w:rsidRPr="003E2516">
        <w:rPr>
          <w:rFonts w:ascii="Times New Roman" w:hAnsi="Times New Roman" w:cs="Times New Roman"/>
          <w:sz w:val="24"/>
          <w:szCs w:val="24"/>
        </w:rPr>
        <w:t>s</w:t>
      </w:r>
      <w:r w:rsidRPr="003E2516">
        <w:rPr>
          <w:rFonts w:ascii="Times New Roman" w:hAnsi="Times New Roman" w:cs="Times New Roman"/>
          <w:sz w:val="24"/>
          <w:szCs w:val="24"/>
        </w:rPr>
        <w:t xml:space="preserve"> against the National Revenue Fund. The budget increased by R32.6 million</w:t>
      </w:r>
      <w:r w:rsidR="00FE49EA" w:rsidRPr="003E2516">
        <w:rPr>
          <w:rFonts w:ascii="Times New Roman" w:hAnsi="Times New Roman" w:cs="Times New Roman"/>
          <w:sz w:val="24"/>
          <w:szCs w:val="24"/>
        </w:rPr>
        <w:t>, which represents 0.04 per</w:t>
      </w:r>
      <w:r w:rsidRPr="003E2516">
        <w:rPr>
          <w:rFonts w:ascii="Times New Roman" w:hAnsi="Times New Roman" w:cs="Times New Roman"/>
          <w:sz w:val="24"/>
          <w:szCs w:val="24"/>
        </w:rPr>
        <w:t>cent in real terms. Of significance to note is that the budget is projected to grow by a real annual average of 0.5 percent over the 2017 MTEF</w:t>
      </w:r>
      <w:r w:rsidR="00D16DA5" w:rsidRPr="003E2516">
        <w:rPr>
          <w:rFonts w:ascii="Times New Roman" w:hAnsi="Times New Roman" w:cs="Times New Roman"/>
          <w:sz w:val="24"/>
          <w:szCs w:val="24"/>
        </w:rPr>
        <w:t xml:space="preserve"> period</w:t>
      </w:r>
      <w:r w:rsidRPr="003E2516">
        <w:rPr>
          <w:rFonts w:ascii="Times New Roman" w:hAnsi="Times New Roman" w:cs="Times New Roman"/>
          <w:sz w:val="24"/>
          <w:szCs w:val="24"/>
        </w:rPr>
        <w:t>. The projected slight increase will mainly cater for the increase in the cost of living. The bulk of the budget of this programme, which amounts to R2.05 billion</w:t>
      </w:r>
      <w:r w:rsidR="007E1890" w:rsidRPr="003E2516">
        <w:rPr>
          <w:rFonts w:ascii="Times New Roman" w:hAnsi="Times New Roman" w:cs="Times New Roman"/>
          <w:sz w:val="24"/>
          <w:szCs w:val="24"/>
        </w:rPr>
        <w:t>,</w:t>
      </w:r>
      <w:r w:rsidRPr="003E2516">
        <w:rPr>
          <w:rFonts w:ascii="Times New Roman" w:hAnsi="Times New Roman" w:cs="Times New Roman"/>
          <w:sz w:val="24"/>
          <w:szCs w:val="24"/>
        </w:rPr>
        <w:t xml:space="preserve"> goes to sub-programme 2: Community Education and Training College Systems. This represents 91.96 per cent of the programme’s total budget. </w:t>
      </w:r>
    </w:p>
    <w:p w:rsidR="00866E22" w:rsidRPr="003E2516" w:rsidRDefault="007E1890"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a</w:t>
      </w:r>
      <w:r w:rsidR="00866E22" w:rsidRPr="003E2516">
        <w:rPr>
          <w:rFonts w:ascii="Times New Roman" w:hAnsi="Times New Roman" w:cs="Times New Roman"/>
          <w:sz w:val="24"/>
          <w:szCs w:val="24"/>
        </w:rPr>
        <w:t>llocation for sub-programme 3: Financial Planning constitutes the second highest spending sub-programme</w:t>
      </w:r>
      <w:r w:rsidRPr="003E2516">
        <w:rPr>
          <w:rFonts w:ascii="Times New Roman" w:hAnsi="Times New Roman" w:cs="Times New Roman"/>
          <w:sz w:val="24"/>
          <w:szCs w:val="24"/>
        </w:rPr>
        <w:t xml:space="preserve"> provision</w:t>
      </w:r>
      <w:r w:rsidR="00866E22" w:rsidRPr="003E2516">
        <w:rPr>
          <w:rFonts w:ascii="Times New Roman" w:hAnsi="Times New Roman" w:cs="Times New Roman"/>
          <w:sz w:val="24"/>
          <w:szCs w:val="24"/>
        </w:rPr>
        <w:t xml:space="preserve"> with an allocation of R166.3 million. This allocation has not increased from the 2016/17, which represents a decrease of 5.93 per cent in real terms, when factoring in inflation. </w:t>
      </w:r>
      <w:r w:rsidRPr="003E2516">
        <w:rPr>
          <w:rFonts w:ascii="Times New Roman" w:hAnsi="Times New Roman" w:cs="Times New Roman"/>
          <w:sz w:val="24"/>
          <w:szCs w:val="24"/>
        </w:rPr>
        <w:t>The a</w:t>
      </w:r>
      <w:r w:rsidR="00866E22" w:rsidRPr="003E2516">
        <w:rPr>
          <w:rFonts w:ascii="Times New Roman" w:hAnsi="Times New Roman" w:cs="Times New Roman"/>
          <w:sz w:val="24"/>
          <w:szCs w:val="24"/>
        </w:rPr>
        <w:t xml:space="preserve">llocation to sub-programmes 1: Programme Management: Community Education and Training has decreased from R2.9 million in 2016/17 to R1.7 million in 2017/18. This represents decrease of 44.85 per cent in real terms. </w:t>
      </w:r>
      <w:r w:rsidRPr="003E2516">
        <w:rPr>
          <w:rFonts w:ascii="Times New Roman" w:hAnsi="Times New Roman" w:cs="Times New Roman"/>
          <w:sz w:val="24"/>
          <w:szCs w:val="24"/>
        </w:rPr>
        <w:t>The a</w:t>
      </w:r>
      <w:r w:rsidR="00866E22" w:rsidRPr="003E2516">
        <w:rPr>
          <w:rFonts w:ascii="Times New Roman" w:hAnsi="Times New Roman" w:cs="Times New Roman"/>
          <w:sz w:val="24"/>
          <w:szCs w:val="24"/>
        </w:rPr>
        <w:t xml:space="preserve">llocation to sub-programme 4: Education and Training and Development Support has decreased from R17 million in 2016/17 to R11.6 million in 2017/18. This represents a decrease of 35.81 percent in real terms. </w:t>
      </w:r>
    </w:p>
    <w:p w:rsidR="00866E22" w:rsidRPr="003E2516" w:rsidRDefault="00866E22"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In terms of economic classification, R2.1 billion is allocated for current payments, R104.7 million for transfers and subsidies and R1.8 million for payments for capital assets. </w:t>
      </w:r>
      <w:r w:rsidR="00F3163C" w:rsidRPr="003E2516">
        <w:rPr>
          <w:rFonts w:ascii="Times New Roman" w:hAnsi="Times New Roman" w:cs="Times New Roman"/>
          <w:sz w:val="24"/>
          <w:szCs w:val="24"/>
        </w:rPr>
        <w:t>The a</w:t>
      </w:r>
      <w:r w:rsidRPr="003E2516">
        <w:rPr>
          <w:rFonts w:ascii="Times New Roman" w:hAnsi="Times New Roman" w:cs="Times New Roman"/>
          <w:sz w:val="24"/>
          <w:szCs w:val="24"/>
        </w:rPr>
        <w:t xml:space="preserve">llocation </w:t>
      </w:r>
      <w:r w:rsidR="00F3163C" w:rsidRPr="003E2516">
        <w:rPr>
          <w:rFonts w:ascii="Times New Roman" w:hAnsi="Times New Roman" w:cs="Times New Roman"/>
          <w:sz w:val="24"/>
          <w:szCs w:val="24"/>
        </w:rPr>
        <w:t>to</w:t>
      </w:r>
      <w:r w:rsidRPr="003E2516">
        <w:rPr>
          <w:rFonts w:ascii="Times New Roman" w:hAnsi="Times New Roman" w:cs="Times New Roman"/>
          <w:sz w:val="24"/>
          <w:szCs w:val="24"/>
        </w:rPr>
        <w:t xml:space="preserve"> compensation of employees, which amounts to R2.06 billion</w:t>
      </w:r>
      <w:r w:rsidR="00F3163C" w:rsidRPr="003E2516">
        <w:rPr>
          <w:rFonts w:ascii="Times New Roman" w:hAnsi="Times New Roman" w:cs="Times New Roman"/>
          <w:sz w:val="24"/>
          <w:szCs w:val="24"/>
        </w:rPr>
        <w:t>,</w:t>
      </w:r>
      <w:r w:rsidRPr="003E2516">
        <w:rPr>
          <w:rFonts w:ascii="Times New Roman" w:hAnsi="Times New Roman" w:cs="Times New Roman"/>
          <w:sz w:val="24"/>
          <w:szCs w:val="24"/>
        </w:rPr>
        <w:t xml:space="preserve"> constitute</w:t>
      </w:r>
      <w:r w:rsidR="00F3163C" w:rsidRPr="003E2516">
        <w:rPr>
          <w:rFonts w:ascii="Times New Roman" w:hAnsi="Times New Roman" w:cs="Times New Roman"/>
          <w:sz w:val="24"/>
          <w:szCs w:val="24"/>
        </w:rPr>
        <w:t>s</w:t>
      </w:r>
      <w:r w:rsidRPr="003E2516">
        <w:rPr>
          <w:rFonts w:ascii="Times New Roman" w:hAnsi="Times New Roman" w:cs="Times New Roman"/>
          <w:sz w:val="24"/>
          <w:szCs w:val="24"/>
        </w:rPr>
        <w:t xml:space="preserve"> the bulk of the programmes’ budget, with the remaining R58.6 million for</w:t>
      </w:r>
      <w:r w:rsidR="00FE49EA" w:rsidRPr="003E2516">
        <w:rPr>
          <w:rFonts w:ascii="Times New Roman" w:hAnsi="Times New Roman" w:cs="Times New Roman"/>
          <w:sz w:val="24"/>
          <w:szCs w:val="24"/>
        </w:rPr>
        <w:t xml:space="preserve"> goods and services. </w:t>
      </w:r>
      <w:r w:rsidR="00F3163C" w:rsidRPr="003E2516">
        <w:rPr>
          <w:rFonts w:ascii="Times New Roman" w:hAnsi="Times New Roman" w:cs="Times New Roman"/>
          <w:sz w:val="24"/>
          <w:szCs w:val="24"/>
        </w:rPr>
        <w:t>The a</w:t>
      </w:r>
      <w:r w:rsidR="00FE49EA" w:rsidRPr="003E2516">
        <w:rPr>
          <w:rFonts w:ascii="Times New Roman" w:hAnsi="Times New Roman" w:cs="Times New Roman"/>
          <w:sz w:val="24"/>
          <w:szCs w:val="24"/>
        </w:rPr>
        <w:t>llocation</w:t>
      </w:r>
      <w:r w:rsidRPr="003E2516">
        <w:rPr>
          <w:rFonts w:ascii="Times New Roman" w:hAnsi="Times New Roman" w:cs="Times New Roman"/>
          <w:sz w:val="24"/>
          <w:szCs w:val="24"/>
        </w:rPr>
        <w:t xml:space="preserve"> </w:t>
      </w:r>
      <w:r w:rsidR="00F3163C" w:rsidRPr="003E2516">
        <w:rPr>
          <w:rFonts w:ascii="Times New Roman" w:hAnsi="Times New Roman" w:cs="Times New Roman"/>
          <w:sz w:val="24"/>
          <w:szCs w:val="24"/>
        </w:rPr>
        <w:t>to</w:t>
      </w:r>
      <w:r w:rsidRPr="003E2516">
        <w:rPr>
          <w:rFonts w:ascii="Times New Roman" w:hAnsi="Times New Roman" w:cs="Times New Roman"/>
          <w:sz w:val="24"/>
          <w:szCs w:val="24"/>
        </w:rPr>
        <w:t xml:space="preserve"> consumables: stationery, printing and office supplies constitute</w:t>
      </w:r>
      <w:r w:rsidR="00F3163C" w:rsidRPr="003E2516">
        <w:rPr>
          <w:rFonts w:ascii="Times New Roman" w:hAnsi="Times New Roman" w:cs="Times New Roman"/>
          <w:sz w:val="24"/>
          <w:szCs w:val="24"/>
        </w:rPr>
        <w:t>s</w:t>
      </w:r>
      <w:r w:rsidRPr="003E2516">
        <w:rPr>
          <w:rFonts w:ascii="Times New Roman" w:hAnsi="Times New Roman" w:cs="Times New Roman"/>
          <w:sz w:val="24"/>
          <w:szCs w:val="24"/>
        </w:rPr>
        <w:t xml:space="preserve"> the highest spending line item in goods and services at R31.5 million, followed by </w:t>
      </w:r>
      <w:r w:rsidR="00F3163C" w:rsidRPr="003E2516">
        <w:rPr>
          <w:rFonts w:ascii="Times New Roman" w:hAnsi="Times New Roman" w:cs="Times New Roman"/>
          <w:sz w:val="24"/>
          <w:szCs w:val="24"/>
        </w:rPr>
        <w:t xml:space="preserve">the </w:t>
      </w:r>
      <w:r w:rsidRPr="003E2516">
        <w:rPr>
          <w:rFonts w:ascii="Times New Roman" w:hAnsi="Times New Roman" w:cs="Times New Roman"/>
          <w:sz w:val="24"/>
          <w:szCs w:val="24"/>
        </w:rPr>
        <w:t xml:space="preserve">allocation </w:t>
      </w:r>
      <w:r w:rsidR="00F3163C" w:rsidRPr="003E2516">
        <w:rPr>
          <w:rFonts w:ascii="Times New Roman" w:hAnsi="Times New Roman" w:cs="Times New Roman"/>
          <w:sz w:val="24"/>
          <w:szCs w:val="24"/>
        </w:rPr>
        <w:t xml:space="preserve">to </w:t>
      </w:r>
      <w:r w:rsidRPr="003E2516">
        <w:rPr>
          <w:rFonts w:ascii="Times New Roman" w:hAnsi="Times New Roman" w:cs="Times New Roman"/>
          <w:sz w:val="24"/>
          <w:szCs w:val="24"/>
        </w:rPr>
        <w:t xml:space="preserve">training and development at R14.4 million. </w:t>
      </w:r>
    </w:p>
    <w:p w:rsidR="00A91B06"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sz w:val="24"/>
          <w:szCs w:val="24"/>
        </w:rPr>
        <w:t>6</w:t>
      </w:r>
      <w:r w:rsidR="009823ED" w:rsidRPr="003E2516">
        <w:rPr>
          <w:rFonts w:ascii="Times New Roman" w:hAnsi="Times New Roman" w:cs="Times New Roman"/>
          <w:b/>
          <w:sz w:val="24"/>
          <w:szCs w:val="24"/>
        </w:rPr>
        <w:t xml:space="preserve">.4.2.3. </w:t>
      </w:r>
      <w:r w:rsidR="00A91B06" w:rsidRPr="003E2516">
        <w:rPr>
          <w:rFonts w:ascii="Times New Roman" w:hAnsi="Times New Roman" w:cs="Times New Roman"/>
          <w:b/>
          <w:color w:val="000000" w:themeColor="text1"/>
          <w:kern w:val="24"/>
          <w:sz w:val="24"/>
          <w:szCs w:val="24"/>
        </w:rPr>
        <w:t>Key budget pressures facing the Department</w:t>
      </w: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Department received a substantial baseline increase </w:t>
      </w:r>
      <w:r w:rsidR="00825263" w:rsidRPr="003E2516">
        <w:rPr>
          <w:rFonts w:ascii="Times New Roman" w:hAnsi="Times New Roman" w:cs="Times New Roman"/>
          <w:color w:val="000000" w:themeColor="text1"/>
          <w:kern w:val="24"/>
          <w:sz w:val="24"/>
          <w:szCs w:val="24"/>
        </w:rPr>
        <w:t>in</w:t>
      </w:r>
      <w:r w:rsidRPr="003E2516">
        <w:rPr>
          <w:rFonts w:ascii="Times New Roman" w:hAnsi="Times New Roman" w:cs="Times New Roman"/>
          <w:color w:val="000000" w:themeColor="text1"/>
          <w:kern w:val="24"/>
          <w:sz w:val="24"/>
          <w:szCs w:val="24"/>
        </w:rPr>
        <w:t xml:space="preserve"> the funding of the estimated shortfalls</w:t>
      </w:r>
      <w:r w:rsidR="00A76AE5" w:rsidRPr="003E2516">
        <w:rPr>
          <w:rFonts w:ascii="Times New Roman" w:hAnsi="Times New Roman" w:cs="Times New Roman"/>
          <w:color w:val="000000" w:themeColor="text1"/>
          <w:kern w:val="24"/>
          <w:sz w:val="24"/>
          <w:szCs w:val="24"/>
        </w:rPr>
        <w:t>,</w:t>
      </w:r>
      <w:r w:rsidRPr="003E2516">
        <w:rPr>
          <w:rFonts w:ascii="Times New Roman" w:hAnsi="Times New Roman" w:cs="Times New Roman"/>
          <w:color w:val="000000" w:themeColor="text1"/>
          <w:kern w:val="24"/>
          <w:sz w:val="24"/>
          <w:szCs w:val="24"/>
        </w:rPr>
        <w:t xml:space="preserve"> especially </w:t>
      </w:r>
      <w:r w:rsidR="00473463" w:rsidRPr="003E2516">
        <w:rPr>
          <w:rFonts w:ascii="Times New Roman" w:hAnsi="Times New Roman" w:cs="Times New Roman"/>
          <w:color w:val="000000" w:themeColor="text1"/>
          <w:kern w:val="24"/>
          <w:sz w:val="24"/>
          <w:szCs w:val="24"/>
        </w:rPr>
        <w:t xml:space="preserve">for </w:t>
      </w:r>
      <w:r w:rsidRPr="003E2516">
        <w:rPr>
          <w:rFonts w:ascii="Times New Roman" w:hAnsi="Times New Roman" w:cs="Times New Roman"/>
          <w:color w:val="000000" w:themeColor="text1"/>
          <w:kern w:val="24"/>
          <w:sz w:val="24"/>
          <w:szCs w:val="24"/>
        </w:rPr>
        <w:t xml:space="preserve">universities. Despite this fiscal injection, there are still some serious service delivery requirements that cannot be addressed. The Department remains unable to attain the growth requirements within the PSET system in terms of enrolments, infrastructure development, increased operations and student support. Three targets reflected in the APP will not be </w:t>
      </w:r>
      <w:r w:rsidR="00473463" w:rsidRPr="003E2516">
        <w:rPr>
          <w:rFonts w:ascii="Times New Roman" w:hAnsi="Times New Roman" w:cs="Times New Roman"/>
          <w:color w:val="000000" w:themeColor="text1"/>
          <w:kern w:val="24"/>
          <w:sz w:val="24"/>
          <w:szCs w:val="24"/>
        </w:rPr>
        <w:t xml:space="preserve">met </w:t>
      </w:r>
      <w:r w:rsidRPr="003E2516">
        <w:rPr>
          <w:rFonts w:ascii="Times New Roman" w:hAnsi="Times New Roman" w:cs="Times New Roman"/>
          <w:color w:val="000000" w:themeColor="text1"/>
          <w:kern w:val="24"/>
          <w:sz w:val="24"/>
          <w:szCs w:val="24"/>
        </w:rPr>
        <w:t>due to lack of funding. These targets are: Student accommodation, Lecturer Industry Exposure,</w:t>
      </w:r>
      <w:r w:rsidR="004269A4" w:rsidRPr="003E2516">
        <w:rPr>
          <w:rFonts w:ascii="Times New Roman" w:hAnsi="Times New Roman" w:cs="Times New Roman"/>
          <w:color w:val="000000" w:themeColor="text1"/>
          <w:kern w:val="24"/>
          <w:sz w:val="24"/>
          <w:szCs w:val="24"/>
        </w:rPr>
        <w:t xml:space="preserve"> and</w:t>
      </w:r>
      <w:r w:rsidRPr="003E2516">
        <w:rPr>
          <w:rFonts w:ascii="Times New Roman" w:hAnsi="Times New Roman" w:cs="Times New Roman"/>
          <w:color w:val="000000" w:themeColor="text1"/>
          <w:kern w:val="24"/>
          <w:sz w:val="24"/>
          <w:szCs w:val="24"/>
        </w:rPr>
        <w:t xml:space="preserve"> TVET Foundation Programmes and success rate.</w:t>
      </w: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A91B06" w:rsidRPr="003E2516" w:rsidRDefault="00A91B0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Department is also at risk of not meeting the targets set in the NDP especially in terms of enrolments. Limitations are placed on </w:t>
      </w:r>
      <w:r w:rsidR="004269A4" w:rsidRPr="003E2516">
        <w:rPr>
          <w:rFonts w:ascii="Times New Roman" w:hAnsi="Times New Roman" w:cs="Times New Roman"/>
          <w:color w:val="000000" w:themeColor="text1"/>
          <w:kern w:val="24"/>
          <w:sz w:val="24"/>
          <w:szCs w:val="24"/>
        </w:rPr>
        <w:t>d</w:t>
      </w:r>
      <w:r w:rsidRPr="003E2516">
        <w:rPr>
          <w:rFonts w:ascii="Times New Roman" w:hAnsi="Times New Roman" w:cs="Times New Roman"/>
          <w:color w:val="000000" w:themeColor="text1"/>
          <w:kern w:val="24"/>
          <w:sz w:val="24"/>
          <w:szCs w:val="24"/>
        </w:rPr>
        <w:t>epartmental operations such as the rolling out of the new</w:t>
      </w:r>
      <w:r w:rsidRPr="003E2516">
        <w:rPr>
          <w:rFonts w:ascii="Times New Roman" w:hAnsi="Times New Roman" w:cs="Times New Roman"/>
          <w:color w:val="FF0000"/>
          <w:kern w:val="24"/>
          <w:sz w:val="24"/>
          <w:szCs w:val="24"/>
        </w:rPr>
        <w:t xml:space="preserve"> </w:t>
      </w:r>
      <w:r w:rsidRPr="003E2516">
        <w:rPr>
          <w:rFonts w:ascii="Times New Roman" w:hAnsi="Times New Roman" w:cs="Times New Roman"/>
          <w:color w:val="000000" w:themeColor="text1"/>
          <w:kern w:val="24"/>
          <w:sz w:val="24"/>
          <w:szCs w:val="24"/>
        </w:rPr>
        <w:t xml:space="preserve">organizational structure, ensuring appropriate regional presence and examination services. Institutional as well as grant monitoring and evaluation is limited to </w:t>
      </w:r>
      <w:r w:rsidR="00825263" w:rsidRPr="003E2516">
        <w:rPr>
          <w:rFonts w:ascii="Times New Roman" w:hAnsi="Times New Roman" w:cs="Times New Roman"/>
          <w:color w:val="000000" w:themeColor="text1"/>
          <w:kern w:val="24"/>
          <w:sz w:val="24"/>
          <w:szCs w:val="24"/>
        </w:rPr>
        <w:t xml:space="preserve">the </w:t>
      </w:r>
      <w:r w:rsidRPr="003E2516">
        <w:rPr>
          <w:rFonts w:ascii="Times New Roman" w:hAnsi="Times New Roman" w:cs="Times New Roman"/>
          <w:color w:val="000000" w:themeColor="text1"/>
          <w:kern w:val="24"/>
          <w:sz w:val="24"/>
          <w:szCs w:val="24"/>
        </w:rPr>
        <w:t xml:space="preserve">most critical </w:t>
      </w:r>
      <w:r w:rsidRPr="003E2516">
        <w:rPr>
          <w:rFonts w:ascii="Times New Roman" w:hAnsi="Times New Roman" w:cs="Times New Roman"/>
          <w:color w:val="000000" w:themeColor="text1"/>
          <w:kern w:val="24"/>
          <w:sz w:val="24"/>
          <w:szCs w:val="24"/>
        </w:rPr>
        <w:lastRenderedPageBreak/>
        <w:t xml:space="preserve">areas. The Department relied on the NSF and other donor support for career guidance initiatives, Higher Education AIDS programme and activities of the National Artisan Moderation Body (NAMB). The reliance on the NSF is jeopardising the ability of the NSF to support artisan development adequately and to increase student funding through NSFAS at universities and TVET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w:t>
      </w:r>
    </w:p>
    <w:p w:rsidR="000C2E58" w:rsidRPr="003E2516" w:rsidRDefault="000C2E58"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B41FBD" w:rsidRPr="003E2516" w:rsidRDefault="00A76AE5" w:rsidP="003E2516">
      <w:pPr>
        <w:spacing w:before="200" w:line="240" w:lineRule="auto"/>
        <w:jc w:val="both"/>
        <w:rPr>
          <w:rFonts w:ascii="Times New Roman" w:hAnsi="Times New Roman" w:cs="Times New Roman"/>
          <w:b/>
          <w:sz w:val="24"/>
          <w:szCs w:val="24"/>
        </w:rPr>
      </w:pPr>
      <w:r w:rsidRPr="003E2516">
        <w:rPr>
          <w:rFonts w:ascii="Times New Roman" w:hAnsi="Times New Roman" w:cs="Times New Roman"/>
          <w:b/>
          <w:sz w:val="24"/>
          <w:szCs w:val="24"/>
        </w:rPr>
        <w:t>7</w:t>
      </w:r>
      <w:r w:rsidR="00B41FBD" w:rsidRPr="003E2516">
        <w:rPr>
          <w:rFonts w:ascii="Times New Roman" w:hAnsi="Times New Roman" w:cs="Times New Roman"/>
          <w:b/>
          <w:sz w:val="24"/>
          <w:szCs w:val="24"/>
        </w:rPr>
        <w:t>. O</w:t>
      </w:r>
      <w:r w:rsidR="00301A27" w:rsidRPr="003E2516">
        <w:rPr>
          <w:rFonts w:ascii="Times New Roman" w:hAnsi="Times New Roman" w:cs="Times New Roman"/>
          <w:b/>
          <w:sz w:val="24"/>
          <w:szCs w:val="24"/>
        </w:rPr>
        <w:t>BSERVATIONS</w:t>
      </w:r>
    </w:p>
    <w:p w:rsidR="00B41FBD" w:rsidRPr="003E2516" w:rsidRDefault="00B41FBD"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The following formed part of the key observations:</w:t>
      </w:r>
    </w:p>
    <w:p w:rsidR="00810556"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810556" w:rsidRPr="003E2516">
        <w:rPr>
          <w:rFonts w:ascii="Times New Roman" w:hAnsi="Times New Roman" w:cs="Times New Roman"/>
          <w:b/>
          <w:color w:val="000000" w:themeColor="text1"/>
          <w:kern w:val="24"/>
          <w:sz w:val="24"/>
          <w:szCs w:val="24"/>
        </w:rPr>
        <w:t>.1 Department of Higher Education and Training</w:t>
      </w:r>
    </w:p>
    <w:p w:rsidR="00491ACE"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4E32A3" w:rsidRPr="003E2516">
        <w:rPr>
          <w:rFonts w:ascii="Times New Roman" w:hAnsi="Times New Roman" w:cs="Times New Roman"/>
          <w:color w:val="000000" w:themeColor="text1"/>
          <w:kern w:val="24"/>
          <w:sz w:val="24"/>
          <w:szCs w:val="24"/>
        </w:rPr>
        <w:t>.1.1.</w:t>
      </w:r>
      <w:r w:rsidR="004E32A3"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The Department experienced challenges in filling vacancies within the regulated time</w:t>
      </w:r>
      <w:r w:rsidR="00733547" w:rsidRPr="003E2516">
        <w:rPr>
          <w:rFonts w:ascii="Times New Roman" w:hAnsi="Times New Roman" w:cs="Times New Roman"/>
          <w:color w:val="000000" w:themeColor="text1"/>
          <w:kern w:val="24"/>
          <w:sz w:val="24"/>
          <w:szCs w:val="24"/>
        </w:rPr>
        <w:t>,</w:t>
      </w:r>
      <w:r w:rsidR="00491ACE" w:rsidRPr="003E2516">
        <w:rPr>
          <w:rFonts w:ascii="Times New Roman" w:hAnsi="Times New Roman" w:cs="Times New Roman"/>
          <w:color w:val="000000" w:themeColor="text1"/>
          <w:kern w:val="24"/>
          <w:sz w:val="24"/>
          <w:szCs w:val="24"/>
        </w:rPr>
        <w:t xml:space="preserve"> </w:t>
      </w:r>
      <w:r w:rsidR="004E32A3"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owing to large volumes of applications.</w:t>
      </w:r>
      <w:r w:rsidR="004E32A3" w:rsidRPr="003E2516">
        <w:rPr>
          <w:rFonts w:ascii="Times New Roman" w:hAnsi="Times New Roman" w:cs="Times New Roman"/>
          <w:color w:val="000000" w:themeColor="text1"/>
          <w:kern w:val="24"/>
          <w:sz w:val="24"/>
          <w:szCs w:val="24"/>
        </w:rPr>
        <w:t xml:space="preserve"> The Department will develop an e-recruitment </w:t>
      </w:r>
      <w:r w:rsidR="004E32A3" w:rsidRPr="003E2516">
        <w:rPr>
          <w:rFonts w:ascii="Times New Roman" w:hAnsi="Times New Roman" w:cs="Times New Roman"/>
          <w:color w:val="000000" w:themeColor="text1"/>
          <w:kern w:val="24"/>
          <w:sz w:val="24"/>
          <w:szCs w:val="24"/>
        </w:rPr>
        <w:tab/>
        <w:t>system to expedite recruitment process.</w:t>
      </w:r>
    </w:p>
    <w:p w:rsidR="00810556"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810556" w:rsidRPr="003E2516">
        <w:rPr>
          <w:rFonts w:ascii="Times New Roman" w:hAnsi="Times New Roman" w:cs="Times New Roman"/>
          <w:color w:val="000000" w:themeColor="text1"/>
          <w:kern w:val="24"/>
          <w:sz w:val="24"/>
          <w:szCs w:val="24"/>
        </w:rPr>
        <w:t>.1</w:t>
      </w:r>
      <w:r w:rsidR="000B0E7F" w:rsidRPr="003E2516">
        <w:rPr>
          <w:rFonts w:ascii="Times New Roman" w:hAnsi="Times New Roman" w:cs="Times New Roman"/>
          <w:color w:val="000000" w:themeColor="text1"/>
          <w:kern w:val="24"/>
          <w:sz w:val="24"/>
          <w:szCs w:val="24"/>
        </w:rPr>
        <w:t xml:space="preserve">.2. </w:t>
      </w:r>
      <w:r w:rsidR="000B0E7F"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 xml:space="preserve">The </w:t>
      </w:r>
      <w:r w:rsidR="008C6D23" w:rsidRPr="003E2516">
        <w:rPr>
          <w:rFonts w:ascii="Times New Roman" w:hAnsi="Times New Roman" w:cs="Times New Roman"/>
          <w:color w:val="000000" w:themeColor="text1"/>
          <w:kern w:val="24"/>
          <w:sz w:val="24"/>
          <w:szCs w:val="24"/>
        </w:rPr>
        <w:t>meeting</w:t>
      </w:r>
      <w:r w:rsidR="00895020" w:rsidRPr="003E2516">
        <w:rPr>
          <w:rFonts w:ascii="Times New Roman" w:hAnsi="Times New Roman" w:cs="Times New Roman"/>
          <w:color w:val="000000" w:themeColor="text1"/>
          <w:kern w:val="24"/>
          <w:sz w:val="24"/>
          <w:szCs w:val="24"/>
        </w:rPr>
        <w:t xml:space="preserve"> sympathised with the Department about the </w:t>
      </w:r>
      <w:r w:rsidR="000B0E7F" w:rsidRPr="003E2516">
        <w:rPr>
          <w:rFonts w:ascii="Times New Roman" w:hAnsi="Times New Roman" w:cs="Times New Roman"/>
          <w:color w:val="000000" w:themeColor="text1"/>
          <w:kern w:val="24"/>
          <w:sz w:val="24"/>
          <w:szCs w:val="24"/>
        </w:rPr>
        <w:t>inadequate</w:t>
      </w:r>
      <w:r w:rsidR="00895020" w:rsidRPr="003E2516">
        <w:rPr>
          <w:rFonts w:ascii="Times New Roman" w:hAnsi="Times New Roman" w:cs="Times New Roman"/>
          <w:color w:val="000000" w:themeColor="text1"/>
          <w:kern w:val="24"/>
          <w:sz w:val="24"/>
          <w:szCs w:val="24"/>
        </w:rPr>
        <w:t xml:space="preserve"> funding to </w:t>
      </w:r>
      <w:r w:rsidR="000B0E7F"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fulfil its constitutional mandate adequately, in particular for the key deliver</w:t>
      </w:r>
      <w:r w:rsidR="00733547" w:rsidRPr="003E2516">
        <w:rPr>
          <w:rFonts w:ascii="Times New Roman" w:hAnsi="Times New Roman" w:cs="Times New Roman"/>
          <w:color w:val="000000" w:themeColor="text1"/>
          <w:kern w:val="24"/>
          <w:sz w:val="24"/>
          <w:szCs w:val="24"/>
        </w:rPr>
        <w:t>y</w:t>
      </w:r>
      <w:r w:rsidR="00895020" w:rsidRPr="003E2516">
        <w:rPr>
          <w:rFonts w:ascii="Times New Roman" w:hAnsi="Times New Roman" w:cs="Times New Roman"/>
          <w:color w:val="000000" w:themeColor="text1"/>
          <w:kern w:val="24"/>
          <w:sz w:val="24"/>
          <w:szCs w:val="24"/>
        </w:rPr>
        <w:t xml:space="preserve"> </w:t>
      </w:r>
      <w:r w:rsidR="00733547"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programmes</w:t>
      </w:r>
      <w:r w:rsidR="00733547" w:rsidRPr="003E2516">
        <w:rPr>
          <w:rFonts w:ascii="Times New Roman" w:hAnsi="Times New Roman" w:cs="Times New Roman"/>
          <w:color w:val="000000" w:themeColor="text1"/>
          <w:kern w:val="24"/>
          <w:sz w:val="24"/>
          <w:szCs w:val="24"/>
        </w:rPr>
        <w:t>,</w:t>
      </w:r>
      <w:r w:rsidR="00895020" w:rsidRPr="003E2516">
        <w:rPr>
          <w:rFonts w:ascii="Times New Roman" w:hAnsi="Times New Roman" w:cs="Times New Roman"/>
          <w:color w:val="000000" w:themeColor="text1"/>
          <w:kern w:val="24"/>
          <w:sz w:val="24"/>
          <w:szCs w:val="24"/>
        </w:rPr>
        <w:t xml:space="preserve"> such as University Education, TVET and Community Education and </w:t>
      </w:r>
      <w:r w:rsidR="00733547"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Training.</w:t>
      </w:r>
      <w:r w:rsidR="00650EFD" w:rsidRPr="003E2516">
        <w:rPr>
          <w:rFonts w:ascii="Times New Roman" w:hAnsi="Times New Roman" w:cs="Times New Roman"/>
          <w:color w:val="000000" w:themeColor="text1"/>
          <w:kern w:val="24"/>
          <w:sz w:val="24"/>
          <w:szCs w:val="24"/>
        </w:rPr>
        <w:t xml:space="preserve"> The </w:t>
      </w:r>
      <w:r w:rsidR="000B0E7F"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underfunding of the DHET would have serious implications on </w:t>
      </w:r>
      <w:r w:rsidR="000B0E7F" w:rsidRPr="003E2516">
        <w:rPr>
          <w:rFonts w:ascii="Times New Roman" w:hAnsi="Times New Roman" w:cs="Times New Roman"/>
          <w:color w:val="000000" w:themeColor="text1"/>
          <w:kern w:val="24"/>
          <w:sz w:val="24"/>
          <w:szCs w:val="24"/>
        </w:rPr>
        <w:t xml:space="preserve">the </w:t>
      </w:r>
      <w:r w:rsidR="00733547"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meeting the NDP targets</w:t>
      </w:r>
      <w:r w:rsidR="00733547" w:rsidRPr="003E2516">
        <w:rPr>
          <w:rFonts w:ascii="Times New Roman" w:hAnsi="Times New Roman" w:cs="Times New Roman"/>
          <w:color w:val="000000" w:themeColor="text1"/>
          <w:kern w:val="24"/>
          <w:sz w:val="24"/>
          <w:szCs w:val="24"/>
        </w:rPr>
        <w:t xml:space="preserve"> </w:t>
      </w:r>
      <w:r w:rsidR="00650EFD" w:rsidRPr="003E2516">
        <w:rPr>
          <w:rFonts w:ascii="Times New Roman" w:hAnsi="Times New Roman" w:cs="Times New Roman"/>
          <w:color w:val="000000" w:themeColor="text1"/>
          <w:kern w:val="24"/>
          <w:sz w:val="24"/>
          <w:szCs w:val="24"/>
        </w:rPr>
        <w:t>for 2030 set for the PSET system.</w:t>
      </w:r>
    </w:p>
    <w:p w:rsidR="00895020"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89502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1.3.</w:t>
      </w:r>
      <w:r w:rsidR="007566B0"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 xml:space="preserve"> The Department was commended for its investment in the construction of the </w:t>
      </w:r>
      <w:r w:rsidR="007566B0"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University of Mpumalanga (UMP)</w:t>
      </w:r>
      <w:r w:rsidR="00733547" w:rsidRPr="003E2516">
        <w:rPr>
          <w:rFonts w:ascii="Times New Roman" w:hAnsi="Times New Roman" w:cs="Times New Roman"/>
          <w:color w:val="000000" w:themeColor="text1"/>
          <w:kern w:val="24"/>
          <w:sz w:val="24"/>
          <w:szCs w:val="24"/>
        </w:rPr>
        <w:t>,</w:t>
      </w:r>
      <w:r w:rsidR="00895020" w:rsidRPr="003E2516">
        <w:rPr>
          <w:rFonts w:ascii="Times New Roman" w:hAnsi="Times New Roman" w:cs="Times New Roman"/>
          <w:color w:val="000000" w:themeColor="text1"/>
          <w:kern w:val="24"/>
          <w:sz w:val="24"/>
          <w:szCs w:val="24"/>
        </w:rPr>
        <w:t xml:space="preserve"> which had state of the art infrastructure</w:t>
      </w:r>
      <w:r w:rsidR="00733547" w:rsidRPr="003E2516">
        <w:rPr>
          <w:rFonts w:ascii="Times New Roman" w:hAnsi="Times New Roman" w:cs="Times New Roman"/>
          <w:color w:val="000000" w:themeColor="text1"/>
          <w:kern w:val="24"/>
          <w:sz w:val="24"/>
          <w:szCs w:val="24"/>
        </w:rPr>
        <w:t>, ICT</w:t>
      </w:r>
      <w:r w:rsidR="00895020" w:rsidRPr="003E2516">
        <w:rPr>
          <w:rFonts w:ascii="Times New Roman" w:hAnsi="Times New Roman" w:cs="Times New Roman"/>
          <w:color w:val="000000" w:themeColor="text1"/>
          <w:kern w:val="24"/>
          <w:sz w:val="24"/>
          <w:szCs w:val="24"/>
        </w:rPr>
        <w:t xml:space="preserve"> and </w:t>
      </w:r>
      <w:r w:rsidR="007566B0"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facilities for teaching and learning.</w:t>
      </w:r>
    </w:p>
    <w:p w:rsidR="00895020"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.1.4</w:t>
      </w:r>
      <w:r w:rsidR="00895020" w:rsidRPr="003E2516">
        <w:rPr>
          <w:rFonts w:ascii="Times New Roman" w:hAnsi="Times New Roman" w:cs="Times New Roman"/>
          <w:color w:val="000000" w:themeColor="text1"/>
          <w:kern w:val="24"/>
          <w:sz w:val="24"/>
          <w:szCs w:val="24"/>
        </w:rPr>
        <w:t xml:space="preserve">. The </w:t>
      </w:r>
      <w:r w:rsidR="008C6D23" w:rsidRPr="003E2516">
        <w:rPr>
          <w:rFonts w:ascii="Times New Roman" w:hAnsi="Times New Roman" w:cs="Times New Roman"/>
          <w:color w:val="000000" w:themeColor="text1"/>
          <w:kern w:val="24"/>
          <w:sz w:val="24"/>
          <w:szCs w:val="24"/>
        </w:rPr>
        <w:t>meeting</w:t>
      </w:r>
      <w:r w:rsidR="00895020" w:rsidRPr="003E2516">
        <w:rPr>
          <w:rFonts w:ascii="Times New Roman" w:hAnsi="Times New Roman" w:cs="Times New Roman"/>
          <w:color w:val="000000" w:themeColor="text1"/>
          <w:kern w:val="24"/>
          <w:sz w:val="24"/>
          <w:szCs w:val="24"/>
        </w:rPr>
        <w:t xml:space="preserve"> advised the Department to review some of its key performance </w:t>
      </w:r>
      <w:r w:rsidR="007566B0" w:rsidRPr="003E2516">
        <w:rPr>
          <w:rFonts w:ascii="Times New Roman" w:hAnsi="Times New Roman" w:cs="Times New Roman"/>
          <w:color w:val="000000" w:themeColor="text1"/>
          <w:kern w:val="24"/>
          <w:sz w:val="24"/>
          <w:szCs w:val="24"/>
        </w:rPr>
        <w:tab/>
      </w:r>
      <w:r w:rsidR="00895020" w:rsidRPr="003E2516">
        <w:rPr>
          <w:rFonts w:ascii="Times New Roman" w:hAnsi="Times New Roman" w:cs="Times New Roman"/>
          <w:color w:val="000000" w:themeColor="text1"/>
          <w:kern w:val="24"/>
          <w:sz w:val="24"/>
          <w:szCs w:val="24"/>
        </w:rPr>
        <w:t>indicators</w:t>
      </w:r>
      <w:r w:rsidR="00055705" w:rsidRPr="003E2516">
        <w:rPr>
          <w:rFonts w:ascii="Times New Roman" w:hAnsi="Times New Roman" w:cs="Times New Roman"/>
          <w:color w:val="000000" w:themeColor="text1"/>
          <w:kern w:val="24"/>
          <w:sz w:val="24"/>
          <w:szCs w:val="24"/>
        </w:rPr>
        <w:t>,</w:t>
      </w:r>
      <w:r w:rsidR="00895020" w:rsidRPr="003E2516">
        <w:rPr>
          <w:rFonts w:ascii="Times New Roman" w:hAnsi="Times New Roman" w:cs="Times New Roman"/>
          <w:color w:val="000000" w:themeColor="text1"/>
          <w:kern w:val="24"/>
          <w:sz w:val="24"/>
          <w:szCs w:val="24"/>
        </w:rPr>
        <w:t xml:space="preserve"> especially in the core delivery programmes</w:t>
      </w:r>
      <w:r w:rsidR="004269A4" w:rsidRPr="003E2516">
        <w:rPr>
          <w:rFonts w:ascii="Times New Roman" w:hAnsi="Times New Roman" w:cs="Times New Roman"/>
          <w:color w:val="000000" w:themeColor="text1"/>
          <w:kern w:val="24"/>
          <w:sz w:val="24"/>
          <w:szCs w:val="24"/>
        </w:rPr>
        <w:t>,</w:t>
      </w:r>
      <w:r w:rsidR="00895020" w:rsidRPr="003E2516">
        <w:rPr>
          <w:rFonts w:ascii="Times New Roman" w:hAnsi="Times New Roman" w:cs="Times New Roman"/>
          <w:color w:val="000000" w:themeColor="text1"/>
          <w:kern w:val="24"/>
          <w:sz w:val="24"/>
          <w:szCs w:val="24"/>
        </w:rPr>
        <w:t xml:space="preserve"> as they were</w:t>
      </w:r>
      <w:r w:rsidR="004269A4" w:rsidRPr="003E2516">
        <w:rPr>
          <w:rFonts w:ascii="Times New Roman" w:hAnsi="Times New Roman" w:cs="Times New Roman"/>
          <w:color w:val="000000" w:themeColor="text1"/>
          <w:kern w:val="24"/>
          <w:sz w:val="24"/>
          <w:szCs w:val="24"/>
        </w:rPr>
        <w:t xml:space="preserve"> too</w:t>
      </w:r>
      <w:r w:rsidR="00895020" w:rsidRPr="003E2516">
        <w:rPr>
          <w:rFonts w:ascii="Times New Roman" w:hAnsi="Times New Roman" w:cs="Times New Roman"/>
          <w:color w:val="000000" w:themeColor="text1"/>
          <w:kern w:val="24"/>
          <w:sz w:val="24"/>
          <w:szCs w:val="24"/>
        </w:rPr>
        <w:t xml:space="preserve"> modest.</w:t>
      </w:r>
    </w:p>
    <w:p w:rsidR="00895020"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89502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1.5.</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In relation to the production of artisans, t</w:t>
      </w:r>
      <w:r w:rsidR="00895020" w:rsidRPr="003E2516">
        <w:rPr>
          <w:rFonts w:ascii="Times New Roman" w:hAnsi="Times New Roman" w:cs="Times New Roman"/>
          <w:color w:val="000000" w:themeColor="text1"/>
          <w:kern w:val="24"/>
          <w:sz w:val="24"/>
          <w:szCs w:val="24"/>
        </w:rPr>
        <w:t>he</w:t>
      </w:r>
      <w:r w:rsidR="00650EFD" w:rsidRPr="003E2516">
        <w:rPr>
          <w:rFonts w:ascii="Times New Roman" w:hAnsi="Times New Roman" w:cs="Times New Roman"/>
          <w:color w:val="000000" w:themeColor="text1"/>
          <w:kern w:val="24"/>
          <w:sz w:val="24"/>
          <w:szCs w:val="24"/>
        </w:rPr>
        <w:t xml:space="preserve"> country was expected to produce</w:t>
      </w:r>
      <w:r w:rsidR="00895020" w:rsidRPr="003E2516">
        <w:rPr>
          <w:rFonts w:ascii="Times New Roman" w:hAnsi="Times New Roman" w:cs="Times New Roman"/>
          <w:color w:val="000000" w:themeColor="text1"/>
          <w:kern w:val="24"/>
          <w:sz w:val="24"/>
          <w:szCs w:val="24"/>
        </w:rPr>
        <w:t xml:space="preserve"> </w:t>
      </w:r>
      <w:r w:rsidR="00491ACE" w:rsidRPr="003E2516">
        <w:rPr>
          <w:rFonts w:ascii="Times New Roman" w:hAnsi="Times New Roman" w:cs="Times New Roman"/>
          <w:color w:val="000000" w:themeColor="text1"/>
          <w:kern w:val="24"/>
          <w:sz w:val="24"/>
          <w:szCs w:val="24"/>
        </w:rPr>
        <w:t>30</w:t>
      </w:r>
      <w:r w:rsidR="007566B0" w:rsidRPr="003E2516">
        <w:rPr>
          <w:rFonts w:ascii="Times New Roman" w:hAnsi="Times New Roman" w:cs="Times New Roman"/>
          <w:color w:val="000000" w:themeColor="text1"/>
          <w:kern w:val="24"/>
          <w:sz w:val="24"/>
          <w:szCs w:val="24"/>
        </w:rPr>
        <w:t> </w:t>
      </w:r>
      <w:r w:rsidR="00491ACE" w:rsidRPr="003E2516">
        <w:rPr>
          <w:rFonts w:ascii="Times New Roman" w:hAnsi="Times New Roman" w:cs="Times New Roman"/>
          <w:color w:val="000000" w:themeColor="text1"/>
          <w:kern w:val="24"/>
          <w:sz w:val="24"/>
          <w:szCs w:val="24"/>
        </w:rPr>
        <w:t xml:space="preserve">000 </w:t>
      </w:r>
      <w:r w:rsidR="007566B0"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 xml:space="preserve">artisans per annum by 2030. However, the training and development of artisans by the </w:t>
      </w:r>
      <w:r w:rsidR="007566B0"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Department was concerning</w:t>
      </w:r>
      <w:r w:rsidR="00055705" w:rsidRPr="003E2516">
        <w:rPr>
          <w:rFonts w:ascii="Times New Roman" w:hAnsi="Times New Roman" w:cs="Times New Roman"/>
          <w:color w:val="000000" w:themeColor="text1"/>
          <w:kern w:val="24"/>
          <w:sz w:val="24"/>
          <w:szCs w:val="24"/>
        </w:rPr>
        <w:t>,</w:t>
      </w:r>
      <w:r w:rsidR="00491ACE" w:rsidRPr="003E2516">
        <w:rPr>
          <w:rFonts w:ascii="Times New Roman" w:hAnsi="Times New Roman" w:cs="Times New Roman"/>
          <w:color w:val="000000" w:themeColor="text1"/>
          <w:kern w:val="24"/>
          <w:sz w:val="24"/>
          <w:szCs w:val="24"/>
        </w:rPr>
        <w:t xml:space="preserve"> </w:t>
      </w:r>
      <w:r w:rsidR="00055705" w:rsidRPr="003E2516">
        <w:rPr>
          <w:rFonts w:ascii="Times New Roman" w:hAnsi="Times New Roman" w:cs="Times New Roman"/>
          <w:color w:val="000000" w:themeColor="text1"/>
          <w:kern w:val="24"/>
          <w:sz w:val="24"/>
          <w:szCs w:val="24"/>
        </w:rPr>
        <w:t>due</w:t>
      </w:r>
      <w:r w:rsidR="00491ACE" w:rsidRPr="003E2516">
        <w:rPr>
          <w:rFonts w:ascii="Times New Roman" w:hAnsi="Times New Roman" w:cs="Times New Roman"/>
          <w:color w:val="000000" w:themeColor="text1"/>
          <w:kern w:val="24"/>
          <w:sz w:val="24"/>
          <w:szCs w:val="24"/>
        </w:rPr>
        <w:t xml:space="preserve"> to capacity related challenges at INDLELA.</w:t>
      </w:r>
    </w:p>
    <w:p w:rsidR="00491ACE"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.1.6.</w:t>
      </w:r>
      <w:r w:rsidR="007566B0"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 xml:space="preserve">It was noted that the scarce and critical skills produced by the PSET institutions should </w:t>
      </w:r>
      <w:r w:rsidR="007566B0"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 xml:space="preserve">take the country forward in terms of development and economic growth, and they </w:t>
      </w:r>
      <w:r w:rsidR="007566B0" w:rsidRPr="003E2516">
        <w:rPr>
          <w:rFonts w:ascii="Times New Roman" w:hAnsi="Times New Roman" w:cs="Times New Roman"/>
          <w:color w:val="000000" w:themeColor="text1"/>
          <w:kern w:val="24"/>
          <w:sz w:val="24"/>
          <w:szCs w:val="24"/>
        </w:rPr>
        <w:tab/>
      </w:r>
      <w:r w:rsidR="00491ACE" w:rsidRPr="003E2516">
        <w:rPr>
          <w:rFonts w:ascii="Times New Roman" w:hAnsi="Times New Roman" w:cs="Times New Roman"/>
          <w:color w:val="000000" w:themeColor="text1"/>
          <w:kern w:val="24"/>
          <w:sz w:val="24"/>
          <w:szCs w:val="24"/>
        </w:rPr>
        <w:t>should respond to the 4</w:t>
      </w:r>
      <w:r w:rsidR="00491ACE" w:rsidRPr="003E2516">
        <w:rPr>
          <w:rFonts w:ascii="Times New Roman" w:hAnsi="Times New Roman" w:cs="Times New Roman"/>
          <w:color w:val="000000" w:themeColor="text1"/>
          <w:kern w:val="24"/>
          <w:sz w:val="24"/>
          <w:szCs w:val="24"/>
          <w:vertAlign w:val="superscript"/>
        </w:rPr>
        <w:t>th</w:t>
      </w:r>
      <w:r w:rsidR="00491ACE" w:rsidRPr="003E2516">
        <w:rPr>
          <w:rFonts w:ascii="Times New Roman" w:hAnsi="Times New Roman" w:cs="Times New Roman"/>
          <w:color w:val="000000" w:themeColor="text1"/>
          <w:kern w:val="24"/>
          <w:sz w:val="24"/>
          <w:szCs w:val="24"/>
        </w:rPr>
        <w:t xml:space="preserve"> industrial revolution.</w:t>
      </w:r>
    </w:p>
    <w:p w:rsidR="00491ACE" w:rsidRPr="003E2516" w:rsidRDefault="00A76AE5" w:rsidP="003E2516">
      <w:pPr>
        <w:kinsoku w:val="0"/>
        <w:overflowPunct w:val="0"/>
        <w:spacing w:before="120" w:after="120" w:line="240" w:lineRule="auto"/>
        <w:ind w:left="63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w:t>
      </w:r>
      <w:r w:rsidR="00055705"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It was highlighted that the country was in</w:t>
      </w:r>
      <w:r w:rsidR="008C6D23" w:rsidRPr="003E2516">
        <w:rPr>
          <w:rFonts w:ascii="Times New Roman" w:hAnsi="Times New Roman" w:cs="Times New Roman"/>
          <w:color w:val="000000" w:themeColor="text1"/>
          <w:kern w:val="24"/>
          <w:sz w:val="24"/>
          <w:szCs w:val="24"/>
        </w:rPr>
        <w:t xml:space="preserve"> a</w:t>
      </w:r>
      <w:r w:rsidR="00650EFD" w:rsidRPr="003E2516">
        <w:rPr>
          <w:rFonts w:ascii="Times New Roman" w:hAnsi="Times New Roman" w:cs="Times New Roman"/>
          <w:color w:val="000000" w:themeColor="text1"/>
          <w:kern w:val="24"/>
          <w:sz w:val="24"/>
          <w:szCs w:val="24"/>
        </w:rPr>
        <w:t xml:space="preserve"> dire shortage of health care professionals</w:t>
      </w:r>
      <w:r w:rsidR="005D4448" w:rsidRPr="003E2516">
        <w:rPr>
          <w:rFonts w:ascii="Times New Roman" w:hAnsi="Times New Roman" w:cs="Times New Roman"/>
          <w:color w:val="000000" w:themeColor="text1"/>
          <w:kern w:val="24"/>
          <w:sz w:val="24"/>
          <w:szCs w:val="24"/>
        </w:rPr>
        <w:t xml:space="preserve"> in</w:t>
      </w:r>
      <w:r w:rsidR="00650EFD" w:rsidRPr="003E2516">
        <w:rPr>
          <w:rFonts w:ascii="Times New Roman" w:hAnsi="Times New Roman" w:cs="Times New Roman"/>
          <w:color w:val="000000" w:themeColor="text1"/>
          <w:kern w:val="24"/>
          <w:sz w:val="24"/>
          <w:szCs w:val="24"/>
        </w:rPr>
        <w:t xml:space="preserve"> particular medical doctors, and a province such as Mpumalanga did not have an </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Academic Hospital. The Department was requested to explore the possibilities for </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expansion of medical </w:t>
      </w:r>
      <w:r w:rsidR="00825263" w:rsidRPr="003E2516">
        <w:rPr>
          <w:rFonts w:ascii="Times New Roman" w:hAnsi="Times New Roman" w:cs="Times New Roman"/>
          <w:color w:val="000000" w:themeColor="text1"/>
          <w:kern w:val="24"/>
          <w:sz w:val="24"/>
          <w:szCs w:val="24"/>
        </w:rPr>
        <w:t>schools, especially</w:t>
      </w:r>
      <w:r w:rsidR="00650EFD" w:rsidRPr="003E2516">
        <w:rPr>
          <w:rFonts w:ascii="Times New Roman" w:hAnsi="Times New Roman" w:cs="Times New Roman"/>
          <w:color w:val="000000" w:themeColor="text1"/>
          <w:kern w:val="24"/>
          <w:sz w:val="24"/>
          <w:szCs w:val="24"/>
        </w:rPr>
        <w:t xml:space="preserve"> in universities serving largely rural areas.</w:t>
      </w:r>
    </w:p>
    <w:p w:rsidR="00055705"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055705" w:rsidRPr="003E2516">
        <w:rPr>
          <w:rFonts w:ascii="Times New Roman" w:hAnsi="Times New Roman" w:cs="Times New Roman"/>
          <w:color w:val="000000" w:themeColor="text1"/>
          <w:kern w:val="24"/>
          <w:sz w:val="24"/>
          <w:szCs w:val="24"/>
        </w:rPr>
        <w:t>.1.8.</w:t>
      </w:r>
      <w:r w:rsidR="00055705" w:rsidRPr="003E2516">
        <w:rPr>
          <w:rFonts w:ascii="Times New Roman" w:hAnsi="Times New Roman" w:cs="Times New Roman"/>
          <w:color w:val="000000" w:themeColor="text1"/>
          <w:kern w:val="24"/>
          <w:sz w:val="24"/>
          <w:szCs w:val="24"/>
        </w:rPr>
        <w:tab/>
        <w:t xml:space="preserve">The Department was advised to fast track the legislation that </w:t>
      </w:r>
      <w:r w:rsidR="00825263" w:rsidRPr="003E2516">
        <w:rPr>
          <w:rFonts w:ascii="Times New Roman" w:hAnsi="Times New Roman" w:cs="Times New Roman"/>
          <w:color w:val="000000" w:themeColor="text1"/>
          <w:kern w:val="24"/>
          <w:sz w:val="24"/>
          <w:szCs w:val="24"/>
        </w:rPr>
        <w:t>needs</w:t>
      </w:r>
      <w:r w:rsidR="00055705" w:rsidRPr="003E2516">
        <w:rPr>
          <w:rFonts w:ascii="Times New Roman" w:hAnsi="Times New Roman" w:cs="Times New Roman"/>
          <w:color w:val="000000" w:themeColor="text1"/>
          <w:kern w:val="24"/>
          <w:sz w:val="24"/>
          <w:szCs w:val="24"/>
        </w:rPr>
        <w:t xml:space="preserve"> to be amended for </w:t>
      </w:r>
      <w:r w:rsidR="00055705" w:rsidRPr="003E2516">
        <w:rPr>
          <w:rFonts w:ascii="Times New Roman" w:hAnsi="Times New Roman" w:cs="Times New Roman"/>
          <w:color w:val="000000" w:themeColor="text1"/>
          <w:kern w:val="24"/>
          <w:sz w:val="24"/>
          <w:szCs w:val="24"/>
        </w:rPr>
        <w:tab/>
        <w:t>the proper functioning of the PSET system</w:t>
      </w:r>
      <w:r w:rsidR="008C6D23" w:rsidRPr="003E2516">
        <w:rPr>
          <w:rFonts w:ascii="Times New Roman" w:hAnsi="Times New Roman" w:cs="Times New Roman"/>
          <w:color w:val="000000" w:themeColor="text1"/>
          <w:kern w:val="24"/>
          <w:sz w:val="24"/>
          <w:szCs w:val="24"/>
        </w:rPr>
        <w:t xml:space="preserve"> and review of the skills levy</w:t>
      </w:r>
      <w:r w:rsidR="00055705" w:rsidRPr="003E2516">
        <w:rPr>
          <w:rFonts w:ascii="Times New Roman" w:hAnsi="Times New Roman" w:cs="Times New Roman"/>
          <w:color w:val="000000" w:themeColor="text1"/>
          <w:kern w:val="24"/>
          <w:sz w:val="24"/>
          <w:szCs w:val="24"/>
        </w:rPr>
        <w:t>.</w:t>
      </w:r>
    </w:p>
    <w:p w:rsidR="00650EFD"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w:t>
      </w:r>
      <w:r w:rsidR="00055705" w:rsidRPr="003E2516">
        <w:rPr>
          <w:rFonts w:ascii="Times New Roman" w:hAnsi="Times New Roman" w:cs="Times New Roman"/>
          <w:color w:val="000000" w:themeColor="text1"/>
          <w:kern w:val="24"/>
          <w:sz w:val="24"/>
          <w:szCs w:val="24"/>
        </w:rPr>
        <w:t>9</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The decline in the subsidies for TVET </w:t>
      </w:r>
      <w:r w:rsidR="00863577" w:rsidRPr="003E2516">
        <w:rPr>
          <w:rFonts w:ascii="Times New Roman" w:hAnsi="Times New Roman" w:cs="Times New Roman"/>
          <w:color w:val="000000" w:themeColor="text1"/>
          <w:kern w:val="24"/>
          <w:sz w:val="24"/>
          <w:szCs w:val="24"/>
        </w:rPr>
        <w:t>Colleges</w:t>
      </w:r>
      <w:r w:rsidR="00650EFD" w:rsidRPr="003E2516">
        <w:rPr>
          <w:rFonts w:ascii="Times New Roman" w:hAnsi="Times New Roman" w:cs="Times New Roman"/>
          <w:color w:val="000000" w:themeColor="text1"/>
          <w:kern w:val="24"/>
          <w:sz w:val="24"/>
          <w:szCs w:val="24"/>
        </w:rPr>
        <w:t xml:space="preserve"> was noted as a serious concern. The </w:t>
      </w:r>
      <w:r w:rsidR="007566B0"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TVET </w:t>
      </w:r>
      <w:r w:rsidR="00863577" w:rsidRPr="003E2516">
        <w:rPr>
          <w:rFonts w:ascii="Times New Roman" w:hAnsi="Times New Roman" w:cs="Times New Roman"/>
          <w:color w:val="000000" w:themeColor="text1"/>
          <w:kern w:val="24"/>
          <w:sz w:val="24"/>
          <w:szCs w:val="24"/>
        </w:rPr>
        <w:t>Colleges</w:t>
      </w:r>
      <w:r w:rsidR="00650EFD" w:rsidRPr="003E2516">
        <w:rPr>
          <w:rFonts w:ascii="Times New Roman" w:hAnsi="Times New Roman" w:cs="Times New Roman"/>
          <w:color w:val="000000" w:themeColor="text1"/>
          <w:kern w:val="24"/>
          <w:sz w:val="24"/>
          <w:szCs w:val="24"/>
        </w:rPr>
        <w:t xml:space="preserve"> were funded at 54 percent instead of the 80 percent. The funding </w:t>
      </w:r>
      <w:r w:rsidR="00055705"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 xml:space="preserve">shortfall had a negative impact </w:t>
      </w:r>
      <w:r w:rsidR="004269A4" w:rsidRPr="003E2516">
        <w:rPr>
          <w:rFonts w:ascii="Times New Roman" w:hAnsi="Times New Roman" w:cs="Times New Roman"/>
          <w:color w:val="000000" w:themeColor="text1"/>
          <w:kern w:val="24"/>
          <w:sz w:val="24"/>
          <w:szCs w:val="24"/>
        </w:rPr>
        <w:t>on</w:t>
      </w:r>
      <w:r w:rsidR="00650EFD" w:rsidRPr="003E2516">
        <w:rPr>
          <w:rFonts w:ascii="Times New Roman" w:hAnsi="Times New Roman" w:cs="Times New Roman"/>
          <w:color w:val="000000" w:themeColor="text1"/>
          <w:kern w:val="24"/>
          <w:sz w:val="24"/>
          <w:szCs w:val="24"/>
        </w:rPr>
        <w:t xml:space="preserve"> the growth of the sector, </w:t>
      </w:r>
      <w:r w:rsidR="00055705" w:rsidRPr="003E2516">
        <w:rPr>
          <w:rFonts w:ascii="Times New Roman" w:hAnsi="Times New Roman" w:cs="Times New Roman"/>
          <w:color w:val="000000" w:themeColor="text1"/>
          <w:kern w:val="24"/>
          <w:sz w:val="24"/>
          <w:szCs w:val="24"/>
        </w:rPr>
        <w:t xml:space="preserve">resulting in the capping of </w:t>
      </w:r>
      <w:r w:rsidR="00055705" w:rsidRPr="003E2516">
        <w:rPr>
          <w:rFonts w:ascii="Times New Roman" w:hAnsi="Times New Roman" w:cs="Times New Roman"/>
          <w:color w:val="000000" w:themeColor="text1"/>
          <w:kern w:val="24"/>
          <w:sz w:val="24"/>
          <w:szCs w:val="24"/>
        </w:rPr>
        <w:tab/>
      </w:r>
      <w:r w:rsidR="00650EFD" w:rsidRPr="003E2516">
        <w:rPr>
          <w:rFonts w:ascii="Times New Roman" w:hAnsi="Times New Roman" w:cs="Times New Roman"/>
          <w:color w:val="000000" w:themeColor="text1"/>
          <w:kern w:val="24"/>
          <w:sz w:val="24"/>
          <w:szCs w:val="24"/>
        </w:rPr>
        <w:t>enro</w:t>
      </w:r>
      <w:r w:rsidR="008F2A8E" w:rsidRPr="003E2516">
        <w:rPr>
          <w:rFonts w:ascii="Times New Roman" w:hAnsi="Times New Roman" w:cs="Times New Roman"/>
          <w:color w:val="000000" w:themeColor="text1"/>
          <w:kern w:val="24"/>
          <w:sz w:val="24"/>
          <w:szCs w:val="24"/>
        </w:rPr>
        <w:t>lments for 2017</w:t>
      </w:r>
      <w:r w:rsidR="00055705" w:rsidRPr="003E2516">
        <w:rPr>
          <w:rFonts w:ascii="Times New Roman" w:hAnsi="Times New Roman" w:cs="Times New Roman"/>
          <w:color w:val="000000" w:themeColor="text1"/>
          <w:kern w:val="24"/>
          <w:sz w:val="24"/>
          <w:szCs w:val="24"/>
        </w:rPr>
        <w:t xml:space="preserve"> and for the remainder of the MT</w:t>
      </w:r>
      <w:r w:rsidR="00874F02" w:rsidRPr="003E2516">
        <w:rPr>
          <w:rFonts w:ascii="Times New Roman" w:hAnsi="Times New Roman" w:cs="Times New Roman"/>
          <w:color w:val="000000" w:themeColor="text1"/>
          <w:kern w:val="24"/>
          <w:sz w:val="24"/>
          <w:szCs w:val="24"/>
        </w:rPr>
        <w:t>E</w:t>
      </w:r>
      <w:r w:rsidR="00055705" w:rsidRPr="003E2516">
        <w:rPr>
          <w:rFonts w:ascii="Times New Roman" w:hAnsi="Times New Roman" w:cs="Times New Roman"/>
          <w:color w:val="000000" w:themeColor="text1"/>
          <w:kern w:val="24"/>
          <w:sz w:val="24"/>
          <w:szCs w:val="24"/>
        </w:rPr>
        <w:t>F period</w:t>
      </w:r>
      <w:r w:rsidR="008F2A8E" w:rsidRPr="003E2516">
        <w:rPr>
          <w:rFonts w:ascii="Times New Roman" w:hAnsi="Times New Roman" w:cs="Times New Roman"/>
          <w:color w:val="000000" w:themeColor="text1"/>
          <w:kern w:val="24"/>
          <w:sz w:val="24"/>
          <w:szCs w:val="24"/>
        </w:rPr>
        <w:t xml:space="preserve">. The TVET </w:t>
      </w:r>
      <w:r w:rsidR="00863577" w:rsidRPr="003E2516">
        <w:rPr>
          <w:rFonts w:ascii="Times New Roman" w:hAnsi="Times New Roman" w:cs="Times New Roman"/>
          <w:color w:val="000000" w:themeColor="text1"/>
          <w:kern w:val="24"/>
          <w:sz w:val="24"/>
          <w:szCs w:val="24"/>
        </w:rPr>
        <w:t>Colleges</w:t>
      </w:r>
      <w:r w:rsidR="008F2A8E" w:rsidRPr="003E2516">
        <w:rPr>
          <w:rFonts w:ascii="Times New Roman" w:hAnsi="Times New Roman" w:cs="Times New Roman"/>
          <w:color w:val="000000" w:themeColor="text1"/>
          <w:kern w:val="24"/>
          <w:sz w:val="24"/>
          <w:szCs w:val="24"/>
        </w:rPr>
        <w:t xml:space="preserve"> </w:t>
      </w:r>
      <w:r w:rsidR="00055705"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 xml:space="preserve">were also not funded for infrastructure </w:t>
      </w:r>
      <w:r w:rsidR="000F0730" w:rsidRPr="003E2516">
        <w:rPr>
          <w:rFonts w:ascii="Times New Roman" w:hAnsi="Times New Roman" w:cs="Times New Roman"/>
          <w:color w:val="000000" w:themeColor="text1"/>
          <w:kern w:val="24"/>
          <w:sz w:val="24"/>
          <w:szCs w:val="24"/>
        </w:rPr>
        <w:t xml:space="preserve">development, </w:t>
      </w:r>
      <w:r w:rsidR="008F2A8E" w:rsidRPr="003E2516">
        <w:rPr>
          <w:rFonts w:ascii="Times New Roman" w:hAnsi="Times New Roman" w:cs="Times New Roman"/>
          <w:color w:val="000000" w:themeColor="text1"/>
          <w:kern w:val="24"/>
          <w:sz w:val="24"/>
          <w:szCs w:val="24"/>
        </w:rPr>
        <w:t xml:space="preserve">since there was no budget item </w:t>
      </w:r>
      <w:r w:rsidR="000F0730"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 xml:space="preserve">for this function in the Department. The infrastructure in </w:t>
      </w:r>
      <w:r w:rsidR="000F0730" w:rsidRPr="003E2516">
        <w:rPr>
          <w:rFonts w:ascii="Times New Roman" w:hAnsi="Times New Roman" w:cs="Times New Roman"/>
          <w:color w:val="000000" w:themeColor="text1"/>
          <w:kern w:val="24"/>
          <w:sz w:val="24"/>
          <w:szCs w:val="24"/>
        </w:rPr>
        <w:t xml:space="preserve">the </w:t>
      </w:r>
      <w:r w:rsidR="008F2A8E" w:rsidRPr="003E2516">
        <w:rPr>
          <w:rFonts w:ascii="Times New Roman" w:hAnsi="Times New Roman" w:cs="Times New Roman"/>
          <w:color w:val="000000" w:themeColor="text1"/>
          <w:kern w:val="24"/>
          <w:sz w:val="24"/>
          <w:szCs w:val="24"/>
        </w:rPr>
        <w:t xml:space="preserve">TVET </w:t>
      </w:r>
      <w:r w:rsidR="00863577" w:rsidRPr="003E2516">
        <w:rPr>
          <w:rFonts w:ascii="Times New Roman" w:hAnsi="Times New Roman" w:cs="Times New Roman"/>
          <w:color w:val="000000" w:themeColor="text1"/>
          <w:kern w:val="24"/>
          <w:sz w:val="24"/>
          <w:szCs w:val="24"/>
        </w:rPr>
        <w:t>Colleges</w:t>
      </w:r>
      <w:r w:rsidR="008F2A8E" w:rsidRPr="003E2516">
        <w:rPr>
          <w:rFonts w:ascii="Times New Roman" w:hAnsi="Times New Roman" w:cs="Times New Roman"/>
          <w:color w:val="000000" w:themeColor="text1"/>
          <w:kern w:val="24"/>
          <w:sz w:val="24"/>
          <w:szCs w:val="24"/>
        </w:rPr>
        <w:t xml:space="preserve"> was </w:t>
      </w:r>
      <w:r w:rsidR="000F0730"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 xml:space="preserve">decaying </w:t>
      </w:r>
      <w:r w:rsidR="000F0730" w:rsidRPr="003E2516">
        <w:rPr>
          <w:rFonts w:ascii="Times New Roman" w:hAnsi="Times New Roman" w:cs="Times New Roman"/>
          <w:color w:val="000000" w:themeColor="text1"/>
          <w:kern w:val="24"/>
          <w:sz w:val="24"/>
          <w:szCs w:val="24"/>
        </w:rPr>
        <w:t>due to lack of</w:t>
      </w:r>
      <w:r w:rsidR="008F2A8E" w:rsidRPr="003E2516">
        <w:rPr>
          <w:rFonts w:ascii="Times New Roman" w:hAnsi="Times New Roman" w:cs="Times New Roman"/>
          <w:color w:val="000000" w:themeColor="text1"/>
          <w:kern w:val="24"/>
          <w:sz w:val="24"/>
          <w:szCs w:val="24"/>
        </w:rPr>
        <w:t xml:space="preserve"> sufficient funds for maintenance and refurbishments.</w:t>
      </w:r>
    </w:p>
    <w:p w:rsidR="008F2A8E"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.1.11.</w:t>
      </w:r>
      <w:r w:rsidR="007566B0"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 xml:space="preserve">The quality of teaching and learning in TVET </w:t>
      </w:r>
      <w:r w:rsidR="00863577" w:rsidRPr="003E2516">
        <w:rPr>
          <w:rFonts w:ascii="Times New Roman" w:hAnsi="Times New Roman" w:cs="Times New Roman"/>
          <w:color w:val="000000" w:themeColor="text1"/>
          <w:kern w:val="24"/>
          <w:sz w:val="24"/>
          <w:szCs w:val="24"/>
        </w:rPr>
        <w:t>Colleges</w:t>
      </w:r>
      <w:r w:rsidR="008F2A8E" w:rsidRPr="003E2516">
        <w:rPr>
          <w:rFonts w:ascii="Times New Roman" w:hAnsi="Times New Roman" w:cs="Times New Roman"/>
          <w:color w:val="000000" w:themeColor="text1"/>
          <w:kern w:val="24"/>
          <w:sz w:val="24"/>
          <w:szCs w:val="24"/>
        </w:rPr>
        <w:t xml:space="preserve"> was noted as a serious concern. </w:t>
      </w:r>
      <w:r w:rsidR="007566B0"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 xml:space="preserve">This was mainly </w:t>
      </w:r>
      <w:r w:rsidR="000F0730" w:rsidRPr="003E2516">
        <w:rPr>
          <w:rFonts w:ascii="Times New Roman" w:hAnsi="Times New Roman" w:cs="Times New Roman"/>
          <w:color w:val="000000" w:themeColor="text1"/>
          <w:kern w:val="24"/>
          <w:sz w:val="24"/>
          <w:szCs w:val="24"/>
        </w:rPr>
        <w:t>due to</w:t>
      </w:r>
      <w:r w:rsidR="008F2A8E" w:rsidRPr="003E2516">
        <w:rPr>
          <w:rFonts w:ascii="Times New Roman" w:hAnsi="Times New Roman" w:cs="Times New Roman"/>
          <w:color w:val="000000" w:themeColor="text1"/>
          <w:kern w:val="24"/>
          <w:sz w:val="24"/>
          <w:szCs w:val="24"/>
        </w:rPr>
        <w:t xml:space="preserve"> </w:t>
      </w:r>
      <w:r w:rsidR="00825263" w:rsidRPr="003E2516">
        <w:rPr>
          <w:rFonts w:ascii="Times New Roman" w:hAnsi="Times New Roman" w:cs="Times New Roman"/>
          <w:color w:val="000000" w:themeColor="text1"/>
          <w:kern w:val="24"/>
          <w:sz w:val="24"/>
          <w:szCs w:val="24"/>
        </w:rPr>
        <w:t>fewer</w:t>
      </w:r>
      <w:r w:rsidR="008F2A8E" w:rsidRPr="003E2516">
        <w:rPr>
          <w:rFonts w:ascii="Times New Roman" w:hAnsi="Times New Roman" w:cs="Times New Roman"/>
          <w:color w:val="000000" w:themeColor="text1"/>
          <w:kern w:val="24"/>
          <w:sz w:val="24"/>
          <w:szCs w:val="24"/>
        </w:rPr>
        <w:t xml:space="preserve"> qualified teaching staff with adequate pedagogy </w:t>
      </w:r>
      <w:r w:rsidR="008F2A8E" w:rsidRPr="003E2516">
        <w:rPr>
          <w:rFonts w:ascii="Times New Roman" w:hAnsi="Times New Roman" w:cs="Times New Roman"/>
          <w:color w:val="000000" w:themeColor="text1"/>
          <w:kern w:val="24"/>
          <w:sz w:val="24"/>
          <w:szCs w:val="24"/>
        </w:rPr>
        <w:lastRenderedPageBreak/>
        <w:t xml:space="preserve">and </w:t>
      </w:r>
      <w:r w:rsidR="007566B0" w:rsidRPr="003E2516">
        <w:rPr>
          <w:rFonts w:ascii="Times New Roman" w:hAnsi="Times New Roman" w:cs="Times New Roman"/>
          <w:color w:val="000000" w:themeColor="text1"/>
          <w:kern w:val="24"/>
          <w:sz w:val="24"/>
          <w:szCs w:val="24"/>
        </w:rPr>
        <w:tab/>
      </w:r>
      <w:r w:rsidR="008F2A8E" w:rsidRPr="003E2516">
        <w:rPr>
          <w:rFonts w:ascii="Times New Roman" w:hAnsi="Times New Roman" w:cs="Times New Roman"/>
          <w:color w:val="000000" w:themeColor="text1"/>
          <w:kern w:val="24"/>
          <w:sz w:val="24"/>
          <w:szCs w:val="24"/>
        </w:rPr>
        <w:t>technical skills.</w:t>
      </w:r>
      <w:r w:rsidR="00F0517D" w:rsidRPr="003E2516">
        <w:rPr>
          <w:rFonts w:ascii="Times New Roman" w:hAnsi="Times New Roman" w:cs="Times New Roman"/>
          <w:color w:val="000000" w:themeColor="text1"/>
          <w:kern w:val="24"/>
          <w:sz w:val="24"/>
          <w:szCs w:val="24"/>
        </w:rPr>
        <w:t xml:space="preserve"> Meanwhile, there were delays in the accreditation of universities which </w:t>
      </w:r>
      <w:r w:rsidR="007566B0" w:rsidRPr="003E2516">
        <w:rPr>
          <w:rFonts w:ascii="Times New Roman" w:hAnsi="Times New Roman" w:cs="Times New Roman"/>
          <w:color w:val="000000" w:themeColor="text1"/>
          <w:kern w:val="24"/>
          <w:sz w:val="24"/>
          <w:szCs w:val="24"/>
        </w:rPr>
        <w:tab/>
      </w:r>
      <w:r w:rsidR="00F0517D" w:rsidRPr="003E2516">
        <w:rPr>
          <w:rFonts w:ascii="Times New Roman" w:hAnsi="Times New Roman" w:cs="Times New Roman"/>
          <w:color w:val="000000" w:themeColor="text1"/>
          <w:kern w:val="24"/>
          <w:sz w:val="24"/>
          <w:szCs w:val="24"/>
        </w:rPr>
        <w:t xml:space="preserve">offer TVET college lecturer </w:t>
      </w:r>
      <w:r w:rsidR="00F6065C" w:rsidRPr="003E2516">
        <w:rPr>
          <w:rFonts w:ascii="Times New Roman" w:hAnsi="Times New Roman" w:cs="Times New Roman"/>
          <w:color w:val="000000" w:themeColor="text1"/>
          <w:kern w:val="24"/>
          <w:sz w:val="24"/>
          <w:szCs w:val="24"/>
        </w:rPr>
        <w:t>qualifications</w:t>
      </w:r>
      <w:r w:rsidR="00F0517D" w:rsidRPr="003E2516">
        <w:rPr>
          <w:rFonts w:ascii="Times New Roman" w:hAnsi="Times New Roman" w:cs="Times New Roman"/>
          <w:color w:val="000000" w:themeColor="text1"/>
          <w:kern w:val="24"/>
          <w:sz w:val="24"/>
          <w:szCs w:val="24"/>
        </w:rPr>
        <w:t>.</w:t>
      </w:r>
    </w:p>
    <w:p w:rsidR="00F0517D"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2</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F0517D" w:rsidRPr="003E2516">
        <w:rPr>
          <w:rFonts w:ascii="Times New Roman" w:hAnsi="Times New Roman" w:cs="Times New Roman"/>
          <w:color w:val="000000" w:themeColor="text1"/>
          <w:kern w:val="24"/>
          <w:sz w:val="24"/>
          <w:szCs w:val="24"/>
        </w:rPr>
        <w:t xml:space="preserve"> The decline in research grants for universities was noted as</w:t>
      </w:r>
      <w:r w:rsidR="004269A4" w:rsidRPr="003E2516">
        <w:rPr>
          <w:rFonts w:ascii="Times New Roman" w:hAnsi="Times New Roman" w:cs="Times New Roman"/>
          <w:color w:val="000000" w:themeColor="text1"/>
          <w:kern w:val="24"/>
          <w:sz w:val="24"/>
          <w:szCs w:val="24"/>
        </w:rPr>
        <w:t xml:space="preserve"> a</w:t>
      </w:r>
      <w:r w:rsidR="00F0517D" w:rsidRPr="003E2516">
        <w:rPr>
          <w:rFonts w:ascii="Times New Roman" w:hAnsi="Times New Roman" w:cs="Times New Roman"/>
          <w:color w:val="000000" w:themeColor="text1"/>
          <w:kern w:val="24"/>
          <w:sz w:val="24"/>
          <w:szCs w:val="24"/>
        </w:rPr>
        <w:t xml:space="preserve"> concern since research </w:t>
      </w:r>
      <w:r w:rsidR="007566B0" w:rsidRPr="003E2516">
        <w:rPr>
          <w:rFonts w:ascii="Times New Roman" w:hAnsi="Times New Roman" w:cs="Times New Roman"/>
          <w:color w:val="000000" w:themeColor="text1"/>
          <w:kern w:val="24"/>
          <w:sz w:val="24"/>
          <w:szCs w:val="24"/>
        </w:rPr>
        <w:tab/>
      </w:r>
      <w:r w:rsidR="00F0517D" w:rsidRPr="003E2516">
        <w:rPr>
          <w:rFonts w:ascii="Times New Roman" w:hAnsi="Times New Roman" w:cs="Times New Roman"/>
          <w:color w:val="000000" w:themeColor="text1"/>
          <w:kern w:val="24"/>
          <w:sz w:val="24"/>
          <w:szCs w:val="24"/>
        </w:rPr>
        <w:t xml:space="preserve">formed part of the core business </w:t>
      </w:r>
      <w:r w:rsidR="004269A4" w:rsidRPr="003E2516">
        <w:rPr>
          <w:rFonts w:ascii="Times New Roman" w:hAnsi="Times New Roman" w:cs="Times New Roman"/>
          <w:color w:val="000000" w:themeColor="text1"/>
          <w:kern w:val="24"/>
          <w:sz w:val="24"/>
          <w:szCs w:val="24"/>
        </w:rPr>
        <w:t xml:space="preserve">of </w:t>
      </w:r>
      <w:r w:rsidR="00F0517D" w:rsidRPr="003E2516">
        <w:rPr>
          <w:rFonts w:ascii="Times New Roman" w:hAnsi="Times New Roman" w:cs="Times New Roman"/>
          <w:color w:val="000000" w:themeColor="text1"/>
          <w:kern w:val="24"/>
          <w:sz w:val="24"/>
          <w:szCs w:val="24"/>
        </w:rPr>
        <w:t xml:space="preserve">universities. </w:t>
      </w:r>
      <w:r w:rsidR="00C93721" w:rsidRPr="003E2516">
        <w:rPr>
          <w:rFonts w:ascii="Times New Roman" w:hAnsi="Times New Roman" w:cs="Times New Roman"/>
          <w:color w:val="000000" w:themeColor="text1"/>
          <w:kern w:val="24"/>
          <w:sz w:val="24"/>
          <w:szCs w:val="24"/>
        </w:rPr>
        <w:t xml:space="preserve">It was noted that the target for </w:t>
      </w:r>
      <w:r w:rsidR="007566B0" w:rsidRPr="003E2516">
        <w:rPr>
          <w:rFonts w:ascii="Times New Roman" w:hAnsi="Times New Roman" w:cs="Times New Roman"/>
          <w:color w:val="000000" w:themeColor="text1"/>
          <w:kern w:val="24"/>
          <w:sz w:val="24"/>
          <w:szCs w:val="24"/>
        </w:rPr>
        <w:tab/>
      </w:r>
      <w:r w:rsidR="00C93721" w:rsidRPr="003E2516">
        <w:rPr>
          <w:rFonts w:ascii="Times New Roman" w:hAnsi="Times New Roman" w:cs="Times New Roman"/>
          <w:color w:val="000000" w:themeColor="text1"/>
          <w:kern w:val="24"/>
          <w:sz w:val="24"/>
          <w:szCs w:val="24"/>
        </w:rPr>
        <w:t xml:space="preserve">academic staff with PhDs </w:t>
      </w:r>
      <w:r w:rsidR="000F0730" w:rsidRPr="003E2516">
        <w:rPr>
          <w:rFonts w:ascii="Times New Roman" w:hAnsi="Times New Roman" w:cs="Times New Roman"/>
          <w:color w:val="000000" w:themeColor="text1"/>
          <w:kern w:val="24"/>
          <w:sz w:val="24"/>
          <w:szCs w:val="24"/>
        </w:rPr>
        <w:t>at</w:t>
      </w:r>
      <w:r w:rsidR="00C93721" w:rsidRPr="003E2516">
        <w:rPr>
          <w:rFonts w:ascii="Times New Roman" w:hAnsi="Times New Roman" w:cs="Times New Roman"/>
          <w:color w:val="000000" w:themeColor="text1"/>
          <w:kern w:val="24"/>
          <w:sz w:val="24"/>
          <w:szCs w:val="24"/>
        </w:rPr>
        <w:t xml:space="preserve"> universities should be revised</w:t>
      </w:r>
      <w:r w:rsidR="000F0730" w:rsidRPr="003E2516">
        <w:rPr>
          <w:rFonts w:ascii="Times New Roman" w:hAnsi="Times New Roman" w:cs="Times New Roman"/>
          <w:color w:val="000000" w:themeColor="text1"/>
          <w:kern w:val="24"/>
          <w:sz w:val="24"/>
          <w:szCs w:val="24"/>
        </w:rPr>
        <w:t>,</w:t>
      </w:r>
      <w:r w:rsidR="00C93721" w:rsidRPr="003E2516">
        <w:rPr>
          <w:rFonts w:ascii="Times New Roman" w:hAnsi="Times New Roman" w:cs="Times New Roman"/>
          <w:color w:val="000000" w:themeColor="text1"/>
          <w:kern w:val="24"/>
          <w:sz w:val="24"/>
          <w:szCs w:val="24"/>
        </w:rPr>
        <w:t xml:space="preserve"> since the PhDs </w:t>
      </w:r>
      <w:r w:rsidR="000F0730" w:rsidRPr="003E2516">
        <w:rPr>
          <w:rFonts w:ascii="Times New Roman" w:hAnsi="Times New Roman" w:cs="Times New Roman"/>
          <w:color w:val="000000" w:themeColor="text1"/>
          <w:kern w:val="24"/>
          <w:sz w:val="24"/>
          <w:szCs w:val="24"/>
        </w:rPr>
        <w:tab/>
        <w:t xml:space="preserve">qualifications </w:t>
      </w:r>
      <w:r w:rsidR="00C93721" w:rsidRPr="003E2516">
        <w:rPr>
          <w:rFonts w:ascii="Times New Roman" w:hAnsi="Times New Roman" w:cs="Times New Roman"/>
          <w:color w:val="000000" w:themeColor="text1"/>
          <w:kern w:val="24"/>
          <w:sz w:val="24"/>
          <w:szCs w:val="24"/>
        </w:rPr>
        <w:t xml:space="preserve">were key contributors to high-level skills required in the knowledge </w:t>
      </w:r>
      <w:r w:rsidR="000F0730" w:rsidRPr="003E2516">
        <w:rPr>
          <w:rFonts w:ascii="Times New Roman" w:hAnsi="Times New Roman" w:cs="Times New Roman"/>
          <w:color w:val="000000" w:themeColor="text1"/>
          <w:kern w:val="24"/>
          <w:sz w:val="24"/>
          <w:szCs w:val="24"/>
        </w:rPr>
        <w:tab/>
      </w:r>
      <w:r w:rsidR="00C93721" w:rsidRPr="003E2516">
        <w:rPr>
          <w:rFonts w:ascii="Times New Roman" w:hAnsi="Times New Roman" w:cs="Times New Roman"/>
          <w:color w:val="000000" w:themeColor="text1"/>
          <w:kern w:val="24"/>
          <w:sz w:val="24"/>
          <w:szCs w:val="24"/>
        </w:rPr>
        <w:t>economy</w:t>
      </w:r>
      <w:r w:rsidR="000F0730" w:rsidRPr="003E2516">
        <w:rPr>
          <w:rFonts w:ascii="Times New Roman" w:hAnsi="Times New Roman" w:cs="Times New Roman"/>
          <w:color w:val="000000" w:themeColor="text1"/>
          <w:kern w:val="24"/>
          <w:sz w:val="24"/>
          <w:szCs w:val="24"/>
        </w:rPr>
        <w:t xml:space="preserve"> and for innovation</w:t>
      </w:r>
      <w:r w:rsidR="00C93721" w:rsidRPr="003E2516">
        <w:rPr>
          <w:rFonts w:ascii="Times New Roman" w:hAnsi="Times New Roman" w:cs="Times New Roman"/>
          <w:color w:val="000000" w:themeColor="text1"/>
          <w:kern w:val="24"/>
          <w:sz w:val="24"/>
          <w:szCs w:val="24"/>
        </w:rPr>
        <w:t>.</w:t>
      </w:r>
      <w:r w:rsidR="00F6065C" w:rsidRPr="003E2516">
        <w:rPr>
          <w:rFonts w:ascii="Times New Roman" w:hAnsi="Times New Roman" w:cs="Times New Roman"/>
          <w:color w:val="000000" w:themeColor="text1"/>
          <w:kern w:val="24"/>
          <w:sz w:val="24"/>
          <w:szCs w:val="24"/>
        </w:rPr>
        <w:t xml:space="preserve"> </w:t>
      </w:r>
    </w:p>
    <w:p w:rsidR="00F6065C"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3</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F6065C" w:rsidRPr="003E2516">
        <w:rPr>
          <w:rFonts w:ascii="Times New Roman" w:hAnsi="Times New Roman" w:cs="Times New Roman"/>
          <w:color w:val="000000" w:themeColor="text1"/>
          <w:kern w:val="24"/>
          <w:sz w:val="24"/>
          <w:szCs w:val="24"/>
        </w:rPr>
        <w:t xml:space="preserve">The importance of the CET sector in the expansion of the PSET system was </w:t>
      </w:r>
      <w:r w:rsidR="007566B0" w:rsidRPr="003E2516">
        <w:rPr>
          <w:rFonts w:ascii="Times New Roman" w:hAnsi="Times New Roman" w:cs="Times New Roman"/>
          <w:color w:val="000000" w:themeColor="text1"/>
          <w:kern w:val="24"/>
          <w:sz w:val="24"/>
          <w:szCs w:val="24"/>
        </w:rPr>
        <w:tab/>
      </w:r>
      <w:r w:rsidR="00F6065C" w:rsidRPr="003E2516">
        <w:rPr>
          <w:rFonts w:ascii="Times New Roman" w:hAnsi="Times New Roman" w:cs="Times New Roman"/>
          <w:color w:val="000000" w:themeColor="text1"/>
          <w:kern w:val="24"/>
          <w:sz w:val="24"/>
          <w:szCs w:val="24"/>
        </w:rPr>
        <w:t xml:space="preserve">emphasised. It was noted that the sector catered for </w:t>
      </w:r>
      <w:r w:rsidR="006763F2" w:rsidRPr="003E2516">
        <w:rPr>
          <w:rFonts w:ascii="Times New Roman" w:hAnsi="Times New Roman" w:cs="Times New Roman"/>
          <w:color w:val="000000" w:themeColor="text1"/>
          <w:kern w:val="24"/>
          <w:sz w:val="24"/>
          <w:szCs w:val="24"/>
        </w:rPr>
        <w:t xml:space="preserve">out of school </w:t>
      </w:r>
      <w:r w:rsidR="00F6065C" w:rsidRPr="003E2516">
        <w:rPr>
          <w:rFonts w:ascii="Times New Roman" w:hAnsi="Times New Roman" w:cs="Times New Roman"/>
          <w:color w:val="000000" w:themeColor="text1"/>
          <w:kern w:val="24"/>
          <w:sz w:val="24"/>
          <w:szCs w:val="24"/>
        </w:rPr>
        <w:t>you</w:t>
      </w:r>
      <w:r w:rsidR="006763F2" w:rsidRPr="003E2516">
        <w:rPr>
          <w:rFonts w:ascii="Times New Roman" w:hAnsi="Times New Roman" w:cs="Times New Roman"/>
          <w:color w:val="000000" w:themeColor="text1"/>
          <w:kern w:val="24"/>
          <w:sz w:val="24"/>
          <w:szCs w:val="24"/>
        </w:rPr>
        <w:t xml:space="preserve">th </w:t>
      </w:r>
      <w:r w:rsidR="00F6065C" w:rsidRPr="003E2516">
        <w:rPr>
          <w:rFonts w:ascii="Times New Roman" w:hAnsi="Times New Roman" w:cs="Times New Roman"/>
          <w:color w:val="000000" w:themeColor="text1"/>
          <w:kern w:val="24"/>
          <w:sz w:val="24"/>
          <w:szCs w:val="24"/>
        </w:rPr>
        <w:t xml:space="preserve">and adults </w:t>
      </w:r>
      <w:r w:rsidR="006763F2" w:rsidRPr="003E2516">
        <w:rPr>
          <w:rFonts w:ascii="Times New Roman" w:hAnsi="Times New Roman" w:cs="Times New Roman"/>
          <w:color w:val="000000" w:themeColor="text1"/>
          <w:kern w:val="24"/>
          <w:sz w:val="24"/>
          <w:szCs w:val="24"/>
        </w:rPr>
        <w:tab/>
      </w:r>
      <w:r w:rsidR="00F6065C" w:rsidRPr="003E2516">
        <w:rPr>
          <w:rFonts w:ascii="Times New Roman" w:hAnsi="Times New Roman" w:cs="Times New Roman"/>
          <w:color w:val="000000" w:themeColor="text1"/>
          <w:kern w:val="24"/>
          <w:sz w:val="24"/>
          <w:szCs w:val="24"/>
        </w:rPr>
        <w:t xml:space="preserve">with </w:t>
      </w:r>
      <w:r w:rsidR="006763F2" w:rsidRPr="003E2516">
        <w:rPr>
          <w:rFonts w:ascii="Times New Roman" w:hAnsi="Times New Roman" w:cs="Times New Roman"/>
          <w:color w:val="000000" w:themeColor="text1"/>
          <w:kern w:val="24"/>
          <w:sz w:val="24"/>
          <w:szCs w:val="24"/>
        </w:rPr>
        <w:t>lower education</w:t>
      </w:r>
      <w:r w:rsidR="00F6065C" w:rsidRPr="003E2516">
        <w:rPr>
          <w:rFonts w:ascii="Times New Roman" w:hAnsi="Times New Roman" w:cs="Times New Roman"/>
          <w:color w:val="000000" w:themeColor="text1"/>
          <w:kern w:val="24"/>
          <w:sz w:val="24"/>
          <w:szCs w:val="24"/>
        </w:rPr>
        <w:t xml:space="preserve"> or skills</w:t>
      </w:r>
      <w:r w:rsidR="006763F2" w:rsidRPr="003E2516">
        <w:rPr>
          <w:rFonts w:ascii="Times New Roman" w:hAnsi="Times New Roman" w:cs="Times New Roman"/>
          <w:color w:val="000000" w:themeColor="text1"/>
          <w:kern w:val="24"/>
          <w:sz w:val="24"/>
          <w:szCs w:val="24"/>
        </w:rPr>
        <w:t xml:space="preserve"> levels</w:t>
      </w:r>
      <w:r w:rsidR="00F6065C" w:rsidRPr="003E2516">
        <w:rPr>
          <w:rFonts w:ascii="Times New Roman" w:hAnsi="Times New Roman" w:cs="Times New Roman"/>
          <w:color w:val="000000" w:themeColor="text1"/>
          <w:kern w:val="24"/>
          <w:sz w:val="24"/>
          <w:szCs w:val="24"/>
        </w:rPr>
        <w:t xml:space="preserve">. However, the insufficient funding for the sector </w:t>
      </w:r>
      <w:r w:rsidR="006763F2" w:rsidRPr="003E2516">
        <w:rPr>
          <w:rFonts w:ascii="Times New Roman" w:hAnsi="Times New Roman" w:cs="Times New Roman"/>
          <w:color w:val="000000" w:themeColor="text1"/>
          <w:kern w:val="24"/>
          <w:sz w:val="24"/>
          <w:szCs w:val="24"/>
        </w:rPr>
        <w:tab/>
        <w:t>compromised</w:t>
      </w:r>
      <w:r w:rsidR="00F6065C" w:rsidRPr="003E2516">
        <w:rPr>
          <w:rFonts w:ascii="Times New Roman" w:hAnsi="Times New Roman" w:cs="Times New Roman"/>
          <w:color w:val="000000" w:themeColor="text1"/>
          <w:kern w:val="24"/>
          <w:sz w:val="24"/>
          <w:szCs w:val="24"/>
        </w:rPr>
        <w:t xml:space="preserve"> its ability to deliver </w:t>
      </w:r>
      <w:r w:rsidR="006763F2" w:rsidRPr="003E2516">
        <w:rPr>
          <w:rFonts w:ascii="Times New Roman" w:hAnsi="Times New Roman" w:cs="Times New Roman"/>
          <w:color w:val="000000" w:themeColor="text1"/>
          <w:kern w:val="24"/>
          <w:sz w:val="24"/>
          <w:szCs w:val="24"/>
        </w:rPr>
        <w:t xml:space="preserve">on </w:t>
      </w:r>
      <w:r w:rsidR="00F6065C" w:rsidRPr="003E2516">
        <w:rPr>
          <w:rFonts w:ascii="Times New Roman" w:hAnsi="Times New Roman" w:cs="Times New Roman"/>
          <w:color w:val="000000" w:themeColor="text1"/>
          <w:kern w:val="24"/>
          <w:sz w:val="24"/>
          <w:szCs w:val="24"/>
        </w:rPr>
        <w:t>its core mandate.</w:t>
      </w:r>
    </w:p>
    <w:p w:rsidR="00F6065C"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4</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0D1BC5" w:rsidRPr="003E2516">
        <w:rPr>
          <w:rFonts w:ascii="Times New Roman" w:hAnsi="Times New Roman" w:cs="Times New Roman"/>
          <w:color w:val="000000" w:themeColor="text1"/>
          <w:kern w:val="24"/>
          <w:sz w:val="24"/>
          <w:szCs w:val="24"/>
        </w:rPr>
        <w:t xml:space="preserve">It was noted that the curriculum offered by TVET </w:t>
      </w:r>
      <w:r w:rsidR="00863577" w:rsidRPr="003E2516">
        <w:rPr>
          <w:rFonts w:ascii="Times New Roman" w:hAnsi="Times New Roman" w:cs="Times New Roman"/>
          <w:color w:val="000000" w:themeColor="text1"/>
          <w:kern w:val="24"/>
          <w:sz w:val="24"/>
          <w:szCs w:val="24"/>
        </w:rPr>
        <w:t>Colleges</w:t>
      </w:r>
      <w:r w:rsidR="000D1BC5" w:rsidRPr="003E2516">
        <w:rPr>
          <w:rFonts w:ascii="Times New Roman" w:hAnsi="Times New Roman" w:cs="Times New Roman"/>
          <w:color w:val="000000" w:themeColor="text1"/>
          <w:kern w:val="24"/>
          <w:sz w:val="24"/>
          <w:szCs w:val="24"/>
        </w:rPr>
        <w:t xml:space="preserve"> </w:t>
      </w:r>
      <w:r w:rsidR="008C6D23" w:rsidRPr="003E2516">
        <w:rPr>
          <w:rFonts w:ascii="Times New Roman" w:hAnsi="Times New Roman" w:cs="Times New Roman"/>
          <w:color w:val="000000" w:themeColor="text1"/>
          <w:kern w:val="24"/>
          <w:sz w:val="24"/>
          <w:szCs w:val="24"/>
        </w:rPr>
        <w:t>i</w:t>
      </w:r>
      <w:r w:rsidR="000D1BC5" w:rsidRPr="003E2516">
        <w:rPr>
          <w:rFonts w:ascii="Times New Roman" w:hAnsi="Times New Roman" w:cs="Times New Roman"/>
          <w:color w:val="000000" w:themeColor="text1"/>
          <w:kern w:val="24"/>
          <w:sz w:val="24"/>
          <w:szCs w:val="24"/>
        </w:rPr>
        <w:t xml:space="preserve">s outdated and not </w:t>
      </w:r>
      <w:r w:rsidR="007566B0" w:rsidRPr="003E2516">
        <w:rPr>
          <w:rFonts w:ascii="Times New Roman" w:hAnsi="Times New Roman" w:cs="Times New Roman"/>
          <w:color w:val="000000" w:themeColor="text1"/>
          <w:kern w:val="24"/>
          <w:sz w:val="24"/>
          <w:szCs w:val="24"/>
        </w:rPr>
        <w:tab/>
      </w:r>
      <w:r w:rsidR="000D1BC5" w:rsidRPr="003E2516">
        <w:rPr>
          <w:rFonts w:ascii="Times New Roman" w:hAnsi="Times New Roman" w:cs="Times New Roman"/>
          <w:color w:val="000000" w:themeColor="text1"/>
          <w:kern w:val="24"/>
          <w:sz w:val="24"/>
          <w:szCs w:val="24"/>
        </w:rPr>
        <w:t xml:space="preserve">relevant to industry needs. The Department was requested to speed up the curriculum </w:t>
      </w:r>
      <w:r w:rsidR="007566B0" w:rsidRPr="003E2516">
        <w:rPr>
          <w:rFonts w:ascii="Times New Roman" w:hAnsi="Times New Roman" w:cs="Times New Roman"/>
          <w:color w:val="000000" w:themeColor="text1"/>
          <w:kern w:val="24"/>
          <w:sz w:val="24"/>
          <w:szCs w:val="24"/>
        </w:rPr>
        <w:tab/>
      </w:r>
      <w:r w:rsidR="000D1BC5" w:rsidRPr="003E2516">
        <w:rPr>
          <w:rFonts w:ascii="Times New Roman" w:hAnsi="Times New Roman" w:cs="Times New Roman"/>
          <w:color w:val="000000" w:themeColor="text1"/>
          <w:kern w:val="24"/>
          <w:sz w:val="24"/>
          <w:szCs w:val="24"/>
        </w:rPr>
        <w:t>review process of the TVET sector.</w:t>
      </w:r>
    </w:p>
    <w:p w:rsidR="000D1BC5" w:rsidRPr="003E2516" w:rsidRDefault="00A76AE5" w:rsidP="003E2516">
      <w:pPr>
        <w:kinsoku w:val="0"/>
        <w:overflowPunct w:val="0"/>
        <w:spacing w:before="120" w:after="120" w:line="240" w:lineRule="auto"/>
        <w:ind w:left="63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5</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4269A4" w:rsidRPr="003E2516">
        <w:rPr>
          <w:rFonts w:ascii="Times New Roman" w:hAnsi="Times New Roman" w:cs="Times New Roman"/>
          <w:color w:val="000000" w:themeColor="text1"/>
          <w:kern w:val="24"/>
          <w:sz w:val="24"/>
          <w:szCs w:val="24"/>
        </w:rPr>
        <w:t xml:space="preserve">It was noted that the </w:t>
      </w:r>
      <w:r w:rsidR="000D1BC5" w:rsidRPr="003E2516">
        <w:rPr>
          <w:rFonts w:ascii="Times New Roman" w:hAnsi="Times New Roman" w:cs="Times New Roman"/>
          <w:color w:val="000000" w:themeColor="text1"/>
          <w:kern w:val="24"/>
          <w:sz w:val="24"/>
          <w:szCs w:val="24"/>
        </w:rPr>
        <w:t xml:space="preserve">Department was </w:t>
      </w:r>
      <w:r w:rsidR="004269A4" w:rsidRPr="003E2516">
        <w:rPr>
          <w:rFonts w:ascii="Times New Roman" w:hAnsi="Times New Roman" w:cs="Times New Roman"/>
          <w:color w:val="000000" w:themeColor="text1"/>
          <w:kern w:val="24"/>
          <w:sz w:val="24"/>
          <w:szCs w:val="24"/>
        </w:rPr>
        <w:t>should</w:t>
      </w:r>
      <w:r w:rsidR="000D1BC5" w:rsidRPr="003E2516">
        <w:rPr>
          <w:rFonts w:ascii="Times New Roman" w:hAnsi="Times New Roman" w:cs="Times New Roman"/>
          <w:color w:val="000000" w:themeColor="text1"/>
          <w:kern w:val="24"/>
          <w:sz w:val="24"/>
          <w:szCs w:val="24"/>
        </w:rPr>
        <w:t xml:space="preserve"> explore the possibilities of using underutilised factories </w:t>
      </w:r>
      <w:r w:rsidR="006763F2" w:rsidRPr="003E2516">
        <w:rPr>
          <w:rFonts w:ascii="Times New Roman" w:hAnsi="Times New Roman" w:cs="Times New Roman"/>
          <w:color w:val="000000" w:themeColor="text1"/>
          <w:kern w:val="24"/>
          <w:sz w:val="24"/>
          <w:szCs w:val="24"/>
        </w:rPr>
        <w:t xml:space="preserve">and vacated schools </w:t>
      </w:r>
      <w:r w:rsidR="000D1BC5" w:rsidRPr="003E2516">
        <w:rPr>
          <w:rFonts w:ascii="Times New Roman" w:hAnsi="Times New Roman" w:cs="Times New Roman"/>
          <w:color w:val="000000" w:themeColor="text1"/>
          <w:kern w:val="24"/>
          <w:sz w:val="24"/>
          <w:szCs w:val="24"/>
        </w:rPr>
        <w:t xml:space="preserve">as Community Learning Centres to expand the footprint of CET </w:t>
      </w:r>
      <w:r w:rsidR="00863577" w:rsidRPr="003E2516">
        <w:rPr>
          <w:rFonts w:ascii="Times New Roman" w:hAnsi="Times New Roman" w:cs="Times New Roman"/>
          <w:color w:val="000000" w:themeColor="text1"/>
          <w:kern w:val="24"/>
          <w:sz w:val="24"/>
          <w:szCs w:val="24"/>
        </w:rPr>
        <w:t>Colleges</w:t>
      </w:r>
      <w:r w:rsidR="008C6D23" w:rsidRPr="003E2516">
        <w:rPr>
          <w:rFonts w:ascii="Times New Roman" w:hAnsi="Times New Roman" w:cs="Times New Roman"/>
          <w:color w:val="000000" w:themeColor="text1"/>
          <w:kern w:val="24"/>
          <w:sz w:val="24"/>
          <w:szCs w:val="24"/>
        </w:rPr>
        <w:t xml:space="preserve">  and TVET Colleges</w:t>
      </w:r>
      <w:r w:rsidR="000D1BC5" w:rsidRPr="003E2516">
        <w:rPr>
          <w:rFonts w:ascii="Times New Roman" w:hAnsi="Times New Roman" w:cs="Times New Roman"/>
          <w:color w:val="000000" w:themeColor="text1"/>
          <w:kern w:val="24"/>
          <w:sz w:val="24"/>
          <w:szCs w:val="24"/>
        </w:rPr>
        <w:t>.</w:t>
      </w:r>
    </w:p>
    <w:p w:rsidR="000D1BC5"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6</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0D1BC5" w:rsidRPr="003E2516">
        <w:rPr>
          <w:rFonts w:ascii="Times New Roman" w:hAnsi="Times New Roman" w:cs="Times New Roman"/>
          <w:color w:val="000000" w:themeColor="text1"/>
          <w:kern w:val="24"/>
          <w:sz w:val="24"/>
          <w:szCs w:val="24"/>
        </w:rPr>
        <w:t xml:space="preserve">It was noted that the Department should improve on its administration and procurement </w:t>
      </w:r>
      <w:r w:rsidR="007566B0" w:rsidRPr="003E2516">
        <w:rPr>
          <w:rFonts w:ascii="Times New Roman" w:hAnsi="Times New Roman" w:cs="Times New Roman"/>
          <w:color w:val="000000" w:themeColor="text1"/>
          <w:kern w:val="24"/>
          <w:sz w:val="24"/>
          <w:szCs w:val="24"/>
        </w:rPr>
        <w:tab/>
      </w:r>
      <w:r w:rsidR="000D1BC5" w:rsidRPr="003E2516">
        <w:rPr>
          <w:rFonts w:ascii="Times New Roman" w:hAnsi="Times New Roman" w:cs="Times New Roman"/>
          <w:color w:val="000000" w:themeColor="text1"/>
          <w:kern w:val="24"/>
          <w:sz w:val="24"/>
          <w:szCs w:val="24"/>
        </w:rPr>
        <w:t>processes to move towards a clean audit.</w:t>
      </w:r>
    </w:p>
    <w:p w:rsidR="00F21124" w:rsidRPr="003E2516" w:rsidRDefault="00A76AE5" w:rsidP="003E2516">
      <w:pPr>
        <w:kinsoku w:val="0"/>
        <w:overflowPunct w:val="0"/>
        <w:spacing w:before="120" w:after="120" w:line="240" w:lineRule="auto"/>
        <w:ind w:left="720" w:hanging="72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.1.1</w:t>
      </w:r>
      <w:r w:rsidR="00C53A14" w:rsidRPr="003E2516">
        <w:rPr>
          <w:rFonts w:ascii="Times New Roman" w:hAnsi="Times New Roman" w:cs="Times New Roman"/>
          <w:color w:val="000000" w:themeColor="text1"/>
          <w:kern w:val="24"/>
          <w:sz w:val="24"/>
          <w:szCs w:val="24"/>
        </w:rPr>
        <w:t>7</w:t>
      </w:r>
      <w:r w:rsidR="007566B0" w:rsidRPr="003E2516">
        <w:rPr>
          <w:rFonts w:ascii="Times New Roman" w:hAnsi="Times New Roman" w:cs="Times New Roman"/>
          <w:color w:val="000000" w:themeColor="text1"/>
          <w:kern w:val="24"/>
          <w:sz w:val="24"/>
          <w:szCs w:val="24"/>
        </w:rPr>
        <w:t>.</w:t>
      </w:r>
      <w:r w:rsidR="007566B0" w:rsidRPr="003E2516">
        <w:rPr>
          <w:rFonts w:ascii="Times New Roman" w:hAnsi="Times New Roman" w:cs="Times New Roman"/>
          <w:color w:val="000000" w:themeColor="text1"/>
          <w:kern w:val="24"/>
          <w:sz w:val="24"/>
          <w:szCs w:val="24"/>
        </w:rPr>
        <w:tab/>
      </w:r>
      <w:r w:rsidR="00B71B0C" w:rsidRPr="003E2516">
        <w:rPr>
          <w:rFonts w:ascii="Times New Roman" w:hAnsi="Times New Roman" w:cs="Times New Roman"/>
          <w:color w:val="000000" w:themeColor="text1"/>
          <w:kern w:val="24"/>
          <w:sz w:val="24"/>
          <w:szCs w:val="24"/>
        </w:rPr>
        <w:t xml:space="preserve">It was noted that the </w:t>
      </w:r>
      <w:r w:rsidR="008C6D23" w:rsidRPr="003E2516">
        <w:rPr>
          <w:rFonts w:ascii="Times New Roman" w:hAnsi="Times New Roman" w:cs="Times New Roman"/>
          <w:color w:val="000000" w:themeColor="text1"/>
          <w:kern w:val="24"/>
          <w:sz w:val="24"/>
          <w:szCs w:val="24"/>
        </w:rPr>
        <w:t>legislation excluding</w:t>
      </w:r>
      <w:r w:rsidR="00B71B0C" w:rsidRPr="003E2516">
        <w:rPr>
          <w:rFonts w:ascii="Times New Roman" w:hAnsi="Times New Roman" w:cs="Times New Roman"/>
          <w:color w:val="000000" w:themeColor="text1"/>
          <w:kern w:val="24"/>
          <w:sz w:val="24"/>
          <w:szCs w:val="24"/>
        </w:rPr>
        <w:t xml:space="preserve"> the public sector</w:t>
      </w:r>
      <w:r w:rsidR="008C6D23" w:rsidRPr="003E2516">
        <w:rPr>
          <w:rFonts w:ascii="Times New Roman" w:hAnsi="Times New Roman" w:cs="Times New Roman"/>
          <w:color w:val="000000" w:themeColor="text1"/>
          <w:kern w:val="24"/>
          <w:sz w:val="24"/>
          <w:szCs w:val="24"/>
        </w:rPr>
        <w:t xml:space="preserve"> from paying the skills levy</w:t>
      </w:r>
      <w:r w:rsidR="00B71B0C" w:rsidRPr="003E2516">
        <w:rPr>
          <w:rFonts w:ascii="Times New Roman" w:hAnsi="Times New Roman" w:cs="Times New Roman"/>
          <w:color w:val="000000" w:themeColor="text1"/>
          <w:kern w:val="24"/>
          <w:sz w:val="24"/>
          <w:szCs w:val="24"/>
        </w:rPr>
        <w:t xml:space="preserve"> should be revisited. </w:t>
      </w:r>
    </w:p>
    <w:p w:rsidR="005D4448" w:rsidRPr="003E2516" w:rsidRDefault="005D4448"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F40D92" w:rsidRPr="003E2516" w:rsidRDefault="00A76AE5" w:rsidP="003E2516">
      <w:pPr>
        <w:kinsoku w:val="0"/>
        <w:overflowPunct w:val="0"/>
        <w:spacing w:before="120" w:after="120" w:line="240" w:lineRule="auto"/>
        <w:ind w:left="-90"/>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F40D92" w:rsidRPr="003E2516">
        <w:rPr>
          <w:rFonts w:ascii="Times New Roman" w:hAnsi="Times New Roman" w:cs="Times New Roman"/>
          <w:b/>
          <w:color w:val="000000" w:themeColor="text1"/>
          <w:kern w:val="24"/>
          <w:sz w:val="24"/>
          <w:szCs w:val="24"/>
        </w:rPr>
        <w:t>.</w:t>
      </w:r>
      <w:r w:rsidR="00483012" w:rsidRPr="003E2516">
        <w:rPr>
          <w:rFonts w:ascii="Times New Roman" w:hAnsi="Times New Roman" w:cs="Times New Roman"/>
          <w:b/>
          <w:color w:val="000000" w:themeColor="text1"/>
          <w:kern w:val="24"/>
          <w:sz w:val="24"/>
          <w:szCs w:val="24"/>
        </w:rPr>
        <w:t>2</w:t>
      </w:r>
      <w:r w:rsidR="00F40D92" w:rsidRPr="003E2516">
        <w:rPr>
          <w:rFonts w:ascii="Times New Roman" w:hAnsi="Times New Roman" w:cs="Times New Roman"/>
          <w:b/>
          <w:color w:val="000000" w:themeColor="text1"/>
          <w:kern w:val="24"/>
          <w:sz w:val="24"/>
          <w:szCs w:val="24"/>
        </w:rPr>
        <w:t xml:space="preserve"> Financial and Fiscal Commission</w:t>
      </w:r>
    </w:p>
    <w:p w:rsidR="00F40D92" w:rsidRPr="003E2516" w:rsidRDefault="00A76AE5" w:rsidP="003E2516">
      <w:pPr>
        <w:kinsoku w:val="0"/>
        <w:overflowPunct w:val="0"/>
        <w:spacing w:before="120" w:after="120" w:line="240" w:lineRule="auto"/>
        <w:ind w:left="54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483012" w:rsidRPr="003E2516">
        <w:rPr>
          <w:rFonts w:ascii="Times New Roman" w:hAnsi="Times New Roman" w:cs="Times New Roman"/>
          <w:color w:val="000000" w:themeColor="text1"/>
          <w:kern w:val="24"/>
          <w:sz w:val="24"/>
          <w:szCs w:val="24"/>
        </w:rPr>
        <w:t>.2.1.</w:t>
      </w:r>
      <w:r w:rsidR="00483012" w:rsidRPr="003E2516">
        <w:rPr>
          <w:rFonts w:ascii="Times New Roman" w:hAnsi="Times New Roman" w:cs="Times New Roman"/>
          <w:color w:val="000000" w:themeColor="text1"/>
          <w:kern w:val="24"/>
          <w:sz w:val="24"/>
          <w:szCs w:val="24"/>
        </w:rPr>
        <w:tab/>
      </w:r>
      <w:r w:rsidR="00341F50" w:rsidRPr="003E2516">
        <w:rPr>
          <w:rFonts w:ascii="Times New Roman" w:hAnsi="Times New Roman" w:cs="Times New Roman"/>
          <w:color w:val="000000" w:themeColor="text1"/>
          <w:kern w:val="24"/>
          <w:sz w:val="24"/>
          <w:szCs w:val="24"/>
        </w:rPr>
        <w:t>I</w:t>
      </w:r>
      <w:r w:rsidR="00F40D92" w:rsidRPr="003E2516">
        <w:rPr>
          <w:rFonts w:ascii="Times New Roman" w:hAnsi="Times New Roman" w:cs="Times New Roman"/>
          <w:color w:val="000000" w:themeColor="text1"/>
          <w:kern w:val="24"/>
          <w:sz w:val="24"/>
          <w:szCs w:val="24"/>
        </w:rPr>
        <w:t>t was noted that the submission of the FFC lacked concrete recommendations on the budget and overall funding of the entire PSET system.</w:t>
      </w:r>
    </w:p>
    <w:p w:rsidR="005D4448" w:rsidRPr="003E2516" w:rsidRDefault="005D4448" w:rsidP="003E2516">
      <w:pPr>
        <w:kinsoku w:val="0"/>
        <w:overflowPunct w:val="0"/>
        <w:spacing w:before="120" w:after="120" w:line="240" w:lineRule="auto"/>
        <w:ind w:left="540" w:hanging="630"/>
        <w:jc w:val="both"/>
        <w:textAlignment w:val="baseline"/>
        <w:rPr>
          <w:rFonts w:ascii="Times New Roman" w:hAnsi="Times New Roman" w:cs="Times New Roman"/>
          <w:color w:val="000000" w:themeColor="text1"/>
          <w:kern w:val="24"/>
          <w:sz w:val="24"/>
          <w:szCs w:val="24"/>
        </w:rPr>
      </w:pPr>
    </w:p>
    <w:p w:rsidR="00F40D92" w:rsidRPr="003E2516" w:rsidRDefault="00C53A14"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F40D92" w:rsidRPr="003E2516">
        <w:rPr>
          <w:rFonts w:ascii="Times New Roman" w:hAnsi="Times New Roman" w:cs="Times New Roman"/>
          <w:b/>
          <w:color w:val="000000" w:themeColor="text1"/>
          <w:kern w:val="24"/>
          <w:sz w:val="24"/>
          <w:szCs w:val="24"/>
        </w:rPr>
        <w:t>.</w:t>
      </w:r>
      <w:r w:rsidR="00483012" w:rsidRPr="003E2516">
        <w:rPr>
          <w:rFonts w:ascii="Times New Roman" w:hAnsi="Times New Roman" w:cs="Times New Roman"/>
          <w:b/>
          <w:color w:val="000000" w:themeColor="text1"/>
          <w:kern w:val="24"/>
          <w:sz w:val="24"/>
          <w:szCs w:val="24"/>
        </w:rPr>
        <w:t>3</w:t>
      </w:r>
      <w:r w:rsidR="00F40D92" w:rsidRPr="003E2516">
        <w:rPr>
          <w:rFonts w:ascii="Times New Roman" w:hAnsi="Times New Roman" w:cs="Times New Roman"/>
          <w:b/>
          <w:color w:val="000000" w:themeColor="text1"/>
          <w:kern w:val="24"/>
          <w:sz w:val="24"/>
          <w:szCs w:val="24"/>
        </w:rPr>
        <w:t xml:space="preserve"> Technical and Vocational Education and Training </w:t>
      </w:r>
      <w:r w:rsidR="00863577" w:rsidRPr="003E2516">
        <w:rPr>
          <w:rFonts w:ascii="Times New Roman" w:hAnsi="Times New Roman" w:cs="Times New Roman"/>
          <w:b/>
          <w:color w:val="000000" w:themeColor="text1"/>
          <w:kern w:val="24"/>
          <w:sz w:val="24"/>
          <w:szCs w:val="24"/>
        </w:rPr>
        <w:t>Colleges</w:t>
      </w:r>
      <w:r w:rsidR="00F40D92" w:rsidRPr="003E2516">
        <w:rPr>
          <w:rFonts w:ascii="Times New Roman" w:hAnsi="Times New Roman" w:cs="Times New Roman"/>
          <w:b/>
          <w:color w:val="000000" w:themeColor="text1"/>
          <w:kern w:val="24"/>
          <w:sz w:val="24"/>
          <w:szCs w:val="24"/>
        </w:rPr>
        <w:t xml:space="preserve"> Governors Council</w:t>
      </w:r>
    </w:p>
    <w:p w:rsidR="00F40D92" w:rsidRPr="003E2516" w:rsidRDefault="00A76AE5"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483012" w:rsidRPr="003E2516">
        <w:rPr>
          <w:rFonts w:ascii="Times New Roman" w:hAnsi="Times New Roman" w:cs="Times New Roman"/>
          <w:color w:val="000000" w:themeColor="text1"/>
          <w:kern w:val="24"/>
          <w:sz w:val="24"/>
          <w:szCs w:val="24"/>
        </w:rPr>
        <w:t>.3.1.</w:t>
      </w:r>
      <w:r w:rsidR="00483012" w:rsidRPr="003E2516">
        <w:rPr>
          <w:rFonts w:ascii="Times New Roman" w:hAnsi="Times New Roman" w:cs="Times New Roman"/>
          <w:color w:val="000000" w:themeColor="text1"/>
          <w:kern w:val="24"/>
          <w:sz w:val="24"/>
          <w:szCs w:val="24"/>
        </w:rPr>
        <w:tab/>
      </w:r>
      <w:r w:rsidR="00F40D92" w:rsidRPr="003E2516">
        <w:rPr>
          <w:rFonts w:ascii="Times New Roman" w:hAnsi="Times New Roman" w:cs="Times New Roman"/>
          <w:color w:val="000000" w:themeColor="text1"/>
          <w:kern w:val="24"/>
          <w:sz w:val="24"/>
          <w:szCs w:val="24"/>
        </w:rPr>
        <w:t xml:space="preserve">The </w:t>
      </w:r>
      <w:r w:rsidR="00AA1987" w:rsidRPr="003E2516">
        <w:rPr>
          <w:rFonts w:ascii="Times New Roman" w:hAnsi="Times New Roman" w:cs="Times New Roman"/>
          <w:color w:val="000000" w:themeColor="text1"/>
          <w:kern w:val="24"/>
          <w:sz w:val="24"/>
          <w:szCs w:val="24"/>
        </w:rPr>
        <w:t>Committee</w:t>
      </w:r>
      <w:r w:rsidR="00F40D92" w:rsidRPr="003E2516">
        <w:rPr>
          <w:rFonts w:ascii="Times New Roman" w:hAnsi="Times New Roman" w:cs="Times New Roman"/>
          <w:color w:val="000000" w:themeColor="text1"/>
          <w:kern w:val="24"/>
          <w:sz w:val="24"/>
          <w:szCs w:val="24"/>
        </w:rPr>
        <w:t xml:space="preserve"> shared the sentiments of the TVETCGC on the gross underfunding </w:t>
      </w:r>
      <w:r w:rsidR="00483012" w:rsidRPr="003E2516">
        <w:rPr>
          <w:rFonts w:ascii="Times New Roman" w:hAnsi="Times New Roman" w:cs="Times New Roman"/>
          <w:color w:val="000000" w:themeColor="text1"/>
          <w:kern w:val="24"/>
          <w:sz w:val="24"/>
          <w:szCs w:val="24"/>
        </w:rPr>
        <w:tab/>
      </w:r>
      <w:r w:rsidR="00F40D92" w:rsidRPr="003E2516">
        <w:rPr>
          <w:rFonts w:ascii="Times New Roman" w:hAnsi="Times New Roman" w:cs="Times New Roman"/>
          <w:color w:val="000000" w:themeColor="text1"/>
          <w:kern w:val="24"/>
          <w:sz w:val="24"/>
          <w:szCs w:val="24"/>
        </w:rPr>
        <w:t xml:space="preserve">of the TVET sector to meet its objectives of producing mid-level skills needed by the </w:t>
      </w:r>
      <w:r w:rsidR="00483012" w:rsidRPr="003E2516">
        <w:rPr>
          <w:rFonts w:ascii="Times New Roman" w:hAnsi="Times New Roman" w:cs="Times New Roman"/>
          <w:color w:val="000000" w:themeColor="text1"/>
          <w:kern w:val="24"/>
          <w:sz w:val="24"/>
          <w:szCs w:val="24"/>
        </w:rPr>
        <w:tab/>
      </w:r>
      <w:r w:rsidR="00F40D92" w:rsidRPr="003E2516">
        <w:rPr>
          <w:rFonts w:ascii="Times New Roman" w:hAnsi="Times New Roman" w:cs="Times New Roman"/>
          <w:color w:val="000000" w:themeColor="text1"/>
          <w:kern w:val="24"/>
          <w:sz w:val="24"/>
          <w:szCs w:val="24"/>
        </w:rPr>
        <w:t>economy.</w:t>
      </w:r>
    </w:p>
    <w:p w:rsidR="00F40D92" w:rsidRPr="003E2516" w:rsidRDefault="00A76AE5" w:rsidP="003E2516">
      <w:pPr>
        <w:kinsoku w:val="0"/>
        <w:overflowPunct w:val="0"/>
        <w:spacing w:before="120" w:after="120" w:line="240" w:lineRule="auto"/>
        <w:ind w:left="720" w:hanging="72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483012" w:rsidRPr="003E2516">
        <w:rPr>
          <w:rFonts w:ascii="Times New Roman" w:hAnsi="Times New Roman" w:cs="Times New Roman"/>
          <w:color w:val="000000" w:themeColor="text1"/>
          <w:kern w:val="24"/>
          <w:sz w:val="24"/>
          <w:szCs w:val="24"/>
        </w:rPr>
        <w:t>.3</w:t>
      </w:r>
      <w:r w:rsidR="00F40D92" w:rsidRPr="003E2516">
        <w:rPr>
          <w:rFonts w:ascii="Times New Roman" w:hAnsi="Times New Roman" w:cs="Times New Roman"/>
          <w:color w:val="000000" w:themeColor="text1"/>
          <w:kern w:val="24"/>
          <w:sz w:val="24"/>
          <w:szCs w:val="24"/>
        </w:rPr>
        <w:t>.2</w:t>
      </w:r>
      <w:r w:rsidR="00483012" w:rsidRPr="003E2516">
        <w:rPr>
          <w:rFonts w:ascii="Times New Roman" w:hAnsi="Times New Roman" w:cs="Times New Roman"/>
          <w:color w:val="000000" w:themeColor="text1"/>
          <w:kern w:val="24"/>
          <w:sz w:val="24"/>
          <w:szCs w:val="24"/>
        </w:rPr>
        <w:t>.</w:t>
      </w:r>
      <w:r w:rsidR="00483012" w:rsidRPr="003E2516">
        <w:rPr>
          <w:rFonts w:ascii="Times New Roman" w:hAnsi="Times New Roman" w:cs="Times New Roman"/>
          <w:color w:val="000000" w:themeColor="text1"/>
          <w:kern w:val="24"/>
          <w:sz w:val="24"/>
          <w:szCs w:val="24"/>
        </w:rPr>
        <w:tab/>
      </w:r>
      <w:r w:rsidR="00F40D92" w:rsidRPr="003E2516">
        <w:rPr>
          <w:rFonts w:ascii="Times New Roman" w:hAnsi="Times New Roman" w:cs="Times New Roman"/>
          <w:color w:val="000000" w:themeColor="text1"/>
          <w:kern w:val="24"/>
          <w:sz w:val="24"/>
          <w:szCs w:val="24"/>
        </w:rPr>
        <w:t>It was noted that the TVETCGC was an important stakeholder in the PSET system and the Department</w:t>
      </w:r>
      <w:r w:rsidR="00341F50" w:rsidRPr="003E2516">
        <w:rPr>
          <w:rFonts w:ascii="Times New Roman" w:hAnsi="Times New Roman" w:cs="Times New Roman"/>
          <w:color w:val="000000" w:themeColor="text1"/>
          <w:kern w:val="24"/>
          <w:sz w:val="24"/>
          <w:szCs w:val="24"/>
        </w:rPr>
        <w:t xml:space="preserve"> and Minister</w:t>
      </w:r>
      <w:r w:rsidR="00F40D92" w:rsidRPr="003E2516">
        <w:rPr>
          <w:rFonts w:ascii="Times New Roman" w:hAnsi="Times New Roman" w:cs="Times New Roman"/>
          <w:color w:val="000000" w:themeColor="text1"/>
          <w:kern w:val="24"/>
          <w:sz w:val="24"/>
          <w:szCs w:val="24"/>
        </w:rPr>
        <w:t xml:space="preserve"> should improve its communication and relationship with this body. </w:t>
      </w:r>
    </w:p>
    <w:p w:rsidR="00F40D92" w:rsidRPr="003E2516" w:rsidRDefault="00A76AE5" w:rsidP="003E2516">
      <w:pPr>
        <w:kinsoku w:val="0"/>
        <w:overflowPunct w:val="0"/>
        <w:spacing w:before="120" w:after="120" w:line="240" w:lineRule="auto"/>
        <w:ind w:left="63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7</w:t>
      </w:r>
      <w:r w:rsidR="00F40D92" w:rsidRPr="003E2516">
        <w:rPr>
          <w:rFonts w:ascii="Times New Roman" w:hAnsi="Times New Roman" w:cs="Times New Roman"/>
          <w:color w:val="000000" w:themeColor="text1"/>
          <w:kern w:val="24"/>
          <w:sz w:val="24"/>
          <w:szCs w:val="24"/>
        </w:rPr>
        <w:t>.3</w:t>
      </w:r>
      <w:r w:rsidR="00483012" w:rsidRPr="003E2516">
        <w:rPr>
          <w:rFonts w:ascii="Times New Roman" w:hAnsi="Times New Roman" w:cs="Times New Roman"/>
          <w:color w:val="000000" w:themeColor="text1"/>
          <w:kern w:val="24"/>
          <w:sz w:val="24"/>
          <w:szCs w:val="24"/>
        </w:rPr>
        <w:t>.3.</w:t>
      </w:r>
      <w:r w:rsidR="00483012" w:rsidRPr="003E2516">
        <w:rPr>
          <w:rFonts w:ascii="Times New Roman" w:hAnsi="Times New Roman" w:cs="Times New Roman"/>
          <w:color w:val="000000" w:themeColor="text1"/>
          <w:kern w:val="24"/>
          <w:sz w:val="24"/>
          <w:szCs w:val="24"/>
        </w:rPr>
        <w:tab/>
      </w:r>
      <w:r w:rsidR="004269A4" w:rsidRPr="003E2516">
        <w:rPr>
          <w:rFonts w:ascii="Times New Roman" w:hAnsi="Times New Roman" w:cs="Times New Roman"/>
          <w:color w:val="000000" w:themeColor="text1"/>
          <w:kern w:val="24"/>
          <w:sz w:val="24"/>
          <w:szCs w:val="24"/>
        </w:rPr>
        <w:t xml:space="preserve"> </w:t>
      </w:r>
      <w:r w:rsidR="00F40D92" w:rsidRPr="003E2516">
        <w:rPr>
          <w:rFonts w:ascii="Times New Roman" w:hAnsi="Times New Roman" w:cs="Times New Roman"/>
          <w:color w:val="000000" w:themeColor="text1"/>
          <w:kern w:val="24"/>
          <w:sz w:val="24"/>
          <w:szCs w:val="24"/>
        </w:rPr>
        <w:t xml:space="preserve">It was noted that the TVET sector </w:t>
      </w:r>
      <w:r w:rsidR="004269A4" w:rsidRPr="003E2516">
        <w:rPr>
          <w:rFonts w:ascii="Times New Roman" w:hAnsi="Times New Roman" w:cs="Times New Roman"/>
          <w:color w:val="000000" w:themeColor="text1"/>
          <w:kern w:val="24"/>
          <w:sz w:val="24"/>
          <w:szCs w:val="24"/>
        </w:rPr>
        <w:t>was at risk to face</w:t>
      </w:r>
      <w:r w:rsidR="00F40D92" w:rsidRPr="003E2516">
        <w:rPr>
          <w:rFonts w:ascii="Times New Roman" w:hAnsi="Times New Roman" w:cs="Times New Roman"/>
          <w:color w:val="000000" w:themeColor="text1"/>
          <w:kern w:val="24"/>
          <w:sz w:val="24"/>
          <w:szCs w:val="24"/>
        </w:rPr>
        <w:t xml:space="preserve"> student protests</w:t>
      </w:r>
      <w:r w:rsidR="004269A4" w:rsidRPr="003E2516">
        <w:rPr>
          <w:rFonts w:ascii="Times New Roman" w:hAnsi="Times New Roman" w:cs="Times New Roman"/>
          <w:color w:val="000000" w:themeColor="text1"/>
          <w:kern w:val="24"/>
          <w:sz w:val="24"/>
          <w:szCs w:val="24"/>
        </w:rPr>
        <w:t xml:space="preserve"> similar to those experienced</w:t>
      </w:r>
      <w:r w:rsidR="00F40D92" w:rsidRPr="003E2516">
        <w:rPr>
          <w:rFonts w:ascii="Times New Roman" w:hAnsi="Times New Roman" w:cs="Times New Roman"/>
          <w:color w:val="000000" w:themeColor="text1"/>
          <w:kern w:val="24"/>
          <w:sz w:val="24"/>
          <w:szCs w:val="24"/>
        </w:rPr>
        <w:t xml:space="preserve"> by universities </w:t>
      </w:r>
      <w:r w:rsidR="004269A4" w:rsidRPr="003E2516">
        <w:rPr>
          <w:rFonts w:ascii="Times New Roman" w:hAnsi="Times New Roman" w:cs="Times New Roman"/>
          <w:color w:val="000000" w:themeColor="text1"/>
          <w:kern w:val="24"/>
          <w:sz w:val="24"/>
          <w:szCs w:val="24"/>
        </w:rPr>
        <w:t>owing to underfunding of the sector</w:t>
      </w:r>
      <w:r w:rsidR="0045523E" w:rsidRPr="003E2516">
        <w:rPr>
          <w:rFonts w:ascii="Times New Roman" w:hAnsi="Times New Roman" w:cs="Times New Roman"/>
          <w:color w:val="000000" w:themeColor="text1"/>
          <w:kern w:val="24"/>
          <w:sz w:val="24"/>
          <w:szCs w:val="24"/>
        </w:rPr>
        <w:t>.</w:t>
      </w:r>
    </w:p>
    <w:p w:rsidR="00920D6B" w:rsidRPr="003E2516" w:rsidRDefault="00920D6B" w:rsidP="003E2516">
      <w:pPr>
        <w:kinsoku w:val="0"/>
        <w:overflowPunct w:val="0"/>
        <w:spacing w:before="120" w:after="120" w:line="240" w:lineRule="auto"/>
        <w:ind w:left="72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7.3.4 The </w:t>
      </w:r>
      <w:r w:rsidR="00341F50" w:rsidRPr="003E2516">
        <w:rPr>
          <w:rFonts w:ascii="Times New Roman" w:hAnsi="Times New Roman" w:cs="Times New Roman"/>
          <w:color w:val="000000" w:themeColor="text1"/>
          <w:kern w:val="24"/>
          <w:sz w:val="24"/>
          <w:szCs w:val="24"/>
        </w:rPr>
        <w:t>meeting</w:t>
      </w:r>
      <w:r w:rsidRPr="003E2516">
        <w:rPr>
          <w:rFonts w:ascii="Times New Roman" w:hAnsi="Times New Roman" w:cs="Times New Roman"/>
          <w:color w:val="000000" w:themeColor="text1"/>
          <w:kern w:val="24"/>
          <w:sz w:val="24"/>
          <w:szCs w:val="24"/>
        </w:rPr>
        <w:t xml:space="preserve"> </w:t>
      </w:r>
      <w:r w:rsidR="004269A4" w:rsidRPr="003E2516">
        <w:rPr>
          <w:rFonts w:ascii="Times New Roman" w:hAnsi="Times New Roman" w:cs="Times New Roman"/>
          <w:color w:val="000000" w:themeColor="text1"/>
          <w:kern w:val="24"/>
          <w:sz w:val="24"/>
          <w:szCs w:val="24"/>
        </w:rPr>
        <w:t xml:space="preserve">noted the submission of the TVETCGC that the full R13.6 billion budget as initially determined by the Department should be made available for TVET </w:t>
      </w:r>
      <w:r w:rsidR="00863577" w:rsidRPr="003E2516">
        <w:rPr>
          <w:rFonts w:ascii="Times New Roman" w:hAnsi="Times New Roman" w:cs="Times New Roman"/>
          <w:color w:val="000000" w:themeColor="text1"/>
          <w:kern w:val="24"/>
          <w:sz w:val="24"/>
          <w:szCs w:val="24"/>
        </w:rPr>
        <w:t>Colleges</w:t>
      </w:r>
      <w:r w:rsidR="004269A4" w:rsidRPr="003E2516">
        <w:rPr>
          <w:rFonts w:ascii="Times New Roman" w:hAnsi="Times New Roman" w:cs="Times New Roman"/>
          <w:color w:val="000000" w:themeColor="text1"/>
          <w:kern w:val="24"/>
          <w:sz w:val="24"/>
          <w:szCs w:val="24"/>
        </w:rPr>
        <w:t xml:space="preserve"> for 2017/18. Also that an additional R5 billion be allocated for physical infrastructure development, ICT, student support services and teaching, research and governance capacity development of the TVET sector.</w:t>
      </w:r>
    </w:p>
    <w:p w:rsidR="00920D6B" w:rsidRPr="003E2516" w:rsidRDefault="00920D6B" w:rsidP="003E2516">
      <w:pPr>
        <w:kinsoku w:val="0"/>
        <w:overflowPunct w:val="0"/>
        <w:spacing w:before="120" w:after="120" w:line="240" w:lineRule="auto"/>
        <w:ind w:left="72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7.3.5 The </w:t>
      </w:r>
      <w:r w:rsidR="00341F50" w:rsidRPr="003E2516">
        <w:rPr>
          <w:rFonts w:ascii="Times New Roman" w:hAnsi="Times New Roman" w:cs="Times New Roman"/>
          <w:color w:val="000000" w:themeColor="text1"/>
          <w:kern w:val="24"/>
          <w:sz w:val="24"/>
          <w:szCs w:val="24"/>
        </w:rPr>
        <w:t>meeting</w:t>
      </w:r>
      <w:r w:rsidRPr="003E2516">
        <w:rPr>
          <w:rFonts w:ascii="Times New Roman" w:hAnsi="Times New Roman" w:cs="Times New Roman"/>
          <w:color w:val="000000" w:themeColor="text1"/>
          <w:kern w:val="24"/>
          <w:sz w:val="24"/>
          <w:szCs w:val="24"/>
        </w:rPr>
        <w:t xml:space="preserve"> noted the proposal of the TVETCGC for </w:t>
      </w:r>
      <w:r w:rsidR="001C724F" w:rsidRPr="003E2516">
        <w:rPr>
          <w:rFonts w:ascii="Times New Roman" w:hAnsi="Times New Roman" w:cs="Times New Roman"/>
          <w:color w:val="000000" w:themeColor="text1"/>
          <w:kern w:val="24"/>
          <w:sz w:val="24"/>
          <w:szCs w:val="24"/>
        </w:rPr>
        <w:t>Government</w:t>
      </w:r>
      <w:r w:rsidRPr="003E2516">
        <w:rPr>
          <w:rFonts w:ascii="Times New Roman" w:hAnsi="Times New Roman" w:cs="Times New Roman"/>
          <w:color w:val="000000" w:themeColor="text1"/>
          <w:kern w:val="24"/>
          <w:sz w:val="24"/>
          <w:szCs w:val="24"/>
        </w:rPr>
        <w:t xml:space="preserve"> to consider tapping into the unclaimed pension fund of R42 billion to address the funding needs of the TVET sector. </w:t>
      </w:r>
    </w:p>
    <w:p w:rsidR="00920D6B" w:rsidRPr="003E2516" w:rsidRDefault="00920D6B" w:rsidP="003E2516">
      <w:pPr>
        <w:kinsoku w:val="0"/>
        <w:overflowPunct w:val="0"/>
        <w:spacing w:before="120" w:after="120" w:line="240" w:lineRule="auto"/>
        <w:ind w:left="720" w:hanging="630"/>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lastRenderedPageBreak/>
        <w:t xml:space="preserve">7.3.6 The </w:t>
      </w:r>
      <w:r w:rsidR="00341F50" w:rsidRPr="003E2516">
        <w:rPr>
          <w:rFonts w:ascii="Times New Roman" w:hAnsi="Times New Roman" w:cs="Times New Roman"/>
          <w:color w:val="000000" w:themeColor="text1"/>
          <w:kern w:val="24"/>
          <w:sz w:val="24"/>
          <w:szCs w:val="24"/>
        </w:rPr>
        <w:t>meeting</w:t>
      </w:r>
      <w:r w:rsidRPr="003E2516">
        <w:rPr>
          <w:rFonts w:ascii="Times New Roman" w:hAnsi="Times New Roman" w:cs="Times New Roman"/>
          <w:color w:val="000000" w:themeColor="text1"/>
          <w:kern w:val="24"/>
          <w:sz w:val="24"/>
          <w:szCs w:val="24"/>
        </w:rPr>
        <w:t xml:space="preserve"> noted the TVETCGC’</w:t>
      </w:r>
      <w:r w:rsidR="007A1FE4" w:rsidRPr="003E2516">
        <w:rPr>
          <w:rFonts w:ascii="Times New Roman" w:hAnsi="Times New Roman" w:cs="Times New Roman"/>
          <w:color w:val="000000" w:themeColor="text1"/>
          <w:kern w:val="24"/>
          <w:sz w:val="24"/>
          <w:szCs w:val="24"/>
        </w:rPr>
        <w:t>s</w:t>
      </w:r>
      <w:r w:rsidRPr="003E2516">
        <w:rPr>
          <w:rFonts w:ascii="Times New Roman" w:hAnsi="Times New Roman" w:cs="Times New Roman"/>
          <w:color w:val="000000" w:themeColor="text1"/>
          <w:kern w:val="24"/>
          <w:sz w:val="24"/>
          <w:szCs w:val="24"/>
        </w:rPr>
        <w:t xml:space="preserve"> proposal that the </w:t>
      </w:r>
      <w:r w:rsidR="001C724F" w:rsidRPr="003E2516">
        <w:rPr>
          <w:rFonts w:ascii="Times New Roman" w:hAnsi="Times New Roman" w:cs="Times New Roman"/>
          <w:color w:val="000000" w:themeColor="text1"/>
          <w:kern w:val="24"/>
          <w:sz w:val="24"/>
          <w:szCs w:val="24"/>
        </w:rPr>
        <w:t>Government</w:t>
      </w:r>
      <w:r w:rsidRPr="003E2516">
        <w:rPr>
          <w:rFonts w:ascii="Times New Roman" w:hAnsi="Times New Roman" w:cs="Times New Roman"/>
          <w:color w:val="000000" w:themeColor="text1"/>
          <w:kern w:val="24"/>
          <w:sz w:val="24"/>
          <w:szCs w:val="24"/>
        </w:rPr>
        <w:t xml:space="preserve"> should fund student debt relief for the TVET sector.</w:t>
      </w:r>
    </w:p>
    <w:p w:rsidR="005D4448" w:rsidRPr="003E2516" w:rsidRDefault="005D4448" w:rsidP="003E2516">
      <w:pPr>
        <w:kinsoku w:val="0"/>
        <w:overflowPunct w:val="0"/>
        <w:spacing w:before="120" w:after="120" w:line="240" w:lineRule="auto"/>
        <w:ind w:left="720" w:hanging="630"/>
        <w:jc w:val="both"/>
        <w:textAlignment w:val="baseline"/>
        <w:rPr>
          <w:rFonts w:ascii="Times New Roman" w:hAnsi="Times New Roman" w:cs="Times New Roman"/>
          <w:color w:val="000000" w:themeColor="text1"/>
          <w:kern w:val="24"/>
          <w:sz w:val="24"/>
          <w:szCs w:val="24"/>
        </w:rPr>
      </w:pP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DA5364" w:rsidRPr="003E2516">
        <w:rPr>
          <w:rFonts w:ascii="Times New Roman" w:hAnsi="Times New Roman" w:cs="Times New Roman"/>
          <w:b/>
          <w:color w:val="000000" w:themeColor="text1"/>
          <w:kern w:val="24"/>
          <w:sz w:val="24"/>
          <w:szCs w:val="24"/>
        </w:rPr>
        <w:t xml:space="preserve">.4. Other </w:t>
      </w:r>
      <w:r w:rsidR="004269A4" w:rsidRPr="003E2516">
        <w:rPr>
          <w:rFonts w:ascii="Times New Roman" w:hAnsi="Times New Roman" w:cs="Times New Roman"/>
          <w:b/>
          <w:color w:val="000000" w:themeColor="text1"/>
          <w:kern w:val="24"/>
          <w:sz w:val="24"/>
          <w:szCs w:val="24"/>
        </w:rPr>
        <w:t>observations</w:t>
      </w: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DA5364" w:rsidRPr="003E2516">
        <w:rPr>
          <w:rFonts w:ascii="Times New Roman" w:hAnsi="Times New Roman" w:cs="Times New Roman"/>
          <w:b/>
          <w:color w:val="000000" w:themeColor="text1"/>
          <w:kern w:val="24"/>
          <w:sz w:val="24"/>
          <w:szCs w:val="24"/>
        </w:rPr>
        <w:t>.4.1. Programme 1: Administration</w:t>
      </w: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sz w:val="24"/>
          <w:szCs w:val="24"/>
          <w:lang w:val="en-US"/>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color w:val="000000" w:themeColor="text1"/>
          <w:kern w:val="24"/>
          <w:sz w:val="24"/>
          <w:szCs w:val="24"/>
        </w:rPr>
        <w:t>.4.1.1.</w:t>
      </w:r>
      <w:r w:rsidR="00DA5364" w:rsidRPr="003E2516">
        <w:rPr>
          <w:rFonts w:ascii="Times New Roman" w:hAnsi="Times New Roman" w:cs="Times New Roman"/>
          <w:sz w:val="24"/>
          <w:szCs w:val="24"/>
          <w:lang w:val="en-US"/>
        </w:rPr>
        <w:t xml:space="preserve"> The </w:t>
      </w:r>
      <w:r w:rsidR="00341F50" w:rsidRPr="003E2516">
        <w:rPr>
          <w:rFonts w:ascii="Times New Roman" w:hAnsi="Times New Roman" w:cs="Times New Roman"/>
          <w:sz w:val="24"/>
          <w:szCs w:val="24"/>
          <w:lang w:val="en-US"/>
        </w:rPr>
        <w:t>meeting</w:t>
      </w:r>
      <w:r w:rsidR="00DA5364" w:rsidRPr="003E2516">
        <w:rPr>
          <w:rFonts w:ascii="Times New Roman" w:hAnsi="Times New Roman" w:cs="Times New Roman"/>
          <w:sz w:val="24"/>
          <w:szCs w:val="24"/>
          <w:lang w:val="en-US"/>
        </w:rPr>
        <w:t xml:space="preserve"> note</w:t>
      </w:r>
      <w:r w:rsidR="006C3AD8" w:rsidRPr="003E2516">
        <w:rPr>
          <w:rFonts w:ascii="Times New Roman" w:hAnsi="Times New Roman" w:cs="Times New Roman"/>
          <w:sz w:val="24"/>
          <w:szCs w:val="24"/>
          <w:lang w:val="en-US"/>
        </w:rPr>
        <w:t>d</w:t>
      </w:r>
      <w:r w:rsidR="00DA5364" w:rsidRPr="003E2516">
        <w:rPr>
          <w:rFonts w:ascii="Times New Roman" w:hAnsi="Times New Roman" w:cs="Times New Roman"/>
          <w:sz w:val="24"/>
          <w:szCs w:val="24"/>
          <w:lang w:val="en-US"/>
        </w:rPr>
        <w:t xml:space="preserve"> that the budget allocation for sub-programme 5: Internal Audit </w:t>
      </w:r>
      <w:r w:rsidR="00DA5364" w:rsidRPr="003E2516">
        <w:rPr>
          <w:rFonts w:ascii="Times New Roman" w:hAnsi="Times New Roman" w:cs="Times New Roman"/>
          <w:sz w:val="24"/>
          <w:szCs w:val="24"/>
          <w:lang w:val="en-US"/>
        </w:rPr>
        <w:tab/>
        <w:t>ha</w:t>
      </w:r>
      <w:r w:rsidR="006C3AD8" w:rsidRPr="003E2516">
        <w:rPr>
          <w:rFonts w:ascii="Times New Roman" w:hAnsi="Times New Roman" w:cs="Times New Roman"/>
          <w:sz w:val="24"/>
          <w:szCs w:val="24"/>
          <w:lang w:val="en-US"/>
        </w:rPr>
        <w:t>d</w:t>
      </w:r>
      <w:r w:rsidR="00DA5364" w:rsidRPr="003E2516">
        <w:rPr>
          <w:rFonts w:ascii="Times New Roman" w:hAnsi="Times New Roman" w:cs="Times New Roman"/>
          <w:sz w:val="24"/>
          <w:szCs w:val="24"/>
          <w:lang w:val="en-US"/>
        </w:rPr>
        <w:t xml:space="preserve"> been cut by R1 million, from R9.2 million in 2016/17 to R</w:t>
      </w:r>
      <w:r w:rsidR="006C3AD8" w:rsidRPr="003E2516">
        <w:rPr>
          <w:rFonts w:ascii="Times New Roman" w:hAnsi="Times New Roman" w:cs="Times New Roman"/>
          <w:sz w:val="24"/>
          <w:szCs w:val="24"/>
          <w:lang w:val="en-US"/>
        </w:rPr>
        <w:t xml:space="preserve">8.2 million. The </w:t>
      </w:r>
      <w:r w:rsidR="006C3AD8" w:rsidRPr="003E2516">
        <w:rPr>
          <w:rFonts w:ascii="Times New Roman" w:hAnsi="Times New Roman" w:cs="Times New Roman"/>
          <w:sz w:val="24"/>
          <w:szCs w:val="24"/>
          <w:lang w:val="en-US"/>
        </w:rPr>
        <w:tab/>
        <w:t>Department had</w:t>
      </w:r>
      <w:r w:rsidR="00DA5364" w:rsidRPr="003E2516">
        <w:rPr>
          <w:rFonts w:ascii="Times New Roman" w:hAnsi="Times New Roman" w:cs="Times New Roman"/>
          <w:sz w:val="24"/>
          <w:szCs w:val="24"/>
          <w:lang w:val="en-US"/>
        </w:rPr>
        <w:t xml:space="preserve"> planned to achieve </w:t>
      </w:r>
      <w:r w:rsidR="00DA5364" w:rsidRPr="003E2516">
        <w:rPr>
          <w:rFonts w:ascii="Times New Roman" w:hAnsi="Times New Roman" w:cs="Times New Roman"/>
          <w:sz w:val="24"/>
          <w:szCs w:val="24"/>
          <w:lang w:val="en-US"/>
        </w:rPr>
        <w:tab/>
        <w:t xml:space="preserve">a clean audit by 2019/20 and there </w:t>
      </w:r>
      <w:r w:rsidR="006C3AD8" w:rsidRPr="003E2516">
        <w:rPr>
          <w:rFonts w:ascii="Times New Roman" w:hAnsi="Times New Roman" w:cs="Times New Roman"/>
          <w:sz w:val="24"/>
          <w:szCs w:val="24"/>
          <w:lang w:val="en-US"/>
        </w:rPr>
        <w:t>we</w:t>
      </w:r>
      <w:r w:rsidR="00DA5364" w:rsidRPr="003E2516">
        <w:rPr>
          <w:rFonts w:ascii="Times New Roman" w:hAnsi="Times New Roman" w:cs="Times New Roman"/>
          <w:sz w:val="24"/>
          <w:szCs w:val="24"/>
          <w:lang w:val="en-US"/>
        </w:rPr>
        <w:t xml:space="preserve">re audit </w:t>
      </w:r>
      <w:r w:rsidR="00DA5364" w:rsidRPr="003E2516">
        <w:rPr>
          <w:rFonts w:ascii="Times New Roman" w:hAnsi="Times New Roman" w:cs="Times New Roman"/>
          <w:sz w:val="24"/>
          <w:szCs w:val="24"/>
          <w:lang w:val="en-US"/>
        </w:rPr>
        <w:tab/>
        <w:t xml:space="preserve">findings to be addressed. The Department </w:t>
      </w:r>
      <w:r w:rsidR="006C3AD8" w:rsidRPr="003E2516">
        <w:rPr>
          <w:rFonts w:ascii="Times New Roman" w:hAnsi="Times New Roman" w:cs="Times New Roman"/>
          <w:sz w:val="24"/>
          <w:szCs w:val="24"/>
          <w:lang w:val="en-US"/>
        </w:rPr>
        <w:t>had</w:t>
      </w:r>
      <w:r w:rsidR="00DA5364" w:rsidRPr="003E2516">
        <w:rPr>
          <w:rFonts w:ascii="Times New Roman" w:hAnsi="Times New Roman" w:cs="Times New Roman"/>
          <w:sz w:val="24"/>
          <w:szCs w:val="24"/>
          <w:lang w:val="en-US"/>
        </w:rPr>
        <w:t xml:space="preserve"> to put systems in place to address </w:t>
      </w:r>
      <w:r w:rsidR="00DA5364" w:rsidRPr="003E2516">
        <w:rPr>
          <w:rFonts w:ascii="Times New Roman" w:hAnsi="Times New Roman" w:cs="Times New Roman"/>
          <w:sz w:val="24"/>
          <w:szCs w:val="24"/>
          <w:lang w:val="en-US"/>
        </w:rPr>
        <w:tab/>
        <w:t xml:space="preserve">these audit findings to ensure there is no recurrence. The reduction in the budget </w:t>
      </w:r>
      <w:r w:rsidR="00DA5364" w:rsidRPr="003E2516">
        <w:rPr>
          <w:rFonts w:ascii="Times New Roman" w:hAnsi="Times New Roman" w:cs="Times New Roman"/>
          <w:sz w:val="24"/>
          <w:szCs w:val="24"/>
          <w:lang w:val="en-US"/>
        </w:rPr>
        <w:tab/>
        <w:t xml:space="preserve">for this sub-programme may impact negatively on the work of the Internal Audit. </w:t>
      </w: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sz w:val="24"/>
          <w:szCs w:val="24"/>
          <w:lang w:val="en-US"/>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lang w:val="en-US"/>
        </w:rPr>
        <w:t xml:space="preserve">.4.1.2. The Department has not been adequately funded for its internal operations, and its </w:t>
      </w:r>
      <w:r w:rsidR="00DA5364" w:rsidRPr="003E2516">
        <w:rPr>
          <w:rFonts w:ascii="Times New Roman" w:hAnsi="Times New Roman" w:cs="Times New Roman"/>
          <w:sz w:val="24"/>
          <w:szCs w:val="24"/>
          <w:lang w:val="en-US"/>
        </w:rPr>
        <w:tab/>
        <w:t xml:space="preserve">organisational structure could not be implemented to improve human capacity. This </w:t>
      </w:r>
      <w:r w:rsidR="00DA5364" w:rsidRPr="003E2516">
        <w:rPr>
          <w:rFonts w:ascii="Times New Roman" w:hAnsi="Times New Roman" w:cs="Times New Roman"/>
          <w:sz w:val="24"/>
          <w:szCs w:val="24"/>
          <w:lang w:val="en-US"/>
        </w:rPr>
        <w:tab/>
        <w:t xml:space="preserve">has impacted on the filling of </w:t>
      </w:r>
      <w:r w:rsidR="00DA5364" w:rsidRPr="003E2516">
        <w:rPr>
          <w:rFonts w:ascii="Times New Roman" w:hAnsi="Times New Roman" w:cs="Times New Roman"/>
          <w:sz w:val="24"/>
          <w:szCs w:val="24"/>
          <w:lang w:val="en-US"/>
        </w:rPr>
        <w:tab/>
        <w:t xml:space="preserve">vacancies as well as the target to resolve disciplinary </w:t>
      </w:r>
      <w:r w:rsidR="00DA5364" w:rsidRPr="003E2516">
        <w:rPr>
          <w:rFonts w:ascii="Times New Roman" w:hAnsi="Times New Roman" w:cs="Times New Roman"/>
          <w:sz w:val="24"/>
          <w:szCs w:val="24"/>
          <w:lang w:val="en-US"/>
        </w:rPr>
        <w:tab/>
        <w:t xml:space="preserve">cases within set time frames.  </w:t>
      </w: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sz w:val="24"/>
          <w:szCs w:val="24"/>
          <w:lang w:val="en-US"/>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lang w:val="en-US"/>
        </w:rPr>
        <w:t>.4.1.3. The ability of the Department t</w:t>
      </w:r>
      <w:r w:rsidR="006C3AD8" w:rsidRPr="003E2516">
        <w:rPr>
          <w:rFonts w:ascii="Times New Roman" w:hAnsi="Times New Roman" w:cs="Times New Roman"/>
          <w:sz w:val="24"/>
          <w:szCs w:val="24"/>
          <w:lang w:val="en-US"/>
        </w:rPr>
        <w:t>o implement its oversight role wa</w:t>
      </w:r>
      <w:r w:rsidR="00DA5364" w:rsidRPr="003E2516">
        <w:rPr>
          <w:rFonts w:ascii="Times New Roman" w:hAnsi="Times New Roman" w:cs="Times New Roman"/>
          <w:sz w:val="24"/>
          <w:szCs w:val="24"/>
          <w:lang w:val="en-US"/>
        </w:rPr>
        <w:t xml:space="preserve">s also being seriously </w:t>
      </w:r>
      <w:r w:rsidR="00DA5364" w:rsidRPr="003E2516">
        <w:rPr>
          <w:rFonts w:ascii="Times New Roman" w:hAnsi="Times New Roman" w:cs="Times New Roman"/>
          <w:sz w:val="24"/>
          <w:szCs w:val="24"/>
          <w:lang w:val="en-US"/>
        </w:rPr>
        <w:tab/>
        <w:t xml:space="preserve">compromised </w:t>
      </w:r>
      <w:r w:rsidR="00DA5364" w:rsidRPr="003E2516">
        <w:rPr>
          <w:rFonts w:ascii="Times New Roman" w:hAnsi="Times New Roman" w:cs="Times New Roman"/>
          <w:sz w:val="24"/>
          <w:szCs w:val="24"/>
          <w:lang w:val="en-GB"/>
        </w:rPr>
        <w:t xml:space="preserve">due to inadequate </w:t>
      </w:r>
      <w:r w:rsidR="004F423D" w:rsidRPr="003E2516">
        <w:rPr>
          <w:rFonts w:ascii="Times New Roman" w:hAnsi="Times New Roman" w:cs="Times New Roman"/>
          <w:sz w:val="24"/>
          <w:szCs w:val="24"/>
          <w:lang w:val="en-GB"/>
        </w:rPr>
        <w:t>funding</w:t>
      </w:r>
      <w:r w:rsidR="00DA5364" w:rsidRPr="003E2516">
        <w:rPr>
          <w:rFonts w:ascii="Times New Roman" w:hAnsi="Times New Roman" w:cs="Times New Roman"/>
          <w:sz w:val="24"/>
          <w:szCs w:val="24"/>
          <w:lang w:val="en-US"/>
        </w:rPr>
        <w:t>.</w:t>
      </w:r>
    </w:p>
    <w:p w:rsidR="00DB08A3" w:rsidRPr="003E2516" w:rsidRDefault="00DB08A3"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b/>
          <w:color w:val="000000" w:themeColor="text1"/>
          <w:kern w:val="24"/>
          <w:sz w:val="24"/>
          <w:szCs w:val="24"/>
        </w:rPr>
      </w:pPr>
      <w:r w:rsidRPr="003E2516">
        <w:rPr>
          <w:rFonts w:ascii="Times New Roman" w:hAnsi="Times New Roman" w:cs="Times New Roman"/>
          <w:b/>
          <w:color w:val="000000" w:themeColor="text1"/>
          <w:kern w:val="24"/>
          <w:sz w:val="24"/>
          <w:szCs w:val="24"/>
        </w:rPr>
        <w:t>7</w:t>
      </w:r>
      <w:r w:rsidR="00DA5364" w:rsidRPr="003E2516">
        <w:rPr>
          <w:rFonts w:ascii="Times New Roman" w:hAnsi="Times New Roman" w:cs="Times New Roman"/>
          <w:b/>
          <w:sz w:val="24"/>
          <w:szCs w:val="24"/>
          <w:lang w:val="en-US"/>
        </w:rPr>
        <w:t>.4.2. Programme 3: University Education</w:t>
      </w:r>
    </w:p>
    <w:p w:rsidR="00DA5364" w:rsidRPr="003E2516" w:rsidRDefault="00A76AE5" w:rsidP="003E2516">
      <w:pPr>
        <w:kinsoku w:val="0"/>
        <w:overflowPunct w:val="0"/>
        <w:spacing w:before="120" w:after="120" w:line="240" w:lineRule="auto"/>
        <w:jc w:val="both"/>
        <w:textAlignment w:val="baseline"/>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color w:val="000000" w:themeColor="text1"/>
          <w:kern w:val="24"/>
          <w:sz w:val="24"/>
          <w:szCs w:val="24"/>
        </w:rPr>
        <w:t xml:space="preserve">.4.2.1. The </w:t>
      </w:r>
      <w:r w:rsidR="00341F50" w:rsidRPr="003E2516">
        <w:rPr>
          <w:rFonts w:ascii="Times New Roman" w:hAnsi="Times New Roman" w:cs="Times New Roman"/>
          <w:color w:val="000000" w:themeColor="text1"/>
          <w:kern w:val="24"/>
          <w:sz w:val="24"/>
          <w:szCs w:val="24"/>
        </w:rPr>
        <w:t>meeting</w:t>
      </w:r>
      <w:r w:rsidR="00DA5364" w:rsidRPr="003E2516">
        <w:rPr>
          <w:rFonts w:ascii="Times New Roman" w:hAnsi="Times New Roman" w:cs="Times New Roman"/>
          <w:color w:val="000000" w:themeColor="text1"/>
          <w:kern w:val="24"/>
          <w:sz w:val="24"/>
          <w:szCs w:val="24"/>
        </w:rPr>
        <w:t xml:space="preserve"> note</w:t>
      </w:r>
      <w:r w:rsidR="006C3AD8" w:rsidRPr="003E2516">
        <w:rPr>
          <w:rFonts w:ascii="Times New Roman" w:hAnsi="Times New Roman" w:cs="Times New Roman"/>
          <w:color w:val="000000" w:themeColor="text1"/>
          <w:kern w:val="24"/>
          <w:sz w:val="24"/>
          <w:szCs w:val="24"/>
        </w:rPr>
        <w:t xml:space="preserve">d </w:t>
      </w:r>
      <w:r w:rsidR="00DA5364" w:rsidRPr="003E2516">
        <w:rPr>
          <w:rFonts w:ascii="Times New Roman" w:hAnsi="Times New Roman" w:cs="Times New Roman"/>
          <w:color w:val="000000" w:themeColor="text1"/>
          <w:kern w:val="24"/>
          <w:sz w:val="24"/>
          <w:szCs w:val="24"/>
        </w:rPr>
        <w:t>a significant progress ha</w:t>
      </w:r>
      <w:r w:rsidR="006C3AD8" w:rsidRPr="003E2516">
        <w:rPr>
          <w:rFonts w:ascii="Times New Roman" w:hAnsi="Times New Roman" w:cs="Times New Roman"/>
          <w:color w:val="000000" w:themeColor="text1"/>
          <w:kern w:val="24"/>
          <w:sz w:val="24"/>
          <w:szCs w:val="24"/>
        </w:rPr>
        <w:t>d</w:t>
      </w:r>
      <w:r w:rsidR="00DA5364" w:rsidRPr="003E2516">
        <w:rPr>
          <w:rFonts w:ascii="Times New Roman" w:hAnsi="Times New Roman" w:cs="Times New Roman"/>
          <w:color w:val="000000" w:themeColor="text1"/>
          <w:kern w:val="24"/>
          <w:sz w:val="24"/>
          <w:szCs w:val="24"/>
        </w:rPr>
        <w:t xml:space="preserve"> been made annually in working </w:t>
      </w:r>
      <w:r w:rsidR="00DA5364" w:rsidRPr="003E2516">
        <w:rPr>
          <w:rFonts w:ascii="Times New Roman" w:hAnsi="Times New Roman" w:cs="Times New Roman"/>
          <w:color w:val="000000" w:themeColor="text1"/>
          <w:kern w:val="24"/>
          <w:sz w:val="24"/>
          <w:szCs w:val="24"/>
        </w:rPr>
        <w:tab/>
        <w:t>towards achieving the MTSF targets by 2019/20. Significant achievement</w:t>
      </w:r>
      <w:r w:rsidR="00825263" w:rsidRPr="003E2516">
        <w:rPr>
          <w:rFonts w:ascii="Times New Roman" w:hAnsi="Times New Roman" w:cs="Times New Roman"/>
          <w:color w:val="000000" w:themeColor="text1"/>
          <w:kern w:val="24"/>
          <w:sz w:val="24"/>
          <w:szCs w:val="24"/>
        </w:rPr>
        <w:t>s</w:t>
      </w:r>
      <w:r w:rsidR="00DA5364" w:rsidRPr="003E2516">
        <w:rPr>
          <w:rFonts w:ascii="Times New Roman" w:hAnsi="Times New Roman" w:cs="Times New Roman"/>
          <w:color w:val="000000" w:themeColor="text1"/>
          <w:kern w:val="24"/>
          <w:sz w:val="24"/>
          <w:szCs w:val="24"/>
        </w:rPr>
        <w:t xml:space="preserve"> for the </w:t>
      </w:r>
      <w:r w:rsidR="00DA5364" w:rsidRPr="003E2516">
        <w:rPr>
          <w:rFonts w:ascii="Times New Roman" w:hAnsi="Times New Roman" w:cs="Times New Roman"/>
          <w:color w:val="000000" w:themeColor="text1"/>
          <w:kern w:val="24"/>
          <w:sz w:val="24"/>
          <w:szCs w:val="24"/>
        </w:rPr>
        <w:tab/>
        <w:t>2015/16 – 2016/17 include: increased g</w:t>
      </w:r>
      <w:r w:rsidR="00DA5364" w:rsidRPr="003E2516">
        <w:rPr>
          <w:rFonts w:ascii="Times New Roman" w:hAnsi="Times New Roman" w:cs="Times New Roman"/>
          <w:sz w:val="24"/>
          <w:szCs w:val="24"/>
        </w:rPr>
        <w:t xml:space="preserve">raduate numbers in Engineering Sciences: </w:t>
      </w:r>
      <w:r w:rsidR="00DA5364" w:rsidRPr="003E2516">
        <w:rPr>
          <w:rFonts w:ascii="Times New Roman" w:hAnsi="Times New Roman" w:cs="Times New Roman"/>
          <w:sz w:val="24"/>
          <w:szCs w:val="24"/>
        </w:rPr>
        <w:tab/>
        <w:t xml:space="preserve">24 528; Human Health and Animal Health: 18 833; Natural and Physical Sciences: </w:t>
      </w:r>
      <w:r w:rsidR="00DA5364" w:rsidRPr="003E2516">
        <w:rPr>
          <w:rFonts w:ascii="Times New Roman" w:hAnsi="Times New Roman" w:cs="Times New Roman"/>
          <w:sz w:val="24"/>
          <w:szCs w:val="24"/>
        </w:rPr>
        <w:tab/>
        <w:t xml:space="preserve">15 176; Initial Teacher Education: 39 822; Research Masters: 13 729 and Doctoral </w:t>
      </w:r>
      <w:r w:rsidR="00DA5364" w:rsidRPr="003E2516">
        <w:rPr>
          <w:rFonts w:ascii="Times New Roman" w:hAnsi="Times New Roman" w:cs="Times New Roman"/>
          <w:sz w:val="24"/>
          <w:szCs w:val="24"/>
        </w:rPr>
        <w:tab/>
        <w:t>graduates: 6 509.</w:t>
      </w:r>
    </w:p>
    <w:p w:rsidR="00DA5364" w:rsidRPr="003E2516" w:rsidRDefault="00A76AE5"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 xml:space="preserve">.4.2.2. The construction of the two new Universities, University of Mpumalanga and Sol </w:t>
      </w:r>
      <w:r w:rsidR="00DA5364" w:rsidRPr="003E2516">
        <w:rPr>
          <w:rFonts w:ascii="Times New Roman" w:hAnsi="Times New Roman" w:cs="Times New Roman"/>
          <w:sz w:val="24"/>
          <w:szCs w:val="24"/>
        </w:rPr>
        <w:tab/>
        <w:t xml:space="preserve">Plaatje University </w:t>
      </w:r>
      <w:r w:rsidR="006C3AD8" w:rsidRPr="003E2516">
        <w:rPr>
          <w:rFonts w:ascii="Times New Roman" w:hAnsi="Times New Roman" w:cs="Times New Roman"/>
          <w:sz w:val="24"/>
          <w:szCs w:val="24"/>
        </w:rPr>
        <w:t>had</w:t>
      </w:r>
      <w:r w:rsidR="00825263" w:rsidRPr="003E2516">
        <w:rPr>
          <w:rFonts w:ascii="Times New Roman" w:hAnsi="Times New Roman" w:cs="Times New Roman"/>
          <w:sz w:val="24"/>
          <w:szCs w:val="24"/>
        </w:rPr>
        <w:t xml:space="preserve"> been</w:t>
      </w:r>
      <w:r w:rsidR="00DA5364" w:rsidRPr="003E2516">
        <w:rPr>
          <w:rFonts w:ascii="Times New Roman" w:hAnsi="Times New Roman" w:cs="Times New Roman"/>
          <w:sz w:val="24"/>
          <w:szCs w:val="24"/>
        </w:rPr>
        <w:t xml:space="preserve"> underway since 2014. The Department ha</w:t>
      </w:r>
      <w:r w:rsidR="006C3AD8" w:rsidRPr="003E2516">
        <w:rPr>
          <w:rFonts w:ascii="Times New Roman" w:hAnsi="Times New Roman" w:cs="Times New Roman"/>
          <w:sz w:val="24"/>
          <w:szCs w:val="24"/>
        </w:rPr>
        <w:t>d</w:t>
      </w:r>
      <w:r w:rsidR="00DA5364" w:rsidRPr="003E2516">
        <w:rPr>
          <w:rFonts w:ascii="Times New Roman" w:hAnsi="Times New Roman" w:cs="Times New Roman"/>
          <w:sz w:val="24"/>
          <w:szCs w:val="24"/>
        </w:rPr>
        <w:t xml:space="preserve"> allocated </w:t>
      </w:r>
      <w:r w:rsidR="00825263" w:rsidRPr="003E2516">
        <w:rPr>
          <w:rFonts w:ascii="Times New Roman" w:hAnsi="Times New Roman" w:cs="Times New Roman"/>
          <w:sz w:val="24"/>
          <w:szCs w:val="24"/>
        </w:rPr>
        <w:tab/>
      </w:r>
      <w:r w:rsidR="00DA5364" w:rsidRPr="003E2516">
        <w:rPr>
          <w:rFonts w:ascii="Times New Roman" w:hAnsi="Times New Roman" w:cs="Times New Roman"/>
          <w:sz w:val="24"/>
          <w:szCs w:val="24"/>
        </w:rPr>
        <w:t xml:space="preserve">R3.02 billion over the 2017/18-2019/20 medium term for funding of infrastructure </w:t>
      </w:r>
      <w:r w:rsidR="00825263" w:rsidRPr="003E2516">
        <w:rPr>
          <w:rFonts w:ascii="Times New Roman" w:hAnsi="Times New Roman" w:cs="Times New Roman"/>
          <w:sz w:val="24"/>
          <w:szCs w:val="24"/>
        </w:rPr>
        <w:tab/>
      </w:r>
      <w:r w:rsidR="00DA5364" w:rsidRPr="003E2516">
        <w:rPr>
          <w:rFonts w:ascii="Times New Roman" w:hAnsi="Times New Roman" w:cs="Times New Roman"/>
          <w:sz w:val="24"/>
          <w:szCs w:val="24"/>
        </w:rPr>
        <w:t xml:space="preserve">development projects at these universities. </w:t>
      </w:r>
      <w:r w:rsidR="00DA5364" w:rsidRPr="003E2516">
        <w:rPr>
          <w:rFonts w:ascii="Times New Roman" w:eastAsia="Times New Roman" w:hAnsi="Times New Roman" w:cs="Times New Roman"/>
          <w:color w:val="000000"/>
          <w:sz w:val="24"/>
          <w:szCs w:val="24"/>
          <w:lang w:val="en"/>
        </w:rPr>
        <w:t xml:space="preserve">The full development of the institutions </w:t>
      </w:r>
      <w:r w:rsidR="00825263" w:rsidRPr="003E2516">
        <w:rPr>
          <w:rFonts w:ascii="Times New Roman" w:eastAsia="Times New Roman" w:hAnsi="Times New Roman" w:cs="Times New Roman"/>
          <w:color w:val="000000"/>
          <w:sz w:val="24"/>
          <w:szCs w:val="24"/>
          <w:lang w:val="en"/>
        </w:rPr>
        <w:tab/>
      </w:r>
      <w:r w:rsidR="00DA5364" w:rsidRPr="003E2516">
        <w:rPr>
          <w:rFonts w:ascii="Times New Roman" w:eastAsia="Times New Roman" w:hAnsi="Times New Roman" w:cs="Times New Roman"/>
          <w:color w:val="000000"/>
          <w:sz w:val="24"/>
          <w:szCs w:val="24"/>
          <w:lang w:val="en"/>
        </w:rPr>
        <w:t>requires significant further investment over the</w:t>
      </w:r>
      <w:r w:rsidR="004F423D" w:rsidRPr="003E2516">
        <w:rPr>
          <w:rFonts w:ascii="Times New Roman" w:eastAsia="Times New Roman" w:hAnsi="Times New Roman" w:cs="Times New Roman"/>
          <w:color w:val="000000"/>
          <w:sz w:val="24"/>
          <w:szCs w:val="24"/>
          <w:lang w:val="en"/>
        </w:rPr>
        <w:t xml:space="preserve"> next</w:t>
      </w:r>
      <w:r w:rsidR="00DA5364" w:rsidRPr="003E2516">
        <w:rPr>
          <w:rFonts w:ascii="Times New Roman" w:eastAsia="Times New Roman" w:hAnsi="Times New Roman" w:cs="Times New Roman"/>
          <w:color w:val="000000"/>
          <w:sz w:val="24"/>
          <w:szCs w:val="24"/>
          <w:lang w:val="en"/>
        </w:rPr>
        <w:t xml:space="preserve"> ten-year</w:t>
      </w:r>
      <w:r w:rsidR="004F423D" w:rsidRPr="003E2516">
        <w:rPr>
          <w:rFonts w:ascii="Times New Roman" w:eastAsia="Times New Roman" w:hAnsi="Times New Roman" w:cs="Times New Roman"/>
          <w:color w:val="000000"/>
          <w:sz w:val="24"/>
          <w:szCs w:val="24"/>
          <w:lang w:val="en"/>
        </w:rPr>
        <w:t>s</w:t>
      </w:r>
      <w:r w:rsidR="00DA5364" w:rsidRPr="003E2516">
        <w:rPr>
          <w:rFonts w:ascii="Times New Roman" w:eastAsia="Times New Roman" w:hAnsi="Times New Roman" w:cs="Times New Roman"/>
          <w:color w:val="000000"/>
          <w:sz w:val="24"/>
          <w:szCs w:val="24"/>
          <w:lang w:val="en"/>
        </w:rPr>
        <w:t xml:space="preserve">. Total capital and </w:t>
      </w:r>
      <w:r w:rsidR="00825263" w:rsidRPr="003E2516">
        <w:rPr>
          <w:rFonts w:ascii="Times New Roman" w:eastAsia="Times New Roman" w:hAnsi="Times New Roman" w:cs="Times New Roman"/>
          <w:color w:val="000000"/>
          <w:sz w:val="24"/>
          <w:szCs w:val="24"/>
          <w:lang w:val="en"/>
        </w:rPr>
        <w:tab/>
      </w:r>
      <w:r w:rsidR="00DA5364" w:rsidRPr="003E2516">
        <w:rPr>
          <w:rFonts w:ascii="Times New Roman" w:eastAsia="Times New Roman" w:hAnsi="Times New Roman" w:cs="Times New Roman"/>
          <w:color w:val="000000"/>
          <w:sz w:val="24"/>
          <w:szCs w:val="24"/>
          <w:lang w:val="en"/>
        </w:rPr>
        <w:t>operational costs were estimated to be about R6.6 billion for the Northern Cape (5</w:t>
      </w:r>
      <w:r w:rsidR="00825263" w:rsidRPr="003E2516">
        <w:rPr>
          <w:rFonts w:ascii="Times New Roman" w:eastAsia="Times New Roman" w:hAnsi="Times New Roman" w:cs="Times New Roman"/>
          <w:color w:val="000000"/>
          <w:sz w:val="24"/>
          <w:szCs w:val="24"/>
          <w:lang w:val="en"/>
        </w:rPr>
        <w:t> </w:t>
      </w:r>
      <w:r w:rsidR="00DA5364" w:rsidRPr="003E2516">
        <w:rPr>
          <w:rFonts w:ascii="Times New Roman" w:eastAsia="Times New Roman" w:hAnsi="Times New Roman" w:cs="Times New Roman"/>
          <w:color w:val="000000"/>
          <w:sz w:val="24"/>
          <w:szCs w:val="24"/>
          <w:lang w:val="en"/>
        </w:rPr>
        <w:t xml:space="preserve">000 </w:t>
      </w:r>
      <w:r w:rsidR="00825263" w:rsidRPr="003E2516">
        <w:rPr>
          <w:rFonts w:ascii="Times New Roman" w:eastAsia="Times New Roman" w:hAnsi="Times New Roman" w:cs="Times New Roman"/>
          <w:color w:val="000000"/>
          <w:sz w:val="24"/>
          <w:szCs w:val="24"/>
          <w:lang w:val="en"/>
        </w:rPr>
        <w:tab/>
      </w:r>
      <w:r w:rsidR="00DA5364" w:rsidRPr="003E2516">
        <w:rPr>
          <w:rFonts w:ascii="Times New Roman" w:eastAsia="Times New Roman" w:hAnsi="Times New Roman" w:cs="Times New Roman"/>
          <w:color w:val="000000"/>
          <w:sz w:val="24"/>
          <w:szCs w:val="24"/>
          <w:lang w:val="en"/>
        </w:rPr>
        <w:t xml:space="preserve">Full Time Equivalents students) and about R10.3 billion for Mpumalanga (15 000 FTE </w:t>
      </w:r>
      <w:r w:rsidR="00825263" w:rsidRPr="003E2516">
        <w:rPr>
          <w:rFonts w:ascii="Times New Roman" w:eastAsia="Times New Roman" w:hAnsi="Times New Roman" w:cs="Times New Roman"/>
          <w:color w:val="000000"/>
          <w:sz w:val="24"/>
          <w:szCs w:val="24"/>
          <w:lang w:val="en"/>
        </w:rPr>
        <w:tab/>
      </w:r>
      <w:r w:rsidR="00DA5364" w:rsidRPr="003E2516">
        <w:rPr>
          <w:rFonts w:ascii="Times New Roman" w:eastAsia="Times New Roman" w:hAnsi="Times New Roman" w:cs="Times New Roman"/>
          <w:color w:val="000000"/>
          <w:sz w:val="24"/>
          <w:szCs w:val="24"/>
          <w:lang w:val="en"/>
        </w:rPr>
        <w:t>students).</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.4.2.3. Though the University Programme received an incre</w:t>
      </w:r>
      <w:r w:rsidR="00773B12" w:rsidRPr="003E2516">
        <w:rPr>
          <w:rFonts w:ascii="Times New Roman" w:hAnsi="Times New Roman" w:cs="Times New Roman"/>
          <w:sz w:val="24"/>
          <w:szCs w:val="24"/>
        </w:rPr>
        <w:t>ase of R2.4 billion</w:t>
      </w:r>
      <w:r w:rsidR="005D4448" w:rsidRPr="003E2516">
        <w:rPr>
          <w:rFonts w:ascii="Times New Roman" w:hAnsi="Times New Roman" w:cs="Times New Roman"/>
          <w:sz w:val="24"/>
          <w:szCs w:val="24"/>
        </w:rPr>
        <w:t xml:space="preserve"> </w:t>
      </w:r>
      <w:r w:rsidR="004F423D" w:rsidRPr="003E2516">
        <w:rPr>
          <w:rFonts w:ascii="Times New Roman" w:hAnsi="Times New Roman" w:cs="Times New Roman"/>
          <w:sz w:val="24"/>
          <w:szCs w:val="24"/>
        </w:rPr>
        <w:t>(</w:t>
      </w:r>
      <w:r w:rsidR="00773B12" w:rsidRPr="003E2516">
        <w:rPr>
          <w:rFonts w:ascii="Times New Roman" w:hAnsi="Times New Roman" w:cs="Times New Roman"/>
          <w:sz w:val="24"/>
          <w:szCs w:val="24"/>
        </w:rPr>
        <w:t xml:space="preserve">from R39.5 </w:t>
      </w:r>
      <w:r w:rsidR="00DA5364" w:rsidRPr="003E2516">
        <w:rPr>
          <w:rFonts w:ascii="Times New Roman" w:hAnsi="Times New Roman" w:cs="Times New Roman"/>
          <w:sz w:val="24"/>
          <w:szCs w:val="24"/>
        </w:rPr>
        <w:t>billion allocated in</w:t>
      </w:r>
      <w:r w:rsidR="006C3AD8" w:rsidRPr="003E2516">
        <w:rPr>
          <w:rFonts w:ascii="Times New Roman" w:hAnsi="Times New Roman" w:cs="Times New Roman"/>
          <w:sz w:val="24"/>
          <w:szCs w:val="24"/>
        </w:rPr>
        <w:t xml:space="preserve"> 2016/17 financial year</w:t>
      </w:r>
      <w:r w:rsidR="004F423D" w:rsidRPr="003E2516">
        <w:rPr>
          <w:rFonts w:ascii="Times New Roman" w:hAnsi="Times New Roman" w:cs="Times New Roman"/>
          <w:sz w:val="24"/>
          <w:szCs w:val="24"/>
        </w:rPr>
        <w:t>)</w:t>
      </w:r>
      <w:r w:rsidR="006C3AD8" w:rsidRPr="003E2516">
        <w:rPr>
          <w:rFonts w:ascii="Times New Roman" w:hAnsi="Times New Roman" w:cs="Times New Roman"/>
          <w:sz w:val="24"/>
          <w:szCs w:val="24"/>
        </w:rPr>
        <w:t>, which wa</w:t>
      </w:r>
      <w:r w:rsidR="00DA5364" w:rsidRPr="003E2516">
        <w:rPr>
          <w:rFonts w:ascii="Times New Roman" w:hAnsi="Times New Roman" w:cs="Times New Roman"/>
          <w:sz w:val="24"/>
          <w:szCs w:val="24"/>
        </w:rPr>
        <w:t>s a 6</w:t>
      </w:r>
      <w:r w:rsidR="00773B12" w:rsidRPr="003E2516">
        <w:rPr>
          <w:rFonts w:ascii="Times New Roman" w:hAnsi="Times New Roman" w:cs="Times New Roman"/>
          <w:sz w:val="24"/>
          <w:szCs w:val="24"/>
        </w:rPr>
        <w:t xml:space="preserve">.1 percent increase in nominal </w:t>
      </w:r>
      <w:r w:rsidR="00DA5364" w:rsidRPr="003E2516">
        <w:rPr>
          <w:rFonts w:ascii="Times New Roman" w:hAnsi="Times New Roman" w:cs="Times New Roman"/>
          <w:sz w:val="24"/>
          <w:szCs w:val="24"/>
        </w:rPr>
        <w:t>terms or 0.19 percent in real terms, the budget</w:t>
      </w:r>
      <w:r w:rsidR="004F423D" w:rsidRPr="003E2516">
        <w:rPr>
          <w:rFonts w:ascii="Times New Roman" w:hAnsi="Times New Roman" w:cs="Times New Roman"/>
          <w:sz w:val="24"/>
          <w:szCs w:val="24"/>
        </w:rPr>
        <w:t xml:space="preserve"> allocation</w:t>
      </w:r>
      <w:r w:rsidR="00DA5364" w:rsidRPr="003E2516">
        <w:rPr>
          <w:rFonts w:ascii="Times New Roman" w:hAnsi="Times New Roman" w:cs="Times New Roman"/>
          <w:sz w:val="24"/>
          <w:szCs w:val="24"/>
        </w:rPr>
        <w:t xml:space="preserve"> </w:t>
      </w:r>
      <w:r w:rsidR="00884E7D" w:rsidRPr="003E2516">
        <w:rPr>
          <w:rFonts w:ascii="Times New Roman" w:hAnsi="Times New Roman" w:cs="Times New Roman"/>
          <w:sz w:val="24"/>
          <w:szCs w:val="24"/>
        </w:rPr>
        <w:t>i</w:t>
      </w:r>
      <w:r w:rsidR="00DA5364" w:rsidRPr="003E2516">
        <w:rPr>
          <w:rFonts w:ascii="Times New Roman" w:hAnsi="Times New Roman" w:cs="Times New Roman"/>
          <w:sz w:val="24"/>
          <w:szCs w:val="24"/>
        </w:rPr>
        <w:t>s not sufficient</w:t>
      </w:r>
      <w:r w:rsidR="004F423D"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It is evident that this scenario will continue until other means of funds are identified. The existing budget cuts within the three sub-programmes equating to R1.2 billion will impact negatively on service delivery within the programme. It is critical to note that R41.8 billion of the </w:t>
      </w:r>
      <w:r w:rsidR="004F423D" w:rsidRPr="003E2516">
        <w:rPr>
          <w:rFonts w:ascii="Times New Roman" w:hAnsi="Times New Roman" w:cs="Times New Roman"/>
          <w:sz w:val="24"/>
          <w:szCs w:val="24"/>
        </w:rPr>
        <w:t>allocation</w:t>
      </w:r>
      <w:r w:rsidR="00DA5364" w:rsidRPr="003E2516">
        <w:rPr>
          <w:rFonts w:ascii="Times New Roman" w:hAnsi="Times New Roman" w:cs="Times New Roman"/>
          <w:sz w:val="24"/>
          <w:szCs w:val="24"/>
        </w:rPr>
        <w:t xml:space="preserve"> goes to transfers and subsidies to institutions of higher learning and departmental agencies. Of concern is that the Department, only has R6.4 million allocated for good and services, of which R3.6 million is for travelling and subsistence. The restricted budget will impact negatively on the operations within this sub-programme and </w:t>
      </w:r>
      <w:r w:rsidR="004F423D" w:rsidRPr="003E2516">
        <w:rPr>
          <w:rFonts w:ascii="Times New Roman" w:hAnsi="Times New Roman" w:cs="Times New Roman"/>
          <w:sz w:val="24"/>
          <w:szCs w:val="24"/>
        </w:rPr>
        <w:t>may</w:t>
      </w:r>
      <w:r w:rsidR="00DA5364" w:rsidRPr="003E2516">
        <w:rPr>
          <w:rFonts w:ascii="Times New Roman" w:hAnsi="Times New Roman" w:cs="Times New Roman"/>
          <w:sz w:val="24"/>
          <w:szCs w:val="24"/>
        </w:rPr>
        <w:t xml:space="preserve"> compromise</w:t>
      </w:r>
      <w:r w:rsidR="004F423D" w:rsidRPr="003E2516">
        <w:rPr>
          <w:rFonts w:ascii="Times New Roman" w:hAnsi="Times New Roman" w:cs="Times New Roman"/>
          <w:sz w:val="24"/>
          <w:szCs w:val="24"/>
        </w:rPr>
        <w:t xml:space="preserve"> the</w:t>
      </w:r>
      <w:r w:rsidR="00DA5364" w:rsidRPr="003E2516">
        <w:rPr>
          <w:rFonts w:ascii="Times New Roman" w:hAnsi="Times New Roman" w:cs="Times New Roman"/>
          <w:sz w:val="24"/>
          <w:szCs w:val="24"/>
        </w:rPr>
        <w:t xml:space="preserve"> monitoring </w:t>
      </w:r>
      <w:r w:rsidR="004F423D" w:rsidRPr="003E2516">
        <w:rPr>
          <w:rFonts w:ascii="Times New Roman" w:hAnsi="Times New Roman" w:cs="Times New Roman"/>
          <w:sz w:val="24"/>
          <w:szCs w:val="24"/>
        </w:rPr>
        <w:t>and evaluation function of the b</w:t>
      </w:r>
      <w:r w:rsidR="00DA5364" w:rsidRPr="003E2516">
        <w:rPr>
          <w:rFonts w:ascii="Times New Roman" w:hAnsi="Times New Roman" w:cs="Times New Roman"/>
          <w:sz w:val="24"/>
          <w:szCs w:val="24"/>
        </w:rPr>
        <w:t xml:space="preserve">ranch, in particular site visits to institutions of higher </w:t>
      </w:r>
      <w:r w:rsidR="00DA5364" w:rsidRPr="003E2516">
        <w:rPr>
          <w:rFonts w:ascii="Times New Roman" w:hAnsi="Times New Roman" w:cs="Times New Roman"/>
          <w:sz w:val="24"/>
          <w:szCs w:val="24"/>
        </w:rPr>
        <w:lastRenderedPageBreak/>
        <w:t>learning to conduct qualitative verification of infrastructure development projects as well as the effective use of the earmarked grants. During the recent oversight visit to the University of Limpopo and the University of Venda, the Committee was informed o</w:t>
      </w:r>
      <w:r w:rsidR="00495637" w:rsidRPr="003E2516">
        <w:rPr>
          <w:rFonts w:ascii="Times New Roman" w:hAnsi="Times New Roman" w:cs="Times New Roman"/>
          <w:sz w:val="24"/>
          <w:szCs w:val="24"/>
        </w:rPr>
        <w:t>f poor workmanship with regard</w:t>
      </w:r>
      <w:r w:rsidR="00DA5364" w:rsidRPr="003E2516">
        <w:rPr>
          <w:rFonts w:ascii="Times New Roman" w:hAnsi="Times New Roman" w:cs="Times New Roman"/>
          <w:sz w:val="24"/>
          <w:szCs w:val="24"/>
        </w:rPr>
        <w:t xml:space="preserve"> to some infrastructure projects which could have been identified earlier in the construction process. </w:t>
      </w:r>
    </w:p>
    <w:p w:rsidR="00DA536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color w:val="000000" w:themeColor="text1"/>
          <w:kern w:val="24"/>
          <w:sz w:val="24"/>
          <w:szCs w:val="24"/>
        </w:rPr>
        <w:t>7</w:t>
      </w:r>
      <w:r w:rsidR="00DA5364" w:rsidRPr="003E2516">
        <w:rPr>
          <w:rFonts w:ascii="Times New Roman" w:hAnsi="Times New Roman" w:cs="Times New Roman"/>
          <w:b/>
          <w:sz w:val="24"/>
          <w:szCs w:val="24"/>
        </w:rPr>
        <w:t>.4.3. Technical and Vocational Education and Training</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6317FF" w:rsidRPr="003E2516">
        <w:rPr>
          <w:rFonts w:ascii="Times New Roman" w:hAnsi="Times New Roman" w:cs="Times New Roman"/>
          <w:sz w:val="24"/>
          <w:szCs w:val="24"/>
        </w:rPr>
        <w:t>.4.3.1. The MTEF target</w:t>
      </w:r>
      <w:r w:rsidR="00DA5364" w:rsidRPr="003E2516">
        <w:rPr>
          <w:rFonts w:ascii="Times New Roman" w:hAnsi="Times New Roman" w:cs="Times New Roman"/>
          <w:sz w:val="24"/>
          <w:szCs w:val="24"/>
        </w:rPr>
        <w:t xml:space="preserve"> is to have 1.2</w:t>
      </w:r>
      <w:r w:rsidR="00630026" w:rsidRPr="003E2516">
        <w:rPr>
          <w:rFonts w:ascii="Times New Roman" w:hAnsi="Times New Roman" w:cs="Times New Roman"/>
          <w:sz w:val="24"/>
          <w:szCs w:val="24"/>
        </w:rPr>
        <w:t>38</w:t>
      </w:r>
      <w:r w:rsidR="00DA5364" w:rsidRPr="003E2516">
        <w:rPr>
          <w:rFonts w:ascii="Times New Roman" w:hAnsi="Times New Roman" w:cs="Times New Roman"/>
          <w:sz w:val="24"/>
          <w:szCs w:val="24"/>
        </w:rPr>
        <w:t xml:space="preserve"> million students enrolled in the TVET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by 2019/20. However, the Department has been underperforming in this target for over 3 years. The underachievement was attributed to underfunding in terms of programmes and student funding i.e. NSFAS, inadequate physical infrastructure and human resource</w:t>
      </w:r>
      <w:r w:rsidR="004F423D" w:rsidRPr="003E2516">
        <w:rPr>
          <w:rFonts w:ascii="Times New Roman" w:hAnsi="Times New Roman" w:cs="Times New Roman"/>
          <w:sz w:val="24"/>
          <w:szCs w:val="24"/>
        </w:rPr>
        <w:t xml:space="preserve"> capacity</w:t>
      </w:r>
      <w:r w:rsidR="00C8640F" w:rsidRPr="003E2516">
        <w:rPr>
          <w:rFonts w:ascii="Times New Roman" w:hAnsi="Times New Roman" w:cs="Times New Roman"/>
          <w:sz w:val="24"/>
          <w:szCs w:val="24"/>
        </w:rPr>
        <w:t>. For example, in 2016/17, the D</w:t>
      </w:r>
      <w:r w:rsidR="00DA5364" w:rsidRPr="003E2516">
        <w:rPr>
          <w:rFonts w:ascii="Times New Roman" w:hAnsi="Times New Roman" w:cs="Times New Roman"/>
          <w:sz w:val="24"/>
          <w:szCs w:val="24"/>
        </w:rPr>
        <w:t>epartment required R11.2 billion for funding the sector and</w:t>
      </w:r>
      <w:r w:rsidR="00515CBE" w:rsidRPr="003E2516">
        <w:rPr>
          <w:rFonts w:ascii="Times New Roman" w:hAnsi="Times New Roman" w:cs="Times New Roman"/>
          <w:sz w:val="24"/>
          <w:szCs w:val="24"/>
        </w:rPr>
        <w:t xml:space="preserve"> was</w:t>
      </w:r>
      <w:r w:rsidR="00DA5364" w:rsidRPr="003E2516">
        <w:rPr>
          <w:rFonts w:ascii="Times New Roman" w:hAnsi="Times New Roman" w:cs="Times New Roman"/>
          <w:sz w:val="24"/>
          <w:szCs w:val="24"/>
        </w:rPr>
        <w:t xml:space="preserve"> only allocated R6.9 billion, resulting in a shortfall of R4.6 billion. Equally</w:t>
      </w:r>
      <w:r w:rsidR="00825263"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funding allocated for students who qualified for NSFAS in 2016/17 was R2.4 billion and the required budget was R4</w:t>
      </w:r>
      <w:r w:rsidR="00825263" w:rsidRPr="003E2516">
        <w:rPr>
          <w:rFonts w:ascii="Times New Roman" w:hAnsi="Times New Roman" w:cs="Times New Roman"/>
          <w:sz w:val="24"/>
          <w:szCs w:val="24"/>
        </w:rPr>
        <w:t>.</w:t>
      </w:r>
      <w:r w:rsidR="00DA5364" w:rsidRPr="003E2516">
        <w:rPr>
          <w:rFonts w:ascii="Times New Roman" w:hAnsi="Times New Roman" w:cs="Times New Roman"/>
          <w:sz w:val="24"/>
          <w:szCs w:val="24"/>
        </w:rPr>
        <w:t>8 billion to cover the target of 80 pe</w:t>
      </w:r>
      <w:r w:rsidR="004F423D" w:rsidRPr="003E2516">
        <w:rPr>
          <w:rFonts w:ascii="Times New Roman" w:hAnsi="Times New Roman" w:cs="Times New Roman"/>
          <w:sz w:val="24"/>
          <w:szCs w:val="24"/>
        </w:rPr>
        <w:t xml:space="preserve">rcent of college students with </w:t>
      </w:r>
      <w:r w:rsidR="00DA5364" w:rsidRPr="003E2516">
        <w:rPr>
          <w:rFonts w:ascii="Times New Roman" w:hAnsi="Times New Roman" w:cs="Times New Roman"/>
          <w:sz w:val="24"/>
          <w:szCs w:val="24"/>
        </w:rPr>
        <w:t xml:space="preserve">bursaries. This </w:t>
      </w:r>
      <w:r w:rsidR="004F423D" w:rsidRPr="003E2516">
        <w:rPr>
          <w:rFonts w:ascii="Times New Roman" w:hAnsi="Times New Roman" w:cs="Times New Roman"/>
          <w:sz w:val="24"/>
          <w:szCs w:val="24"/>
        </w:rPr>
        <w:t>represents</w:t>
      </w:r>
      <w:r w:rsidR="00DA5364" w:rsidRPr="003E2516">
        <w:rPr>
          <w:rFonts w:ascii="Times New Roman" w:hAnsi="Times New Roman" w:cs="Times New Roman"/>
          <w:sz w:val="24"/>
          <w:szCs w:val="24"/>
        </w:rPr>
        <w:t xml:space="preserve"> in a shortfall of R2.4 billion. For </w:t>
      </w:r>
      <w:r w:rsidR="00DB476C" w:rsidRPr="003E2516">
        <w:rPr>
          <w:rFonts w:ascii="Times New Roman" w:hAnsi="Times New Roman" w:cs="Times New Roman"/>
          <w:sz w:val="24"/>
          <w:szCs w:val="24"/>
        </w:rPr>
        <w:t>the</w:t>
      </w:r>
      <w:r w:rsidR="00DA5364" w:rsidRPr="003E2516">
        <w:rPr>
          <w:rFonts w:ascii="Times New Roman" w:hAnsi="Times New Roman" w:cs="Times New Roman"/>
          <w:sz w:val="24"/>
          <w:szCs w:val="24"/>
        </w:rPr>
        <w:t xml:space="preserve"> 2017/18 </w:t>
      </w:r>
      <w:r w:rsidR="00DB476C" w:rsidRPr="003E2516">
        <w:rPr>
          <w:rFonts w:ascii="Times New Roman" w:hAnsi="Times New Roman" w:cs="Times New Roman"/>
          <w:sz w:val="24"/>
          <w:szCs w:val="24"/>
        </w:rPr>
        <w:t xml:space="preserve">financial year, </w:t>
      </w:r>
      <w:r w:rsidR="00DA5364" w:rsidRPr="003E2516">
        <w:rPr>
          <w:rFonts w:ascii="Times New Roman" w:hAnsi="Times New Roman" w:cs="Times New Roman"/>
          <w:sz w:val="24"/>
          <w:szCs w:val="24"/>
        </w:rPr>
        <w:t xml:space="preserve">the </w:t>
      </w:r>
      <w:r w:rsidR="00660547" w:rsidRPr="003E2516">
        <w:rPr>
          <w:rFonts w:ascii="Times New Roman" w:hAnsi="Times New Roman" w:cs="Times New Roman"/>
          <w:sz w:val="24"/>
          <w:szCs w:val="24"/>
        </w:rPr>
        <w:t>projected shortfall</w:t>
      </w:r>
      <w:r w:rsidR="004F423D" w:rsidRPr="003E2516">
        <w:rPr>
          <w:rFonts w:ascii="Times New Roman" w:hAnsi="Times New Roman" w:cs="Times New Roman"/>
          <w:sz w:val="24"/>
          <w:szCs w:val="24"/>
        </w:rPr>
        <w:t xml:space="preserve"> will be R5.5 billion</w:t>
      </w:r>
      <w:r w:rsidR="00DA5364" w:rsidRPr="003E2516">
        <w:rPr>
          <w:rFonts w:ascii="Times New Roman" w:hAnsi="Times New Roman" w:cs="Times New Roman"/>
          <w:sz w:val="24"/>
          <w:szCs w:val="24"/>
        </w:rPr>
        <w:t xml:space="preserve"> for 80 percent programme funding if enrolment is capped at 2016 baseline without any growth </w:t>
      </w:r>
      <w:r w:rsidR="00DB476C" w:rsidRPr="003E2516">
        <w:rPr>
          <w:rFonts w:ascii="Times New Roman" w:hAnsi="Times New Roman" w:cs="Times New Roman"/>
          <w:sz w:val="24"/>
          <w:szCs w:val="24"/>
        </w:rPr>
        <w:t>i</w:t>
      </w:r>
      <w:r w:rsidR="00DA5364" w:rsidRPr="003E2516">
        <w:rPr>
          <w:rFonts w:ascii="Times New Roman" w:hAnsi="Times New Roman" w:cs="Times New Roman"/>
          <w:sz w:val="24"/>
          <w:szCs w:val="24"/>
        </w:rPr>
        <w:t xml:space="preserve">s R5.5 billion. For NSFAS, the projected shortfall for 2017/18 is R2.7 billion. </w:t>
      </w:r>
      <w:r w:rsidR="00682D8C" w:rsidRPr="003E2516">
        <w:rPr>
          <w:rFonts w:ascii="Times New Roman" w:hAnsi="Times New Roman" w:cs="Times New Roman"/>
          <w:sz w:val="24"/>
          <w:szCs w:val="24"/>
        </w:rPr>
        <w:t>T</w:t>
      </w:r>
      <w:r w:rsidR="00DA5364" w:rsidRPr="003E2516">
        <w:rPr>
          <w:rFonts w:ascii="Times New Roman" w:hAnsi="Times New Roman" w:cs="Times New Roman"/>
          <w:sz w:val="24"/>
          <w:szCs w:val="24"/>
        </w:rPr>
        <w:t>he implication is that the MTEF commitments will not be achieved.</w:t>
      </w:r>
    </w:p>
    <w:p w:rsidR="00DA5364" w:rsidRPr="003E2516" w:rsidRDefault="00A76AE5" w:rsidP="003E2516">
      <w:pPr>
        <w:spacing w:before="120" w:after="120" w:line="240" w:lineRule="auto"/>
        <w:ind w:left="810" w:hanging="81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682D8C" w:rsidRPr="003E2516">
        <w:rPr>
          <w:rFonts w:ascii="Times New Roman" w:hAnsi="Times New Roman" w:cs="Times New Roman"/>
          <w:sz w:val="24"/>
          <w:szCs w:val="24"/>
        </w:rPr>
        <w:t>.4.3.2. The NDP proposes</w:t>
      </w:r>
      <w:r w:rsidR="00DA5364" w:rsidRPr="003E2516">
        <w:rPr>
          <w:rFonts w:ascii="Times New Roman" w:hAnsi="Times New Roman" w:cs="Times New Roman"/>
          <w:sz w:val="24"/>
          <w:szCs w:val="24"/>
        </w:rPr>
        <w:t xml:space="preserve"> an increase</w:t>
      </w:r>
      <w:r w:rsidR="00682D8C" w:rsidRPr="003E2516">
        <w:rPr>
          <w:rFonts w:ascii="Times New Roman" w:hAnsi="Times New Roman" w:cs="Times New Roman"/>
          <w:sz w:val="24"/>
          <w:szCs w:val="24"/>
        </w:rPr>
        <w:t xml:space="preserve"> in the</w:t>
      </w:r>
      <w:r w:rsidR="00DA5364" w:rsidRPr="003E2516">
        <w:rPr>
          <w:rFonts w:ascii="Times New Roman" w:hAnsi="Times New Roman" w:cs="Times New Roman"/>
          <w:sz w:val="24"/>
          <w:szCs w:val="24"/>
        </w:rPr>
        <w:t xml:space="preserve"> throughput</w:t>
      </w:r>
      <w:r w:rsidR="00186963" w:rsidRPr="003E2516">
        <w:rPr>
          <w:rFonts w:ascii="Times New Roman" w:hAnsi="Times New Roman" w:cs="Times New Roman"/>
          <w:sz w:val="24"/>
          <w:szCs w:val="24"/>
        </w:rPr>
        <w:t xml:space="preserve"> rate</w:t>
      </w:r>
      <w:r w:rsidR="00DA5364" w:rsidRPr="003E2516">
        <w:rPr>
          <w:rFonts w:ascii="Times New Roman" w:hAnsi="Times New Roman" w:cs="Times New Roman"/>
          <w:sz w:val="24"/>
          <w:szCs w:val="24"/>
        </w:rPr>
        <w:t xml:space="preserve"> of 75 percent by 2030, in order to have a major impact on South Africa’s skills profile. The certification rates in the NCV level 4, N3 and N6 have been very low and ha</w:t>
      </w:r>
      <w:r w:rsidR="00341F50"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not been achieved as expected. The challenge of underqualified lecturers and, underprepared students, lack of foundation provision</w:t>
      </w:r>
      <w:r w:rsidR="00DB476C" w:rsidRPr="003E2516">
        <w:rPr>
          <w:rFonts w:ascii="Times New Roman" w:hAnsi="Times New Roman" w:cs="Times New Roman"/>
          <w:sz w:val="24"/>
          <w:szCs w:val="24"/>
        </w:rPr>
        <w:t>ing</w:t>
      </w:r>
      <w:r w:rsidR="00DA5364" w:rsidRPr="003E2516">
        <w:rPr>
          <w:rFonts w:ascii="Times New Roman" w:hAnsi="Times New Roman" w:cs="Times New Roman"/>
          <w:sz w:val="24"/>
          <w:szCs w:val="24"/>
        </w:rPr>
        <w:t xml:space="preserve"> grants, inappropriate or lack of pedagogical training of lecturers and lectures without industry knowledge are found to be the major contributors to the underperformance in this area. Universities receive </w:t>
      </w:r>
      <w:r w:rsidR="004F423D" w:rsidRPr="003E2516">
        <w:rPr>
          <w:rFonts w:ascii="Times New Roman" w:hAnsi="Times New Roman" w:cs="Times New Roman"/>
          <w:sz w:val="24"/>
          <w:szCs w:val="24"/>
        </w:rPr>
        <w:t>a f</w:t>
      </w:r>
      <w:r w:rsidR="00DA5364" w:rsidRPr="003E2516">
        <w:rPr>
          <w:rFonts w:ascii="Times New Roman" w:hAnsi="Times New Roman" w:cs="Times New Roman"/>
          <w:sz w:val="24"/>
          <w:szCs w:val="24"/>
        </w:rPr>
        <w:t xml:space="preserve">oundation </w:t>
      </w:r>
      <w:r w:rsidR="004F423D" w:rsidRPr="003E2516">
        <w:rPr>
          <w:rFonts w:ascii="Times New Roman" w:hAnsi="Times New Roman" w:cs="Times New Roman"/>
          <w:sz w:val="24"/>
          <w:szCs w:val="24"/>
        </w:rPr>
        <w:t>p</w:t>
      </w:r>
      <w:r w:rsidR="00DA5364" w:rsidRPr="003E2516">
        <w:rPr>
          <w:rFonts w:ascii="Times New Roman" w:hAnsi="Times New Roman" w:cs="Times New Roman"/>
          <w:sz w:val="24"/>
          <w:szCs w:val="24"/>
        </w:rPr>
        <w:t>rovision</w:t>
      </w:r>
      <w:r w:rsidR="0010418E" w:rsidRPr="003E2516">
        <w:rPr>
          <w:rFonts w:ascii="Times New Roman" w:hAnsi="Times New Roman" w:cs="Times New Roman"/>
          <w:sz w:val="24"/>
          <w:szCs w:val="24"/>
        </w:rPr>
        <w:t>ing</w:t>
      </w:r>
      <w:r w:rsidR="00DA5364" w:rsidRPr="003E2516">
        <w:rPr>
          <w:rFonts w:ascii="Times New Roman" w:hAnsi="Times New Roman" w:cs="Times New Roman"/>
          <w:sz w:val="24"/>
          <w:szCs w:val="24"/>
        </w:rPr>
        <w:t xml:space="preserve"> </w:t>
      </w:r>
      <w:r w:rsidR="004F423D" w:rsidRPr="003E2516">
        <w:rPr>
          <w:rFonts w:ascii="Times New Roman" w:hAnsi="Times New Roman" w:cs="Times New Roman"/>
          <w:sz w:val="24"/>
          <w:szCs w:val="24"/>
        </w:rPr>
        <w:t>g</w:t>
      </w:r>
      <w:r w:rsidR="00DA5364" w:rsidRPr="003E2516">
        <w:rPr>
          <w:rFonts w:ascii="Times New Roman" w:hAnsi="Times New Roman" w:cs="Times New Roman"/>
          <w:sz w:val="24"/>
          <w:szCs w:val="24"/>
        </w:rPr>
        <w:t>rant</w:t>
      </w:r>
      <w:r w:rsidR="00DB476C"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to support underprepared student</w:t>
      </w:r>
      <w:r w:rsidR="00FA51F5"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so as to improve their success and throughput rate. TVET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also enrol underprepared students,</w:t>
      </w:r>
      <w:r w:rsidR="0010418E" w:rsidRPr="003E2516">
        <w:rPr>
          <w:rFonts w:ascii="Times New Roman" w:hAnsi="Times New Roman" w:cs="Times New Roman"/>
          <w:sz w:val="24"/>
          <w:szCs w:val="24"/>
        </w:rPr>
        <w:t xml:space="preserve"> and</w:t>
      </w:r>
      <w:r w:rsidR="00DA5364" w:rsidRPr="003E2516">
        <w:rPr>
          <w:rFonts w:ascii="Times New Roman" w:hAnsi="Times New Roman" w:cs="Times New Roman"/>
          <w:sz w:val="24"/>
          <w:szCs w:val="24"/>
        </w:rPr>
        <w:t xml:space="preserve"> there is no funding for provision of foundation programmes. The Department planned to have 5 000 TVET students enrolled in foundation programmes and to have 50 percent of success rate in foundation programmes. The targets were unfunded for the previous two years of the MTSF. The Department discontinued these targets due to lack of funding.</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.4.3.3. The Department managed to achieve a target of 200 000 qualifying students obtaining financial assistance, the target was exceeded by 98 457. Evidence from oversight visits points to the practi</w:t>
      </w:r>
      <w:r w:rsidR="00825263" w:rsidRPr="003E2516">
        <w:rPr>
          <w:rFonts w:ascii="Times New Roman" w:hAnsi="Times New Roman" w:cs="Times New Roman"/>
          <w:sz w:val="24"/>
          <w:szCs w:val="24"/>
        </w:rPr>
        <w:t>c</w:t>
      </w:r>
      <w:r w:rsidR="00DA5364" w:rsidRPr="003E2516">
        <w:rPr>
          <w:rFonts w:ascii="Times New Roman" w:hAnsi="Times New Roman" w:cs="Times New Roman"/>
          <w:sz w:val="24"/>
          <w:szCs w:val="24"/>
        </w:rPr>
        <w:t xml:space="preserve">e of top slicing in terms of NSFAS funding by the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have sacrificed student allowances (transport, accommodation and meals) so as to fund tuition fees for as many students as possible. This target was achieved not because there was adequate funding for it</w:t>
      </w:r>
      <w:r w:rsidR="00825263"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but because student allowances were sacrificed in the process. </w:t>
      </w:r>
      <w:r w:rsidR="000D6D9D" w:rsidRPr="003E2516">
        <w:rPr>
          <w:rFonts w:ascii="Times New Roman" w:hAnsi="Times New Roman" w:cs="Times New Roman"/>
          <w:sz w:val="24"/>
          <w:szCs w:val="24"/>
        </w:rPr>
        <w:t>The i</w:t>
      </w:r>
      <w:r w:rsidR="00DA5364" w:rsidRPr="003E2516">
        <w:rPr>
          <w:rFonts w:ascii="Times New Roman" w:hAnsi="Times New Roman" w:cs="Times New Roman"/>
          <w:sz w:val="24"/>
          <w:szCs w:val="24"/>
        </w:rPr>
        <w:t>mplication of non-payment of allowances contributes to poor attendance and consequently affect</w:t>
      </w:r>
      <w:r w:rsidR="000D6D9D"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w:t>
      </w:r>
      <w:r w:rsidR="000D6D9D" w:rsidRPr="003E2516">
        <w:rPr>
          <w:rFonts w:ascii="Times New Roman" w:hAnsi="Times New Roman" w:cs="Times New Roman"/>
          <w:sz w:val="24"/>
          <w:szCs w:val="24"/>
        </w:rPr>
        <w:t>the 80 percent</w:t>
      </w:r>
      <w:r w:rsidR="00DA5364" w:rsidRPr="003E2516">
        <w:rPr>
          <w:rFonts w:ascii="Times New Roman" w:hAnsi="Times New Roman" w:cs="Times New Roman"/>
          <w:sz w:val="24"/>
          <w:szCs w:val="24"/>
        </w:rPr>
        <w:t xml:space="preserve"> attendance requirement</w:t>
      </w:r>
      <w:r w:rsidR="004F423D" w:rsidRPr="003E2516">
        <w:rPr>
          <w:rFonts w:ascii="Times New Roman" w:hAnsi="Times New Roman" w:cs="Times New Roman"/>
          <w:sz w:val="24"/>
          <w:szCs w:val="24"/>
        </w:rPr>
        <w:t xml:space="preserve"> for examination admission. This </w:t>
      </w:r>
      <w:r w:rsidR="00DA5364" w:rsidRPr="003E2516">
        <w:rPr>
          <w:rFonts w:ascii="Times New Roman" w:hAnsi="Times New Roman" w:cs="Times New Roman"/>
          <w:sz w:val="24"/>
          <w:szCs w:val="24"/>
        </w:rPr>
        <w:t xml:space="preserve">results </w:t>
      </w:r>
      <w:r w:rsidR="004F423D" w:rsidRPr="003E2516">
        <w:rPr>
          <w:rFonts w:ascii="Times New Roman" w:hAnsi="Times New Roman" w:cs="Times New Roman"/>
          <w:sz w:val="24"/>
          <w:szCs w:val="24"/>
        </w:rPr>
        <w:t>in</w:t>
      </w:r>
      <w:r w:rsidR="00DA5364" w:rsidRPr="003E2516">
        <w:rPr>
          <w:rFonts w:ascii="Times New Roman" w:hAnsi="Times New Roman" w:cs="Times New Roman"/>
          <w:sz w:val="24"/>
          <w:szCs w:val="24"/>
        </w:rPr>
        <w:t xml:space="preserve"> poor</w:t>
      </w:r>
      <w:r w:rsidR="000D6D9D" w:rsidRPr="003E2516">
        <w:rPr>
          <w:rFonts w:ascii="Times New Roman" w:hAnsi="Times New Roman" w:cs="Times New Roman"/>
          <w:sz w:val="24"/>
          <w:szCs w:val="24"/>
        </w:rPr>
        <w:t xml:space="preserve"> success and low certification </w:t>
      </w:r>
      <w:r w:rsidR="00DA5364" w:rsidRPr="003E2516">
        <w:rPr>
          <w:rFonts w:ascii="Times New Roman" w:hAnsi="Times New Roman" w:cs="Times New Roman"/>
          <w:sz w:val="24"/>
          <w:szCs w:val="24"/>
        </w:rPr>
        <w:t>rates</w:t>
      </w:r>
      <w:r w:rsidR="00FA51F5" w:rsidRPr="003E2516">
        <w:rPr>
          <w:rFonts w:ascii="Times New Roman" w:hAnsi="Times New Roman" w:cs="Times New Roman"/>
          <w:sz w:val="24"/>
          <w:szCs w:val="24"/>
        </w:rPr>
        <w:t>.</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 xml:space="preserve">.4.3.4. The Department planned to build student residences at TVET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so as to have </w:t>
      </w:r>
      <w:r w:rsidR="004F423D" w:rsidRPr="003E2516">
        <w:rPr>
          <w:rFonts w:ascii="Times New Roman" w:hAnsi="Times New Roman" w:cs="Times New Roman"/>
          <w:sz w:val="24"/>
          <w:szCs w:val="24"/>
        </w:rPr>
        <w:t xml:space="preserve">an </w:t>
      </w:r>
      <w:r w:rsidR="00DA5364" w:rsidRPr="003E2516">
        <w:rPr>
          <w:rFonts w:ascii="Times New Roman" w:hAnsi="Times New Roman" w:cs="Times New Roman"/>
          <w:sz w:val="24"/>
          <w:szCs w:val="24"/>
        </w:rPr>
        <w:t>additional 5 000 students accommodated by 2020. Due to budgetary constraints, the target was not funded</w:t>
      </w:r>
      <w:r w:rsidR="00FA51F5"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and therefore could not be implemented during the first two years into the MT</w:t>
      </w:r>
      <w:r w:rsidR="000D6D9D" w:rsidRPr="003E2516">
        <w:rPr>
          <w:rFonts w:ascii="Times New Roman" w:hAnsi="Times New Roman" w:cs="Times New Roman"/>
          <w:sz w:val="24"/>
          <w:szCs w:val="24"/>
        </w:rPr>
        <w:t>E</w:t>
      </w:r>
      <w:r w:rsidR="00DA5364" w:rsidRPr="003E2516">
        <w:rPr>
          <w:rFonts w:ascii="Times New Roman" w:hAnsi="Times New Roman" w:cs="Times New Roman"/>
          <w:sz w:val="24"/>
          <w:szCs w:val="24"/>
        </w:rPr>
        <w:t>F</w:t>
      </w:r>
      <w:r w:rsidR="000D6D9D" w:rsidRPr="003E2516">
        <w:rPr>
          <w:rFonts w:ascii="Times New Roman" w:hAnsi="Times New Roman" w:cs="Times New Roman"/>
          <w:sz w:val="24"/>
          <w:szCs w:val="24"/>
        </w:rPr>
        <w:t xml:space="preserve"> period</w:t>
      </w:r>
      <w:r w:rsidR="00DA5364" w:rsidRPr="003E2516">
        <w:rPr>
          <w:rFonts w:ascii="Times New Roman" w:hAnsi="Times New Roman" w:cs="Times New Roman"/>
          <w:sz w:val="24"/>
          <w:szCs w:val="24"/>
        </w:rPr>
        <w:t>. The target has been discontinued for the remainder of the MT</w:t>
      </w:r>
      <w:r w:rsidR="000D6D9D" w:rsidRPr="003E2516">
        <w:rPr>
          <w:rFonts w:ascii="Times New Roman" w:hAnsi="Times New Roman" w:cs="Times New Roman"/>
          <w:sz w:val="24"/>
          <w:szCs w:val="24"/>
        </w:rPr>
        <w:t>E</w:t>
      </w:r>
      <w:r w:rsidR="00DA5364" w:rsidRPr="003E2516">
        <w:rPr>
          <w:rFonts w:ascii="Times New Roman" w:hAnsi="Times New Roman" w:cs="Times New Roman"/>
          <w:sz w:val="24"/>
          <w:szCs w:val="24"/>
        </w:rPr>
        <w:t xml:space="preserve">F </w:t>
      </w:r>
      <w:r w:rsidR="00DA5364" w:rsidRPr="003E2516">
        <w:rPr>
          <w:rFonts w:ascii="Times New Roman" w:hAnsi="Times New Roman" w:cs="Times New Roman"/>
          <w:sz w:val="24"/>
          <w:szCs w:val="24"/>
        </w:rPr>
        <w:tab/>
        <w:t xml:space="preserve">period. The </w:t>
      </w:r>
      <w:r w:rsidR="000D6D9D" w:rsidRPr="003E2516">
        <w:rPr>
          <w:rFonts w:ascii="Times New Roman" w:hAnsi="Times New Roman" w:cs="Times New Roman"/>
          <w:sz w:val="24"/>
          <w:szCs w:val="24"/>
        </w:rPr>
        <w:t>c</w:t>
      </w:r>
      <w:r w:rsidR="00DA5364" w:rsidRPr="003E2516">
        <w:rPr>
          <w:rFonts w:ascii="Times New Roman" w:hAnsi="Times New Roman" w:cs="Times New Roman"/>
          <w:sz w:val="24"/>
          <w:szCs w:val="24"/>
        </w:rPr>
        <w:t>ommitment to have 30</w:t>
      </w:r>
      <w:r w:rsidR="000D6D9D" w:rsidRPr="003E2516">
        <w:rPr>
          <w:rFonts w:ascii="Times New Roman" w:hAnsi="Times New Roman" w:cs="Times New Roman"/>
          <w:sz w:val="24"/>
          <w:szCs w:val="24"/>
        </w:rPr>
        <w:t xml:space="preserve"> percent</w:t>
      </w:r>
      <w:r w:rsidR="00DA5364" w:rsidRPr="003E2516">
        <w:rPr>
          <w:rFonts w:ascii="Times New Roman" w:hAnsi="Times New Roman" w:cs="Times New Roman"/>
          <w:sz w:val="24"/>
          <w:szCs w:val="24"/>
        </w:rPr>
        <w:t xml:space="preserve"> of TVET college lecturers </w:t>
      </w:r>
      <w:r w:rsidR="00DA5364" w:rsidRPr="003E2516">
        <w:rPr>
          <w:rFonts w:ascii="Times New Roman" w:hAnsi="Times New Roman" w:cs="Times New Roman"/>
          <w:sz w:val="24"/>
          <w:szCs w:val="24"/>
        </w:rPr>
        <w:lastRenderedPageBreak/>
        <w:t>undergoing work place exposure ev</w:t>
      </w:r>
      <w:r w:rsidR="004F423D" w:rsidRPr="003E2516">
        <w:rPr>
          <w:rFonts w:ascii="Times New Roman" w:hAnsi="Times New Roman" w:cs="Times New Roman"/>
          <w:sz w:val="24"/>
          <w:szCs w:val="24"/>
        </w:rPr>
        <w:t>ery year by 2019 is not funded and</w:t>
      </w:r>
      <w:r w:rsidR="00DA5364" w:rsidRPr="003E2516">
        <w:rPr>
          <w:rFonts w:ascii="Times New Roman" w:hAnsi="Times New Roman" w:cs="Times New Roman"/>
          <w:sz w:val="24"/>
          <w:szCs w:val="24"/>
        </w:rPr>
        <w:t xml:space="preserve"> has</w:t>
      </w:r>
      <w:r w:rsidR="004F423D" w:rsidRPr="003E2516">
        <w:rPr>
          <w:rFonts w:ascii="Times New Roman" w:hAnsi="Times New Roman" w:cs="Times New Roman"/>
          <w:sz w:val="24"/>
          <w:szCs w:val="24"/>
        </w:rPr>
        <w:t xml:space="preserve"> consequently</w:t>
      </w:r>
      <w:r w:rsidR="00DA5364" w:rsidRPr="003E2516">
        <w:rPr>
          <w:rFonts w:ascii="Times New Roman" w:hAnsi="Times New Roman" w:cs="Times New Roman"/>
          <w:sz w:val="24"/>
          <w:szCs w:val="24"/>
        </w:rPr>
        <w:t xml:space="preserve"> been discontinued. </w:t>
      </w:r>
    </w:p>
    <w:p w:rsidR="00DA5364" w:rsidRPr="003E2516" w:rsidRDefault="00A76AE5"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 xml:space="preserve">.4.3.5. The </w:t>
      </w:r>
      <w:r w:rsidR="00B223C8" w:rsidRPr="003E2516">
        <w:rPr>
          <w:rFonts w:ascii="Times New Roman" w:hAnsi="Times New Roman" w:cs="Times New Roman"/>
          <w:sz w:val="24"/>
          <w:szCs w:val="24"/>
        </w:rPr>
        <w:t>Department’s</w:t>
      </w:r>
      <w:r w:rsidR="00DA5364" w:rsidRPr="003E2516">
        <w:rPr>
          <w:rFonts w:ascii="Times New Roman" w:hAnsi="Times New Roman" w:cs="Times New Roman"/>
          <w:sz w:val="24"/>
          <w:szCs w:val="24"/>
        </w:rPr>
        <w:t xml:space="preserve"> subsidies for TVET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has declined by R206.7 million for</w:t>
      </w:r>
      <w:r w:rsidR="00FA51F5" w:rsidRPr="003E2516">
        <w:rPr>
          <w:rFonts w:ascii="Times New Roman" w:hAnsi="Times New Roman" w:cs="Times New Roman"/>
          <w:sz w:val="24"/>
          <w:szCs w:val="24"/>
        </w:rPr>
        <w:t xml:space="preserve"> the</w:t>
      </w:r>
      <w:r w:rsidR="00DA5364" w:rsidRPr="003E2516">
        <w:rPr>
          <w:rFonts w:ascii="Times New Roman" w:hAnsi="Times New Roman" w:cs="Times New Roman"/>
          <w:sz w:val="24"/>
          <w:szCs w:val="24"/>
        </w:rPr>
        <w:t xml:space="preserve"> </w:t>
      </w:r>
      <w:r w:rsidR="00DA5364" w:rsidRPr="003E2516">
        <w:rPr>
          <w:rFonts w:ascii="Times New Roman" w:hAnsi="Times New Roman" w:cs="Times New Roman"/>
          <w:sz w:val="24"/>
          <w:szCs w:val="24"/>
        </w:rPr>
        <w:tab/>
        <w:t xml:space="preserve">2017/18 financial year. This decline in subsidies will impact on the achievement of the </w:t>
      </w:r>
      <w:r w:rsidR="00DA5364" w:rsidRPr="003E2516">
        <w:rPr>
          <w:rFonts w:ascii="Times New Roman" w:hAnsi="Times New Roman" w:cs="Times New Roman"/>
          <w:sz w:val="24"/>
          <w:szCs w:val="24"/>
        </w:rPr>
        <w:tab/>
        <w:t xml:space="preserve">commitments made by </w:t>
      </w:r>
      <w:r w:rsidR="001C724F" w:rsidRPr="003E2516">
        <w:rPr>
          <w:rFonts w:ascii="Times New Roman" w:hAnsi="Times New Roman" w:cs="Times New Roman"/>
          <w:sz w:val="24"/>
          <w:szCs w:val="24"/>
        </w:rPr>
        <w:t>Government</w:t>
      </w:r>
      <w:r w:rsidR="00DA5364" w:rsidRPr="003E2516">
        <w:rPr>
          <w:rFonts w:ascii="Times New Roman" w:hAnsi="Times New Roman" w:cs="Times New Roman"/>
          <w:sz w:val="24"/>
          <w:szCs w:val="24"/>
        </w:rPr>
        <w:t xml:space="preserve">: </w:t>
      </w:r>
    </w:p>
    <w:p w:rsidR="00DA5364" w:rsidRPr="003E2516" w:rsidRDefault="00DA5364" w:rsidP="003E2516">
      <w:pPr>
        <w:pStyle w:val="ListParagraph"/>
        <w:numPr>
          <w:ilvl w:val="0"/>
          <w:numId w:val="36"/>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To increase enrolment in line with the commitments of the NDP and White Paper </w:t>
      </w:r>
      <w:r w:rsidR="00485C92" w:rsidRPr="003E2516">
        <w:rPr>
          <w:rFonts w:ascii="Times New Roman" w:hAnsi="Times New Roman" w:cs="Times New Roman"/>
          <w:sz w:val="24"/>
          <w:szCs w:val="24"/>
        </w:rPr>
        <w:t>for</w:t>
      </w:r>
      <w:r w:rsidRPr="003E2516">
        <w:rPr>
          <w:rFonts w:ascii="Times New Roman" w:hAnsi="Times New Roman" w:cs="Times New Roman"/>
          <w:sz w:val="24"/>
          <w:szCs w:val="24"/>
        </w:rPr>
        <w:t xml:space="preserve"> Post-School Education</w:t>
      </w:r>
      <w:r w:rsidR="00485C92" w:rsidRPr="003E2516">
        <w:rPr>
          <w:rFonts w:ascii="Times New Roman" w:hAnsi="Times New Roman" w:cs="Times New Roman"/>
          <w:sz w:val="24"/>
          <w:szCs w:val="24"/>
        </w:rPr>
        <w:t xml:space="preserve"> and Training</w:t>
      </w:r>
      <w:r w:rsidRPr="003E2516">
        <w:rPr>
          <w:rFonts w:ascii="Times New Roman" w:hAnsi="Times New Roman" w:cs="Times New Roman"/>
          <w:sz w:val="24"/>
          <w:szCs w:val="24"/>
        </w:rPr>
        <w:t xml:space="preserve"> to increase headcount enrolment at TVET </w:t>
      </w:r>
      <w:r w:rsidR="00863577" w:rsidRPr="003E2516">
        <w:rPr>
          <w:rFonts w:ascii="Times New Roman" w:hAnsi="Times New Roman" w:cs="Times New Roman"/>
          <w:sz w:val="24"/>
          <w:szCs w:val="24"/>
        </w:rPr>
        <w:t>Colleges</w:t>
      </w:r>
      <w:r w:rsidR="00485C92" w:rsidRPr="003E2516">
        <w:rPr>
          <w:rFonts w:ascii="Times New Roman" w:hAnsi="Times New Roman" w:cs="Times New Roman"/>
          <w:sz w:val="24"/>
          <w:szCs w:val="24"/>
        </w:rPr>
        <w:t xml:space="preserve"> to</w:t>
      </w:r>
      <w:r w:rsidRPr="003E2516">
        <w:rPr>
          <w:rFonts w:ascii="Times New Roman" w:hAnsi="Times New Roman" w:cs="Times New Roman"/>
          <w:sz w:val="24"/>
          <w:szCs w:val="24"/>
        </w:rPr>
        <w:t xml:space="preserve"> 1.25 million so as to transform the current size and shape of the post-school education and training and to build a sustainable skills profile of the country, by increasing mid-level skills. The disjuncture between the targeted enrolment and available funding defeats the goal. </w:t>
      </w:r>
    </w:p>
    <w:p w:rsidR="00DA5364" w:rsidRPr="003E2516" w:rsidRDefault="00DA5364" w:rsidP="003E2516">
      <w:pPr>
        <w:pStyle w:val="ListParagraph"/>
        <w:numPr>
          <w:ilvl w:val="0"/>
          <w:numId w:val="35"/>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ability of the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refurbish, update and address</w:t>
      </w:r>
      <w:r w:rsidR="004F423D" w:rsidRPr="003E2516">
        <w:rPr>
          <w:rFonts w:ascii="Times New Roman" w:hAnsi="Times New Roman" w:cs="Times New Roman"/>
          <w:sz w:val="24"/>
          <w:szCs w:val="24"/>
        </w:rPr>
        <w:t xml:space="preserve"> the </w:t>
      </w:r>
      <w:r w:rsidRPr="003E2516">
        <w:rPr>
          <w:rFonts w:ascii="Times New Roman" w:hAnsi="Times New Roman" w:cs="Times New Roman"/>
          <w:sz w:val="24"/>
          <w:szCs w:val="24"/>
        </w:rPr>
        <w:t>infrastructure maintenance backlog of the existing facilities. Findings from the oversight visit</w:t>
      </w:r>
      <w:r w:rsidR="006317FF" w:rsidRPr="003E2516">
        <w:rPr>
          <w:rFonts w:ascii="Times New Roman" w:hAnsi="Times New Roman" w:cs="Times New Roman"/>
          <w:sz w:val="24"/>
          <w:szCs w:val="24"/>
        </w:rPr>
        <w:t>s</w:t>
      </w:r>
      <w:r w:rsidRPr="003E2516">
        <w:rPr>
          <w:rFonts w:ascii="Times New Roman" w:hAnsi="Times New Roman" w:cs="Times New Roman"/>
          <w:sz w:val="24"/>
          <w:szCs w:val="24"/>
        </w:rPr>
        <w:t xml:space="preserve"> revealed that the lack of funding for</w:t>
      </w:r>
      <w:r w:rsidR="004F423D" w:rsidRPr="003E2516">
        <w:rPr>
          <w:rFonts w:ascii="Times New Roman" w:hAnsi="Times New Roman" w:cs="Times New Roman"/>
          <w:sz w:val="24"/>
          <w:szCs w:val="24"/>
        </w:rPr>
        <w:t xml:space="preserve"> college</w:t>
      </w:r>
      <w:r w:rsidRPr="003E2516">
        <w:rPr>
          <w:rFonts w:ascii="Times New Roman" w:hAnsi="Times New Roman" w:cs="Times New Roman"/>
          <w:sz w:val="24"/>
          <w:szCs w:val="24"/>
        </w:rPr>
        <w:t xml:space="preserve"> infrastructure development has resulted in maintenance backlog of the existing infrastru</w:t>
      </w:r>
      <w:r w:rsidR="00F55896" w:rsidRPr="003E2516">
        <w:rPr>
          <w:rFonts w:ascii="Times New Roman" w:hAnsi="Times New Roman" w:cs="Times New Roman"/>
          <w:sz w:val="24"/>
          <w:szCs w:val="24"/>
        </w:rPr>
        <w:t xml:space="preserve">cture. At the Coastal KZN TVET </w:t>
      </w:r>
      <w:r w:rsidR="005D4448" w:rsidRPr="003E2516">
        <w:rPr>
          <w:rFonts w:ascii="Times New Roman" w:hAnsi="Times New Roman" w:cs="Times New Roman"/>
          <w:sz w:val="24"/>
          <w:szCs w:val="24"/>
        </w:rPr>
        <w:t>C</w:t>
      </w:r>
      <w:r w:rsidRPr="003E2516">
        <w:rPr>
          <w:rFonts w:ascii="Times New Roman" w:hAnsi="Times New Roman" w:cs="Times New Roman"/>
          <w:sz w:val="24"/>
          <w:szCs w:val="24"/>
        </w:rPr>
        <w:t>ollege, the Committee was informed of a report from qualified engineers that highlighted that sprawling had been noted at various campuses and if not attended to, could cause the collapse of some parts of the buildings at differen</w:t>
      </w:r>
      <w:r w:rsidR="00F55896" w:rsidRPr="003E2516">
        <w:rPr>
          <w:rFonts w:ascii="Times New Roman" w:hAnsi="Times New Roman" w:cs="Times New Roman"/>
          <w:sz w:val="24"/>
          <w:szCs w:val="24"/>
        </w:rPr>
        <w:t xml:space="preserve">t campuses. The Capricorn TVET </w:t>
      </w:r>
      <w:r w:rsidR="005D4448" w:rsidRPr="003E2516">
        <w:rPr>
          <w:rFonts w:ascii="Times New Roman" w:hAnsi="Times New Roman" w:cs="Times New Roman"/>
          <w:sz w:val="24"/>
          <w:szCs w:val="24"/>
        </w:rPr>
        <w:t>C</w:t>
      </w:r>
      <w:r w:rsidRPr="003E2516">
        <w:rPr>
          <w:rFonts w:ascii="Times New Roman" w:hAnsi="Times New Roman" w:cs="Times New Roman"/>
          <w:sz w:val="24"/>
          <w:szCs w:val="24"/>
        </w:rPr>
        <w:t xml:space="preserve">ollege reported having workshops which were dilapidated.   </w:t>
      </w:r>
    </w:p>
    <w:p w:rsidR="00DA5364" w:rsidRPr="003E2516" w:rsidRDefault="00DA5364" w:rsidP="003E2516">
      <w:pPr>
        <w:pStyle w:val="ListParagraph"/>
        <w:numPr>
          <w:ilvl w:val="0"/>
          <w:numId w:val="34"/>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ability to replace and update the outdated equipment in the workshops and simulation rooms, so as to ensure that student</w:t>
      </w:r>
      <w:r w:rsidR="006317FF" w:rsidRPr="003E2516">
        <w:rPr>
          <w:rFonts w:ascii="Times New Roman" w:hAnsi="Times New Roman" w:cs="Times New Roman"/>
          <w:sz w:val="24"/>
          <w:szCs w:val="24"/>
        </w:rPr>
        <w:t>s</w:t>
      </w:r>
      <w:r w:rsidRPr="003E2516">
        <w:rPr>
          <w:rFonts w:ascii="Times New Roman" w:hAnsi="Times New Roman" w:cs="Times New Roman"/>
          <w:sz w:val="24"/>
          <w:szCs w:val="24"/>
        </w:rPr>
        <w:t xml:space="preserve"> are provided </w:t>
      </w:r>
      <w:r w:rsidR="006317FF" w:rsidRPr="003E2516">
        <w:rPr>
          <w:rFonts w:ascii="Times New Roman" w:hAnsi="Times New Roman" w:cs="Times New Roman"/>
          <w:sz w:val="24"/>
          <w:szCs w:val="24"/>
        </w:rPr>
        <w:t>modern</w:t>
      </w:r>
      <w:r w:rsidRPr="003E2516">
        <w:rPr>
          <w:rFonts w:ascii="Times New Roman" w:hAnsi="Times New Roman" w:cs="Times New Roman"/>
          <w:sz w:val="24"/>
          <w:szCs w:val="24"/>
        </w:rPr>
        <w:t xml:space="preserve"> equipment similar to the one in the industry when they do practicals. Students are currently trained on outdated equipment and this will affect their employability. </w:t>
      </w:r>
    </w:p>
    <w:p w:rsidR="00DA5364" w:rsidRPr="003E2516" w:rsidRDefault="00DA5364" w:rsidP="003E2516">
      <w:pPr>
        <w:pStyle w:val="ListParagraph"/>
        <w:numPr>
          <w:ilvl w:val="0"/>
          <w:numId w:val="34"/>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 xml:space="preserve">The Department will not be able to build additional beds for student accommodation in public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w:t>
      </w:r>
    </w:p>
    <w:p w:rsidR="00DA5364" w:rsidRPr="003E2516" w:rsidRDefault="00DA5364" w:rsidP="003E2516">
      <w:pPr>
        <w:pStyle w:val="ListParagraph"/>
        <w:numPr>
          <w:ilvl w:val="0"/>
          <w:numId w:val="34"/>
        </w:num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The review of Report 191 and NC(V) curriculum to make it responsive to industry needs may also be affected.</w:t>
      </w:r>
    </w:p>
    <w:p w:rsidR="00DA536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color w:val="000000" w:themeColor="text1"/>
          <w:kern w:val="24"/>
          <w:sz w:val="24"/>
          <w:szCs w:val="24"/>
        </w:rPr>
        <w:t>7</w:t>
      </w:r>
      <w:r w:rsidR="00DA5364" w:rsidRPr="003E2516">
        <w:rPr>
          <w:rFonts w:ascii="Times New Roman" w:hAnsi="Times New Roman" w:cs="Times New Roman"/>
          <w:b/>
          <w:sz w:val="24"/>
          <w:szCs w:val="24"/>
        </w:rPr>
        <w:t>.4.5. Programme 5: Skills Development</w:t>
      </w:r>
    </w:p>
    <w:p w:rsidR="00DA5364" w:rsidRPr="003E2516" w:rsidRDefault="00A76AE5" w:rsidP="003E2516">
      <w:pPr>
        <w:spacing w:before="120" w:after="120" w:line="240" w:lineRule="auto"/>
        <w:ind w:left="720" w:hanging="720"/>
        <w:jc w:val="both"/>
        <w:rPr>
          <w:rFonts w:ascii="Times New Roman" w:hAnsi="Times New Roman" w:cs="Times New Roman"/>
          <w:bCs/>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.4.5.1.</w:t>
      </w:r>
      <w:r w:rsidR="00DA5364" w:rsidRPr="003E2516">
        <w:rPr>
          <w:rFonts w:ascii="Times New Roman" w:hAnsi="Times New Roman" w:cs="Times New Roman"/>
          <w:b/>
          <w:sz w:val="24"/>
          <w:szCs w:val="24"/>
        </w:rPr>
        <w:t xml:space="preserve"> </w:t>
      </w:r>
      <w:r w:rsidR="00DA5364" w:rsidRPr="003E2516">
        <w:rPr>
          <w:rFonts w:ascii="Times New Roman" w:hAnsi="Times New Roman" w:cs="Times New Roman"/>
          <w:bCs/>
          <w:sz w:val="24"/>
          <w:szCs w:val="24"/>
        </w:rPr>
        <w:t xml:space="preserve">The </w:t>
      </w:r>
      <w:r w:rsidR="00AA1987" w:rsidRPr="003E2516">
        <w:rPr>
          <w:rFonts w:ascii="Times New Roman" w:hAnsi="Times New Roman" w:cs="Times New Roman"/>
          <w:bCs/>
          <w:sz w:val="24"/>
          <w:szCs w:val="24"/>
        </w:rPr>
        <w:t>Committee</w:t>
      </w:r>
      <w:r w:rsidR="00DA5364" w:rsidRPr="003E2516">
        <w:rPr>
          <w:rFonts w:ascii="Times New Roman" w:hAnsi="Times New Roman" w:cs="Times New Roman"/>
          <w:bCs/>
          <w:sz w:val="24"/>
          <w:szCs w:val="24"/>
        </w:rPr>
        <w:t xml:space="preserve"> note</w:t>
      </w:r>
      <w:r w:rsidR="00F55896" w:rsidRPr="003E2516">
        <w:rPr>
          <w:rFonts w:ascii="Times New Roman" w:hAnsi="Times New Roman" w:cs="Times New Roman"/>
          <w:bCs/>
          <w:sz w:val="24"/>
          <w:szCs w:val="24"/>
        </w:rPr>
        <w:t>d</w:t>
      </w:r>
      <w:r w:rsidR="00DA5364" w:rsidRPr="003E2516">
        <w:rPr>
          <w:rFonts w:ascii="Times New Roman" w:hAnsi="Times New Roman" w:cs="Times New Roman"/>
          <w:bCs/>
          <w:sz w:val="24"/>
          <w:szCs w:val="24"/>
        </w:rPr>
        <w:t xml:space="preserve"> that the Department has achiev</w:t>
      </w:r>
      <w:r w:rsidR="00825263" w:rsidRPr="003E2516">
        <w:rPr>
          <w:rFonts w:ascii="Times New Roman" w:hAnsi="Times New Roman" w:cs="Times New Roman"/>
          <w:bCs/>
          <w:sz w:val="24"/>
          <w:szCs w:val="24"/>
        </w:rPr>
        <w:t>ed</w:t>
      </w:r>
      <w:r w:rsidR="00DA5364" w:rsidRPr="003E2516">
        <w:rPr>
          <w:rFonts w:ascii="Times New Roman" w:hAnsi="Times New Roman" w:cs="Times New Roman"/>
          <w:bCs/>
          <w:sz w:val="24"/>
          <w:szCs w:val="24"/>
        </w:rPr>
        <w:t xml:space="preserve"> most of its target</w:t>
      </w:r>
      <w:r w:rsidR="00825263" w:rsidRPr="003E2516">
        <w:rPr>
          <w:rFonts w:ascii="Times New Roman" w:hAnsi="Times New Roman" w:cs="Times New Roman"/>
          <w:bCs/>
          <w:sz w:val="24"/>
          <w:szCs w:val="24"/>
        </w:rPr>
        <w:t>s</w:t>
      </w:r>
      <w:r w:rsidR="00DA5364" w:rsidRPr="003E2516">
        <w:rPr>
          <w:rFonts w:ascii="Times New Roman" w:hAnsi="Times New Roman" w:cs="Times New Roman"/>
          <w:bCs/>
          <w:sz w:val="24"/>
          <w:szCs w:val="24"/>
        </w:rPr>
        <w:t xml:space="preserve"> in this programme. However, there is still a need to meet the target </w:t>
      </w:r>
      <w:r w:rsidR="006317FF" w:rsidRPr="003E2516">
        <w:rPr>
          <w:rFonts w:ascii="Times New Roman" w:hAnsi="Times New Roman" w:cs="Times New Roman"/>
          <w:bCs/>
          <w:sz w:val="24"/>
          <w:szCs w:val="24"/>
        </w:rPr>
        <w:t>towards attainment</w:t>
      </w:r>
      <w:r w:rsidR="00DA5364" w:rsidRPr="003E2516">
        <w:rPr>
          <w:rFonts w:ascii="Times New Roman" w:hAnsi="Times New Roman" w:cs="Times New Roman"/>
          <w:bCs/>
          <w:sz w:val="24"/>
          <w:szCs w:val="24"/>
        </w:rPr>
        <w:t xml:space="preserve"> </w:t>
      </w:r>
      <w:r w:rsidR="00DA5364" w:rsidRPr="003E2516">
        <w:rPr>
          <w:rFonts w:ascii="Times New Roman" w:hAnsi="Times New Roman" w:cs="Times New Roman"/>
          <w:bCs/>
          <w:sz w:val="24"/>
          <w:szCs w:val="24"/>
        </w:rPr>
        <w:tab/>
        <w:t xml:space="preserve">of 24 000 </w:t>
      </w:r>
      <w:r w:rsidR="00F55896" w:rsidRPr="003E2516">
        <w:rPr>
          <w:rFonts w:ascii="Times New Roman" w:hAnsi="Times New Roman" w:cs="Times New Roman"/>
          <w:bCs/>
          <w:sz w:val="24"/>
          <w:szCs w:val="24"/>
        </w:rPr>
        <w:t>artisans</w:t>
      </w:r>
      <w:r w:rsidR="00042831" w:rsidRPr="003E2516">
        <w:rPr>
          <w:rFonts w:ascii="Times New Roman" w:hAnsi="Times New Roman" w:cs="Times New Roman"/>
          <w:bCs/>
          <w:sz w:val="24"/>
          <w:szCs w:val="24"/>
        </w:rPr>
        <w:t xml:space="preserve"> produced</w:t>
      </w:r>
      <w:r w:rsidR="00F55896" w:rsidRPr="003E2516">
        <w:rPr>
          <w:rFonts w:ascii="Times New Roman" w:hAnsi="Times New Roman" w:cs="Times New Roman"/>
          <w:bCs/>
          <w:sz w:val="24"/>
          <w:szCs w:val="24"/>
        </w:rPr>
        <w:t xml:space="preserve"> </w:t>
      </w:r>
      <w:r w:rsidR="00DA5364" w:rsidRPr="003E2516">
        <w:rPr>
          <w:rFonts w:ascii="Times New Roman" w:hAnsi="Times New Roman" w:cs="Times New Roman"/>
          <w:bCs/>
          <w:sz w:val="24"/>
          <w:szCs w:val="24"/>
        </w:rPr>
        <w:t xml:space="preserve">per annum by 2019. Though the Department has been exceeding its annual targets on work placement for students, </w:t>
      </w:r>
      <w:r w:rsidR="00E13C88" w:rsidRPr="003E2516">
        <w:rPr>
          <w:rFonts w:ascii="Times New Roman" w:hAnsi="Times New Roman" w:cs="Times New Roman"/>
          <w:bCs/>
          <w:sz w:val="24"/>
          <w:szCs w:val="24"/>
        </w:rPr>
        <w:t>preliminary findings</w:t>
      </w:r>
      <w:r w:rsidR="00DA5364" w:rsidRPr="003E2516">
        <w:rPr>
          <w:rFonts w:ascii="Times New Roman" w:hAnsi="Times New Roman" w:cs="Times New Roman"/>
          <w:bCs/>
          <w:sz w:val="24"/>
          <w:szCs w:val="24"/>
        </w:rPr>
        <w:t xml:space="preserve"> from</w:t>
      </w:r>
      <w:r w:rsidR="00E13C88" w:rsidRPr="003E2516">
        <w:rPr>
          <w:rFonts w:ascii="Times New Roman" w:hAnsi="Times New Roman" w:cs="Times New Roman"/>
          <w:bCs/>
          <w:sz w:val="24"/>
          <w:szCs w:val="24"/>
        </w:rPr>
        <w:t xml:space="preserve"> the</w:t>
      </w:r>
      <w:r w:rsidR="00DA5364" w:rsidRPr="003E2516">
        <w:rPr>
          <w:rFonts w:ascii="Times New Roman" w:hAnsi="Times New Roman" w:cs="Times New Roman"/>
          <w:bCs/>
          <w:sz w:val="24"/>
          <w:szCs w:val="24"/>
        </w:rPr>
        <w:t xml:space="preserve"> oversight visit shows that there is a need to</w:t>
      </w:r>
      <w:r w:rsidR="00E13C88" w:rsidRPr="003E2516">
        <w:rPr>
          <w:rFonts w:ascii="Times New Roman" w:hAnsi="Times New Roman" w:cs="Times New Roman"/>
          <w:bCs/>
          <w:sz w:val="24"/>
          <w:szCs w:val="24"/>
        </w:rPr>
        <w:t xml:space="preserve"> the</w:t>
      </w:r>
      <w:r w:rsidR="00DA5364" w:rsidRPr="003E2516">
        <w:rPr>
          <w:rFonts w:ascii="Times New Roman" w:hAnsi="Times New Roman" w:cs="Times New Roman"/>
          <w:bCs/>
          <w:sz w:val="24"/>
          <w:szCs w:val="24"/>
        </w:rPr>
        <w:t xml:space="preserve"> increase targets and strengthen partnerships between SETA</w:t>
      </w:r>
      <w:r w:rsidR="00E13C88" w:rsidRPr="003E2516">
        <w:rPr>
          <w:rFonts w:ascii="Times New Roman" w:hAnsi="Times New Roman" w:cs="Times New Roman"/>
          <w:bCs/>
          <w:sz w:val="24"/>
          <w:szCs w:val="24"/>
        </w:rPr>
        <w:t>s</w:t>
      </w:r>
      <w:r w:rsidR="00DA5364" w:rsidRPr="003E2516">
        <w:rPr>
          <w:rFonts w:ascii="Times New Roman" w:hAnsi="Times New Roman" w:cs="Times New Roman"/>
          <w:bCs/>
          <w:sz w:val="24"/>
          <w:szCs w:val="24"/>
        </w:rPr>
        <w:t xml:space="preserve"> and employers to provide more placement opportunities. The Committee was informed by the Mining Qualifications Authority (MQA) and some </w:t>
      </w:r>
      <w:r w:rsidR="00863577" w:rsidRPr="003E2516">
        <w:rPr>
          <w:rFonts w:ascii="Times New Roman" w:hAnsi="Times New Roman" w:cs="Times New Roman"/>
          <w:bCs/>
          <w:sz w:val="24"/>
          <w:szCs w:val="24"/>
        </w:rPr>
        <w:t>Colleges</w:t>
      </w:r>
      <w:r w:rsidR="00DA5364" w:rsidRPr="003E2516">
        <w:rPr>
          <w:rFonts w:ascii="Times New Roman" w:hAnsi="Times New Roman" w:cs="Times New Roman"/>
          <w:bCs/>
          <w:sz w:val="24"/>
          <w:szCs w:val="24"/>
        </w:rPr>
        <w:t xml:space="preserve"> like Sekhukhune and Waterberg TVET </w:t>
      </w:r>
      <w:r w:rsidR="00863577" w:rsidRPr="003E2516">
        <w:rPr>
          <w:rFonts w:ascii="Times New Roman" w:hAnsi="Times New Roman" w:cs="Times New Roman"/>
          <w:bCs/>
          <w:sz w:val="24"/>
          <w:szCs w:val="24"/>
        </w:rPr>
        <w:t>Colleges</w:t>
      </w:r>
      <w:r w:rsidR="00DA5364" w:rsidRPr="003E2516">
        <w:rPr>
          <w:rFonts w:ascii="Times New Roman" w:hAnsi="Times New Roman" w:cs="Times New Roman"/>
          <w:bCs/>
          <w:sz w:val="24"/>
          <w:szCs w:val="24"/>
        </w:rPr>
        <w:t xml:space="preserve"> that </w:t>
      </w:r>
      <w:r w:rsidR="00825263" w:rsidRPr="003E2516">
        <w:rPr>
          <w:rFonts w:ascii="Times New Roman" w:hAnsi="Times New Roman" w:cs="Times New Roman"/>
          <w:bCs/>
          <w:sz w:val="24"/>
          <w:szCs w:val="24"/>
        </w:rPr>
        <w:t xml:space="preserve">the </w:t>
      </w:r>
      <w:r w:rsidR="00DA5364" w:rsidRPr="003E2516">
        <w:rPr>
          <w:rFonts w:ascii="Times New Roman" w:hAnsi="Times New Roman" w:cs="Times New Roman"/>
          <w:bCs/>
          <w:sz w:val="24"/>
          <w:szCs w:val="24"/>
        </w:rPr>
        <w:t xml:space="preserve">mining industry is not opening up their workplaces for students. </w:t>
      </w:r>
      <w:r w:rsidR="006317FF" w:rsidRPr="003E2516">
        <w:rPr>
          <w:rFonts w:ascii="Times New Roman" w:hAnsi="Times New Roman" w:cs="Times New Roman"/>
          <w:bCs/>
          <w:sz w:val="24"/>
          <w:szCs w:val="24"/>
        </w:rPr>
        <w:t>Inadequate</w:t>
      </w:r>
      <w:r w:rsidR="00DA5364" w:rsidRPr="003E2516">
        <w:rPr>
          <w:rFonts w:ascii="Times New Roman" w:hAnsi="Times New Roman" w:cs="Times New Roman"/>
          <w:bCs/>
          <w:sz w:val="24"/>
          <w:szCs w:val="24"/>
        </w:rPr>
        <w:t xml:space="preserve"> work </w:t>
      </w:r>
      <w:r w:rsidR="00F55896" w:rsidRPr="003E2516">
        <w:rPr>
          <w:rFonts w:ascii="Times New Roman" w:hAnsi="Times New Roman" w:cs="Times New Roman"/>
          <w:bCs/>
          <w:sz w:val="24"/>
          <w:szCs w:val="24"/>
        </w:rPr>
        <w:t>p</w:t>
      </w:r>
      <w:r w:rsidR="00DA5364" w:rsidRPr="003E2516">
        <w:rPr>
          <w:rFonts w:ascii="Times New Roman" w:hAnsi="Times New Roman" w:cs="Times New Roman"/>
          <w:bCs/>
          <w:sz w:val="24"/>
          <w:szCs w:val="24"/>
        </w:rPr>
        <w:t xml:space="preserve">lacement will impact negatively on students completing their qualifications as well as the skills-base required to grow the economy of the country. </w:t>
      </w:r>
    </w:p>
    <w:p w:rsidR="00DA5364" w:rsidRPr="003E2516" w:rsidRDefault="00A76AE5"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.4.5.2.</w:t>
      </w:r>
      <w:r w:rsidR="005D4448" w:rsidRPr="003E2516">
        <w:rPr>
          <w:rFonts w:ascii="Times New Roman" w:hAnsi="Times New Roman" w:cs="Times New Roman"/>
          <w:sz w:val="24"/>
          <w:szCs w:val="24"/>
        </w:rPr>
        <w:t xml:space="preserve"> </w:t>
      </w:r>
      <w:r w:rsidR="00DA5364" w:rsidRPr="003E2516">
        <w:rPr>
          <w:rFonts w:ascii="Times New Roman" w:hAnsi="Times New Roman" w:cs="Times New Roman"/>
          <w:sz w:val="24"/>
          <w:szCs w:val="24"/>
        </w:rPr>
        <w:t xml:space="preserve">The human resource capacity at INDLELA as well as outdated machinery for </w:t>
      </w:r>
      <w:r w:rsidR="00DA5364" w:rsidRPr="003E2516">
        <w:rPr>
          <w:rFonts w:ascii="Times New Roman" w:hAnsi="Times New Roman" w:cs="Times New Roman"/>
          <w:sz w:val="24"/>
          <w:szCs w:val="24"/>
        </w:rPr>
        <w:tab/>
        <w:t xml:space="preserve">certain occupations, in particular high demand trades, impacts on the average </w:t>
      </w:r>
      <w:r w:rsidR="00DA5364" w:rsidRPr="003E2516">
        <w:rPr>
          <w:rFonts w:ascii="Times New Roman" w:hAnsi="Times New Roman" w:cs="Times New Roman"/>
          <w:sz w:val="24"/>
          <w:szCs w:val="24"/>
        </w:rPr>
        <w:tab/>
        <w:t xml:space="preserve">lead time from trade test application received until trade test conducted. </w:t>
      </w:r>
      <w:r w:rsidR="00042831" w:rsidRPr="003E2516">
        <w:rPr>
          <w:rFonts w:ascii="Times New Roman" w:hAnsi="Times New Roman" w:cs="Times New Roman"/>
          <w:sz w:val="24"/>
          <w:szCs w:val="24"/>
        </w:rPr>
        <w:t>Therefore,</w:t>
      </w:r>
      <w:r w:rsidR="00DA5364" w:rsidRPr="003E2516">
        <w:rPr>
          <w:rFonts w:ascii="Times New Roman" w:hAnsi="Times New Roman" w:cs="Times New Roman"/>
          <w:sz w:val="24"/>
          <w:szCs w:val="24"/>
        </w:rPr>
        <w:t xml:space="preserve"> </w:t>
      </w:r>
      <w:r w:rsidR="00DA5364" w:rsidRPr="003E2516">
        <w:rPr>
          <w:rFonts w:ascii="Times New Roman" w:hAnsi="Times New Roman" w:cs="Times New Roman"/>
          <w:sz w:val="24"/>
          <w:szCs w:val="24"/>
        </w:rPr>
        <w:tab/>
        <w:t xml:space="preserve">there is a need for </w:t>
      </w:r>
      <w:r w:rsidR="00E13C88" w:rsidRPr="003E2516">
        <w:rPr>
          <w:rFonts w:ascii="Times New Roman" w:hAnsi="Times New Roman" w:cs="Times New Roman"/>
          <w:sz w:val="24"/>
          <w:szCs w:val="24"/>
        </w:rPr>
        <w:t>additional funding</w:t>
      </w:r>
      <w:r w:rsidR="00DA5364" w:rsidRPr="003E2516">
        <w:rPr>
          <w:rFonts w:ascii="Times New Roman" w:hAnsi="Times New Roman" w:cs="Times New Roman"/>
          <w:sz w:val="24"/>
          <w:szCs w:val="24"/>
        </w:rPr>
        <w:t xml:space="preserve"> to capacitate INDLELA with artisan assessors </w:t>
      </w:r>
      <w:r w:rsidR="00DA5364" w:rsidRPr="003E2516">
        <w:rPr>
          <w:rFonts w:ascii="Times New Roman" w:hAnsi="Times New Roman" w:cs="Times New Roman"/>
          <w:sz w:val="24"/>
          <w:szCs w:val="24"/>
        </w:rPr>
        <w:tab/>
        <w:t>for high demand trades and occupations as well as to convert workshops for l</w:t>
      </w:r>
      <w:r w:rsidR="004F423D" w:rsidRPr="003E2516">
        <w:rPr>
          <w:rFonts w:ascii="Times New Roman" w:hAnsi="Times New Roman" w:cs="Times New Roman"/>
          <w:sz w:val="24"/>
          <w:szCs w:val="24"/>
        </w:rPr>
        <w:t>ow</w:t>
      </w:r>
      <w:r w:rsidR="00DA5364" w:rsidRPr="003E2516">
        <w:rPr>
          <w:rFonts w:ascii="Times New Roman" w:hAnsi="Times New Roman" w:cs="Times New Roman"/>
          <w:sz w:val="24"/>
          <w:szCs w:val="24"/>
        </w:rPr>
        <w:t xml:space="preserve"> </w:t>
      </w:r>
      <w:r w:rsidR="00DA5364" w:rsidRPr="003E2516">
        <w:rPr>
          <w:rFonts w:ascii="Times New Roman" w:hAnsi="Times New Roman" w:cs="Times New Roman"/>
          <w:sz w:val="24"/>
          <w:szCs w:val="24"/>
        </w:rPr>
        <w:tab/>
        <w:t xml:space="preserve">demand trades into the high demand trades to expedite trade testing. </w:t>
      </w:r>
    </w:p>
    <w:p w:rsidR="00B92183" w:rsidRDefault="00B92183">
      <w:pP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br w:type="page"/>
      </w:r>
    </w:p>
    <w:p w:rsidR="00DA5364" w:rsidRPr="003E2516" w:rsidRDefault="00A76AE5" w:rsidP="003E2516">
      <w:pPr>
        <w:spacing w:before="120" w:after="120" w:line="240" w:lineRule="auto"/>
        <w:jc w:val="both"/>
        <w:rPr>
          <w:rFonts w:ascii="Times New Roman" w:hAnsi="Times New Roman" w:cs="Times New Roman"/>
          <w:b/>
          <w:sz w:val="24"/>
          <w:szCs w:val="24"/>
        </w:rPr>
      </w:pPr>
      <w:r w:rsidRPr="003E2516">
        <w:rPr>
          <w:rFonts w:ascii="Times New Roman" w:hAnsi="Times New Roman" w:cs="Times New Roman"/>
          <w:b/>
          <w:color w:val="000000" w:themeColor="text1"/>
          <w:kern w:val="24"/>
          <w:sz w:val="24"/>
          <w:szCs w:val="24"/>
        </w:rPr>
        <w:lastRenderedPageBreak/>
        <w:t>7</w:t>
      </w:r>
      <w:r w:rsidR="00DA5364" w:rsidRPr="003E2516">
        <w:rPr>
          <w:rFonts w:ascii="Times New Roman" w:hAnsi="Times New Roman" w:cs="Times New Roman"/>
          <w:b/>
          <w:sz w:val="24"/>
          <w:szCs w:val="24"/>
        </w:rPr>
        <w:t xml:space="preserve">.4.6. Programme 6: Community Education and Training </w:t>
      </w:r>
      <w:r w:rsidR="00863577" w:rsidRPr="003E2516">
        <w:rPr>
          <w:rFonts w:ascii="Times New Roman" w:hAnsi="Times New Roman" w:cs="Times New Roman"/>
          <w:b/>
          <w:sz w:val="24"/>
          <w:szCs w:val="24"/>
        </w:rPr>
        <w:t>Colleges</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.4.6.1.</w:t>
      </w:r>
      <w:r w:rsidR="00DA5364" w:rsidRPr="003E2516">
        <w:rPr>
          <w:rFonts w:ascii="Times New Roman" w:hAnsi="Times New Roman" w:cs="Times New Roman"/>
          <w:b/>
          <w:sz w:val="24"/>
          <w:szCs w:val="24"/>
        </w:rPr>
        <w:t xml:space="preserve"> </w:t>
      </w:r>
      <w:r w:rsidR="00DA5364" w:rsidRPr="003E2516">
        <w:rPr>
          <w:rFonts w:ascii="Times New Roman" w:hAnsi="Times New Roman" w:cs="Times New Roman"/>
          <w:sz w:val="24"/>
          <w:szCs w:val="24"/>
        </w:rPr>
        <w:t xml:space="preserve">The NDP committed </w:t>
      </w:r>
      <w:r w:rsidR="001C724F" w:rsidRPr="003E2516">
        <w:rPr>
          <w:rFonts w:ascii="Times New Roman" w:hAnsi="Times New Roman" w:cs="Times New Roman"/>
          <w:sz w:val="24"/>
          <w:szCs w:val="24"/>
        </w:rPr>
        <w:t>Government</w:t>
      </w:r>
      <w:r w:rsidR="00DA5364" w:rsidRPr="003E2516">
        <w:rPr>
          <w:rFonts w:ascii="Times New Roman" w:hAnsi="Times New Roman" w:cs="Times New Roman"/>
          <w:sz w:val="24"/>
          <w:szCs w:val="24"/>
        </w:rPr>
        <w:t xml:space="preserve"> to increase youth and adult participation in </w:t>
      </w:r>
      <w:r w:rsidR="00D43776" w:rsidRPr="003E2516">
        <w:rPr>
          <w:rFonts w:ascii="Times New Roman" w:hAnsi="Times New Roman" w:cs="Times New Roman"/>
          <w:sz w:val="24"/>
          <w:szCs w:val="24"/>
        </w:rPr>
        <w:t xml:space="preserve">the </w:t>
      </w:r>
      <w:r w:rsidR="00DA5364" w:rsidRPr="003E2516">
        <w:rPr>
          <w:rFonts w:ascii="Times New Roman" w:hAnsi="Times New Roman" w:cs="Times New Roman"/>
          <w:sz w:val="24"/>
          <w:szCs w:val="24"/>
        </w:rPr>
        <w:t xml:space="preserve">CET sector to 1 million by 2030. This is to expand access to and success for post-school youth and adults who wish to raise the bar for further learning, improve skills to bolster employability and/or facilitate progression to opportunities in the TVET </w:t>
      </w:r>
      <w:r w:rsidR="00EB5B64" w:rsidRPr="003E2516">
        <w:rPr>
          <w:rFonts w:ascii="Times New Roman" w:hAnsi="Times New Roman" w:cs="Times New Roman"/>
          <w:sz w:val="24"/>
          <w:szCs w:val="24"/>
        </w:rPr>
        <w:t>c</w:t>
      </w:r>
      <w:r w:rsidR="00DA5364" w:rsidRPr="003E2516">
        <w:rPr>
          <w:rFonts w:ascii="Times New Roman" w:hAnsi="Times New Roman" w:cs="Times New Roman"/>
          <w:sz w:val="24"/>
          <w:szCs w:val="24"/>
        </w:rPr>
        <w:t>ollege and university education sectors. The Department achieved the target to establish nine CET</w:t>
      </w:r>
      <w:r w:rsidR="00E13C88" w:rsidRPr="003E2516">
        <w:rPr>
          <w:rFonts w:ascii="Times New Roman" w:hAnsi="Times New Roman" w:cs="Times New Roman"/>
          <w:sz w:val="24"/>
          <w:szCs w:val="24"/>
        </w:rPr>
        <w:t xml:space="preserve">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in 2015. The sector has to become differentiated and more responsive to geographic and sectoral needs and challenges. The offering of appropriate and quality programmes need</w:t>
      </w:r>
      <w:r w:rsidR="00EB5B64" w:rsidRPr="003E2516">
        <w:rPr>
          <w:rFonts w:ascii="Times New Roman" w:hAnsi="Times New Roman" w:cs="Times New Roman"/>
          <w:sz w:val="24"/>
          <w:szCs w:val="24"/>
        </w:rPr>
        <w:t>s to</w:t>
      </w:r>
      <w:r w:rsidR="00DA5364" w:rsidRPr="003E2516">
        <w:rPr>
          <w:rFonts w:ascii="Times New Roman" w:hAnsi="Times New Roman" w:cs="Times New Roman"/>
          <w:sz w:val="24"/>
          <w:szCs w:val="24"/>
        </w:rPr>
        <w:t xml:space="preserve"> be supported by appropriate infrastructure in order to achieve</w:t>
      </w:r>
      <w:r w:rsidR="00EB5B64" w:rsidRPr="003E2516">
        <w:rPr>
          <w:rFonts w:ascii="Times New Roman" w:hAnsi="Times New Roman" w:cs="Times New Roman"/>
          <w:sz w:val="24"/>
          <w:szCs w:val="24"/>
        </w:rPr>
        <w:t xml:space="preserve"> </w:t>
      </w:r>
      <w:r w:rsidR="00DA5364" w:rsidRPr="003E2516">
        <w:rPr>
          <w:rFonts w:ascii="Times New Roman" w:hAnsi="Times New Roman" w:cs="Times New Roman"/>
          <w:sz w:val="24"/>
          <w:szCs w:val="24"/>
        </w:rPr>
        <w:t>the NDP targets. The MTEF targets for this programme is to have a headcount enrolment of 340 000</w:t>
      </w:r>
      <w:r w:rsidR="00EB5B64" w:rsidRPr="003E2516">
        <w:rPr>
          <w:rFonts w:ascii="Times New Roman" w:hAnsi="Times New Roman" w:cs="Times New Roman"/>
          <w:sz w:val="24"/>
          <w:szCs w:val="24"/>
        </w:rPr>
        <w:t xml:space="preserve"> students</w:t>
      </w:r>
      <w:r w:rsidR="00DA5364" w:rsidRPr="003E2516">
        <w:rPr>
          <w:rFonts w:ascii="Times New Roman" w:hAnsi="Times New Roman" w:cs="Times New Roman"/>
          <w:sz w:val="24"/>
          <w:szCs w:val="24"/>
        </w:rPr>
        <w:t xml:space="preserve"> by 2019/20.</w:t>
      </w:r>
    </w:p>
    <w:p w:rsidR="00DA5364" w:rsidRPr="003E2516" w:rsidRDefault="00A76AE5" w:rsidP="003E2516">
      <w:pPr>
        <w:spacing w:before="120" w:after="120" w:line="240" w:lineRule="auto"/>
        <w:ind w:left="720" w:hanging="720"/>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7</w:t>
      </w:r>
      <w:r w:rsidR="00DA5364" w:rsidRPr="003E2516">
        <w:rPr>
          <w:rFonts w:ascii="Times New Roman" w:hAnsi="Times New Roman" w:cs="Times New Roman"/>
          <w:sz w:val="24"/>
          <w:szCs w:val="24"/>
        </w:rPr>
        <w:t xml:space="preserve">.4.6.2. For </w:t>
      </w:r>
      <w:r w:rsidR="00E13C88" w:rsidRPr="003E2516">
        <w:rPr>
          <w:rFonts w:ascii="Times New Roman" w:hAnsi="Times New Roman" w:cs="Times New Roman"/>
          <w:sz w:val="24"/>
          <w:szCs w:val="24"/>
        </w:rPr>
        <w:t xml:space="preserve">the </w:t>
      </w:r>
      <w:r w:rsidR="00DA5364" w:rsidRPr="003E2516">
        <w:rPr>
          <w:rFonts w:ascii="Times New Roman" w:hAnsi="Times New Roman" w:cs="Times New Roman"/>
          <w:sz w:val="24"/>
          <w:szCs w:val="24"/>
        </w:rPr>
        <w:t>2017/18</w:t>
      </w:r>
      <w:r w:rsidR="00E13C88" w:rsidRPr="003E2516">
        <w:rPr>
          <w:rFonts w:ascii="Times New Roman" w:hAnsi="Times New Roman" w:cs="Times New Roman"/>
          <w:sz w:val="24"/>
          <w:szCs w:val="24"/>
        </w:rPr>
        <w:t xml:space="preserve"> financial year,</w:t>
      </w:r>
      <w:r w:rsidR="00DA5364" w:rsidRPr="003E2516">
        <w:rPr>
          <w:rFonts w:ascii="Times New Roman" w:hAnsi="Times New Roman" w:cs="Times New Roman"/>
          <w:sz w:val="24"/>
          <w:szCs w:val="24"/>
        </w:rPr>
        <w:t xml:space="preserve"> the budget allocation</w:t>
      </w:r>
      <w:r w:rsidR="00E13C88" w:rsidRPr="003E2516">
        <w:rPr>
          <w:rFonts w:ascii="Times New Roman" w:hAnsi="Times New Roman" w:cs="Times New Roman"/>
          <w:sz w:val="24"/>
          <w:szCs w:val="24"/>
        </w:rPr>
        <w:t xml:space="preserve"> of this programme</w:t>
      </w:r>
      <w:r w:rsidR="00DA5364" w:rsidRPr="003E2516">
        <w:rPr>
          <w:rFonts w:ascii="Times New Roman" w:hAnsi="Times New Roman" w:cs="Times New Roman"/>
          <w:sz w:val="24"/>
          <w:szCs w:val="24"/>
        </w:rPr>
        <w:t xml:space="preserve"> is R2.2 billion. Of this R2.1 billion is allocated for compensation of employees and R58.6 million for goods and services. The allocation for good</w:t>
      </w:r>
      <w:r w:rsidR="00D43776"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and services has decreased by R 4.7 million f</w:t>
      </w:r>
      <w:r w:rsidR="004F423D" w:rsidRPr="003E2516">
        <w:rPr>
          <w:rFonts w:ascii="Times New Roman" w:hAnsi="Times New Roman" w:cs="Times New Roman"/>
          <w:sz w:val="24"/>
          <w:szCs w:val="24"/>
        </w:rPr>
        <w:t>rom the</w:t>
      </w:r>
      <w:r w:rsidR="00DA5364" w:rsidRPr="003E2516">
        <w:rPr>
          <w:rFonts w:ascii="Times New Roman" w:hAnsi="Times New Roman" w:cs="Times New Roman"/>
          <w:sz w:val="24"/>
          <w:szCs w:val="24"/>
        </w:rPr>
        <w:t xml:space="preserve"> 2017</w:t>
      </w:r>
      <w:r w:rsidR="00E13C88" w:rsidRPr="003E2516">
        <w:rPr>
          <w:rFonts w:ascii="Times New Roman" w:hAnsi="Times New Roman" w:cs="Times New Roman"/>
          <w:sz w:val="24"/>
          <w:szCs w:val="24"/>
        </w:rPr>
        <w:t>/18</w:t>
      </w:r>
      <w:r w:rsidR="00DA5364" w:rsidRPr="003E2516">
        <w:rPr>
          <w:rFonts w:ascii="Times New Roman" w:hAnsi="Times New Roman" w:cs="Times New Roman"/>
          <w:sz w:val="24"/>
          <w:szCs w:val="24"/>
        </w:rPr>
        <w:t xml:space="preserve"> financial year. The Department inherited the challenge of this programme from the Provinces. As a result of the underfunding,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were face</w:t>
      </w:r>
      <w:r w:rsidR="00D43776" w:rsidRPr="003E2516">
        <w:rPr>
          <w:rFonts w:ascii="Times New Roman" w:hAnsi="Times New Roman" w:cs="Times New Roman"/>
          <w:sz w:val="24"/>
          <w:szCs w:val="24"/>
        </w:rPr>
        <w:t>d</w:t>
      </w:r>
      <w:r w:rsidR="00DA5364" w:rsidRPr="003E2516">
        <w:rPr>
          <w:rFonts w:ascii="Times New Roman" w:hAnsi="Times New Roman" w:cs="Times New Roman"/>
          <w:sz w:val="24"/>
          <w:szCs w:val="24"/>
        </w:rPr>
        <w:t xml:space="preserve"> with challenges of lack of </w:t>
      </w:r>
      <w:r w:rsidR="004F423D" w:rsidRPr="003E2516">
        <w:rPr>
          <w:rFonts w:ascii="Times New Roman" w:hAnsi="Times New Roman" w:cs="Times New Roman"/>
          <w:sz w:val="24"/>
          <w:szCs w:val="24"/>
        </w:rPr>
        <w:t>l</w:t>
      </w:r>
      <w:r w:rsidR="00DA5364" w:rsidRPr="003E2516">
        <w:rPr>
          <w:rFonts w:ascii="Times New Roman" w:hAnsi="Times New Roman" w:cs="Times New Roman"/>
          <w:sz w:val="24"/>
          <w:szCs w:val="24"/>
        </w:rPr>
        <w:t xml:space="preserve">eaner </w:t>
      </w:r>
      <w:r w:rsidR="004F423D" w:rsidRPr="003E2516">
        <w:rPr>
          <w:rFonts w:ascii="Times New Roman" w:hAnsi="Times New Roman" w:cs="Times New Roman"/>
          <w:sz w:val="24"/>
          <w:szCs w:val="24"/>
        </w:rPr>
        <w:t>t</w:t>
      </w:r>
      <w:r w:rsidR="00DA5364" w:rsidRPr="003E2516">
        <w:rPr>
          <w:rFonts w:ascii="Times New Roman" w:hAnsi="Times New Roman" w:cs="Times New Roman"/>
          <w:sz w:val="24"/>
          <w:szCs w:val="24"/>
        </w:rPr>
        <w:t xml:space="preserve">eacher </w:t>
      </w:r>
      <w:r w:rsidR="004F423D"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upport </w:t>
      </w:r>
      <w:r w:rsidR="004F423D" w:rsidRPr="003E2516">
        <w:rPr>
          <w:rFonts w:ascii="Times New Roman" w:hAnsi="Times New Roman" w:cs="Times New Roman"/>
          <w:sz w:val="24"/>
          <w:szCs w:val="24"/>
        </w:rPr>
        <w:t>m</w:t>
      </w:r>
      <w:r w:rsidR="00DA5364" w:rsidRPr="003E2516">
        <w:rPr>
          <w:rFonts w:ascii="Times New Roman" w:hAnsi="Times New Roman" w:cs="Times New Roman"/>
          <w:sz w:val="24"/>
          <w:szCs w:val="24"/>
        </w:rPr>
        <w:t>aterial (LTSM) which undermin</w:t>
      </w:r>
      <w:r w:rsidR="00E13C88" w:rsidRPr="003E2516">
        <w:rPr>
          <w:rFonts w:ascii="Times New Roman" w:hAnsi="Times New Roman" w:cs="Times New Roman"/>
          <w:sz w:val="24"/>
          <w:szCs w:val="24"/>
        </w:rPr>
        <w:t xml:space="preserve">es the quality of teaching and </w:t>
      </w:r>
      <w:r w:rsidR="00DA5364" w:rsidRPr="003E2516">
        <w:rPr>
          <w:rFonts w:ascii="Times New Roman" w:hAnsi="Times New Roman" w:cs="Times New Roman"/>
          <w:sz w:val="24"/>
          <w:szCs w:val="24"/>
        </w:rPr>
        <w:t xml:space="preserve">learning. </w:t>
      </w:r>
      <w:r w:rsidR="00630026" w:rsidRPr="003E2516">
        <w:rPr>
          <w:rFonts w:ascii="Times New Roman" w:hAnsi="Times New Roman" w:cs="Times New Roman"/>
          <w:sz w:val="24"/>
          <w:szCs w:val="24"/>
        </w:rPr>
        <w:t>The current allocation</w:t>
      </w:r>
      <w:r w:rsidR="00DA5364" w:rsidRPr="003E2516">
        <w:rPr>
          <w:rFonts w:ascii="Times New Roman" w:hAnsi="Times New Roman" w:cs="Times New Roman"/>
          <w:sz w:val="24"/>
          <w:szCs w:val="24"/>
        </w:rPr>
        <w:t xml:space="preserve"> to the</w:t>
      </w:r>
      <w:r w:rsidR="00E13C88" w:rsidRPr="003E2516">
        <w:rPr>
          <w:rFonts w:ascii="Times New Roman" w:hAnsi="Times New Roman" w:cs="Times New Roman"/>
          <w:sz w:val="24"/>
          <w:szCs w:val="24"/>
        </w:rPr>
        <w:t xml:space="preserve"> CET</w:t>
      </w:r>
      <w:r w:rsidR="00DA5364" w:rsidRPr="003E2516">
        <w:rPr>
          <w:rFonts w:ascii="Times New Roman" w:hAnsi="Times New Roman" w:cs="Times New Roman"/>
          <w:sz w:val="24"/>
          <w:szCs w:val="24"/>
        </w:rPr>
        <w:t xml:space="preserve"> </w:t>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w:t>
      </w:r>
      <w:r w:rsidR="00630026" w:rsidRPr="003E2516">
        <w:rPr>
          <w:rFonts w:ascii="Times New Roman" w:hAnsi="Times New Roman" w:cs="Times New Roman"/>
          <w:sz w:val="24"/>
          <w:szCs w:val="24"/>
        </w:rPr>
        <w:t>will not help to alleviate these challenges</w:t>
      </w:r>
      <w:r w:rsidR="00DA5364" w:rsidRPr="003E2516">
        <w:rPr>
          <w:rFonts w:ascii="Times New Roman" w:hAnsi="Times New Roman" w:cs="Times New Roman"/>
          <w:sz w:val="24"/>
          <w:szCs w:val="24"/>
        </w:rPr>
        <w:t xml:space="preserve">. </w:t>
      </w:r>
      <w:r w:rsidR="000A5E73" w:rsidRPr="003E2516">
        <w:rPr>
          <w:rFonts w:ascii="Times New Roman" w:hAnsi="Times New Roman" w:cs="Times New Roman"/>
          <w:sz w:val="24"/>
          <w:szCs w:val="24"/>
        </w:rPr>
        <w:t>An</w:t>
      </w:r>
      <w:r w:rsidR="00DA5364" w:rsidRPr="003E2516">
        <w:rPr>
          <w:rFonts w:ascii="Times New Roman" w:hAnsi="Times New Roman" w:cs="Times New Roman"/>
          <w:sz w:val="24"/>
          <w:szCs w:val="24"/>
        </w:rPr>
        <w:t xml:space="preserve"> increase in the demand for matric rewrite programmes </w:t>
      </w:r>
      <w:r w:rsidR="00EB5B64" w:rsidRPr="003E2516">
        <w:rPr>
          <w:rFonts w:ascii="Times New Roman" w:hAnsi="Times New Roman" w:cs="Times New Roman"/>
          <w:sz w:val="24"/>
          <w:szCs w:val="24"/>
        </w:rPr>
        <w:t>at</w:t>
      </w:r>
      <w:r w:rsidR="00DA5364" w:rsidRPr="003E2516">
        <w:rPr>
          <w:rFonts w:ascii="Times New Roman" w:hAnsi="Times New Roman" w:cs="Times New Roman"/>
          <w:sz w:val="24"/>
          <w:szCs w:val="24"/>
        </w:rPr>
        <w:t xml:space="preserve"> these </w:t>
      </w:r>
      <w:r w:rsidR="00DA5364" w:rsidRPr="003E2516">
        <w:rPr>
          <w:rFonts w:ascii="Times New Roman" w:hAnsi="Times New Roman" w:cs="Times New Roman"/>
          <w:sz w:val="24"/>
          <w:szCs w:val="24"/>
        </w:rPr>
        <w:tab/>
      </w:r>
      <w:r w:rsidR="00863577" w:rsidRPr="003E2516">
        <w:rPr>
          <w:rFonts w:ascii="Times New Roman" w:hAnsi="Times New Roman" w:cs="Times New Roman"/>
          <w:sz w:val="24"/>
          <w:szCs w:val="24"/>
        </w:rPr>
        <w:t>Colleges</w:t>
      </w:r>
      <w:r w:rsidR="00DA5364" w:rsidRPr="003E2516">
        <w:rPr>
          <w:rFonts w:ascii="Times New Roman" w:hAnsi="Times New Roman" w:cs="Times New Roman"/>
          <w:sz w:val="24"/>
          <w:szCs w:val="24"/>
        </w:rPr>
        <w:t xml:space="preserve"> also puts</w:t>
      </w:r>
      <w:r w:rsidR="000A5E73" w:rsidRPr="003E2516">
        <w:rPr>
          <w:rFonts w:ascii="Times New Roman" w:hAnsi="Times New Roman" w:cs="Times New Roman"/>
          <w:sz w:val="24"/>
          <w:szCs w:val="24"/>
        </w:rPr>
        <w:t xml:space="preserve"> additional</w:t>
      </w:r>
      <w:r w:rsidR="00DA5364" w:rsidRPr="003E2516">
        <w:rPr>
          <w:rFonts w:ascii="Times New Roman" w:hAnsi="Times New Roman" w:cs="Times New Roman"/>
          <w:sz w:val="24"/>
          <w:szCs w:val="24"/>
        </w:rPr>
        <w:t xml:space="preserve"> pressure in the already </w:t>
      </w:r>
      <w:r w:rsidR="005D4448" w:rsidRPr="003E2516">
        <w:rPr>
          <w:rFonts w:ascii="Times New Roman" w:hAnsi="Times New Roman" w:cs="Times New Roman"/>
          <w:sz w:val="24"/>
          <w:szCs w:val="24"/>
        </w:rPr>
        <w:t>constrained</w:t>
      </w:r>
      <w:r w:rsidR="00DA5364" w:rsidRPr="003E2516">
        <w:rPr>
          <w:rFonts w:ascii="Times New Roman" w:hAnsi="Times New Roman" w:cs="Times New Roman"/>
          <w:sz w:val="24"/>
          <w:szCs w:val="24"/>
        </w:rPr>
        <w:t xml:space="preserve"> budget. The </w:t>
      </w:r>
      <w:r w:rsidR="00EB5B64" w:rsidRPr="003E2516">
        <w:rPr>
          <w:rFonts w:ascii="Times New Roman" w:hAnsi="Times New Roman" w:cs="Times New Roman"/>
          <w:sz w:val="24"/>
          <w:szCs w:val="24"/>
        </w:rPr>
        <w:t>i</w:t>
      </w:r>
      <w:r w:rsidR="00E13C88" w:rsidRPr="003E2516">
        <w:rPr>
          <w:rFonts w:ascii="Times New Roman" w:hAnsi="Times New Roman" w:cs="Times New Roman"/>
          <w:sz w:val="24"/>
          <w:szCs w:val="24"/>
        </w:rPr>
        <w:t xml:space="preserve">nfrastructure </w:t>
      </w:r>
      <w:r w:rsidR="00DA5364" w:rsidRPr="003E2516">
        <w:rPr>
          <w:rFonts w:ascii="Times New Roman" w:hAnsi="Times New Roman" w:cs="Times New Roman"/>
          <w:sz w:val="24"/>
          <w:szCs w:val="24"/>
        </w:rPr>
        <w:t>challenges impact</w:t>
      </w:r>
      <w:r w:rsidR="00BE515C" w:rsidRPr="003E2516">
        <w:rPr>
          <w:rFonts w:ascii="Times New Roman" w:hAnsi="Times New Roman" w:cs="Times New Roman"/>
          <w:sz w:val="24"/>
          <w:szCs w:val="24"/>
        </w:rPr>
        <w:t xml:space="preserve"> on</w:t>
      </w:r>
      <w:r w:rsidR="00DA5364" w:rsidRPr="003E2516">
        <w:rPr>
          <w:rFonts w:ascii="Times New Roman" w:hAnsi="Times New Roman" w:cs="Times New Roman"/>
          <w:sz w:val="24"/>
          <w:szCs w:val="24"/>
        </w:rPr>
        <w:t xml:space="preserve"> the quality of teaching and learning as some centres can only operate for three hours per day. Due to lack of funding, </w:t>
      </w:r>
      <w:r w:rsidR="00C04C03" w:rsidRPr="003E2516">
        <w:rPr>
          <w:rFonts w:ascii="Times New Roman" w:hAnsi="Times New Roman" w:cs="Times New Roman"/>
          <w:sz w:val="24"/>
          <w:szCs w:val="24"/>
        </w:rPr>
        <w:t xml:space="preserve">the </w:t>
      </w:r>
      <w:r w:rsidR="00DA5364" w:rsidRPr="003E2516">
        <w:rPr>
          <w:rFonts w:ascii="Times New Roman" w:hAnsi="Times New Roman" w:cs="Times New Roman"/>
          <w:sz w:val="24"/>
          <w:szCs w:val="24"/>
        </w:rPr>
        <w:t xml:space="preserve">CET sector has not yet realised </w:t>
      </w:r>
      <w:r w:rsidR="00EB5B64" w:rsidRPr="003E2516">
        <w:rPr>
          <w:rFonts w:ascii="Times New Roman" w:hAnsi="Times New Roman" w:cs="Times New Roman"/>
          <w:sz w:val="24"/>
          <w:szCs w:val="24"/>
        </w:rPr>
        <w:t>its</w:t>
      </w:r>
      <w:r w:rsidR="00DA5364" w:rsidRPr="003E2516">
        <w:rPr>
          <w:rFonts w:ascii="Times New Roman" w:hAnsi="Times New Roman" w:cs="Times New Roman"/>
          <w:sz w:val="24"/>
          <w:szCs w:val="24"/>
        </w:rPr>
        <w:t xml:space="preserve"> legislative mandate which is to provide “for further learning, improve skills to bolster employability and/or facilitate progression</w:t>
      </w:r>
      <w:r w:rsidR="00EB5B64" w:rsidRPr="003E2516">
        <w:rPr>
          <w:rFonts w:ascii="Times New Roman" w:hAnsi="Times New Roman" w:cs="Times New Roman"/>
          <w:sz w:val="24"/>
          <w:szCs w:val="24"/>
        </w:rPr>
        <w:t xml:space="preserve"> to opportunities in the TVET c</w:t>
      </w:r>
      <w:r w:rsidR="00DA5364" w:rsidRPr="003E2516">
        <w:rPr>
          <w:rFonts w:ascii="Times New Roman" w:hAnsi="Times New Roman" w:cs="Times New Roman"/>
          <w:sz w:val="24"/>
          <w:szCs w:val="24"/>
        </w:rPr>
        <w:t>ollege and university education sectors</w:t>
      </w:r>
      <w:r w:rsidR="00D43776"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w:t>
      </w:r>
      <w:r w:rsidR="00D43776" w:rsidRPr="003E2516">
        <w:rPr>
          <w:rFonts w:ascii="Times New Roman" w:hAnsi="Times New Roman" w:cs="Times New Roman"/>
          <w:sz w:val="24"/>
          <w:szCs w:val="24"/>
        </w:rPr>
        <w:t>a</w:t>
      </w:r>
      <w:r w:rsidR="00DA5364" w:rsidRPr="003E2516">
        <w:rPr>
          <w:rFonts w:ascii="Times New Roman" w:hAnsi="Times New Roman" w:cs="Times New Roman"/>
          <w:sz w:val="24"/>
          <w:szCs w:val="24"/>
        </w:rPr>
        <w:t xml:space="preserve">s well as to be responsive to geographic and sectoral needs </w:t>
      </w:r>
      <w:r w:rsidR="00EB5B64" w:rsidRPr="003E2516">
        <w:rPr>
          <w:rFonts w:ascii="Times New Roman" w:hAnsi="Times New Roman" w:cs="Times New Roman"/>
          <w:sz w:val="24"/>
          <w:szCs w:val="24"/>
        </w:rPr>
        <w:t>and challenges”. The Department has</w:t>
      </w:r>
      <w:r w:rsidR="00DA5364" w:rsidRPr="003E2516">
        <w:rPr>
          <w:rFonts w:ascii="Times New Roman" w:hAnsi="Times New Roman" w:cs="Times New Roman"/>
          <w:sz w:val="24"/>
          <w:szCs w:val="24"/>
        </w:rPr>
        <w:t xml:space="preserve"> not been able to harmonise the conditions of service of lecturers in the CET sector</w:t>
      </w:r>
      <w:r w:rsidR="00D43776"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 which varies from permanent, fixed term contracts to tempora</w:t>
      </w:r>
      <w:r w:rsidR="00D43776" w:rsidRPr="003E2516">
        <w:rPr>
          <w:rFonts w:ascii="Times New Roman" w:hAnsi="Times New Roman" w:cs="Times New Roman"/>
          <w:sz w:val="24"/>
          <w:szCs w:val="24"/>
        </w:rPr>
        <w:t>ry</w:t>
      </w:r>
      <w:r w:rsidR="00DA5364" w:rsidRPr="003E2516">
        <w:rPr>
          <w:rFonts w:ascii="Times New Roman" w:hAnsi="Times New Roman" w:cs="Times New Roman"/>
          <w:sz w:val="24"/>
          <w:szCs w:val="24"/>
        </w:rPr>
        <w:t xml:space="preserve"> employment positions. There </w:t>
      </w:r>
      <w:r w:rsidR="00D43776" w:rsidRPr="003E2516">
        <w:rPr>
          <w:rFonts w:ascii="Times New Roman" w:hAnsi="Times New Roman" w:cs="Times New Roman"/>
          <w:sz w:val="24"/>
          <w:szCs w:val="24"/>
        </w:rPr>
        <w:t>are</w:t>
      </w:r>
      <w:r w:rsidR="00E13C88" w:rsidRPr="003E2516">
        <w:rPr>
          <w:rFonts w:ascii="Times New Roman" w:hAnsi="Times New Roman" w:cs="Times New Roman"/>
          <w:sz w:val="24"/>
          <w:szCs w:val="24"/>
        </w:rPr>
        <w:t xml:space="preserve"> no </w:t>
      </w:r>
      <w:r w:rsidR="00DA5364" w:rsidRPr="003E2516">
        <w:rPr>
          <w:rFonts w:ascii="Times New Roman" w:hAnsi="Times New Roman" w:cs="Times New Roman"/>
          <w:sz w:val="24"/>
          <w:szCs w:val="24"/>
        </w:rPr>
        <w:t>standard employment practi</w:t>
      </w:r>
      <w:r w:rsidR="00D43776" w:rsidRPr="003E2516">
        <w:rPr>
          <w:rFonts w:ascii="Times New Roman" w:hAnsi="Times New Roman" w:cs="Times New Roman"/>
          <w:sz w:val="24"/>
          <w:szCs w:val="24"/>
        </w:rPr>
        <w:t>c</w:t>
      </w:r>
      <w:r w:rsidR="00DA5364" w:rsidRPr="003E2516">
        <w:rPr>
          <w:rFonts w:ascii="Times New Roman" w:hAnsi="Times New Roman" w:cs="Times New Roman"/>
          <w:sz w:val="24"/>
          <w:szCs w:val="24"/>
        </w:rPr>
        <w:t>e</w:t>
      </w:r>
      <w:r w:rsidR="00D43776" w:rsidRPr="003E2516">
        <w:rPr>
          <w:rFonts w:ascii="Times New Roman" w:hAnsi="Times New Roman" w:cs="Times New Roman"/>
          <w:sz w:val="24"/>
          <w:szCs w:val="24"/>
        </w:rPr>
        <w:t>s</w:t>
      </w:r>
      <w:r w:rsidR="00DA5364" w:rsidRPr="003E2516">
        <w:rPr>
          <w:rFonts w:ascii="Times New Roman" w:hAnsi="Times New Roman" w:cs="Times New Roman"/>
          <w:sz w:val="24"/>
          <w:szCs w:val="24"/>
        </w:rPr>
        <w:t xml:space="preserve"> amongst the Department</w:t>
      </w:r>
      <w:r w:rsidR="00EB5B64" w:rsidRPr="003E2516">
        <w:rPr>
          <w:rFonts w:ascii="Times New Roman" w:hAnsi="Times New Roman" w:cs="Times New Roman"/>
          <w:sz w:val="24"/>
          <w:szCs w:val="24"/>
        </w:rPr>
        <w:t>’</w:t>
      </w:r>
      <w:r w:rsidR="00DA5364" w:rsidRPr="003E2516">
        <w:rPr>
          <w:rFonts w:ascii="Times New Roman" w:hAnsi="Times New Roman" w:cs="Times New Roman"/>
          <w:sz w:val="24"/>
          <w:szCs w:val="24"/>
        </w:rPr>
        <w:t xml:space="preserve">s regions. </w:t>
      </w:r>
    </w:p>
    <w:p w:rsidR="00B41FBD" w:rsidRPr="003E2516" w:rsidRDefault="00A76AE5" w:rsidP="003E2516">
      <w:pPr>
        <w:spacing w:before="200" w:line="240" w:lineRule="auto"/>
        <w:jc w:val="both"/>
        <w:rPr>
          <w:rFonts w:ascii="Times New Roman" w:hAnsi="Times New Roman" w:cs="Times New Roman"/>
          <w:b/>
          <w:caps/>
          <w:sz w:val="24"/>
          <w:szCs w:val="24"/>
        </w:rPr>
      </w:pPr>
      <w:r w:rsidRPr="003E2516">
        <w:rPr>
          <w:rFonts w:ascii="Times New Roman" w:hAnsi="Times New Roman" w:cs="Times New Roman"/>
          <w:b/>
          <w:caps/>
          <w:sz w:val="24"/>
          <w:szCs w:val="24"/>
        </w:rPr>
        <w:t>8</w:t>
      </w:r>
      <w:r w:rsidR="00B41FBD" w:rsidRPr="003E2516">
        <w:rPr>
          <w:rFonts w:ascii="Times New Roman" w:hAnsi="Times New Roman" w:cs="Times New Roman"/>
          <w:b/>
          <w:caps/>
          <w:sz w:val="24"/>
          <w:szCs w:val="24"/>
        </w:rPr>
        <w:t>. Summary</w:t>
      </w:r>
    </w:p>
    <w:p w:rsidR="00B41FBD" w:rsidRPr="003E2516" w:rsidRDefault="00FF4C4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2017/18 Annual Performance Plan of the Department marks the third year of implementation of the Strategic Plan 2015/16 – 2019/20. The Department has revised the current Strategic Plan 2015/16 – 2019/20 although most of the system objectives remained unchanged. </w:t>
      </w:r>
      <w:r w:rsidR="00F96DB4" w:rsidRPr="003E2516">
        <w:rPr>
          <w:rFonts w:ascii="Times New Roman" w:hAnsi="Times New Roman" w:cs="Times New Roman"/>
          <w:color w:val="000000" w:themeColor="text1"/>
          <w:kern w:val="24"/>
          <w:sz w:val="24"/>
          <w:szCs w:val="24"/>
        </w:rPr>
        <w:t xml:space="preserve">The Department is responsible for Outcome 5 of </w:t>
      </w:r>
      <w:r w:rsidR="001C724F" w:rsidRPr="003E2516">
        <w:rPr>
          <w:rFonts w:ascii="Times New Roman" w:hAnsi="Times New Roman" w:cs="Times New Roman"/>
          <w:color w:val="000000" w:themeColor="text1"/>
          <w:kern w:val="24"/>
          <w:sz w:val="24"/>
          <w:szCs w:val="24"/>
        </w:rPr>
        <w:t>Government</w:t>
      </w:r>
      <w:r w:rsidR="00F96DB4" w:rsidRPr="003E2516">
        <w:rPr>
          <w:rFonts w:ascii="Times New Roman" w:hAnsi="Times New Roman" w:cs="Times New Roman"/>
          <w:color w:val="000000" w:themeColor="text1"/>
          <w:kern w:val="24"/>
          <w:sz w:val="24"/>
          <w:szCs w:val="24"/>
        </w:rPr>
        <w:t xml:space="preserve"> Priorities (a skilled and capable workforce to support an inclusive growth path) which also highlights the need to expand access to programmes that address the labour market needs for intermediate skills and include a practical component.</w:t>
      </w:r>
    </w:p>
    <w:p w:rsidR="00532082" w:rsidRPr="003E2516" w:rsidRDefault="00532082"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F96DB4" w:rsidRPr="003E2516" w:rsidRDefault="00077A9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Over the MTEF period, the Department plans to continue working towards the realisation of the White Paper for Post-School Education and Training objectives by continuing to expand access to post-school education and training institutions as well </w:t>
      </w:r>
      <w:r w:rsidR="00D43776" w:rsidRPr="003E2516">
        <w:rPr>
          <w:rFonts w:ascii="Times New Roman" w:hAnsi="Times New Roman" w:cs="Times New Roman"/>
          <w:color w:val="000000" w:themeColor="text1"/>
          <w:kern w:val="24"/>
          <w:sz w:val="24"/>
          <w:szCs w:val="24"/>
        </w:rPr>
        <w:t xml:space="preserve">as </w:t>
      </w:r>
      <w:r w:rsidRPr="003E2516">
        <w:rPr>
          <w:rFonts w:ascii="Times New Roman" w:hAnsi="Times New Roman" w:cs="Times New Roman"/>
          <w:color w:val="000000" w:themeColor="text1"/>
          <w:kern w:val="24"/>
          <w:sz w:val="24"/>
          <w:szCs w:val="24"/>
        </w:rPr>
        <w:t xml:space="preserve">improving their performance. The </w:t>
      </w:r>
      <w:r w:rsidR="000A5E73" w:rsidRPr="003E2516">
        <w:rPr>
          <w:rFonts w:ascii="Times New Roman" w:hAnsi="Times New Roman" w:cs="Times New Roman"/>
          <w:color w:val="000000" w:themeColor="text1"/>
          <w:kern w:val="24"/>
          <w:sz w:val="24"/>
          <w:szCs w:val="24"/>
        </w:rPr>
        <w:t>largest portion</w:t>
      </w:r>
      <w:r w:rsidRPr="003E2516">
        <w:rPr>
          <w:rFonts w:ascii="Times New Roman" w:hAnsi="Times New Roman" w:cs="Times New Roman"/>
          <w:color w:val="000000" w:themeColor="text1"/>
          <w:kern w:val="24"/>
          <w:sz w:val="24"/>
          <w:szCs w:val="24"/>
        </w:rPr>
        <w:t xml:space="preserve"> the Department</w:t>
      </w:r>
      <w:r w:rsidR="000A5E73" w:rsidRPr="003E2516">
        <w:rPr>
          <w:rFonts w:ascii="Times New Roman" w:hAnsi="Times New Roman" w:cs="Times New Roman"/>
          <w:color w:val="000000" w:themeColor="text1"/>
          <w:kern w:val="24"/>
          <w:sz w:val="24"/>
          <w:szCs w:val="24"/>
        </w:rPr>
        <w:t>’s budget</w:t>
      </w:r>
      <w:r w:rsidRPr="003E2516">
        <w:rPr>
          <w:rFonts w:ascii="Times New Roman" w:hAnsi="Times New Roman" w:cs="Times New Roman"/>
          <w:color w:val="000000" w:themeColor="text1"/>
          <w:kern w:val="24"/>
          <w:sz w:val="24"/>
          <w:szCs w:val="24"/>
        </w:rPr>
        <w:t xml:space="preserve"> is transferred to the PSET institutions such as universities, TVET and CET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mainly to expand access to education and training opportunities for young people and adults in and outside of the schooling system.</w:t>
      </w:r>
    </w:p>
    <w:p w:rsidR="00532082" w:rsidRPr="003E2516" w:rsidRDefault="00532082"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532082" w:rsidRPr="003E2516" w:rsidRDefault="00E92881"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Whilst it is broadly acknowledged that the entire PSET system requires expansion and sufficient funding to contribute to the developmental needs of the economy and society at large, significant progress has been made in  the key delivery programmes of the Department, namely University Education, TVET, Skills Development and Community Education and Training. </w:t>
      </w:r>
    </w:p>
    <w:p w:rsidR="00E92881" w:rsidRPr="003E2516" w:rsidRDefault="00E92881"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E92881" w:rsidRPr="003E2516" w:rsidRDefault="003E3998"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In expanding access to higher education, the Department’s contribution to the National Student Financial Aid Scheme (NSFAS) increased from R9.2 billion in 2016 to 10.6 billion in 2017 supporting approximately 262 00 students in 2017. The transfer of subsidies to universities increased from R27 billion in 2016/17 to R31 billion in 2017/18. This is the Department’s largest spending item and over the MTEF period, </w:t>
      </w:r>
      <w:r w:rsidR="00634AFA" w:rsidRPr="003E2516">
        <w:rPr>
          <w:rFonts w:ascii="Times New Roman" w:hAnsi="Times New Roman" w:cs="Times New Roman"/>
          <w:color w:val="000000" w:themeColor="text1"/>
          <w:kern w:val="24"/>
          <w:sz w:val="24"/>
          <w:szCs w:val="24"/>
        </w:rPr>
        <w:t xml:space="preserve">it is expected to increase to R38 billion by 2019/20. An amount of R2.5 billion is allocated to cater for the University fee increases and for the missing middle students. The investment made in higher education contributed to increase </w:t>
      </w:r>
      <w:r w:rsidR="00440937" w:rsidRPr="003E2516">
        <w:rPr>
          <w:rFonts w:ascii="Times New Roman" w:hAnsi="Times New Roman" w:cs="Times New Roman"/>
          <w:color w:val="000000" w:themeColor="text1"/>
          <w:kern w:val="24"/>
          <w:sz w:val="24"/>
          <w:szCs w:val="24"/>
        </w:rPr>
        <w:t>t</w:t>
      </w:r>
      <w:r w:rsidR="00634AFA" w:rsidRPr="003E2516">
        <w:rPr>
          <w:rFonts w:ascii="Times New Roman" w:hAnsi="Times New Roman" w:cs="Times New Roman"/>
          <w:color w:val="000000" w:themeColor="text1"/>
          <w:kern w:val="24"/>
          <w:sz w:val="24"/>
          <w:szCs w:val="24"/>
        </w:rPr>
        <w:t xml:space="preserve">he </w:t>
      </w:r>
      <w:r w:rsidR="00440937" w:rsidRPr="003E2516">
        <w:rPr>
          <w:rFonts w:ascii="Times New Roman" w:hAnsi="Times New Roman" w:cs="Times New Roman"/>
          <w:color w:val="000000" w:themeColor="text1"/>
          <w:kern w:val="24"/>
          <w:sz w:val="24"/>
          <w:szCs w:val="24"/>
        </w:rPr>
        <w:t>number of graduates produced</w:t>
      </w:r>
      <w:r w:rsidR="00634AFA" w:rsidRPr="003E2516">
        <w:rPr>
          <w:rFonts w:ascii="Times New Roman" w:hAnsi="Times New Roman" w:cs="Times New Roman"/>
          <w:color w:val="000000" w:themeColor="text1"/>
          <w:kern w:val="24"/>
          <w:sz w:val="24"/>
          <w:szCs w:val="24"/>
        </w:rPr>
        <w:t xml:space="preserve"> by universities</w:t>
      </w:r>
      <w:r w:rsidR="00D43776" w:rsidRPr="003E2516">
        <w:rPr>
          <w:rFonts w:ascii="Times New Roman" w:hAnsi="Times New Roman" w:cs="Times New Roman"/>
          <w:color w:val="000000" w:themeColor="text1"/>
          <w:kern w:val="24"/>
          <w:sz w:val="24"/>
          <w:szCs w:val="24"/>
        </w:rPr>
        <w:t>,</w:t>
      </w:r>
      <w:r w:rsidR="00634AFA" w:rsidRPr="003E2516">
        <w:rPr>
          <w:rFonts w:ascii="Times New Roman" w:hAnsi="Times New Roman" w:cs="Times New Roman"/>
          <w:color w:val="000000" w:themeColor="text1"/>
          <w:kern w:val="24"/>
          <w:sz w:val="24"/>
          <w:szCs w:val="24"/>
        </w:rPr>
        <w:t xml:space="preserve"> especially in the scarce and critical skills programmes. </w:t>
      </w:r>
    </w:p>
    <w:p w:rsidR="00440937" w:rsidRPr="003E2516" w:rsidRDefault="00440937"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634AFA" w:rsidRPr="003E2516" w:rsidRDefault="00440937"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In expanding access to the TVET sector, the National Skills Fund committed R2.5 billion for th</w:t>
      </w:r>
      <w:r w:rsidR="005E0CB8" w:rsidRPr="003E2516">
        <w:rPr>
          <w:rFonts w:ascii="Times New Roman" w:hAnsi="Times New Roman" w:cs="Times New Roman"/>
          <w:color w:val="000000" w:themeColor="text1"/>
          <w:kern w:val="24"/>
          <w:sz w:val="24"/>
          <w:szCs w:val="24"/>
        </w:rPr>
        <w:t>e construction of the new TVET c</w:t>
      </w:r>
      <w:r w:rsidRPr="003E2516">
        <w:rPr>
          <w:rFonts w:ascii="Times New Roman" w:hAnsi="Times New Roman" w:cs="Times New Roman"/>
          <w:color w:val="000000" w:themeColor="text1"/>
          <w:kern w:val="24"/>
          <w:sz w:val="24"/>
          <w:szCs w:val="24"/>
        </w:rPr>
        <w:t xml:space="preserve">ollege campuses. Two </w:t>
      </w:r>
      <w:r w:rsidR="00F437B0" w:rsidRPr="003E2516">
        <w:rPr>
          <w:rFonts w:ascii="Times New Roman" w:hAnsi="Times New Roman" w:cs="Times New Roman"/>
          <w:color w:val="000000" w:themeColor="text1"/>
          <w:kern w:val="24"/>
          <w:sz w:val="24"/>
          <w:szCs w:val="24"/>
        </w:rPr>
        <w:t xml:space="preserve">new </w:t>
      </w:r>
      <w:r w:rsidRPr="003E2516">
        <w:rPr>
          <w:rFonts w:ascii="Times New Roman" w:hAnsi="Times New Roman" w:cs="Times New Roman"/>
          <w:color w:val="000000" w:themeColor="text1"/>
          <w:kern w:val="24"/>
          <w:sz w:val="24"/>
          <w:szCs w:val="24"/>
        </w:rPr>
        <w:t>TVET</w:t>
      </w:r>
      <w:r w:rsidR="006B27B4" w:rsidRPr="003E2516">
        <w:rPr>
          <w:rFonts w:ascii="Times New Roman" w:hAnsi="Times New Roman" w:cs="Times New Roman"/>
          <w:color w:val="000000" w:themeColor="text1"/>
          <w:kern w:val="24"/>
          <w:sz w:val="24"/>
          <w:szCs w:val="24"/>
        </w:rPr>
        <w:t xml:space="preserve"> </w:t>
      </w:r>
      <w:r w:rsidR="005E0CB8" w:rsidRPr="003E2516">
        <w:rPr>
          <w:rFonts w:ascii="Times New Roman" w:hAnsi="Times New Roman" w:cs="Times New Roman"/>
          <w:color w:val="000000" w:themeColor="text1"/>
          <w:kern w:val="24"/>
          <w:sz w:val="24"/>
          <w:szCs w:val="24"/>
        </w:rPr>
        <w:t>c</w:t>
      </w:r>
      <w:r w:rsidRPr="003E2516">
        <w:rPr>
          <w:rFonts w:ascii="Times New Roman" w:hAnsi="Times New Roman" w:cs="Times New Roman"/>
          <w:color w:val="000000" w:themeColor="text1"/>
          <w:kern w:val="24"/>
          <w:sz w:val="24"/>
          <w:szCs w:val="24"/>
        </w:rPr>
        <w:t xml:space="preserve">ollege campuses had </w:t>
      </w:r>
      <w:r w:rsidR="006B27B4" w:rsidRPr="003E2516">
        <w:rPr>
          <w:rFonts w:ascii="Times New Roman" w:hAnsi="Times New Roman" w:cs="Times New Roman"/>
          <w:color w:val="000000" w:themeColor="text1"/>
          <w:kern w:val="24"/>
          <w:sz w:val="24"/>
          <w:szCs w:val="24"/>
        </w:rPr>
        <w:t xml:space="preserve">already </w:t>
      </w:r>
      <w:r w:rsidR="005E0CB8" w:rsidRPr="003E2516">
        <w:rPr>
          <w:rFonts w:ascii="Times New Roman" w:hAnsi="Times New Roman" w:cs="Times New Roman"/>
          <w:color w:val="000000" w:themeColor="text1"/>
          <w:kern w:val="24"/>
          <w:sz w:val="24"/>
          <w:szCs w:val="24"/>
        </w:rPr>
        <w:t>been completed (Waterberg TVET c</w:t>
      </w:r>
      <w:r w:rsidRPr="003E2516">
        <w:rPr>
          <w:rFonts w:ascii="Times New Roman" w:hAnsi="Times New Roman" w:cs="Times New Roman"/>
          <w:color w:val="000000" w:themeColor="text1"/>
          <w:kern w:val="24"/>
          <w:sz w:val="24"/>
          <w:szCs w:val="24"/>
        </w:rPr>
        <w:t>ollege Thabazimbi Campus and Umfolozi TVET</w:t>
      </w:r>
      <w:r w:rsidR="00034AE8" w:rsidRPr="003E2516">
        <w:rPr>
          <w:rFonts w:ascii="Times New Roman" w:hAnsi="Times New Roman" w:cs="Times New Roman"/>
          <w:color w:val="000000" w:themeColor="text1"/>
          <w:kern w:val="24"/>
          <w:sz w:val="24"/>
          <w:szCs w:val="24"/>
        </w:rPr>
        <w:t xml:space="preserve"> </w:t>
      </w:r>
      <w:r w:rsidRPr="003E2516">
        <w:rPr>
          <w:rFonts w:ascii="Times New Roman" w:hAnsi="Times New Roman" w:cs="Times New Roman"/>
          <w:color w:val="000000" w:themeColor="text1"/>
          <w:kern w:val="24"/>
          <w:sz w:val="24"/>
          <w:szCs w:val="24"/>
        </w:rPr>
        <w:t>College Nkandla</w:t>
      </w:r>
      <w:r w:rsidR="00B762C0" w:rsidRPr="003E2516">
        <w:rPr>
          <w:rFonts w:ascii="Times New Roman" w:hAnsi="Times New Roman" w:cs="Times New Roman"/>
          <w:color w:val="000000" w:themeColor="text1"/>
          <w:kern w:val="24"/>
          <w:sz w:val="24"/>
          <w:szCs w:val="24"/>
        </w:rPr>
        <w:t xml:space="preserve"> Campus</w:t>
      </w:r>
      <w:r w:rsidRPr="003E2516">
        <w:rPr>
          <w:rFonts w:ascii="Times New Roman" w:hAnsi="Times New Roman" w:cs="Times New Roman"/>
          <w:color w:val="000000" w:themeColor="text1"/>
          <w:kern w:val="24"/>
          <w:sz w:val="24"/>
          <w:szCs w:val="24"/>
        </w:rPr>
        <w:t>)</w:t>
      </w:r>
      <w:r w:rsidR="006B27B4" w:rsidRPr="003E2516">
        <w:rPr>
          <w:rFonts w:ascii="Times New Roman" w:hAnsi="Times New Roman" w:cs="Times New Roman"/>
          <w:color w:val="000000" w:themeColor="text1"/>
          <w:kern w:val="24"/>
          <w:sz w:val="24"/>
          <w:szCs w:val="24"/>
        </w:rPr>
        <w:t>, and the process is underway for construction of the remaining campuses.</w:t>
      </w:r>
      <w:r w:rsidR="00034AE8" w:rsidRPr="003E2516">
        <w:rPr>
          <w:rFonts w:ascii="Times New Roman" w:hAnsi="Times New Roman" w:cs="Times New Roman"/>
          <w:color w:val="000000" w:themeColor="text1"/>
          <w:kern w:val="24"/>
          <w:sz w:val="24"/>
          <w:szCs w:val="24"/>
        </w:rPr>
        <w:t xml:space="preserve"> The allocation to the TVET sector increased from R6.9 billion in 2016/17 to R</w:t>
      </w:r>
      <w:r w:rsidR="001C1E1A" w:rsidRPr="003E2516">
        <w:rPr>
          <w:rFonts w:ascii="Times New Roman" w:hAnsi="Times New Roman" w:cs="Times New Roman"/>
          <w:color w:val="000000" w:themeColor="text1"/>
          <w:kern w:val="24"/>
          <w:sz w:val="24"/>
          <w:szCs w:val="24"/>
        </w:rPr>
        <w:t>7</w:t>
      </w:r>
      <w:r w:rsidR="00034AE8" w:rsidRPr="003E2516">
        <w:rPr>
          <w:rFonts w:ascii="Times New Roman" w:hAnsi="Times New Roman" w:cs="Times New Roman"/>
          <w:color w:val="000000" w:themeColor="text1"/>
          <w:kern w:val="24"/>
          <w:sz w:val="24"/>
          <w:szCs w:val="24"/>
        </w:rPr>
        <w:t xml:space="preserve">.4 billion in 2017/18 although the </w:t>
      </w:r>
      <w:r w:rsidR="000A5E73" w:rsidRPr="003E2516">
        <w:rPr>
          <w:rFonts w:ascii="Times New Roman" w:hAnsi="Times New Roman" w:cs="Times New Roman"/>
          <w:color w:val="000000" w:themeColor="text1"/>
          <w:kern w:val="24"/>
          <w:sz w:val="24"/>
          <w:szCs w:val="24"/>
        </w:rPr>
        <w:t xml:space="preserve">largest portion </w:t>
      </w:r>
      <w:r w:rsidR="00034AE8" w:rsidRPr="003E2516">
        <w:rPr>
          <w:rFonts w:ascii="Times New Roman" w:hAnsi="Times New Roman" w:cs="Times New Roman"/>
          <w:color w:val="000000" w:themeColor="text1"/>
          <w:kern w:val="24"/>
          <w:sz w:val="24"/>
          <w:szCs w:val="24"/>
        </w:rPr>
        <w:t xml:space="preserve">of this budget is for compensation of employees. </w:t>
      </w:r>
      <w:r w:rsidR="009469D1" w:rsidRPr="003E2516">
        <w:rPr>
          <w:rFonts w:ascii="Times New Roman" w:hAnsi="Times New Roman" w:cs="Times New Roman"/>
          <w:color w:val="000000" w:themeColor="text1"/>
          <w:kern w:val="24"/>
          <w:sz w:val="24"/>
          <w:szCs w:val="24"/>
        </w:rPr>
        <w:t>The TVET sector was severely underfunded and this had implications for its expansion.</w:t>
      </w:r>
    </w:p>
    <w:p w:rsidR="000C2E58" w:rsidRPr="003E2516" w:rsidRDefault="000C2E58"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034AE8" w:rsidRPr="003E2516" w:rsidRDefault="00113E47"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The Department continues to support the training and development of artisans over the medium </w:t>
      </w:r>
      <w:r w:rsidR="000A5E73" w:rsidRPr="003E2516">
        <w:rPr>
          <w:rFonts w:ascii="Times New Roman" w:hAnsi="Times New Roman" w:cs="Times New Roman"/>
          <w:color w:val="000000" w:themeColor="text1"/>
          <w:kern w:val="24"/>
          <w:sz w:val="24"/>
          <w:szCs w:val="24"/>
        </w:rPr>
        <w:t xml:space="preserve">term </w:t>
      </w:r>
      <w:r w:rsidRPr="003E2516">
        <w:rPr>
          <w:rFonts w:ascii="Times New Roman" w:hAnsi="Times New Roman" w:cs="Times New Roman"/>
          <w:color w:val="000000" w:themeColor="text1"/>
          <w:kern w:val="24"/>
          <w:sz w:val="24"/>
          <w:szCs w:val="24"/>
        </w:rPr>
        <w:t>period,</w:t>
      </w:r>
      <w:r w:rsidR="00411A1A" w:rsidRPr="003E2516">
        <w:rPr>
          <w:rFonts w:ascii="Times New Roman" w:hAnsi="Times New Roman" w:cs="Times New Roman"/>
          <w:color w:val="000000" w:themeColor="text1"/>
          <w:kern w:val="24"/>
          <w:sz w:val="24"/>
          <w:szCs w:val="24"/>
        </w:rPr>
        <w:t xml:space="preserve"> and</w:t>
      </w:r>
      <w:r w:rsidRPr="003E2516">
        <w:rPr>
          <w:rFonts w:ascii="Times New Roman" w:hAnsi="Times New Roman" w:cs="Times New Roman"/>
          <w:color w:val="000000" w:themeColor="text1"/>
          <w:kern w:val="24"/>
          <w:sz w:val="24"/>
          <w:szCs w:val="24"/>
        </w:rPr>
        <w:t xml:space="preserve"> the budget for the </w:t>
      </w:r>
      <w:r w:rsidR="000A5E73" w:rsidRPr="003E2516">
        <w:rPr>
          <w:rFonts w:ascii="Times New Roman" w:hAnsi="Times New Roman" w:cs="Times New Roman"/>
          <w:color w:val="000000" w:themeColor="text1"/>
          <w:kern w:val="24"/>
          <w:sz w:val="24"/>
          <w:szCs w:val="24"/>
        </w:rPr>
        <w:t>s</w:t>
      </w:r>
      <w:r w:rsidRPr="003E2516">
        <w:rPr>
          <w:rFonts w:ascii="Times New Roman" w:hAnsi="Times New Roman" w:cs="Times New Roman"/>
          <w:color w:val="000000" w:themeColor="text1"/>
          <w:kern w:val="24"/>
          <w:sz w:val="24"/>
          <w:szCs w:val="24"/>
        </w:rPr>
        <w:t xml:space="preserve">kills </w:t>
      </w:r>
      <w:r w:rsidR="000A5E73" w:rsidRPr="003E2516">
        <w:rPr>
          <w:rFonts w:ascii="Times New Roman" w:hAnsi="Times New Roman" w:cs="Times New Roman"/>
          <w:color w:val="000000" w:themeColor="text1"/>
          <w:kern w:val="24"/>
          <w:sz w:val="24"/>
          <w:szCs w:val="24"/>
        </w:rPr>
        <w:t>d</w:t>
      </w:r>
      <w:r w:rsidR="00411A1A" w:rsidRPr="003E2516">
        <w:rPr>
          <w:rFonts w:ascii="Times New Roman" w:hAnsi="Times New Roman" w:cs="Times New Roman"/>
          <w:color w:val="000000" w:themeColor="text1"/>
          <w:kern w:val="24"/>
          <w:sz w:val="24"/>
          <w:szCs w:val="24"/>
        </w:rPr>
        <w:t xml:space="preserve">evelopment programme </w:t>
      </w:r>
      <w:r w:rsidRPr="003E2516">
        <w:rPr>
          <w:rFonts w:ascii="Times New Roman" w:hAnsi="Times New Roman" w:cs="Times New Roman"/>
          <w:color w:val="000000" w:themeColor="text1"/>
          <w:kern w:val="24"/>
          <w:sz w:val="24"/>
          <w:szCs w:val="24"/>
        </w:rPr>
        <w:t>increase</w:t>
      </w:r>
      <w:r w:rsidR="00411A1A" w:rsidRPr="003E2516">
        <w:rPr>
          <w:rFonts w:ascii="Times New Roman" w:hAnsi="Times New Roman" w:cs="Times New Roman"/>
          <w:color w:val="000000" w:themeColor="text1"/>
          <w:kern w:val="24"/>
          <w:sz w:val="24"/>
          <w:szCs w:val="24"/>
        </w:rPr>
        <w:t>d</w:t>
      </w:r>
      <w:r w:rsidRPr="003E2516">
        <w:rPr>
          <w:rFonts w:ascii="Times New Roman" w:hAnsi="Times New Roman" w:cs="Times New Roman"/>
          <w:color w:val="000000" w:themeColor="text1"/>
          <w:kern w:val="24"/>
          <w:sz w:val="24"/>
          <w:szCs w:val="24"/>
        </w:rPr>
        <w:t xml:space="preserve"> from</w:t>
      </w:r>
      <w:r w:rsidR="00411A1A" w:rsidRPr="003E2516">
        <w:rPr>
          <w:rFonts w:ascii="Times New Roman" w:hAnsi="Times New Roman" w:cs="Times New Roman"/>
          <w:color w:val="000000" w:themeColor="text1"/>
          <w:kern w:val="24"/>
          <w:sz w:val="24"/>
          <w:szCs w:val="24"/>
        </w:rPr>
        <w:t xml:space="preserve"> R181.4 million in 2016/17 to</w:t>
      </w:r>
      <w:r w:rsidRPr="003E2516">
        <w:rPr>
          <w:rFonts w:ascii="Times New Roman" w:hAnsi="Times New Roman" w:cs="Times New Roman"/>
          <w:color w:val="000000" w:themeColor="text1"/>
          <w:kern w:val="24"/>
          <w:sz w:val="24"/>
          <w:szCs w:val="24"/>
        </w:rPr>
        <w:t xml:space="preserve"> R</w:t>
      </w:r>
      <w:r w:rsidR="00411A1A" w:rsidRPr="003E2516">
        <w:rPr>
          <w:rFonts w:ascii="Times New Roman" w:hAnsi="Times New Roman" w:cs="Times New Roman"/>
          <w:color w:val="000000" w:themeColor="text1"/>
          <w:kern w:val="24"/>
          <w:sz w:val="24"/>
          <w:szCs w:val="24"/>
        </w:rPr>
        <w:t>244</w:t>
      </w:r>
      <w:r w:rsidRPr="003E2516">
        <w:rPr>
          <w:rFonts w:ascii="Times New Roman" w:hAnsi="Times New Roman" w:cs="Times New Roman"/>
          <w:color w:val="000000" w:themeColor="text1"/>
          <w:kern w:val="24"/>
          <w:sz w:val="24"/>
          <w:szCs w:val="24"/>
        </w:rPr>
        <w:t xml:space="preserve"> million in 2017</w:t>
      </w:r>
      <w:r w:rsidR="00411A1A" w:rsidRPr="003E2516">
        <w:rPr>
          <w:rFonts w:ascii="Times New Roman" w:hAnsi="Times New Roman" w:cs="Times New Roman"/>
          <w:color w:val="000000" w:themeColor="text1"/>
          <w:kern w:val="24"/>
          <w:sz w:val="24"/>
          <w:szCs w:val="24"/>
        </w:rPr>
        <w:t>/18</w:t>
      </w:r>
      <w:r w:rsidR="000A5E73" w:rsidRPr="003E2516">
        <w:rPr>
          <w:rFonts w:ascii="Times New Roman" w:hAnsi="Times New Roman" w:cs="Times New Roman"/>
          <w:color w:val="000000" w:themeColor="text1"/>
          <w:kern w:val="24"/>
          <w:sz w:val="24"/>
          <w:szCs w:val="24"/>
        </w:rPr>
        <w:t>.</w:t>
      </w:r>
      <w:r w:rsidR="00411A1A" w:rsidRPr="003E2516">
        <w:rPr>
          <w:rFonts w:ascii="Times New Roman" w:hAnsi="Times New Roman" w:cs="Times New Roman"/>
          <w:color w:val="000000" w:themeColor="text1"/>
          <w:kern w:val="24"/>
          <w:sz w:val="24"/>
          <w:szCs w:val="24"/>
        </w:rPr>
        <w:t xml:space="preserve"> </w:t>
      </w:r>
      <w:r w:rsidR="000A5E73" w:rsidRPr="003E2516">
        <w:rPr>
          <w:rFonts w:ascii="Times New Roman" w:hAnsi="Times New Roman" w:cs="Times New Roman"/>
          <w:color w:val="000000" w:themeColor="text1"/>
          <w:kern w:val="24"/>
          <w:sz w:val="24"/>
          <w:szCs w:val="24"/>
        </w:rPr>
        <w:t>T</w:t>
      </w:r>
      <w:r w:rsidR="00411A1A" w:rsidRPr="003E2516">
        <w:rPr>
          <w:rFonts w:ascii="Times New Roman" w:hAnsi="Times New Roman" w:cs="Times New Roman"/>
          <w:color w:val="000000" w:themeColor="text1"/>
          <w:kern w:val="24"/>
          <w:sz w:val="24"/>
          <w:szCs w:val="24"/>
        </w:rPr>
        <w:t>his is projected to increase to R284 million by 2019. The Department plans to increase the capacity of INDLELA and</w:t>
      </w:r>
      <w:r w:rsidR="000A5E73" w:rsidRPr="003E2516">
        <w:rPr>
          <w:rFonts w:ascii="Times New Roman" w:hAnsi="Times New Roman" w:cs="Times New Roman"/>
          <w:color w:val="000000" w:themeColor="text1"/>
          <w:kern w:val="24"/>
          <w:sz w:val="24"/>
          <w:szCs w:val="24"/>
        </w:rPr>
        <w:t xml:space="preserve"> the</w:t>
      </w:r>
      <w:r w:rsidR="00411A1A" w:rsidRPr="003E2516">
        <w:rPr>
          <w:rFonts w:ascii="Times New Roman" w:hAnsi="Times New Roman" w:cs="Times New Roman"/>
          <w:color w:val="000000" w:themeColor="text1"/>
          <w:kern w:val="24"/>
          <w:sz w:val="24"/>
          <w:szCs w:val="24"/>
        </w:rPr>
        <w:t xml:space="preserve"> National Artisan Moderation Body as these institutions are vital </w:t>
      </w:r>
      <w:r w:rsidR="000A5E73" w:rsidRPr="003E2516">
        <w:rPr>
          <w:rFonts w:ascii="Times New Roman" w:hAnsi="Times New Roman" w:cs="Times New Roman"/>
          <w:color w:val="000000" w:themeColor="text1"/>
          <w:kern w:val="24"/>
          <w:sz w:val="24"/>
          <w:szCs w:val="24"/>
        </w:rPr>
        <w:t>to</w:t>
      </w:r>
      <w:r w:rsidR="00411A1A" w:rsidRPr="003E2516">
        <w:rPr>
          <w:rFonts w:ascii="Times New Roman" w:hAnsi="Times New Roman" w:cs="Times New Roman"/>
          <w:color w:val="000000" w:themeColor="text1"/>
          <w:kern w:val="24"/>
          <w:sz w:val="24"/>
          <w:szCs w:val="24"/>
        </w:rPr>
        <w:t xml:space="preserve"> increas</w:t>
      </w:r>
      <w:r w:rsidR="000A5E73" w:rsidRPr="003E2516">
        <w:rPr>
          <w:rFonts w:ascii="Times New Roman" w:hAnsi="Times New Roman" w:cs="Times New Roman"/>
          <w:color w:val="000000" w:themeColor="text1"/>
          <w:kern w:val="24"/>
          <w:sz w:val="24"/>
          <w:szCs w:val="24"/>
        </w:rPr>
        <w:t>e</w:t>
      </w:r>
      <w:r w:rsidR="00411A1A" w:rsidRPr="003E2516">
        <w:rPr>
          <w:rFonts w:ascii="Times New Roman" w:hAnsi="Times New Roman" w:cs="Times New Roman"/>
          <w:color w:val="000000" w:themeColor="text1"/>
          <w:kern w:val="24"/>
          <w:sz w:val="24"/>
          <w:szCs w:val="24"/>
        </w:rPr>
        <w:t xml:space="preserve"> the number of qualified artisans. </w:t>
      </w:r>
    </w:p>
    <w:p w:rsidR="00077A96" w:rsidRPr="003E2516" w:rsidRDefault="00077A96"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B41FBD" w:rsidRPr="003E2516" w:rsidRDefault="00387219"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 xml:space="preserve">In relation to the CET sector, the Department has already established nine Community Education and Training </w:t>
      </w:r>
      <w:r w:rsidR="00863577" w:rsidRPr="003E2516">
        <w:rPr>
          <w:rFonts w:ascii="Times New Roman" w:hAnsi="Times New Roman" w:cs="Times New Roman"/>
          <w:color w:val="000000" w:themeColor="text1"/>
          <w:kern w:val="24"/>
          <w:sz w:val="24"/>
          <w:szCs w:val="24"/>
        </w:rPr>
        <w:t>Colleges</w:t>
      </w:r>
      <w:r w:rsidRPr="003E2516">
        <w:rPr>
          <w:rFonts w:ascii="Times New Roman" w:hAnsi="Times New Roman" w:cs="Times New Roman"/>
          <w:color w:val="000000" w:themeColor="text1"/>
          <w:kern w:val="24"/>
          <w:sz w:val="24"/>
          <w:szCs w:val="24"/>
        </w:rPr>
        <w:t xml:space="preserve"> in all the nine province</w:t>
      </w:r>
      <w:r w:rsidR="00D43776" w:rsidRPr="003E2516">
        <w:rPr>
          <w:rFonts w:ascii="Times New Roman" w:hAnsi="Times New Roman" w:cs="Times New Roman"/>
          <w:color w:val="000000" w:themeColor="text1"/>
          <w:kern w:val="24"/>
          <w:sz w:val="24"/>
          <w:szCs w:val="24"/>
        </w:rPr>
        <w:t>s</w:t>
      </w:r>
      <w:r w:rsidRPr="003E2516">
        <w:rPr>
          <w:rFonts w:ascii="Times New Roman" w:hAnsi="Times New Roman" w:cs="Times New Roman"/>
          <w:color w:val="000000" w:themeColor="text1"/>
          <w:kern w:val="24"/>
          <w:sz w:val="24"/>
          <w:szCs w:val="24"/>
        </w:rPr>
        <w:t xml:space="preserve">. The budget for the CET sector </w:t>
      </w:r>
      <w:r w:rsidR="00B762C0" w:rsidRPr="003E2516">
        <w:rPr>
          <w:rFonts w:ascii="Times New Roman" w:hAnsi="Times New Roman" w:cs="Times New Roman"/>
          <w:color w:val="000000" w:themeColor="text1"/>
          <w:kern w:val="24"/>
          <w:sz w:val="24"/>
          <w:szCs w:val="24"/>
        </w:rPr>
        <w:t xml:space="preserve">has </w:t>
      </w:r>
      <w:r w:rsidRPr="003E2516">
        <w:rPr>
          <w:rFonts w:ascii="Times New Roman" w:hAnsi="Times New Roman" w:cs="Times New Roman"/>
          <w:color w:val="000000" w:themeColor="text1"/>
          <w:kern w:val="24"/>
          <w:sz w:val="24"/>
          <w:szCs w:val="24"/>
        </w:rPr>
        <w:t xml:space="preserve">increased from R2 billion </w:t>
      </w:r>
      <w:r w:rsidR="00EB5B64" w:rsidRPr="003E2516">
        <w:rPr>
          <w:rFonts w:ascii="Times New Roman" w:hAnsi="Times New Roman" w:cs="Times New Roman"/>
          <w:color w:val="000000" w:themeColor="text1"/>
          <w:kern w:val="24"/>
          <w:sz w:val="24"/>
          <w:szCs w:val="24"/>
        </w:rPr>
        <w:t xml:space="preserve">in 2016/17 </w:t>
      </w:r>
      <w:r w:rsidRPr="003E2516">
        <w:rPr>
          <w:rFonts w:ascii="Times New Roman" w:hAnsi="Times New Roman" w:cs="Times New Roman"/>
          <w:color w:val="000000" w:themeColor="text1"/>
          <w:kern w:val="24"/>
          <w:sz w:val="24"/>
          <w:szCs w:val="24"/>
        </w:rPr>
        <w:t xml:space="preserve">to R2.2 billion in 2017/18. This programme </w:t>
      </w:r>
      <w:r w:rsidR="000A5E73" w:rsidRPr="003E2516">
        <w:rPr>
          <w:rFonts w:ascii="Times New Roman" w:hAnsi="Times New Roman" w:cs="Times New Roman"/>
          <w:color w:val="000000" w:themeColor="text1"/>
          <w:kern w:val="24"/>
          <w:sz w:val="24"/>
          <w:szCs w:val="24"/>
        </w:rPr>
        <w:t xml:space="preserve">could </w:t>
      </w:r>
      <w:r w:rsidRPr="003E2516">
        <w:rPr>
          <w:rFonts w:ascii="Times New Roman" w:hAnsi="Times New Roman" w:cs="Times New Roman"/>
          <w:color w:val="000000" w:themeColor="text1"/>
          <w:kern w:val="24"/>
          <w:sz w:val="24"/>
          <w:szCs w:val="24"/>
        </w:rPr>
        <w:t xml:space="preserve">experience </w:t>
      </w:r>
      <w:r w:rsidR="0008370C" w:rsidRPr="003E2516">
        <w:rPr>
          <w:rFonts w:ascii="Times New Roman" w:hAnsi="Times New Roman" w:cs="Times New Roman"/>
          <w:color w:val="000000" w:themeColor="text1"/>
          <w:kern w:val="24"/>
          <w:sz w:val="24"/>
          <w:szCs w:val="24"/>
        </w:rPr>
        <w:t xml:space="preserve">a </w:t>
      </w:r>
      <w:r w:rsidRPr="003E2516">
        <w:rPr>
          <w:rFonts w:ascii="Times New Roman" w:hAnsi="Times New Roman" w:cs="Times New Roman"/>
          <w:color w:val="000000" w:themeColor="text1"/>
          <w:kern w:val="24"/>
          <w:sz w:val="24"/>
          <w:szCs w:val="24"/>
        </w:rPr>
        <w:t>funding shortfall as R2.1 billion is allocated for compensation of employees in 2017/18</w:t>
      </w:r>
      <w:r w:rsidR="009E17F2" w:rsidRPr="003E2516">
        <w:rPr>
          <w:rFonts w:ascii="Times New Roman" w:hAnsi="Times New Roman" w:cs="Times New Roman"/>
          <w:color w:val="000000" w:themeColor="text1"/>
          <w:kern w:val="24"/>
          <w:sz w:val="24"/>
          <w:szCs w:val="24"/>
        </w:rPr>
        <w:t xml:space="preserve">. </w:t>
      </w:r>
    </w:p>
    <w:p w:rsidR="00C04C03" w:rsidRPr="003E2516" w:rsidRDefault="00C04C03"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p>
    <w:p w:rsidR="00B41FBD" w:rsidRPr="003E2516" w:rsidRDefault="00A76AE5" w:rsidP="003E2516">
      <w:pPr>
        <w:spacing w:before="200" w:line="240" w:lineRule="auto"/>
        <w:jc w:val="both"/>
        <w:rPr>
          <w:rFonts w:ascii="Times New Roman" w:hAnsi="Times New Roman" w:cs="Times New Roman"/>
          <w:b/>
          <w:caps/>
          <w:sz w:val="24"/>
          <w:szCs w:val="24"/>
        </w:rPr>
      </w:pPr>
      <w:r w:rsidRPr="003E2516">
        <w:rPr>
          <w:rFonts w:ascii="Times New Roman" w:hAnsi="Times New Roman" w:cs="Times New Roman"/>
          <w:b/>
          <w:caps/>
          <w:sz w:val="24"/>
          <w:szCs w:val="24"/>
        </w:rPr>
        <w:t>9</w:t>
      </w:r>
      <w:r w:rsidR="00B41FBD" w:rsidRPr="003E2516">
        <w:rPr>
          <w:rFonts w:ascii="Times New Roman" w:hAnsi="Times New Roman" w:cs="Times New Roman"/>
          <w:b/>
          <w:caps/>
          <w:sz w:val="24"/>
          <w:szCs w:val="24"/>
        </w:rPr>
        <w:t>. Recommendations</w:t>
      </w:r>
    </w:p>
    <w:p w:rsidR="00AA1987" w:rsidRPr="003E2516" w:rsidRDefault="00B12A1E"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 xml:space="preserve">The </w:t>
      </w:r>
      <w:r w:rsidR="00AA1987" w:rsidRPr="003E2516">
        <w:rPr>
          <w:rFonts w:ascii="Times New Roman" w:hAnsi="Times New Roman" w:cs="Times New Roman"/>
          <w:color w:val="000000" w:themeColor="text1"/>
          <w:kern w:val="24"/>
          <w:sz w:val="24"/>
          <w:szCs w:val="24"/>
        </w:rPr>
        <w:t>Committee</w:t>
      </w:r>
      <w:r w:rsidRPr="003E2516">
        <w:rPr>
          <w:rFonts w:ascii="Times New Roman" w:hAnsi="Times New Roman" w:cs="Times New Roman"/>
          <w:color w:val="000000" w:themeColor="text1"/>
          <w:kern w:val="24"/>
          <w:sz w:val="24"/>
          <w:szCs w:val="24"/>
        </w:rPr>
        <w:t xml:space="preserve"> having considered the Revised Strategic Plan 2015/16 – 2019/20 and Annual Performance Plan 2017/18</w:t>
      </w:r>
      <w:r w:rsidRPr="003E2516">
        <w:rPr>
          <w:rFonts w:ascii="Times New Roman" w:hAnsi="Times New Roman" w:cs="Times New Roman"/>
          <w:sz w:val="24"/>
          <w:szCs w:val="24"/>
        </w:rPr>
        <w:t xml:space="preserve"> recommend</w:t>
      </w:r>
      <w:r w:rsidR="00AA1987" w:rsidRPr="003E2516">
        <w:rPr>
          <w:rFonts w:ascii="Times New Roman" w:hAnsi="Times New Roman" w:cs="Times New Roman"/>
          <w:sz w:val="24"/>
          <w:szCs w:val="24"/>
        </w:rPr>
        <w:t>s</w:t>
      </w:r>
      <w:r w:rsidR="00B47B28" w:rsidRPr="003E2516">
        <w:rPr>
          <w:rFonts w:ascii="Times New Roman" w:hAnsi="Times New Roman" w:cs="Times New Roman"/>
          <w:sz w:val="24"/>
          <w:szCs w:val="24"/>
        </w:rPr>
        <w:t xml:space="preserve"> as follows</w:t>
      </w:r>
      <w:r w:rsidR="00AA1987" w:rsidRPr="003E2516">
        <w:rPr>
          <w:rFonts w:ascii="Times New Roman" w:hAnsi="Times New Roman" w:cs="Times New Roman"/>
          <w:sz w:val="24"/>
          <w:szCs w:val="24"/>
        </w:rPr>
        <w:t>:</w:t>
      </w:r>
    </w:p>
    <w:p w:rsidR="00B12A1E" w:rsidRPr="003E2516" w:rsidRDefault="00AA1987" w:rsidP="003E2516">
      <w:pPr>
        <w:spacing w:before="120" w:after="120" w:line="240" w:lineRule="auto"/>
        <w:jc w:val="both"/>
        <w:rPr>
          <w:rFonts w:ascii="Times New Roman" w:hAnsi="Times New Roman" w:cs="Times New Roman"/>
          <w:color w:val="000000" w:themeColor="text1"/>
          <w:kern w:val="24"/>
          <w:sz w:val="24"/>
          <w:szCs w:val="24"/>
        </w:rPr>
      </w:pPr>
      <w:r w:rsidRPr="003E2516">
        <w:rPr>
          <w:rFonts w:ascii="Times New Roman" w:hAnsi="Times New Roman" w:cs="Times New Roman"/>
          <w:sz w:val="24"/>
          <w:szCs w:val="24"/>
        </w:rPr>
        <w:t>9.1.</w:t>
      </w:r>
      <w:r w:rsidR="005E6B4D" w:rsidRPr="003E2516">
        <w:rPr>
          <w:rFonts w:ascii="Times New Roman" w:hAnsi="Times New Roman" w:cs="Times New Roman"/>
          <w:sz w:val="24"/>
          <w:szCs w:val="24"/>
        </w:rPr>
        <w:t xml:space="preserve">    </w:t>
      </w:r>
      <w:r w:rsidRPr="003E2516">
        <w:rPr>
          <w:rFonts w:ascii="Times New Roman" w:hAnsi="Times New Roman" w:cs="Times New Roman"/>
          <w:color w:val="000000" w:themeColor="text1"/>
          <w:kern w:val="24"/>
          <w:sz w:val="24"/>
          <w:szCs w:val="24"/>
        </w:rPr>
        <w:t xml:space="preserve">To the </w:t>
      </w:r>
      <w:r w:rsidR="00B12A1E" w:rsidRPr="003E2516">
        <w:rPr>
          <w:rFonts w:ascii="Times New Roman" w:hAnsi="Times New Roman" w:cs="Times New Roman"/>
          <w:color w:val="000000" w:themeColor="text1"/>
          <w:kern w:val="24"/>
          <w:sz w:val="24"/>
          <w:szCs w:val="24"/>
        </w:rPr>
        <w:t xml:space="preserve">Minister of Higher Education and Training </w:t>
      </w:r>
      <w:r w:rsidRPr="003E2516">
        <w:rPr>
          <w:rFonts w:ascii="Times New Roman" w:hAnsi="Times New Roman" w:cs="Times New Roman"/>
          <w:color w:val="000000" w:themeColor="text1"/>
          <w:kern w:val="24"/>
          <w:sz w:val="24"/>
          <w:szCs w:val="24"/>
        </w:rPr>
        <w:t xml:space="preserve">to </w:t>
      </w:r>
      <w:r w:rsidR="00B12A1E" w:rsidRPr="003E2516">
        <w:rPr>
          <w:rFonts w:ascii="Times New Roman" w:hAnsi="Times New Roman" w:cs="Times New Roman"/>
          <w:color w:val="000000" w:themeColor="text1"/>
          <w:kern w:val="24"/>
          <w:sz w:val="24"/>
          <w:szCs w:val="24"/>
        </w:rPr>
        <w:t>consider the following:</w:t>
      </w:r>
    </w:p>
    <w:p w:rsidR="00784767" w:rsidRPr="003E2516" w:rsidRDefault="00784767" w:rsidP="003E2516">
      <w:pPr>
        <w:spacing w:before="120" w:after="120" w:line="240" w:lineRule="auto"/>
        <w:ind w:left="630" w:hanging="630"/>
        <w:jc w:val="both"/>
        <w:rPr>
          <w:rFonts w:ascii="Times New Roman" w:hAnsi="Times New Roman" w:cs="Times New Roman"/>
          <w:sz w:val="24"/>
          <w:szCs w:val="24"/>
        </w:rPr>
      </w:pPr>
      <w:r w:rsidRPr="003E2516">
        <w:rPr>
          <w:rFonts w:ascii="Times New Roman" w:hAnsi="Times New Roman" w:cs="Times New Roman"/>
          <w:sz w:val="24"/>
          <w:szCs w:val="24"/>
        </w:rPr>
        <w:lastRenderedPageBreak/>
        <w:t>9.1</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 xml:space="preserve"> The Department should expedite its recruitment processes to ensure that all funded </w:t>
      </w:r>
      <w:r w:rsidR="00B47B28" w:rsidRPr="003E2516">
        <w:rPr>
          <w:rFonts w:ascii="Times New Roman" w:hAnsi="Times New Roman" w:cs="Times New Roman"/>
          <w:sz w:val="24"/>
          <w:szCs w:val="24"/>
        </w:rPr>
        <w:t xml:space="preserve">  </w:t>
      </w:r>
      <w:r w:rsidRPr="003E2516">
        <w:rPr>
          <w:rFonts w:ascii="Times New Roman" w:hAnsi="Times New Roman" w:cs="Times New Roman"/>
          <w:sz w:val="24"/>
          <w:szCs w:val="24"/>
        </w:rPr>
        <w:t>vacant positions are filled within the required timeframes.</w:t>
      </w: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 xml:space="preserve">2. </w:t>
      </w:r>
      <w:r w:rsidRPr="003E2516">
        <w:rPr>
          <w:rFonts w:ascii="Times New Roman" w:hAnsi="Times New Roman" w:cs="Times New Roman"/>
          <w:sz w:val="24"/>
          <w:szCs w:val="24"/>
        </w:rPr>
        <w:tab/>
        <w:t xml:space="preserve">The Department should look at what alternative capacitation is required for INDLELA </w:t>
      </w:r>
      <w:r w:rsidRPr="003E2516">
        <w:rPr>
          <w:rFonts w:ascii="Times New Roman" w:hAnsi="Times New Roman" w:cs="Times New Roman"/>
          <w:sz w:val="24"/>
          <w:szCs w:val="24"/>
        </w:rPr>
        <w:tab/>
        <w:t>to accelerate trade test processes.</w:t>
      </w: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 xml:space="preserve">3. </w:t>
      </w:r>
      <w:r w:rsidRPr="003E2516">
        <w:rPr>
          <w:rFonts w:ascii="Times New Roman" w:hAnsi="Times New Roman" w:cs="Times New Roman"/>
          <w:sz w:val="24"/>
          <w:szCs w:val="24"/>
        </w:rPr>
        <w:tab/>
        <w:t xml:space="preserve">The Department has not met its targets on the number of students in foundation </w:t>
      </w:r>
      <w:r w:rsidRPr="003E2516">
        <w:rPr>
          <w:rFonts w:ascii="Times New Roman" w:hAnsi="Times New Roman" w:cs="Times New Roman"/>
          <w:sz w:val="24"/>
          <w:szCs w:val="24"/>
        </w:rPr>
        <w:tab/>
        <w:t xml:space="preserve">programmes for two consecutive years, and the number of students enrolled in </w:t>
      </w:r>
      <w:r w:rsidRPr="003E2516">
        <w:rPr>
          <w:rFonts w:ascii="Times New Roman" w:hAnsi="Times New Roman" w:cs="Times New Roman"/>
          <w:sz w:val="24"/>
          <w:szCs w:val="24"/>
        </w:rPr>
        <w:tab/>
        <w:t xml:space="preserve">public higher education studies at universities. This was attributed to changes in the </w:t>
      </w:r>
      <w:r w:rsidRPr="003E2516">
        <w:rPr>
          <w:rFonts w:ascii="Times New Roman" w:hAnsi="Times New Roman" w:cs="Times New Roman"/>
          <w:sz w:val="24"/>
          <w:szCs w:val="24"/>
        </w:rPr>
        <w:tab/>
        <w:t xml:space="preserve">admission policy by the University of South Africa (UNISA). The Department </w:t>
      </w:r>
      <w:r w:rsidRPr="003E2516">
        <w:rPr>
          <w:rFonts w:ascii="Times New Roman" w:hAnsi="Times New Roman" w:cs="Times New Roman"/>
          <w:sz w:val="24"/>
          <w:szCs w:val="24"/>
        </w:rPr>
        <w:tab/>
        <w:t xml:space="preserve">should ensure that UNISA enrols students in terms of the approved enrolment plan.  </w:t>
      </w:r>
    </w:p>
    <w:p w:rsidR="00784767" w:rsidRPr="003E2516" w:rsidRDefault="00784767"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 xml:space="preserve">4. </w:t>
      </w:r>
      <w:r w:rsidRPr="003E2516">
        <w:rPr>
          <w:rFonts w:ascii="Times New Roman" w:hAnsi="Times New Roman" w:cs="Times New Roman"/>
          <w:sz w:val="24"/>
          <w:szCs w:val="24"/>
        </w:rPr>
        <w:tab/>
      </w:r>
      <w:r w:rsidRPr="003E2516">
        <w:rPr>
          <w:rFonts w:ascii="Times New Roman" w:hAnsi="Times New Roman" w:cs="Times New Roman"/>
          <w:color w:val="000000" w:themeColor="text1"/>
          <w:kern w:val="24"/>
          <w:sz w:val="24"/>
          <w:szCs w:val="24"/>
        </w:rPr>
        <w:t xml:space="preserve">The Department should consider reviewing upwards some of the targets, that are  </w:t>
      </w:r>
      <w:r w:rsidRPr="003E2516">
        <w:rPr>
          <w:rFonts w:ascii="Times New Roman" w:hAnsi="Times New Roman" w:cs="Times New Roman"/>
          <w:color w:val="000000" w:themeColor="text1"/>
          <w:kern w:val="24"/>
          <w:sz w:val="24"/>
          <w:szCs w:val="24"/>
        </w:rPr>
        <w:tab/>
      </w:r>
      <w:r w:rsidR="000A5E73" w:rsidRPr="003E2516">
        <w:rPr>
          <w:rFonts w:ascii="Times New Roman" w:hAnsi="Times New Roman" w:cs="Times New Roman"/>
          <w:color w:val="000000" w:themeColor="text1"/>
          <w:kern w:val="24"/>
          <w:sz w:val="24"/>
          <w:szCs w:val="24"/>
        </w:rPr>
        <w:t xml:space="preserve">too </w:t>
      </w:r>
      <w:r w:rsidRPr="003E2516">
        <w:rPr>
          <w:rFonts w:ascii="Times New Roman" w:hAnsi="Times New Roman" w:cs="Times New Roman"/>
          <w:color w:val="000000" w:themeColor="text1"/>
          <w:kern w:val="24"/>
          <w:sz w:val="24"/>
          <w:szCs w:val="24"/>
        </w:rPr>
        <w:t xml:space="preserve">modest. These include: Universities offering accredited TVET College Lecturer </w:t>
      </w:r>
      <w:r w:rsidRPr="003E2516">
        <w:rPr>
          <w:rFonts w:ascii="Times New Roman" w:hAnsi="Times New Roman" w:cs="Times New Roman"/>
          <w:color w:val="000000" w:themeColor="text1"/>
          <w:kern w:val="24"/>
          <w:sz w:val="24"/>
          <w:szCs w:val="24"/>
        </w:rPr>
        <w:tab/>
        <w:t xml:space="preserve">Qualifications, percentage of university academics with PhDs, proportion of SETAs </w:t>
      </w:r>
      <w:r w:rsidRPr="003E2516">
        <w:rPr>
          <w:rFonts w:ascii="Times New Roman" w:hAnsi="Times New Roman" w:cs="Times New Roman"/>
          <w:color w:val="000000" w:themeColor="text1"/>
          <w:kern w:val="24"/>
          <w:sz w:val="24"/>
          <w:szCs w:val="24"/>
        </w:rPr>
        <w:tab/>
        <w:t xml:space="preserve">meeting standards of good governance. </w:t>
      </w:r>
    </w:p>
    <w:p w:rsidR="00784767" w:rsidRPr="003E2516" w:rsidRDefault="00784767" w:rsidP="003E2516">
      <w:pPr>
        <w:kinsoku w:val="0"/>
        <w:overflowPunct w:val="0"/>
        <w:spacing w:before="120" w:after="120" w:line="240" w:lineRule="auto"/>
        <w:jc w:val="both"/>
        <w:textAlignment w:val="baseline"/>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9.</w:t>
      </w:r>
      <w:r w:rsidR="00AA1987" w:rsidRPr="003E2516">
        <w:rPr>
          <w:rFonts w:ascii="Times New Roman" w:hAnsi="Times New Roman" w:cs="Times New Roman"/>
          <w:color w:val="000000" w:themeColor="text1"/>
          <w:kern w:val="24"/>
          <w:sz w:val="24"/>
          <w:szCs w:val="24"/>
        </w:rPr>
        <w:t>1.</w:t>
      </w:r>
      <w:r w:rsidRPr="003E2516">
        <w:rPr>
          <w:rFonts w:ascii="Times New Roman" w:hAnsi="Times New Roman" w:cs="Times New Roman"/>
          <w:color w:val="000000" w:themeColor="text1"/>
          <w:kern w:val="24"/>
          <w:sz w:val="24"/>
          <w:szCs w:val="24"/>
        </w:rPr>
        <w:t>5.</w:t>
      </w:r>
      <w:r w:rsidRPr="003E2516">
        <w:rPr>
          <w:rFonts w:ascii="Times New Roman" w:hAnsi="Times New Roman" w:cs="Times New Roman"/>
          <w:color w:val="000000" w:themeColor="text1"/>
          <w:kern w:val="24"/>
          <w:sz w:val="24"/>
          <w:szCs w:val="24"/>
        </w:rPr>
        <w:tab/>
      </w:r>
      <w:r w:rsidRPr="003E2516">
        <w:rPr>
          <w:rFonts w:ascii="Times New Roman" w:hAnsi="Times New Roman" w:cs="Times New Roman"/>
          <w:sz w:val="24"/>
          <w:szCs w:val="24"/>
        </w:rPr>
        <w:t xml:space="preserve">The Department should strengthen its monitoring and evaluation function over the </w:t>
      </w:r>
      <w:r w:rsidRPr="003E2516">
        <w:rPr>
          <w:rFonts w:ascii="Times New Roman" w:hAnsi="Times New Roman" w:cs="Times New Roman"/>
          <w:sz w:val="24"/>
          <w:szCs w:val="24"/>
        </w:rPr>
        <w:tab/>
        <w:t xml:space="preserve">universities, in particular, to conduct site visits to institutions of higher learning to </w:t>
      </w:r>
      <w:r w:rsidRPr="003E2516">
        <w:rPr>
          <w:rFonts w:ascii="Times New Roman" w:hAnsi="Times New Roman" w:cs="Times New Roman"/>
          <w:sz w:val="24"/>
          <w:szCs w:val="24"/>
        </w:rPr>
        <w:tab/>
        <w:t xml:space="preserve">conduct qualitative verification of infrastructure development projects as well as the </w:t>
      </w:r>
      <w:r w:rsidRPr="003E2516">
        <w:rPr>
          <w:rFonts w:ascii="Times New Roman" w:hAnsi="Times New Roman" w:cs="Times New Roman"/>
          <w:sz w:val="24"/>
          <w:szCs w:val="24"/>
        </w:rPr>
        <w:tab/>
        <w:t xml:space="preserve">effective use of the earmarked grants. This will prevent reported poor workmanship on </w:t>
      </w:r>
      <w:r w:rsidRPr="003E2516">
        <w:rPr>
          <w:rFonts w:ascii="Times New Roman" w:hAnsi="Times New Roman" w:cs="Times New Roman"/>
          <w:sz w:val="24"/>
          <w:szCs w:val="24"/>
        </w:rPr>
        <w:tab/>
        <w:t xml:space="preserve">infrastructure development projects undertaken by universities to ensure value for </w:t>
      </w:r>
      <w:r w:rsidRPr="003E2516">
        <w:rPr>
          <w:rFonts w:ascii="Times New Roman" w:hAnsi="Times New Roman" w:cs="Times New Roman"/>
          <w:sz w:val="24"/>
          <w:szCs w:val="24"/>
        </w:rPr>
        <w:tab/>
        <w:t>money and effective and efficient utilisation of earmarked grants.</w:t>
      </w: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color w:val="000000" w:themeColor="text1"/>
          <w:kern w:val="24"/>
          <w:sz w:val="24"/>
          <w:szCs w:val="24"/>
        </w:rPr>
        <w:t>9.</w:t>
      </w:r>
      <w:r w:rsidR="00AA1987" w:rsidRPr="003E2516">
        <w:rPr>
          <w:rFonts w:ascii="Times New Roman" w:hAnsi="Times New Roman" w:cs="Times New Roman"/>
          <w:color w:val="000000" w:themeColor="text1"/>
          <w:kern w:val="24"/>
          <w:sz w:val="24"/>
          <w:szCs w:val="24"/>
        </w:rPr>
        <w:t>1.</w:t>
      </w:r>
      <w:r w:rsidRPr="003E2516">
        <w:rPr>
          <w:rFonts w:ascii="Times New Roman" w:hAnsi="Times New Roman" w:cs="Times New Roman"/>
          <w:color w:val="000000" w:themeColor="text1"/>
          <w:kern w:val="24"/>
          <w:sz w:val="24"/>
          <w:szCs w:val="24"/>
        </w:rPr>
        <w:t>6.</w:t>
      </w:r>
      <w:r w:rsidRPr="003E2516">
        <w:rPr>
          <w:rFonts w:ascii="Times New Roman" w:hAnsi="Times New Roman" w:cs="Times New Roman"/>
          <w:color w:val="000000" w:themeColor="text1"/>
          <w:kern w:val="24"/>
          <w:sz w:val="24"/>
          <w:szCs w:val="24"/>
        </w:rPr>
        <w:tab/>
      </w:r>
      <w:r w:rsidRPr="003E2516">
        <w:rPr>
          <w:rFonts w:ascii="Times New Roman" w:hAnsi="Times New Roman" w:cs="Times New Roman"/>
          <w:sz w:val="24"/>
          <w:szCs w:val="24"/>
        </w:rPr>
        <w:t xml:space="preserve">The delays in the finalisation of the procurement process of the Department for the </w:t>
      </w:r>
      <w:r w:rsidRPr="003E2516">
        <w:rPr>
          <w:rFonts w:ascii="Times New Roman" w:hAnsi="Times New Roman" w:cs="Times New Roman"/>
          <w:sz w:val="24"/>
          <w:szCs w:val="24"/>
        </w:rPr>
        <w:tab/>
        <w:t xml:space="preserve">construction of the nine remaining new TVET College campuses and the cost </w:t>
      </w:r>
      <w:r w:rsidRPr="003E2516">
        <w:rPr>
          <w:rFonts w:ascii="Times New Roman" w:hAnsi="Times New Roman" w:cs="Times New Roman"/>
          <w:sz w:val="24"/>
          <w:szCs w:val="24"/>
        </w:rPr>
        <w:tab/>
        <w:t xml:space="preserve">implication thereof, was noted with concern. The Department should expedite these </w:t>
      </w:r>
      <w:r w:rsidRPr="003E2516">
        <w:rPr>
          <w:rFonts w:ascii="Times New Roman" w:hAnsi="Times New Roman" w:cs="Times New Roman"/>
          <w:sz w:val="24"/>
          <w:szCs w:val="24"/>
        </w:rPr>
        <w:tab/>
        <w:t xml:space="preserve">processes to ensure that the target is met as per the Presidential pronouncement. </w:t>
      </w: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7.</w:t>
      </w:r>
      <w:r w:rsidRPr="003E2516">
        <w:rPr>
          <w:rFonts w:ascii="Times New Roman" w:hAnsi="Times New Roman" w:cs="Times New Roman"/>
          <w:sz w:val="24"/>
          <w:szCs w:val="24"/>
        </w:rPr>
        <w:tab/>
        <w:t xml:space="preserve">The Department should strengthen its oversight function over the TVET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to </w:t>
      </w:r>
      <w:r w:rsidRPr="003E2516">
        <w:rPr>
          <w:rFonts w:ascii="Times New Roman" w:hAnsi="Times New Roman" w:cs="Times New Roman"/>
          <w:sz w:val="24"/>
          <w:szCs w:val="24"/>
        </w:rPr>
        <w:tab/>
        <w:t xml:space="preserve">address governance and management deficiencies in the internal controls, compliance </w:t>
      </w:r>
      <w:r w:rsidRPr="003E2516">
        <w:rPr>
          <w:rFonts w:ascii="Times New Roman" w:hAnsi="Times New Roman" w:cs="Times New Roman"/>
          <w:sz w:val="24"/>
          <w:szCs w:val="24"/>
        </w:rPr>
        <w:tab/>
        <w:t xml:space="preserve">with legislation, human resources, </w:t>
      </w:r>
      <w:r w:rsidRPr="003E2516">
        <w:rPr>
          <w:rFonts w:ascii="Times New Roman" w:hAnsi="Times New Roman" w:cs="Times New Roman"/>
          <w:color w:val="000000" w:themeColor="text1"/>
          <w:kern w:val="24"/>
          <w:sz w:val="24"/>
          <w:szCs w:val="24"/>
        </w:rPr>
        <w:t xml:space="preserve">reporting on their achievements against strategic </w:t>
      </w:r>
      <w:r w:rsidRPr="003E2516">
        <w:rPr>
          <w:rFonts w:ascii="Times New Roman" w:hAnsi="Times New Roman" w:cs="Times New Roman"/>
          <w:color w:val="000000" w:themeColor="text1"/>
          <w:kern w:val="24"/>
          <w:sz w:val="24"/>
          <w:szCs w:val="24"/>
        </w:rPr>
        <w:tab/>
        <w:t>plans</w:t>
      </w:r>
      <w:r w:rsidRPr="003E2516">
        <w:rPr>
          <w:rFonts w:ascii="Times New Roman" w:hAnsi="Times New Roman" w:cs="Times New Roman"/>
          <w:sz w:val="24"/>
          <w:szCs w:val="24"/>
        </w:rPr>
        <w:t xml:space="preserve"> including student academic performance; to ensure that the sector is </w:t>
      </w:r>
      <w:r w:rsidRPr="003E2516">
        <w:rPr>
          <w:rFonts w:ascii="Times New Roman" w:hAnsi="Times New Roman" w:cs="Times New Roman"/>
          <w:sz w:val="24"/>
          <w:szCs w:val="24"/>
        </w:rPr>
        <w:tab/>
        <w:t>managed effectively and efficiently.</w:t>
      </w: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8.</w:t>
      </w:r>
      <w:r w:rsidRPr="003E2516">
        <w:rPr>
          <w:rFonts w:ascii="Times New Roman" w:hAnsi="Times New Roman" w:cs="Times New Roman"/>
          <w:sz w:val="24"/>
          <w:szCs w:val="24"/>
        </w:rPr>
        <w:tab/>
        <w:t xml:space="preserve">The Department should speed up the TVET curriculum review process to ensure </w:t>
      </w:r>
      <w:r w:rsidRPr="003E2516">
        <w:rPr>
          <w:rFonts w:ascii="Times New Roman" w:hAnsi="Times New Roman" w:cs="Times New Roman"/>
          <w:sz w:val="24"/>
          <w:szCs w:val="24"/>
        </w:rPr>
        <w:tab/>
        <w:t xml:space="preserve">responsiveness of TVET College programmes to industry needs and a progress report </w:t>
      </w:r>
      <w:r w:rsidRPr="003E2516">
        <w:rPr>
          <w:rFonts w:ascii="Times New Roman" w:hAnsi="Times New Roman" w:cs="Times New Roman"/>
          <w:sz w:val="24"/>
          <w:szCs w:val="24"/>
        </w:rPr>
        <w:tab/>
        <w:t xml:space="preserve">be submitted to the </w:t>
      </w:r>
      <w:r w:rsidR="00AA1987" w:rsidRPr="003E2516">
        <w:rPr>
          <w:rFonts w:ascii="Times New Roman" w:hAnsi="Times New Roman" w:cs="Times New Roman"/>
          <w:sz w:val="24"/>
          <w:szCs w:val="24"/>
        </w:rPr>
        <w:t>Committee</w:t>
      </w:r>
      <w:r w:rsidRPr="003E2516">
        <w:rPr>
          <w:rFonts w:ascii="Times New Roman" w:hAnsi="Times New Roman" w:cs="Times New Roman"/>
          <w:sz w:val="24"/>
          <w:szCs w:val="24"/>
        </w:rPr>
        <w:t xml:space="preserve">. </w:t>
      </w:r>
    </w:p>
    <w:p w:rsidR="00784767" w:rsidRPr="003E2516" w:rsidRDefault="00784767" w:rsidP="003E2516">
      <w:pPr>
        <w:spacing w:before="120" w:after="120" w:line="240" w:lineRule="auto"/>
        <w:ind w:left="720" w:hanging="720"/>
        <w:jc w:val="both"/>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9.</w:t>
      </w:r>
      <w:r w:rsidR="00AA1987" w:rsidRPr="003E2516">
        <w:rPr>
          <w:rFonts w:ascii="Times New Roman" w:hAnsi="Times New Roman" w:cs="Times New Roman"/>
          <w:color w:val="000000" w:themeColor="text1"/>
          <w:kern w:val="24"/>
          <w:sz w:val="24"/>
          <w:szCs w:val="24"/>
        </w:rPr>
        <w:t>1.</w:t>
      </w:r>
      <w:r w:rsidRPr="003E2516">
        <w:rPr>
          <w:rFonts w:ascii="Times New Roman" w:hAnsi="Times New Roman" w:cs="Times New Roman"/>
          <w:color w:val="000000" w:themeColor="text1"/>
          <w:kern w:val="24"/>
          <w:sz w:val="24"/>
          <w:szCs w:val="24"/>
        </w:rPr>
        <w:t>9.</w:t>
      </w:r>
      <w:r w:rsidRPr="003E2516">
        <w:rPr>
          <w:rFonts w:ascii="Times New Roman" w:hAnsi="Times New Roman" w:cs="Times New Roman"/>
          <w:color w:val="000000" w:themeColor="text1"/>
          <w:kern w:val="24"/>
          <w:sz w:val="24"/>
          <w:szCs w:val="24"/>
        </w:rPr>
        <w:tab/>
        <w:t xml:space="preserve">The </w:t>
      </w:r>
      <w:r w:rsidR="00AA1987" w:rsidRPr="003E2516">
        <w:rPr>
          <w:rFonts w:ascii="Times New Roman" w:hAnsi="Times New Roman" w:cs="Times New Roman"/>
          <w:color w:val="000000" w:themeColor="text1"/>
          <w:kern w:val="24"/>
          <w:sz w:val="24"/>
          <w:szCs w:val="24"/>
        </w:rPr>
        <w:t>Committee</w:t>
      </w:r>
      <w:r w:rsidRPr="003E2516">
        <w:rPr>
          <w:rFonts w:ascii="Times New Roman" w:hAnsi="Times New Roman" w:cs="Times New Roman"/>
          <w:color w:val="000000" w:themeColor="text1"/>
          <w:kern w:val="24"/>
          <w:sz w:val="24"/>
          <w:szCs w:val="24"/>
        </w:rPr>
        <w:t xml:space="preserve"> note</w:t>
      </w:r>
      <w:r w:rsidR="00630026" w:rsidRPr="003E2516">
        <w:rPr>
          <w:rFonts w:ascii="Times New Roman" w:hAnsi="Times New Roman" w:cs="Times New Roman"/>
          <w:color w:val="000000" w:themeColor="text1"/>
          <w:kern w:val="24"/>
          <w:sz w:val="24"/>
          <w:szCs w:val="24"/>
        </w:rPr>
        <w:t>d</w:t>
      </w:r>
      <w:r w:rsidRPr="003E2516">
        <w:rPr>
          <w:rFonts w:ascii="Times New Roman" w:hAnsi="Times New Roman" w:cs="Times New Roman"/>
          <w:color w:val="000000" w:themeColor="text1"/>
          <w:kern w:val="24"/>
          <w:sz w:val="24"/>
          <w:szCs w:val="24"/>
        </w:rPr>
        <w:t xml:space="preserve"> the National Skills Accord and the commitments made to make internships and placement opportunities available within the workplaces. The </w:t>
      </w:r>
      <w:r w:rsidR="00AA1987" w:rsidRPr="003E2516">
        <w:rPr>
          <w:rFonts w:ascii="Times New Roman" w:hAnsi="Times New Roman" w:cs="Times New Roman"/>
          <w:color w:val="000000" w:themeColor="text1"/>
          <w:kern w:val="24"/>
          <w:sz w:val="24"/>
          <w:szCs w:val="24"/>
        </w:rPr>
        <w:t>Committee</w:t>
      </w:r>
      <w:r w:rsidRPr="003E2516">
        <w:rPr>
          <w:rFonts w:ascii="Times New Roman" w:hAnsi="Times New Roman" w:cs="Times New Roman"/>
          <w:color w:val="000000" w:themeColor="text1"/>
          <w:kern w:val="24"/>
          <w:sz w:val="24"/>
          <w:szCs w:val="24"/>
        </w:rPr>
        <w:t xml:space="preserve"> recommend that the Organised Labour, Business Unity South Africa, Community Constituents at NEDLAC and </w:t>
      </w:r>
      <w:r w:rsidR="001C724F" w:rsidRPr="003E2516">
        <w:rPr>
          <w:rFonts w:ascii="Times New Roman" w:hAnsi="Times New Roman" w:cs="Times New Roman"/>
          <w:color w:val="000000" w:themeColor="text1"/>
          <w:kern w:val="24"/>
          <w:sz w:val="24"/>
          <w:szCs w:val="24"/>
        </w:rPr>
        <w:t>Government</w:t>
      </w:r>
      <w:r w:rsidRPr="003E2516">
        <w:rPr>
          <w:rFonts w:ascii="Times New Roman" w:hAnsi="Times New Roman" w:cs="Times New Roman"/>
          <w:color w:val="000000" w:themeColor="text1"/>
          <w:kern w:val="24"/>
          <w:sz w:val="24"/>
          <w:szCs w:val="24"/>
        </w:rPr>
        <w:t xml:space="preserve"> should ensure that industry opens up workplaces for student placement and lecturer work exposure</w:t>
      </w:r>
      <w:r w:rsidR="005D4448" w:rsidRPr="003E2516">
        <w:rPr>
          <w:rFonts w:ascii="Times New Roman" w:hAnsi="Times New Roman" w:cs="Times New Roman"/>
          <w:color w:val="000000" w:themeColor="text1"/>
          <w:kern w:val="24"/>
          <w:sz w:val="24"/>
          <w:szCs w:val="24"/>
        </w:rPr>
        <w:t xml:space="preserve"> as agreed in the social accord, NDP and N</w:t>
      </w:r>
      <w:r w:rsidR="00630026" w:rsidRPr="003E2516">
        <w:rPr>
          <w:rFonts w:ascii="Times New Roman" w:hAnsi="Times New Roman" w:cs="Times New Roman"/>
          <w:color w:val="000000" w:themeColor="text1"/>
          <w:kern w:val="24"/>
          <w:sz w:val="24"/>
          <w:szCs w:val="24"/>
        </w:rPr>
        <w:t>ational Skills Development Strategy (NSDS) III</w:t>
      </w:r>
      <w:r w:rsidRPr="003E2516">
        <w:rPr>
          <w:rFonts w:ascii="Times New Roman" w:hAnsi="Times New Roman" w:cs="Times New Roman"/>
          <w:color w:val="000000" w:themeColor="text1"/>
          <w:kern w:val="24"/>
          <w:sz w:val="24"/>
          <w:szCs w:val="24"/>
        </w:rPr>
        <w:t>.</w:t>
      </w:r>
    </w:p>
    <w:p w:rsidR="00B47B28" w:rsidRPr="003E2516" w:rsidRDefault="00B47B28" w:rsidP="003E2516">
      <w:pPr>
        <w:spacing w:before="120" w:after="120" w:line="240" w:lineRule="auto"/>
        <w:ind w:left="720" w:hanging="720"/>
        <w:jc w:val="both"/>
        <w:rPr>
          <w:rFonts w:ascii="Times New Roman" w:hAnsi="Times New Roman" w:cs="Times New Roman"/>
          <w:color w:val="000000" w:themeColor="text1"/>
          <w:kern w:val="24"/>
          <w:sz w:val="24"/>
          <w:szCs w:val="24"/>
        </w:rPr>
      </w:pPr>
      <w:r w:rsidRPr="003E2516">
        <w:rPr>
          <w:rFonts w:ascii="Times New Roman" w:hAnsi="Times New Roman" w:cs="Times New Roman"/>
          <w:color w:val="000000" w:themeColor="text1"/>
          <w:kern w:val="24"/>
          <w:sz w:val="24"/>
          <w:szCs w:val="24"/>
        </w:rPr>
        <w:t>9.1.10 The Department should take appropriate steps to ensure that the Departmental organogram is approved without further delays.</w:t>
      </w:r>
    </w:p>
    <w:p w:rsidR="000A5E73" w:rsidRPr="003E2516" w:rsidRDefault="000A5E73" w:rsidP="003E2516">
      <w:pPr>
        <w:spacing w:before="120" w:after="120" w:line="240" w:lineRule="auto"/>
        <w:ind w:left="630" w:hanging="630"/>
        <w:jc w:val="both"/>
        <w:rPr>
          <w:rFonts w:ascii="Times New Roman" w:hAnsi="Times New Roman" w:cs="Times New Roman"/>
          <w:sz w:val="24"/>
          <w:szCs w:val="24"/>
        </w:rPr>
      </w:pPr>
      <w:r w:rsidRPr="003E2516">
        <w:rPr>
          <w:rFonts w:ascii="Times New Roman" w:hAnsi="Times New Roman" w:cs="Times New Roman"/>
          <w:sz w:val="24"/>
          <w:szCs w:val="24"/>
        </w:rPr>
        <w:t>9.</w:t>
      </w:r>
      <w:r w:rsidR="00AA1987" w:rsidRPr="003E2516">
        <w:rPr>
          <w:rFonts w:ascii="Times New Roman" w:hAnsi="Times New Roman" w:cs="Times New Roman"/>
          <w:sz w:val="24"/>
          <w:szCs w:val="24"/>
        </w:rPr>
        <w:t>1.</w:t>
      </w:r>
      <w:r w:rsidRPr="003E2516">
        <w:rPr>
          <w:rFonts w:ascii="Times New Roman" w:hAnsi="Times New Roman" w:cs="Times New Roman"/>
          <w:sz w:val="24"/>
          <w:szCs w:val="24"/>
        </w:rPr>
        <w:t>1</w:t>
      </w:r>
      <w:r w:rsidR="00B47B28" w:rsidRPr="003E2516">
        <w:rPr>
          <w:rFonts w:ascii="Times New Roman" w:hAnsi="Times New Roman" w:cs="Times New Roman"/>
          <w:sz w:val="24"/>
          <w:szCs w:val="24"/>
        </w:rPr>
        <w:t>1</w:t>
      </w:r>
      <w:r w:rsidRPr="003E2516">
        <w:rPr>
          <w:rFonts w:ascii="Times New Roman" w:hAnsi="Times New Roman" w:cs="Times New Roman"/>
          <w:sz w:val="24"/>
          <w:szCs w:val="24"/>
        </w:rPr>
        <w:t xml:space="preserve"> The </w:t>
      </w:r>
      <w:r w:rsidR="006F3D66" w:rsidRPr="003E2516">
        <w:rPr>
          <w:rFonts w:ascii="Times New Roman" w:hAnsi="Times New Roman" w:cs="Times New Roman"/>
          <w:sz w:val="24"/>
          <w:szCs w:val="24"/>
        </w:rPr>
        <w:t xml:space="preserve">Department should ensure that its strategic planning includes proactive steps to monitor the financial sustainability of public universities and </w:t>
      </w:r>
      <w:r w:rsidR="00863577" w:rsidRPr="003E2516">
        <w:rPr>
          <w:rFonts w:ascii="Times New Roman" w:hAnsi="Times New Roman" w:cs="Times New Roman"/>
          <w:sz w:val="24"/>
          <w:szCs w:val="24"/>
        </w:rPr>
        <w:t>Colleges</w:t>
      </w:r>
      <w:r w:rsidR="006F3D66" w:rsidRPr="003E2516">
        <w:rPr>
          <w:rFonts w:ascii="Times New Roman" w:hAnsi="Times New Roman" w:cs="Times New Roman"/>
          <w:sz w:val="24"/>
          <w:szCs w:val="24"/>
        </w:rPr>
        <w:t xml:space="preserve">. </w:t>
      </w:r>
    </w:p>
    <w:p w:rsidR="006F3D66" w:rsidRPr="003E2516" w:rsidRDefault="006F3D66" w:rsidP="003E2516">
      <w:pPr>
        <w:spacing w:before="120" w:after="120" w:line="240" w:lineRule="auto"/>
        <w:ind w:left="630" w:hanging="630"/>
        <w:jc w:val="both"/>
        <w:rPr>
          <w:rFonts w:ascii="Times New Roman" w:hAnsi="Times New Roman" w:cs="Times New Roman"/>
          <w:sz w:val="24"/>
          <w:szCs w:val="24"/>
        </w:rPr>
      </w:pPr>
      <w:r w:rsidRPr="003E2516">
        <w:rPr>
          <w:rFonts w:ascii="Times New Roman" w:hAnsi="Times New Roman" w:cs="Times New Roman"/>
          <w:sz w:val="24"/>
          <w:szCs w:val="24"/>
        </w:rPr>
        <w:t>9.1</w:t>
      </w:r>
      <w:r w:rsidR="00AA1987" w:rsidRPr="003E2516">
        <w:rPr>
          <w:rFonts w:ascii="Times New Roman" w:hAnsi="Times New Roman" w:cs="Times New Roman"/>
          <w:sz w:val="24"/>
          <w:szCs w:val="24"/>
        </w:rPr>
        <w:t>.1</w:t>
      </w:r>
      <w:r w:rsidR="00B47B28" w:rsidRPr="003E2516">
        <w:rPr>
          <w:rFonts w:ascii="Times New Roman" w:hAnsi="Times New Roman" w:cs="Times New Roman"/>
          <w:sz w:val="24"/>
          <w:szCs w:val="24"/>
        </w:rPr>
        <w:t>2</w:t>
      </w:r>
      <w:r w:rsidRPr="003E2516">
        <w:rPr>
          <w:rFonts w:ascii="Times New Roman" w:hAnsi="Times New Roman" w:cs="Times New Roman"/>
          <w:sz w:val="24"/>
          <w:szCs w:val="24"/>
        </w:rPr>
        <w:t xml:space="preserve"> The Department should improve its oversight over entities such as NSFAS and other role players including public </w:t>
      </w:r>
      <w:r w:rsidR="00863577" w:rsidRPr="003E2516">
        <w:rPr>
          <w:rFonts w:ascii="Times New Roman" w:hAnsi="Times New Roman" w:cs="Times New Roman"/>
          <w:sz w:val="24"/>
          <w:szCs w:val="24"/>
        </w:rPr>
        <w:t>Colleges</w:t>
      </w:r>
      <w:r w:rsidRPr="003E2516">
        <w:rPr>
          <w:rFonts w:ascii="Times New Roman" w:hAnsi="Times New Roman" w:cs="Times New Roman"/>
          <w:sz w:val="24"/>
          <w:szCs w:val="24"/>
        </w:rPr>
        <w:t xml:space="preserve"> and universities so as to ensure that deserving students have access to </w:t>
      </w:r>
      <w:r w:rsidR="001C724F" w:rsidRPr="003E2516">
        <w:rPr>
          <w:rFonts w:ascii="Times New Roman" w:hAnsi="Times New Roman" w:cs="Times New Roman"/>
          <w:sz w:val="24"/>
          <w:szCs w:val="24"/>
        </w:rPr>
        <w:t>Government</w:t>
      </w:r>
      <w:r w:rsidRPr="003E2516">
        <w:rPr>
          <w:rFonts w:ascii="Times New Roman" w:hAnsi="Times New Roman" w:cs="Times New Roman"/>
          <w:sz w:val="24"/>
          <w:szCs w:val="24"/>
        </w:rPr>
        <w:t xml:space="preserve"> financial support to complete their studies.</w:t>
      </w:r>
    </w:p>
    <w:p w:rsidR="00AA1987" w:rsidRPr="003E2516" w:rsidRDefault="00AA198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lastRenderedPageBreak/>
        <w:t>9.2.</w:t>
      </w:r>
      <w:r w:rsidRPr="003E2516">
        <w:rPr>
          <w:rFonts w:ascii="Times New Roman" w:hAnsi="Times New Roman" w:cs="Times New Roman"/>
          <w:sz w:val="24"/>
          <w:szCs w:val="24"/>
        </w:rPr>
        <w:tab/>
        <w:t xml:space="preserve">The Committee will undertake further engagements with the Standing Committee on </w:t>
      </w:r>
      <w:r w:rsidRPr="003E2516">
        <w:rPr>
          <w:rFonts w:ascii="Times New Roman" w:hAnsi="Times New Roman" w:cs="Times New Roman"/>
          <w:sz w:val="24"/>
          <w:szCs w:val="24"/>
        </w:rPr>
        <w:tab/>
        <w:t xml:space="preserve">Appropriations and Finance to address the constant underfunding of the PSET </w:t>
      </w:r>
      <w:r w:rsidRPr="003E2516">
        <w:rPr>
          <w:rFonts w:ascii="Times New Roman" w:hAnsi="Times New Roman" w:cs="Times New Roman"/>
          <w:sz w:val="24"/>
          <w:szCs w:val="24"/>
        </w:rPr>
        <w:tab/>
        <w:t xml:space="preserve">System towards an improved adjustment process, as well as further engagements on </w:t>
      </w:r>
      <w:r w:rsidRPr="003E2516">
        <w:rPr>
          <w:rFonts w:ascii="Times New Roman" w:hAnsi="Times New Roman" w:cs="Times New Roman"/>
          <w:sz w:val="24"/>
          <w:szCs w:val="24"/>
        </w:rPr>
        <w:tab/>
        <w:t xml:space="preserve">progress in responding to the 2016 Budgetary Review Recommendations. </w:t>
      </w:r>
    </w:p>
    <w:p w:rsidR="00AA1987" w:rsidRPr="003E2516" w:rsidRDefault="00AA1987" w:rsidP="003E2516">
      <w:pPr>
        <w:spacing w:before="120" w:after="120" w:line="240" w:lineRule="auto"/>
        <w:ind w:left="630" w:hanging="630"/>
        <w:jc w:val="both"/>
        <w:rPr>
          <w:rFonts w:ascii="Times New Roman" w:hAnsi="Times New Roman" w:cs="Times New Roman"/>
          <w:sz w:val="24"/>
          <w:szCs w:val="24"/>
        </w:rPr>
      </w:pPr>
      <w:r w:rsidRPr="003E2516">
        <w:rPr>
          <w:rFonts w:ascii="Times New Roman" w:hAnsi="Times New Roman" w:cs="Times New Roman"/>
          <w:sz w:val="24"/>
          <w:szCs w:val="24"/>
        </w:rPr>
        <w:t xml:space="preserve">9.3. </w:t>
      </w:r>
      <w:r w:rsidRPr="003E2516">
        <w:rPr>
          <w:rFonts w:ascii="Times New Roman" w:hAnsi="Times New Roman" w:cs="Times New Roman"/>
          <w:sz w:val="24"/>
          <w:szCs w:val="24"/>
        </w:rPr>
        <w:tab/>
        <w:t xml:space="preserve">The Committee noted the challenges arising from the underfunding of the PSET system, in particular, funding shortfalls for the TVET Colleges programme funding and for NSFAS TVET College bursaries as well as the Community Education and Training sector, as contained in the findings above; and further noting the implications of the underfunding on the PSET system as a whole in meeting the Government’s MTSF commitments consequently recommend to the Minister of Finance and Higher Education and Training that consideration is given both in relation to funding and steps to be taken to ensure that commitments in the NDP/will be achieved by 2019/20. </w:t>
      </w:r>
    </w:p>
    <w:p w:rsidR="003E2516" w:rsidRDefault="003E2516" w:rsidP="003E2516">
      <w:pPr>
        <w:spacing w:before="120" w:after="120" w:line="240" w:lineRule="auto"/>
        <w:jc w:val="both"/>
        <w:rPr>
          <w:rFonts w:ascii="Times New Roman" w:hAnsi="Times New Roman" w:cs="Times New Roman"/>
          <w:sz w:val="24"/>
          <w:szCs w:val="24"/>
        </w:rPr>
      </w:pPr>
    </w:p>
    <w:p w:rsidR="00784767" w:rsidRPr="003E2516" w:rsidRDefault="00784767" w:rsidP="003E2516">
      <w:pPr>
        <w:spacing w:before="120" w:after="120" w:line="240" w:lineRule="auto"/>
        <w:jc w:val="both"/>
        <w:rPr>
          <w:rFonts w:ascii="Times New Roman" w:hAnsi="Times New Roman" w:cs="Times New Roman"/>
          <w:sz w:val="24"/>
          <w:szCs w:val="24"/>
        </w:rPr>
      </w:pPr>
      <w:r w:rsidRPr="003E2516">
        <w:rPr>
          <w:rFonts w:ascii="Times New Roman" w:hAnsi="Times New Roman" w:cs="Times New Roman"/>
          <w:sz w:val="24"/>
          <w:szCs w:val="24"/>
        </w:rPr>
        <w:t>Report to be considered</w:t>
      </w:r>
      <w:r w:rsidR="00A76D4C" w:rsidRPr="003E2516">
        <w:rPr>
          <w:rFonts w:ascii="Times New Roman" w:hAnsi="Times New Roman" w:cs="Times New Roman"/>
          <w:sz w:val="24"/>
          <w:szCs w:val="24"/>
        </w:rPr>
        <w:t>.</w:t>
      </w:r>
    </w:p>
    <w:p w:rsidR="00A91B06" w:rsidRPr="003E2516" w:rsidRDefault="00A91B06" w:rsidP="003E2516">
      <w:pPr>
        <w:autoSpaceDE w:val="0"/>
        <w:autoSpaceDN w:val="0"/>
        <w:adjustRightInd w:val="0"/>
        <w:spacing w:before="120" w:after="120" w:line="240" w:lineRule="auto"/>
        <w:jc w:val="both"/>
        <w:rPr>
          <w:rFonts w:ascii="Times New Roman" w:hAnsi="Times New Roman" w:cs="Times New Roman"/>
          <w:sz w:val="24"/>
          <w:szCs w:val="24"/>
        </w:rPr>
      </w:pPr>
    </w:p>
    <w:sectPr w:rsidR="00A91B06" w:rsidRPr="003E2516" w:rsidSect="00E567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38" w:rsidRDefault="00AE4B38" w:rsidP="00F41141">
      <w:pPr>
        <w:spacing w:after="0" w:line="240" w:lineRule="auto"/>
      </w:pPr>
      <w:r>
        <w:separator/>
      </w:r>
    </w:p>
  </w:endnote>
  <w:endnote w:type="continuationSeparator" w:id="0">
    <w:p w:rsidR="00AE4B38" w:rsidRDefault="00AE4B38" w:rsidP="00F4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0218"/>
      <w:docPartObj>
        <w:docPartGallery w:val="Page Numbers (Bottom of Page)"/>
        <w:docPartUnique/>
      </w:docPartObj>
    </w:sdtPr>
    <w:sdtEndPr>
      <w:rPr>
        <w:noProof/>
      </w:rPr>
    </w:sdtEndPr>
    <w:sdtContent>
      <w:p w:rsidR="005D4448" w:rsidRDefault="005D4448">
        <w:pPr>
          <w:pStyle w:val="Footer"/>
          <w:jc w:val="right"/>
        </w:pPr>
        <w:r>
          <w:fldChar w:fldCharType="begin"/>
        </w:r>
        <w:r>
          <w:instrText xml:space="preserve"> PAGE   \* MERGEFORMAT </w:instrText>
        </w:r>
        <w:r>
          <w:fldChar w:fldCharType="separate"/>
        </w:r>
        <w:r w:rsidR="004E4D86">
          <w:rPr>
            <w:noProof/>
          </w:rPr>
          <w:t>1</w:t>
        </w:r>
        <w:r>
          <w:rPr>
            <w:noProof/>
          </w:rPr>
          <w:fldChar w:fldCharType="end"/>
        </w:r>
      </w:p>
    </w:sdtContent>
  </w:sdt>
  <w:p w:rsidR="005D4448" w:rsidRDefault="005D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38" w:rsidRDefault="00AE4B38" w:rsidP="00F41141">
      <w:pPr>
        <w:spacing w:after="0" w:line="240" w:lineRule="auto"/>
      </w:pPr>
      <w:r>
        <w:separator/>
      </w:r>
    </w:p>
  </w:footnote>
  <w:footnote w:type="continuationSeparator" w:id="0">
    <w:p w:rsidR="00AE4B38" w:rsidRDefault="00AE4B38" w:rsidP="00F4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684"/>
    <w:multiLevelType w:val="hybridMultilevel"/>
    <w:tmpl w:val="05D07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303AE8"/>
    <w:multiLevelType w:val="hybridMultilevel"/>
    <w:tmpl w:val="47C0E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F17BB6"/>
    <w:multiLevelType w:val="hybridMultilevel"/>
    <w:tmpl w:val="DA1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7487"/>
    <w:multiLevelType w:val="hybridMultilevel"/>
    <w:tmpl w:val="7B56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42693"/>
    <w:multiLevelType w:val="hybridMultilevel"/>
    <w:tmpl w:val="9E1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372AA"/>
    <w:multiLevelType w:val="hybridMultilevel"/>
    <w:tmpl w:val="8FCC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772F"/>
    <w:multiLevelType w:val="multilevel"/>
    <w:tmpl w:val="16309C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E954F2"/>
    <w:multiLevelType w:val="hybridMultilevel"/>
    <w:tmpl w:val="252A0BC4"/>
    <w:lvl w:ilvl="0" w:tplc="AA0AE5FA">
      <w:start w:val="1"/>
      <w:numFmt w:val="bullet"/>
      <w:lvlText w:val="•"/>
      <w:lvlJc w:val="left"/>
      <w:pPr>
        <w:tabs>
          <w:tab w:val="num" w:pos="720"/>
        </w:tabs>
        <w:ind w:left="720" w:hanging="360"/>
      </w:pPr>
      <w:rPr>
        <w:rFonts w:ascii="Arial" w:hAnsi="Arial" w:hint="default"/>
      </w:rPr>
    </w:lvl>
    <w:lvl w:ilvl="1" w:tplc="40CC4ADA" w:tentative="1">
      <w:start w:val="1"/>
      <w:numFmt w:val="bullet"/>
      <w:lvlText w:val="•"/>
      <w:lvlJc w:val="left"/>
      <w:pPr>
        <w:tabs>
          <w:tab w:val="num" w:pos="1440"/>
        </w:tabs>
        <w:ind w:left="1440" w:hanging="360"/>
      </w:pPr>
      <w:rPr>
        <w:rFonts w:ascii="Arial" w:hAnsi="Arial" w:hint="default"/>
      </w:rPr>
    </w:lvl>
    <w:lvl w:ilvl="2" w:tplc="ECEA7150" w:tentative="1">
      <w:start w:val="1"/>
      <w:numFmt w:val="bullet"/>
      <w:lvlText w:val="•"/>
      <w:lvlJc w:val="left"/>
      <w:pPr>
        <w:tabs>
          <w:tab w:val="num" w:pos="2160"/>
        </w:tabs>
        <w:ind w:left="2160" w:hanging="360"/>
      </w:pPr>
      <w:rPr>
        <w:rFonts w:ascii="Arial" w:hAnsi="Arial" w:hint="default"/>
      </w:rPr>
    </w:lvl>
    <w:lvl w:ilvl="3" w:tplc="83CCCE94" w:tentative="1">
      <w:start w:val="1"/>
      <w:numFmt w:val="bullet"/>
      <w:lvlText w:val="•"/>
      <w:lvlJc w:val="left"/>
      <w:pPr>
        <w:tabs>
          <w:tab w:val="num" w:pos="2880"/>
        </w:tabs>
        <w:ind w:left="2880" w:hanging="360"/>
      </w:pPr>
      <w:rPr>
        <w:rFonts w:ascii="Arial" w:hAnsi="Arial" w:hint="default"/>
      </w:rPr>
    </w:lvl>
    <w:lvl w:ilvl="4" w:tplc="80248242" w:tentative="1">
      <w:start w:val="1"/>
      <w:numFmt w:val="bullet"/>
      <w:lvlText w:val="•"/>
      <w:lvlJc w:val="left"/>
      <w:pPr>
        <w:tabs>
          <w:tab w:val="num" w:pos="3600"/>
        </w:tabs>
        <w:ind w:left="3600" w:hanging="360"/>
      </w:pPr>
      <w:rPr>
        <w:rFonts w:ascii="Arial" w:hAnsi="Arial" w:hint="default"/>
      </w:rPr>
    </w:lvl>
    <w:lvl w:ilvl="5" w:tplc="C48CD252" w:tentative="1">
      <w:start w:val="1"/>
      <w:numFmt w:val="bullet"/>
      <w:lvlText w:val="•"/>
      <w:lvlJc w:val="left"/>
      <w:pPr>
        <w:tabs>
          <w:tab w:val="num" w:pos="4320"/>
        </w:tabs>
        <w:ind w:left="4320" w:hanging="360"/>
      </w:pPr>
      <w:rPr>
        <w:rFonts w:ascii="Arial" w:hAnsi="Arial" w:hint="default"/>
      </w:rPr>
    </w:lvl>
    <w:lvl w:ilvl="6" w:tplc="14A08D18" w:tentative="1">
      <w:start w:val="1"/>
      <w:numFmt w:val="bullet"/>
      <w:lvlText w:val="•"/>
      <w:lvlJc w:val="left"/>
      <w:pPr>
        <w:tabs>
          <w:tab w:val="num" w:pos="5040"/>
        </w:tabs>
        <w:ind w:left="5040" w:hanging="360"/>
      </w:pPr>
      <w:rPr>
        <w:rFonts w:ascii="Arial" w:hAnsi="Arial" w:hint="default"/>
      </w:rPr>
    </w:lvl>
    <w:lvl w:ilvl="7" w:tplc="6282B33E" w:tentative="1">
      <w:start w:val="1"/>
      <w:numFmt w:val="bullet"/>
      <w:lvlText w:val="•"/>
      <w:lvlJc w:val="left"/>
      <w:pPr>
        <w:tabs>
          <w:tab w:val="num" w:pos="5760"/>
        </w:tabs>
        <w:ind w:left="5760" w:hanging="360"/>
      </w:pPr>
      <w:rPr>
        <w:rFonts w:ascii="Arial" w:hAnsi="Arial" w:hint="default"/>
      </w:rPr>
    </w:lvl>
    <w:lvl w:ilvl="8" w:tplc="07DCEA12" w:tentative="1">
      <w:start w:val="1"/>
      <w:numFmt w:val="bullet"/>
      <w:lvlText w:val="•"/>
      <w:lvlJc w:val="left"/>
      <w:pPr>
        <w:tabs>
          <w:tab w:val="num" w:pos="6480"/>
        </w:tabs>
        <w:ind w:left="6480" w:hanging="360"/>
      </w:pPr>
      <w:rPr>
        <w:rFonts w:ascii="Arial" w:hAnsi="Arial" w:hint="default"/>
      </w:rPr>
    </w:lvl>
  </w:abstractNum>
  <w:abstractNum w:abstractNumId="8">
    <w:nsid w:val="23692532"/>
    <w:multiLevelType w:val="hybridMultilevel"/>
    <w:tmpl w:val="6F5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165A5"/>
    <w:multiLevelType w:val="hybridMultilevel"/>
    <w:tmpl w:val="86B68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062295"/>
    <w:multiLevelType w:val="hybridMultilevel"/>
    <w:tmpl w:val="D214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D0599"/>
    <w:multiLevelType w:val="multilevel"/>
    <w:tmpl w:val="BC465DD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EAA5EC7"/>
    <w:multiLevelType w:val="hybridMultilevel"/>
    <w:tmpl w:val="4A8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113D5"/>
    <w:multiLevelType w:val="hybridMultilevel"/>
    <w:tmpl w:val="07D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478BA"/>
    <w:multiLevelType w:val="hybridMultilevel"/>
    <w:tmpl w:val="F8D4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46D83"/>
    <w:multiLevelType w:val="hybridMultilevel"/>
    <w:tmpl w:val="643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E47EF"/>
    <w:multiLevelType w:val="hybridMultilevel"/>
    <w:tmpl w:val="0DD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97796"/>
    <w:multiLevelType w:val="hybridMultilevel"/>
    <w:tmpl w:val="F28A6174"/>
    <w:lvl w:ilvl="0" w:tplc="C0F03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3477D"/>
    <w:multiLevelType w:val="hybridMultilevel"/>
    <w:tmpl w:val="AF5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9768B"/>
    <w:multiLevelType w:val="hybridMultilevel"/>
    <w:tmpl w:val="205E0D40"/>
    <w:lvl w:ilvl="0" w:tplc="93A813BA">
      <w:start w:val="1"/>
      <w:numFmt w:val="lowerLetter"/>
      <w:lvlText w:val="(%1)"/>
      <w:lvlJc w:val="left"/>
      <w:pPr>
        <w:ind w:left="720" w:hanging="360"/>
      </w:pPr>
      <w:rPr>
        <w:rFonts w:ascii="Arial" w:eastAsia="Calibri" w:hAnsi="Arial" w:cs="Arial" w:hint="default"/>
      </w:rPr>
    </w:lvl>
    <w:lvl w:ilvl="1" w:tplc="31DE9006">
      <w:start w:val="1"/>
      <w:numFmt w:val="lowerRoman"/>
      <w:lvlText w:val="(%2)"/>
      <w:lvlJc w:val="right"/>
      <w:pPr>
        <w:ind w:left="1440" w:hanging="360"/>
      </w:pPr>
      <w:rPr>
        <w:rFonts w:ascii="Calibri" w:eastAsia="Calibri" w:hAnsi="Calibri" w:cs="Times New Roman"/>
      </w:rPr>
    </w:lvl>
    <w:lvl w:ilvl="2" w:tplc="E092EC56">
      <w:start w:val="1"/>
      <w:numFmt w:val="lowerRoman"/>
      <w:lvlText w:val="(%3)"/>
      <w:lvlJc w:val="right"/>
      <w:pPr>
        <w:ind w:left="2160" w:hanging="180"/>
      </w:pPr>
      <w:rPr>
        <w:rFonts w:ascii="Arial" w:eastAsia="Calibri"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B86A4C"/>
    <w:multiLevelType w:val="hybridMultilevel"/>
    <w:tmpl w:val="623ABD20"/>
    <w:lvl w:ilvl="0" w:tplc="E5A8FD8A">
      <w:start w:val="1"/>
      <w:numFmt w:val="bullet"/>
      <w:lvlText w:val="•"/>
      <w:lvlJc w:val="left"/>
      <w:pPr>
        <w:tabs>
          <w:tab w:val="num" w:pos="720"/>
        </w:tabs>
        <w:ind w:left="720" w:hanging="360"/>
      </w:pPr>
      <w:rPr>
        <w:rFonts w:ascii="Arial" w:hAnsi="Arial" w:hint="default"/>
      </w:rPr>
    </w:lvl>
    <w:lvl w:ilvl="1" w:tplc="44D4F5A2" w:tentative="1">
      <w:start w:val="1"/>
      <w:numFmt w:val="bullet"/>
      <w:lvlText w:val="•"/>
      <w:lvlJc w:val="left"/>
      <w:pPr>
        <w:tabs>
          <w:tab w:val="num" w:pos="1440"/>
        </w:tabs>
        <w:ind w:left="1440" w:hanging="360"/>
      </w:pPr>
      <w:rPr>
        <w:rFonts w:ascii="Arial" w:hAnsi="Arial" w:hint="default"/>
      </w:rPr>
    </w:lvl>
    <w:lvl w:ilvl="2" w:tplc="F04AFFEE" w:tentative="1">
      <w:start w:val="1"/>
      <w:numFmt w:val="bullet"/>
      <w:lvlText w:val="•"/>
      <w:lvlJc w:val="left"/>
      <w:pPr>
        <w:tabs>
          <w:tab w:val="num" w:pos="2160"/>
        </w:tabs>
        <w:ind w:left="2160" w:hanging="360"/>
      </w:pPr>
      <w:rPr>
        <w:rFonts w:ascii="Arial" w:hAnsi="Arial" w:hint="default"/>
      </w:rPr>
    </w:lvl>
    <w:lvl w:ilvl="3" w:tplc="1194DE6A" w:tentative="1">
      <w:start w:val="1"/>
      <w:numFmt w:val="bullet"/>
      <w:lvlText w:val="•"/>
      <w:lvlJc w:val="left"/>
      <w:pPr>
        <w:tabs>
          <w:tab w:val="num" w:pos="2880"/>
        </w:tabs>
        <w:ind w:left="2880" w:hanging="360"/>
      </w:pPr>
      <w:rPr>
        <w:rFonts w:ascii="Arial" w:hAnsi="Arial" w:hint="default"/>
      </w:rPr>
    </w:lvl>
    <w:lvl w:ilvl="4" w:tplc="1CA656F4" w:tentative="1">
      <w:start w:val="1"/>
      <w:numFmt w:val="bullet"/>
      <w:lvlText w:val="•"/>
      <w:lvlJc w:val="left"/>
      <w:pPr>
        <w:tabs>
          <w:tab w:val="num" w:pos="3600"/>
        </w:tabs>
        <w:ind w:left="3600" w:hanging="360"/>
      </w:pPr>
      <w:rPr>
        <w:rFonts w:ascii="Arial" w:hAnsi="Arial" w:hint="default"/>
      </w:rPr>
    </w:lvl>
    <w:lvl w:ilvl="5" w:tplc="4F32B95E" w:tentative="1">
      <w:start w:val="1"/>
      <w:numFmt w:val="bullet"/>
      <w:lvlText w:val="•"/>
      <w:lvlJc w:val="left"/>
      <w:pPr>
        <w:tabs>
          <w:tab w:val="num" w:pos="4320"/>
        </w:tabs>
        <w:ind w:left="4320" w:hanging="360"/>
      </w:pPr>
      <w:rPr>
        <w:rFonts w:ascii="Arial" w:hAnsi="Arial" w:hint="default"/>
      </w:rPr>
    </w:lvl>
    <w:lvl w:ilvl="6" w:tplc="D9E4A01A" w:tentative="1">
      <w:start w:val="1"/>
      <w:numFmt w:val="bullet"/>
      <w:lvlText w:val="•"/>
      <w:lvlJc w:val="left"/>
      <w:pPr>
        <w:tabs>
          <w:tab w:val="num" w:pos="5040"/>
        </w:tabs>
        <w:ind w:left="5040" w:hanging="360"/>
      </w:pPr>
      <w:rPr>
        <w:rFonts w:ascii="Arial" w:hAnsi="Arial" w:hint="default"/>
      </w:rPr>
    </w:lvl>
    <w:lvl w:ilvl="7" w:tplc="84EE0930" w:tentative="1">
      <w:start w:val="1"/>
      <w:numFmt w:val="bullet"/>
      <w:lvlText w:val="•"/>
      <w:lvlJc w:val="left"/>
      <w:pPr>
        <w:tabs>
          <w:tab w:val="num" w:pos="5760"/>
        </w:tabs>
        <w:ind w:left="5760" w:hanging="360"/>
      </w:pPr>
      <w:rPr>
        <w:rFonts w:ascii="Arial" w:hAnsi="Arial" w:hint="default"/>
      </w:rPr>
    </w:lvl>
    <w:lvl w:ilvl="8" w:tplc="DEC838BA" w:tentative="1">
      <w:start w:val="1"/>
      <w:numFmt w:val="bullet"/>
      <w:lvlText w:val="•"/>
      <w:lvlJc w:val="left"/>
      <w:pPr>
        <w:tabs>
          <w:tab w:val="num" w:pos="6480"/>
        </w:tabs>
        <w:ind w:left="6480" w:hanging="360"/>
      </w:pPr>
      <w:rPr>
        <w:rFonts w:ascii="Arial" w:hAnsi="Arial" w:hint="default"/>
      </w:rPr>
    </w:lvl>
  </w:abstractNum>
  <w:abstractNum w:abstractNumId="21">
    <w:nsid w:val="453118E7"/>
    <w:multiLevelType w:val="hybridMultilevel"/>
    <w:tmpl w:val="76D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3083"/>
    <w:multiLevelType w:val="hybridMultilevel"/>
    <w:tmpl w:val="8214B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CC2E3D"/>
    <w:multiLevelType w:val="multilevel"/>
    <w:tmpl w:val="1DACCB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8523653"/>
    <w:multiLevelType w:val="hybridMultilevel"/>
    <w:tmpl w:val="795094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8D964DA"/>
    <w:multiLevelType w:val="hybridMultilevel"/>
    <w:tmpl w:val="7E283236"/>
    <w:lvl w:ilvl="0" w:tplc="90DCBCAA">
      <w:start w:val="1"/>
      <w:numFmt w:val="bullet"/>
      <w:lvlText w:val="•"/>
      <w:lvlJc w:val="left"/>
      <w:pPr>
        <w:tabs>
          <w:tab w:val="num" w:pos="720"/>
        </w:tabs>
        <w:ind w:left="720" w:hanging="360"/>
      </w:pPr>
      <w:rPr>
        <w:rFonts w:ascii="Arial" w:hAnsi="Arial" w:hint="default"/>
      </w:rPr>
    </w:lvl>
    <w:lvl w:ilvl="1" w:tplc="4E628692" w:tentative="1">
      <w:start w:val="1"/>
      <w:numFmt w:val="bullet"/>
      <w:lvlText w:val="•"/>
      <w:lvlJc w:val="left"/>
      <w:pPr>
        <w:tabs>
          <w:tab w:val="num" w:pos="1440"/>
        </w:tabs>
        <w:ind w:left="1440" w:hanging="360"/>
      </w:pPr>
      <w:rPr>
        <w:rFonts w:ascii="Arial" w:hAnsi="Arial" w:hint="default"/>
      </w:rPr>
    </w:lvl>
    <w:lvl w:ilvl="2" w:tplc="1AB02C80" w:tentative="1">
      <w:start w:val="1"/>
      <w:numFmt w:val="bullet"/>
      <w:lvlText w:val="•"/>
      <w:lvlJc w:val="left"/>
      <w:pPr>
        <w:tabs>
          <w:tab w:val="num" w:pos="2160"/>
        </w:tabs>
        <w:ind w:left="2160" w:hanging="360"/>
      </w:pPr>
      <w:rPr>
        <w:rFonts w:ascii="Arial" w:hAnsi="Arial" w:hint="default"/>
      </w:rPr>
    </w:lvl>
    <w:lvl w:ilvl="3" w:tplc="9B963E2E" w:tentative="1">
      <w:start w:val="1"/>
      <w:numFmt w:val="bullet"/>
      <w:lvlText w:val="•"/>
      <w:lvlJc w:val="left"/>
      <w:pPr>
        <w:tabs>
          <w:tab w:val="num" w:pos="2880"/>
        </w:tabs>
        <w:ind w:left="2880" w:hanging="360"/>
      </w:pPr>
      <w:rPr>
        <w:rFonts w:ascii="Arial" w:hAnsi="Arial" w:hint="default"/>
      </w:rPr>
    </w:lvl>
    <w:lvl w:ilvl="4" w:tplc="B8FE9AAE" w:tentative="1">
      <w:start w:val="1"/>
      <w:numFmt w:val="bullet"/>
      <w:lvlText w:val="•"/>
      <w:lvlJc w:val="left"/>
      <w:pPr>
        <w:tabs>
          <w:tab w:val="num" w:pos="3600"/>
        </w:tabs>
        <w:ind w:left="3600" w:hanging="360"/>
      </w:pPr>
      <w:rPr>
        <w:rFonts w:ascii="Arial" w:hAnsi="Arial" w:hint="default"/>
      </w:rPr>
    </w:lvl>
    <w:lvl w:ilvl="5" w:tplc="86F4B5EE" w:tentative="1">
      <w:start w:val="1"/>
      <w:numFmt w:val="bullet"/>
      <w:lvlText w:val="•"/>
      <w:lvlJc w:val="left"/>
      <w:pPr>
        <w:tabs>
          <w:tab w:val="num" w:pos="4320"/>
        </w:tabs>
        <w:ind w:left="4320" w:hanging="360"/>
      </w:pPr>
      <w:rPr>
        <w:rFonts w:ascii="Arial" w:hAnsi="Arial" w:hint="default"/>
      </w:rPr>
    </w:lvl>
    <w:lvl w:ilvl="6" w:tplc="E9446F24" w:tentative="1">
      <w:start w:val="1"/>
      <w:numFmt w:val="bullet"/>
      <w:lvlText w:val="•"/>
      <w:lvlJc w:val="left"/>
      <w:pPr>
        <w:tabs>
          <w:tab w:val="num" w:pos="5040"/>
        </w:tabs>
        <w:ind w:left="5040" w:hanging="360"/>
      </w:pPr>
      <w:rPr>
        <w:rFonts w:ascii="Arial" w:hAnsi="Arial" w:hint="default"/>
      </w:rPr>
    </w:lvl>
    <w:lvl w:ilvl="7" w:tplc="2CF2BCA4" w:tentative="1">
      <w:start w:val="1"/>
      <w:numFmt w:val="bullet"/>
      <w:lvlText w:val="•"/>
      <w:lvlJc w:val="left"/>
      <w:pPr>
        <w:tabs>
          <w:tab w:val="num" w:pos="5760"/>
        </w:tabs>
        <w:ind w:left="5760" w:hanging="360"/>
      </w:pPr>
      <w:rPr>
        <w:rFonts w:ascii="Arial" w:hAnsi="Arial" w:hint="default"/>
      </w:rPr>
    </w:lvl>
    <w:lvl w:ilvl="8" w:tplc="928C6F38" w:tentative="1">
      <w:start w:val="1"/>
      <w:numFmt w:val="bullet"/>
      <w:lvlText w:val="•"/>
      <w:lvlJc w:val="left"/>
      <w:pPr>
        <w:tabs>
          <w:tab w:val="num" w:pos="6480"/>
        </w:tabs>
        <w:ind w:left="6480" w:hanging="360"/>
      </w:pPr>
      <w:rPr>
        <w:rFonts w:ascii="Arial" w:hAnsi="Arial" w:hint="default"/>
      </w:rPr>
    </w:lvl>
  </w:abstractNum>
  <w:abstractNum w:abstractNumId="26">
    <w:nsid w:val="4928385D"/>
    <w:multiLevelType w:val="hybridMultilevel"/>
    <w:tmpl w:val="60B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677CB"/>
    <w:multiLevelType w:val="hybridMultilevel"/>
    <w:tmpl w:val="EEACF70E"/>
    <w:lvl w:ilvl="0" w:tplc="7E7E05C8">
      <w:start w:val="1"/>
      <w:numFmt w:val="bullet"/>
      <w:lvlText w:val="•"/>
      <w:lvlJc w:val="left"/>
      <w:pPr>
        <w:tabs>
          <w:tab w:val="num" w:pos="720"/>
        </w:tabs>
        <w:ind w:left="720" w:hanging="360"/>
      </w:pPr>
      <w:rPr>
        <w:rFonts w:ascii="Arial" w:hAnsi="Arial" w:hint="default"/>
      </w:rPr>
    </w:lvl>
    <w:lvl w:ilvl="1" w:tplc="3EE89806" w:tentative="1">
      <w:start w:val="1"/>
      <w:numFmt w:val="bullet"/>
      <w:lvlText w:val="•"/>
      <w:lvlJc w:val="left"/>
      <w:pPr>
        <w:tabs>
          <w:tab w:val="num" w:pos="1440"/>
        </w:tabs>
        <w:ind w:left="1440" w:hanging="360"/>
      </w:pPr>
      <w:rPr>
        <w:rFonts w:ascii="Arial" w:hAnsi="Arial" w:hint="default"/>
      </w:rPr>
    </w:lvl>
    <w:lvl w:ilvl="2" w:tplc="9FE827FC" w:tentative="1">
      <w:start w:val="1"/>
      <w:numFmt w:val="bullet"/>
      <w:lvlText w:val="•"/>
      <w:lvlJc w:val="left"/>
      <w:pPr>
        <w:tabs>
          <w:tab w:val="num" w:pos="2160"/>
        </w:tabs>
        <w:ind w:left="2160" w:hanging="360"/>
      </w:pPr>
      <w:rPr>
        <w:rFonts w:ascii="Arial" w:hAnsi="Arial" w:hint="default"/>
      </w:rPr>
    </w:lvl>
    <w:lvl w:ilvl="3" w:tplc="77821F8E" w:tentative="1">
      <w:start w:val="1"/>
      <w:numFmt w:val="bullet"/>
      <w:lvlText w:val="•"/>
      <w:lvlJc w:val="left"/>
      <w:pPr>
        <w:tabs>
          <w:tab w:val="num" w:pos="2880"/>
        </w:tabs>
        <w:ind w:left="2880" w:hanging="360"/>
      </w:pPr>
      <w:rPr>
        <w:rFonts w:ascii="Arial" w:hAnsi="Arial" w:hint="default"/>
      </w:rPr>
    </w:lvl>
    <w:lvl w:ilvl="4" w:tplc="FE5E186C" w:tentative="1">
      <w:start w:val="1"/>
      <w:numFmt w:val="bullet"/>
      <w:lvlText w:val="•"/>
      <w:lvlJc w:val="left"/>
      <w:pPr>
        <w:tabs>
          <w:tab w:val="num" w:pos="3600"/>
        </w:tabs>
        <w:ind w:left="3600" w:hanging="360"/>
      </w:pPr>
      <w:rPr>
        <w:rFonts w:ascii="Arial" w:hAnsi="Arial" w:hint="default"/>
      </w:rPr>
    </w:lvl>
    <w:lvl w:ilvl="5" w:tplc="5F6E5C08" w:tentative="1">
      <w:start w:val="1"/>
      <w:numFmt w:val="bullet"/>
      <w:lvlText w:val="•"/>
      <w:lvlJc w:val="left"/>
      <w:pPr>
        <w:tabs>
          <w:tab w:val="num" w:pos="4320"/>
        </w:tabs>
        <w:ind w:left="4320" w:hanging="360"/>
      </w:pPr>
      <w:rPr>
        <w:rFonts w:ascii="Arial" w:hAnsi="Arial" w:hint="default"/>
      </w:rPr>
    </w:lvl>
    <w:lvl w:ilvl="6" w:tplc="39F28B44" w:tentative="1">
      <w:start w:val="1"/>
      <w:numFmt w:val="bullet"/>
      <w:lvlText w:val="•"/>
      <w:lvlJc w:val="left"/>
      <w:pPr>
        <w:tabs>
          <w:tab w:val="num" w:pos="5040"/>
        </w:tabs>
        <w:ind w:left="5040" w:hanging="360"/>
      </w:pPr>
      <w:rPr>
        <w:rFonts w:ascii="Arial" w:hAnsi="Arial" w:hint="default"/>
      </w:rPr>
    </w:lvl>
    <w:lvl w:ilvl="7" w:tplc="2D02F566" w:tentative="1">
      <w:start w:val="1"/>
      <w:numFmt w:val="bullet"/>
      <w:lvlText w:val="•"/>
      <w:lvlJc w:val="left"/>
      <w:pPr>
        <w:tabs>
          <w:tab w:val="num" w:pos="5760"/>
        </w:tabs>
        <w:ind w:left="5760" w:hanging="360"/>
      </w:pPr>
      <w:rPr>
        <w:rFonts w:ascii="Arial" w:hAnsi="Arial" w:hint="default"/>
      </w:rPr>
    </w:lvl>
    <w:lvl w:ilvl="8" w:tplc="E520BB90" w:tentative="1">
      <w:start w:val="1"/>
      <w:numFmt w:val="bullet"/>
      <w:lvlText w:val="•"/>
      <w:lvlJc w:val="left"/>
      <w:pPr>
        <w:tabs>
          <w:tab w:val="num" w:pos="6480"/>
        </w:tabs>
        <w:ind w:left="6480" w:hanging="360"/>
      </w:pPr>
      <w:rPr>
        <w:rFonts w:ascii="Arial" w:hAnsi="Arial" w:hint="default"/>
      </w:rPr>
    </w:lvl>
  </w:abstractNum>
  <w:abstractNum w:abstractNumId="28">
    <w:nsid w:val="4E9165CC"/>
    <w:multiLevelType w:val="hybridMultilevel"/>
    <w:tmpl w:val="40625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5F27A0"/>
    <w:multiLevelType w:val="hybridMultilevel"/>
    <w:tmpl w:val="730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B7B07"/>
    <w:multiLevelType w:val="hybridMultilevel"/>
    <w:tmpl w:val="3B047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664CB5"/>
    <w:multiLevelType w:val="hybridMultilevel"/>
    <w:tmpl w:val="70A264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806602"/>
    <w:multiLevelType w:val="hybridMultilevel"/>
    <w:tmpl w:val="BCC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F53CB"/>
    <w:multiLevelType w:val="hybridMultilevel"/>
    <w:tmpl w:val="CD4C8040"/>
    <w:lvl w:ilvl="0" w:tplc="B7D0529E">
      <w:start w:val="1"/>
      <w:numFmt w:val="bullet"/>
      <w:lvlText w:val="•"/>
      <w:lvlJc w:val="left"/>
      <w:pPr>
        <w:tabs>
          <w:tab w:val="num" w:pos="720"/>
        </w:tabs>
        <w:ind w:left="720" w:hanging="360"/>
      </w:pPr>
      <w:rPr>
        <w:rFonts w:ascii="Arial" w:hAnsi="Arial" w:hint="default"/>
      </w:rPr>
    </w:lvl>
    <w:lvl w:ilvl="1" w:tplc="F6163886" w:tentative="1">
      <w:start w:val="1"/>
      <w:numFmt w:val="bullet"/>
      <w:lvlText w:val="•"/>
      <w:lvlJc w:val="left"/>
      <w:pPr>
        <w:tabs>
          <w:tab w:val="num" w:pos="1440"/>
        </w:tabs>
        <w:ind w:left="1440" w:hanging="360"/>
      </w:pPr>
      <w:rPr>
        <w:rFonts w:ascii="Arial" w:hAnsi="Arial" w:hint="default"/>
      </w:rPr>
    </w:lvl>
    <w:lvl w:ilvl="2" w:tplc="B7F4BC2A" w:tentative="1">
      <w:start w:val="1"/>
      <w:numFmt w:val="bullet"/>
      <w:lvlText w:val="•"/>
      <w:lvlJc w:val="left"/>
      <w:pPr>
        <w:tabs>
          <w:tab w:val="num" w:pos="2160"/>
        </w:tabs>
        <w:ind w:left="2160" w:hanging="360"/>
      </w:pPr>
      <w:rPr>
        <w:rFonts w:ascii="Arial" w:hAnsi="Arial" w:hint="default"/>
      </w:rPr>
    </w:lvl>
    <w:lvl w:ilvl="3" w:tplc="134A72BE" w:tentative="1">
      <w:start w:val="1"/>
      <w:numFmt w:val="bullet"/>
      <w:lvlText w:val="•"/>
      <w:lvlJc w:val="left"/>
      <w:pPr>
        <w:tabs>
          <w:tab w:val="num" w:pos="2880"/>
        </w:tabs>
        <w:ind w:left="2880" w:hanging="360"/>
      </w:pPr>
      <w:rPr>
        <w:rFonts w:ascii="Arial" w:hAnsi="Arial" w:hint="default"/>
      </w:rPr>
    </w:lvl>
    <w:lvl w:ilvl="4" w:tplc="6AFA66A0" w:tentative="1">
      <w:start w:val="1"/>
      <w:numFmt w:val="bullet"/>
      <w:lvlText w:val="•"/>
      <w:lvlJc w:val="left"/>
      <w:pPr>
        <w:tabs>
          <w:tab w:val="num" w:pos="3600"/>
        </w:tabs>
        <w:ind w:left="3600" w:hanging="360"/>
      </w:pPr>
      <w:rPr>
        <w:rFonts w:ascii="Arial" w:hAnsi="Arial" w:hint="default"/>
      </w:rPr>
    </w:lvl>
    <w:lvl w:ilvl="5" w:tplc="932200BA" w:tentative="1">
      <w:start w:val="1"/>
      <w:numFmt w:val="bullet"/>
      <w:lvlText w:val="•"/>
      <w:lvlJc w:val="left"/>
      <w:pPr>
        <w:tabs>
          <w:tab w:val="num" w:pos="4320"/>
        </w:tabs>
        <w:ind w:left="4320" w:hanging="360"/>
      </w:pPr>
      <w:rPr>
        <w:rFonts w:ascii="Arial" w:hAnsi="Arial" w:hint="default"/>
      </w:rPr>
    </w:lvl>
    <w:lvl w:ilvl="6" w:tplc="400C9484" w:tentative="1">
      <w:start w:val="1"/>
      <w:numFmt w:val="bullet"/>
      <w:lvlText w:val="•"/>
      <w:lvlJc w:val="left"/>
      <w:pPr>
        <w:tabs>
          <w:tab w:val="num" w:pos="5040"/>
        </w:tabs>
        <w:ind w:left="5040" w:hanging="360"/>
      </w:pPr>
      <w:rPr>
        <w:rFonts w:ascii="Arial" w:hAnsi="Arial" w:hint="default"/>
      </w:rPr>
    </w:lvl>
    <w:lvl w:ilvl="7" w:tplc="32B2638E" w:tentative="1">
      <w:start w:val="1"/>
      <w:numFmt w:val="bullet"/>
      <w:lvlText w:val="•"/>
      <w:lvlJc w:val="left"/>
      <w:pPr>
        <w:tabs>
          <w:tab w:val="num" w:pos="5760"/>
        </w:tabs>
        <w:ind w:left="5760" w:hanging="360"/>
      </w:pPr>
      <w:rPr>
        <w:rFonts w:ascii="Arial" w:hAnsi="Arial" w:hint="default"/>
      </w:rPr>
    </w:lvl>
    <w:lvl w:ilvl="8" w:tplc="9BCED8FE" w:tentative="1">
      <w:start w:val="1"/>
      <w:numFmt w:val="bullet"/>
      <w:lvlText w:val="•"/>
      <w:lvlJc w:val="left"/>
      <w:pPr>
        <w:tabs>
          <w:tab w:val="num" w:pos="6480"/>
        </w:tabs>
        <w:ind w:left="6480" w:hanging="360"/>
      </w:pPr>
      <w:rPr>
        <w:rFonts w:ascii="Arial" w:hAnsi="Arial" w:hint="default"/>
      </w:rPr>
    </w:lvl>
  </w:abstractNum>
  <w:abstractNum w:abstractNumId="34">
    <w:nsid w:val="622C7AC2"/>
    <w:multiLevelType w:val="hybridMultilevel"/>
    <w:tmpl w:val="7984594C"/>
    <w:lvl w:ilvl="0" w:tplc="4BA2DC4E">
      <w:start w:val="1"/>
      <w:numFmt w:val="bullet"/>
      <w:lvlText w:val="•"/>
      <w:lvlJc w:val="left"/>
      <w:pPr>
        <w:tabs>
          <w:tab w:val="num" w:pos="720"/>
        </w:tabs>
        <w:ind w:left="720" w:hanging="360"/>
      </w:pPr>
      <w:rPr>
        <w:rFonts w:ascii="Arial" w:hAnsi="Arial" w:hint="default"/>
      </w:rPr>
    </w:lvl>
    <w:lvl w:ilvl="1" w:tplc="472E03BC" w:tentative="1">
      <w:start w:val="1"/>
      <w:numFmt w:val="bullet"/>
      <w:lvlText w:val="•"/>
      <w:lvlJc w:val="left"/>
      <w:pPr>
        <w:tabs>
          <w:tab w:val="num" w:pos="1440"/>
        </w:tabs>
        <w:ind w:left="1440" w:hanging="360"/>
      </w:pPr>
      <w:rPr>
        <w:rFonts w:ascii="Arial" w:hAnsi="Arial" w:hint="default"/>
      </w:rPr>
    </w:lvl>
    <w:lvl w:ilvl="2" w:tplc="B4360FE8" w:tentative="1">
      <w:start w:val="1"/>
      <w:numFmt w:val="bullet"/>
      <w:lvlText w:val="•"/>
      <w:lvlJc w:val="left"/>
      <w:pPr>
        <w:tabs>
          <w:tab w:val="num" w:pos="2160"/>
        </w:tabs>
        <w:ind w:left="2160" w:hanging="360"/>
      </w:pPr>
      <w:rPr>
        <w:rFonts w:ascii="Arial" w:hAnsi="Arial" w:hint="default"/>
      </w:rPr>
    </w:lvl>
    <w:lvl w:ilvl="3" w:tplc="866A0338" w:tentative="1">
      <w:start w:val="1"/>
      <w:numFmt w:val="bullet"/>
      <w:lvlText w:val="•"/>
      <w:lvlJc w:val="left"/>
      <w:pPr>
        <w:tabs>
          <w:tab w:val="num" w:pos="2880"/>
        </w:tabs>
        <w:ind w:left="2880" w:hanging="360"/>
      </w:pPr>
      <w:rPr>
        <w:rFonts w:ascii="Arial" w:hAnsi="Arial" w:hint="default"/>
      </w:rPr>
    </w:lvl>
    <w:lvl w:ilvl="4" w:tplc="E41A5550" w:tentative="1">
      <w:start w:val="1"/>
      <w:numFmt w:val="bullet"/>
      <w:lvlText w:val="•"/>
      <w:lvlJc w:val="left"/>
      <w:pPr>
        <w:tabs>
          <w:tab w:val="num" w:pos="3600"/>
        </w:tabs>
        <w:ind w:left="3600" w:hanging="360"/>
      </w:pPr>
      <w:rPr>
        <w:rFonts w:ascii="Arial" w:hAnsi="Arial" w:hint="default"/>
      </w:rPr>
    </w:lvl>
    <w:lvl w:ilvl="5" w:tplc="71C037DA" w:tentative="1">
      <w:start w:val="1"/>
      <w:numFmt w:val="bullet"/>
      <w:lvlText w:val="•"/>
      <w:lvlJc w:val="left"/>
      <w:pPr>
        <w:tabs>
          <w:tab w:val="num" w:pos="4320"/>
        </w:tabs>
        <w:ind w:left="4320" w:hanging="360"/>
      </w:pPr>
      <w:rPr>
        <w:rFonts w:ascii="Arial" w:hAnsi="Arial" w:hint="default"/>
      </w:rPr>
    </w:lvl>
    <w:lvl w:ilvl="6" w:tplc="0AEA0410" w:tentative="1">
      <w:start w:val="1"/>
      <w:numFmt w:val="bullet"/>
      <w:lvlText w:val="•"/>
      <w:lvlJc w:val="left"/>
      <w:pPr>
        <w:tabs>
          <w:tab w:val="num" w:pos="5040"/>
        </w:tabs>
        <w:ind w:left="5040" w:hanging="360"/>
      </w:pPr>
      <w:rPr>
        <w:rFonts w:ascii="Arial" w:hAnsi="Arial" w:hint="default"/>
      </w:rPr>
    </w:lvl>
    <w:lvl w:ilvl="7" w:tplc="35B0336C" w:tentative="1">
      <w:start w:val="1"/>
      <w:numFmt w:val="bullet"/>
      <w:lvlText w:val="•"/>
      <w:lvlJc w:val="left"/>
      <w:pPr>
        <w:tabs>
          <w:tab w:val="num" w:pos="5760"/>
        </w:tabs>
        <w:ind w:left="5760" w:hanging="360"/>
      </w:pPr>
      <w:rPr>
        <w:rFonts w:ascii="Arial" w:hAnsi="Arial" w:hint="default"/>
      </w:rPr>
    </w:lvl>
    <w:lvl w:ilvl="8" w:tplc="1A28D8AC" w:tentative="1">
      <w:start w:val="1"/>
      <w:numFmt w:val="bullet"/>
      <w:lvlText w:val="•"/>
      <w:lvlJc w:val="left"/>
      <w:pPr>
        <w:tabs>
          <w:tab w:val="num" w:pos="6480"/>
        </w:tabs>
        <w:ind w:left="6480" w:hanging="360"/>
      </w:pPr>
      <w:rPr>
        <w:rFonts w:ascii="Arial" w:hAnsi="Arial" w:hint="default"/>
      </w:rPr>
    </w:lvl>
  </w:abstractNum>
  <w:abstractNum w:abstractNumId="35">
    <w:nsid w:val="63CE33F5"/>
    <w:multiLevelType w:val="hybridMultilevel"/>
    <w:tmpl w:val="6F022FFE"/>
    <w:lvl w:ilvl="0" w:tplc="6DAE0F9A">
      <w:start w:val="3"/>
      <w:numFmt w:val="lowerLetter"/>
      <w:lvlText w:val="(%1)"/>
      <w:lvlJc w:val="left"/>
      <w:pPr>
        <w:ind w:left="565" w:hanging="360"/>
      </w:pPr>
      <w:rPr>
        <w:rFonts w:ascii="Arial" w:hAnsi="Arial" w:cs="Arial"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6">
    <w:nsid w:val="66F8079F"/>
    <w:multiLevelType w:val="hybridMultilevel"/>
    <w:tmpl w:val="7D0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05AB5"/>
    <w:multiLevelType w:val="hybridMultilevel"/>
    <w:tmpl w:val="139CA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B317813"/>
    <w:multiLevelType w:val="hybridMultilevel"/>
    <w:tmpl w:val="8D16FD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BF450F5"/>
    <w:multiLevelType w:val="hybridMultilevel"/>
    <w:tmpl w:val="21A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E0185"/>
    <w:multiLevelType w:val="hybridMultilevel"/>
    <w:tmpl w:val="AF00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104EC"/>
    <w:multiLevelType w:val="hybridMultilevel"/>
    <w:tmpl w:val="4B1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63E81"/>
    <w:multiLevelType w:val="hybridMultilevel"/>
    <w:tmpl w:val="257A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47C1C"/>
    <w:multiLevelType w:val="hybridMultilevel"/>
    <w:tmpl w:val="016E4512"/>
    <w:lvl w:ilvl="0" w:tplc="45DA2BA2">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6"/>
  </w:num>
  <w:num w:numId="4">
    <w:abstractNumId w:val="2"/>
  </w:num>
  <w:num w:numId="5">
    <w:abstractNumId w:val="26"/>
  </w:num>
  <w:num w:numId="6">
    <w:abstractNumId w:val="12"/>
  </w:num>
  <w:num w:numId="7">
    <w:abstractNumId w:val="16"/>
  </w:num>
  <w:num w:numId="8">
    <w:abstractNumId w:val="29"/>
  </w:num>
  <w:num w:numId="9">
    <w:abstractNumId w:val="40"/>
  </w:num>
  <w:num w:numId="10">
    <w:abstractNumId w:val="5"/>
  </w:num>
  <w:num w:numId="11">
    <w:abstractNumId w:val="10"/>
  </w:num>
  <w:num w:numId="12">
    <w:abstractNumId w:val="4"/>
  </w:num>
  <w:num w:numId="13">
    <w:abstractNumId w:val="33"/>
  </w:num>
  <w:num w:numId="14">
    <w:abstractNumId w:val="21"/>
  </w:num>
  <w:num w:numId="15">
    <w:abstractNumId w:val="13"/>
  </w:num>
  <w:num w:numId="16">
    <w:abstractNumId w:val="27"/>
  </w:num>
  <w:num w:numId="17">
    <w:abstractNumId w:val="34"/>
  </w:num>
  <w:num w:numId="18">
    <w:abstractNumId w:val="25"/>
  </w:num>
  <w:num w:numId="19">
    <w:abstractNumId w:val="20"/>
  </w:num>
  <w:num w:numId="20">
    <w:abstractNumId w:val="39"/>
  </w:num>
  <w:num w:numId="21">
    <w:abstractNumId w:val="14"/>
  </w:num>
  <w:num w:numId="22">
    <w:abstractNumId w:val="15"/>
  </w:num>
  <w:num w:numId="23">
    <w:abstractNumId w:val="7"/>
  </w:num>
  <w:num w:numId="24">
    <w:abstractNumId w:val="42"/>
  </w:num>
  <w:num w:numId="25">
    <w:abstractNumId w:val="3"/>
  </w:num>
  <w:num w:numId="26">
    <w:abstractNumId w:val="18"/>
  </w:num>
  <w:num w:numId="27">
    <w:abstractNumId w:val="31"/>
  </w:num>
  <w:num w:numId="28">
    <w:abstractNumId w:val="30"/>
  </w:num>
  <w:num w:numId="29">
    <w:abstractNumId w:val="1"/>
  </w:num>
  <w:num w:numId="30">
    <w:abstractNumId w:val="28"/>
  </w:num>
  <w:num w:numId="31">
    <w:abstractNumId w:val="6"/>
  </w:num>
  <w:num w:numId="32">
    <w:abstractNumId w:val="11"/>
  </w:num>
  <w:num w:numId="33">
    <w:abstractNumId w:val="43"/>
  </w:num>
  <w:num w:numId="34">
    <w:abstractNumId w:val="24"/>
  </w:num>
  <w:num w:numId="35">
    <w:abstractNumId w:val="0"/>
  </w:num>
  <w:num w:numId="36">
    <w:abstractNumId w:val="9"/>
  </w:num>
  <w:num w:numId="37">
    <w:abstractNumId w:val="37"/>
  </w:num>
  <w:num w:numId="38">
    <w:abstractNumId w:val="38"/>
  </w:num>
  <w:num w:numId="39">
    <w:abstractNumId w:val="19"/>
  </w:num>
  <w:num w:numId="40">
    <w:abstractNumId w:val="23"/>
  </w:num>
  <w:num w:numId="41">
    <w:abstractNumId w:val="35"/>
  </w:num>
  <w:num w:numId="42">
    <w:abstractNumId w:val="17"/>
  </w:num>
  <w:num w:numId="43">
    <w:abstractNumId w:val="41"/>
  </w:num>
  <w:num w:numId="4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58"/>
    <w:rsid w:val="000003F2"/>
    <w:rsid w:val="00000E10"/>
    <w:rsid w:val="00003249"/>
    <w:rsid w:val="00003625"/>
    <w:rsid w:val="00003941"/>
    <w:rsid w:val="00004710"/>
    <w:rsid w:val="00004AB2"/>
    <w:rsid w:val="00006928"/>
    <w:rsid w:val="00007315"/>
    <w:rsid w:val="00007A2B"/>
    <w:rsid w:val="00007E5B"/>
    <w:rsid w:val="00010122"/>
    <w:rsid w:val="00011259"/>
    <w:rsid w:val="0001602E"/>
    <w:rsid w:val="00017388"/>
    <w:rsid w:val="00022D74"/>
    <w:rsid w:val="000242A0"/>
    <w:rsid w:val="0002537D"/>
    <w:rsid w:val="000254A3"/>
    <w:rsid w:val="000276BE"/>
    <w:rsid w:val="000308F6"/>
    <w:rsid w:val="000309B8"/>
    <w:rsid w:val="00031485"/>
    <w:rsid w:val="00034AE8"/>
    <w:rsid w:val="00041A9E"/>
    <w:rsid w:val="000424B1"/>
    <w:rsid w:val="00042831"/>
    <w:rsid w:val="00043A65"/>
    <w:rsid w:val="00045D23"/>
    <w:rsid w:val="00045E75"/>
    <w:rsid w:val="00046251"/>
    <w:rsid w:val="00046A42"/>
    <w:rsid w:val="00047B63"/>
    <w:rsid w:val="00053CBE"/>
    <w:rsid w:val="00053F97"/>
    <w:rsid w:val="00055705"/>
    <w:rsid w:val="00056266"/>
    <w:rsid w:val="00056374"/>
    <w:rsid w:val="00062661"/>
    <w:rsid w:val="0007235D"/>
    <w:rsid w:val="00073228"/>
    <w:rsid w:val="00074965"/>
    <w:rsid w:val="00075454"/>
    <w:rsid w:val="000757C6"/>
    <w:rsid w:val="00076E69"/>
    <w:rsid w:val="00077A96"/>
    <w:rsid w:val="000809E3"/>
    <w:rsid w:val="000824CD"/>
    <w:rsid w:val="0008370C"/>
    <w:rsid w:val="00083A7B"/>
    <w:rsid w:val="00084520"/>
    <w:rsid w:val="00085E7A"/>
    <w:rsid w:val="00092C93"/>
    <w:rsid w:val="0009410F"/>
    <w:rsid w:val="0009412A"/>
    <w:rsid w:val="000948D8"/>
    <w:rsid w:val="000A27C8"/>
    <w:rsid w:val="000A2839"/>
    <w:rsid w:val="000A3F6A"/>
    <w:rsid w:val="000A58B1"/>
    <w:rsid w:val="000A59DB"/>
    <w:rsid w:val="000A5E73"/>
    <w:rsid w:val="000B0E7F"/>
    <w:rsid w:val="000B0FF7"/>
    <w:rsid w:val="000B2CFB"/>
    <w:rsid w:val="000B4063"/>
    <w:rsid w:val="000B7852"/>
    <w:rsid w:val="000B79F5"/>
    <w:rsid w:val="000C25F0"/>
    <w:rsid w:val="000C2E58"/>
    <w:rsid w:val="000C2ECB"/>
    <w:rsid w:val="000C3892"/>
    <w:rsid w:val="000C6965"/>
    <w:rsid w:val="000C747A"/>
    <w:rsid w:val="000C76F7"/>
    <w:rsid w:val="000D10C6"/>
    <w:rsid w:val="000D160B"/>
    <w:rsid w:val="000D1772"/>
    <w:rsid w:val="000D1BC5"/>
    <w:rsid w:val="000D6D9D"/>
    <w:rsid w:val="000D753A"/>
    <w:rsid w:val="000E0806"/>
    <w:rsid w:val="000E0DB6"/>
    <w:rsid w:val="000E18BB"/>
    <w:rsid w:val="000E29E2"/>
    <w:rsid w:val="000E3F63"/>
    <w:rsid w:val="000E427F"/>
    <w:rsid w:val="000E557D"/>
    <w:rsid w:val="000F0730"/>
    <w:rsid w:val="000F10E3"/>
    <w:rsid w:val="000F3D51"/>
    <w:rsid w:val="000F3FDE"/>
    <w:rsid w:val="000F5A9C"/>
    <w:rsid w:val="000F5CE0"/>
    <w:rsid w:val="00100823"/>
    <w:rsid w:val="00102CAF"/>
    <w:rsid w:val="001035DA"/>
    <w:rsid w:val="0010418E"/>
    <w:rsid w:val="0010481C"/>
    <w:rsid w:val="00106777"/>
    <w:rsid w:val="00110097"/>
    <w:rsid w:val="00110AD9"/>
    <w:rsid w:val="0011373D"/>
    <w:rsid w:val="00113E47"/>
    <w:rsid w:val="00114564"/>
    <w:rsid w:val="00116FBF"/>
    <w:rsid w:val="00117571"/>
    <w:rsid w:val="00117CC7"/>
    <w:rsid w:val="00121F49"/>
    <w:rsid w:val="001238FC"/>
    <w:rsid w:val="00124A8C"/>
    <w:rsid w:val="00124E54"/>
    <w:rsid w:val="00126E6F"/>
    <w:rsid w:val="00130344"/>
    <w:rsid w:val="001305FB"/>
    <w:rsid w:val="00131402"/>
    <w:rsid w:val="0013166E"/>
    <w:rsid w:val="0013184F"/>
    <w:rsid w:val="00132998"/>
    <w:rsid w:val="00132BCA"/>
    <w:rsid w:val="0013406F"/>
    <w:rsid w:val="0014097F"/>
    <w:rsid w:val="0014118A"/>
    <w:rsid w:val="001436D6"/>
    <w:rsid w:val="00144E97"/>
    <w:rsid w:val="001452AE"/>
    <w:rsid w:val="00146140"/>
    <w:rsid w:val="0014791A"/>
    <w:rsid w:val="00151E48"/>
    <w:rsid w:val="00153BB6"/>
    <w:rsid w:val="00154155"/>
    <w:rsid w:val="00156E57"/>
    <w:rsid w:val="0015776F"/>
    <w:rsid w:val="00160D59"/>
    <w:rsid w:val="0016114D"/>
    <w:rsid w:val="001611B4"/>
    <w:rsid w:val="00166C61"/>
    <w:rsid w:val="00166F9B"/>
    <w:rsid w:val="001674ED"/>
    <w:rsid w:val="00170124"/>
    <w:rsid w:val="001728C9"/>
    <w:rsid w:val="00176DCE"/>
    <w:rsid w:val="001801C2"/>
    <w:rsid w:val="001807F5"/>
    <w:rsid w:val="001821A9"/>
    <w:rsid w:val="0018437E"/>
    <w:rsid w:val="00184806"/>
    <w:rsid w:val="00186171"/>
    <w:rsid w:val="00186963"/>
    <w:rsid w:val="00190234"/>
    <w:rsid w:val="0019096B"/>
    <w:rsid w:val="001911AE"/>
    <w:rsid w:val="00192239"/>
    <w:rsid w:val="00195889"/>
    <w:rsid w:val="001A1F8C"/>
    <w:rsid w:val="001A2AF2"/>
    <w:rsid w:val="001A2BD6"/>
    <w:rsid w:val="001A4946"/>
    <w:rsid w:val="001A4CCE"/>
    <w:rsid w:val="001A5E81"/>
    <w:rsid w:val="001A7933"/>
    <w:rsid w:val="001A79B6"/>
    <w:rsid w:val="001A7EE2"/>
    <w:rsid w:val="001B29A7"/>
    <w:rsid w:val="001B4E17"/>
    <w:rsid w:val="001B6A64"/>
    <w:rsid w:val="001C1AA3"/>
    <w:rsid w:val="001C1E1A"/>
    <w:rsid w:val="001C6CC0"/>
    <w:rsid w:val="001C724F"/>
    <w:rsid w:val="001D0A10"/>
    <w:rsid w:val="001D22D1"/>
    <w:rsid w:val="001D470E"/>
    <w:rsid w:val="001D511D"/>
    <w:rsid w:val="001D54B6"/>
    <w:rsid w:val="001D769C"/>
    <w:rsid w:val="001E091E"/>
    <w:rsid w:val="001E0CB1"/>
    <w:rsid w:val="001E166E"/>
    <w:rsid w:val="001E205C"/>
    <w:rsid w:val="001E330B"/>
    <w:rsid w:val="001E3CF3"/>
    <w:rsid w:val="001E6680"/>
    <w:rsid w:val="001E6D7B"/>
    <w:rsid w:val="001E7BAB"/>
    <w:rsid w:val="001F14ED"/>
    <w:rsid w:val="001F20B0"/>
    <w:rsid w:val="001F5FE7"/>
    <w:rsid w:val="002013D2"/>
    <w:rsid w:val="00201FCF"/>
    <w:rsid w:val="0020251E"/>
    <w:rsid w:val="002044EA"/>
    <w:rsid w:val="00210227"/>
    <w:rsid w:val="00210667"/>
    <w:rsid w:val="0021091F"/>
    <w:rsid w:val="00211D1D"/>
    <w:rsid w:val="00215BCA"/>
    <w:rsid w:val="002168C8"/>
    <w:rsid w:val="00223419"/>
    <w:rsid w:val="00223985"/>
    <w:rsid w:val="00224C78"/>
    <w:rsid w:val="00225CF7"/>
    <w:rsid w:val="0022680A"/>
    <w:rsid w:val="00230935"/>
    <w:rsid w:val="0023267E"/>
    <w:rsid w:val="0023529B"/>
    <w:rsid w:val="0023560A"/>
    <w:rsid w:val="00235CE3"/>
    <w:rsid w:val="00235E3A"/>
    <w:rsid w:val="00235E8D"/>
    <w:rsid w:val="00240C91"/>
    <w:rsid w:val="00241A64"/>
    <w:rsid w:val="0024401A"/>
    <w:rsid w:val="00244A0C"/>
    <w:rsid w:val="00245572"/>
    <w:rsid w:val="00250E72"/>
    <w:rsid w:val="002542E8"/>
    <w:rsid w:val="002551AB"/>
    <w:rsid w:val="00263298"/>
    <w:rsid w:val="00265D1C"/>
    <w:rsid w:val="002701F9"/>
    <w:rsid w:val="002702D5"/>
    <w:rsid w:val="00271BA2"/>
    <w:rsid w:val="002739B0"/>
    <w:rsid w:val="00273FCA"/>
    <w:rsid w:val="00275ECB"/>
    <w:rsid w:val="00276531"/>
    <w:rsid w:val="00276BD4"/>
    <w:rsid w:val="00276D81"/>
    <w:rsid w:val="00280959"/>
    <w:rsid w:val="00280ECB"/>
    <w:rsid w:val="00284052"/>
    <w:rsid w:val="00290513"/>
    <w:rsid w:val="0029299F"/>
    <w:rsid w:val="00293D08"/>
    <w:rsid w:val="00294A70"/>
    <w:rsid w:val="00294FB3"/>
    <w:rsid w:val="002A308E"/>
    <w:rsid w:val="002A3447"/>
    <w:rsid w:val="002A5A2B"/>
    <w:rsid w:val="002A5F21"/>
    <w:rsid w:val="002A730B"/>
    <w:rsid w:val="002B0100"/>
    <w:rsid w:val="002B0C47"/>
    <w:rsid w:val="002B1937"/>
    <w:rsid w:val="002B255E"/>
    <w:rsid w:val="002B2DE9"/>
    <w:rsid w:val="002B6E33"/>
    <w:rsid w:val="002C6146"/>
    <w:rsid w:val="002C7024"/>
    <w:rsid w:val="002C7E03"/>
    <w:rsid w:val="002D0715"/>
    <w:rsid w:val="002D2FF3"/>
    <w:rsid w:val="002D4823"/>
    <w:rsid w:val="002D5E71"/>
    <w:rsid w:val="002D6295"/>
    <w:rsid w:val="002E2BDD"/>
    <w:rsid w:val="002E73CF"/>
    <w:rsid w:val="002E7EC6"/>
    <w:rsid w:val="002F0DC3"/>
    <w:rsid w:val="002F1FA4"/>
    <w:rsid w:val="002F26BB"/>
    <w:rsid w:val="002F377D"/>
    <w:rsid w:val="002F38BB"/>
    <w:rsid w:val="002F56B6"/>
    <w:rsid w:val="002F631E"/>
    <w:rsid w:val="002F6EF4"/>
    <w:rsid w:val="002F6F23"/>
    <w:rsid w:val="002F76EE"/>
    <w:rsid w:val="00301A27"/>
    <w:rsid w:val="00305B1F"/>
    <w:rsid w:val="00306394"/>
    <w:rsid w:val="00310597"/>
    <w:rsid w:val="00315174"/>
    <w:rsid w:val="00323D5F"/>
    <w:rsid w:val="003259A2"/>
    <w:rsid w:val="003333CB"/>
    <w:rsid w:val="0033702C"/>
    <w:rsid w:val="00337441"/>
    <w:rsid w:val="00340052"/>
    <w:rsid w:val="00341F50"/>
    <w:rsid w:val="00346287"/>
    <w:rsid w:val="0034689F"/>
    <w:rsid w:val="00346962"/>
    <w:rsid w:val="0034757F"/>
    <w:rsid w:val="00350450"/>
    <w:rsid w:val="0035206F"/>
    <w:rsid w:val="003524E3"/>
    <w:rsid w:val="00354594"/>
    <w:rsid w:val="00357D59"/>
    <w:rsid w:val="00361356"/>
    <w:rsid w:val="0036273F"/>
    <w:rsid w:val="0036321A"/>
    <w:rsid w:val="00363C12"/>
    <w:rsid w:val="0036439B"/>
    <w:rsid w:val="00367417"/>
    <w:rsid w:val="003728DF"/>
    <w:rsid w:val="003740F5"/>
    <w:rsid w:val="00374AF0"/>
    <w:rsid w:val="0037555F"/>
    <w:rsid w:val="0037662B"/>
    <w:rsid w:val="00383178"/>
    <w:rsid w:val="00384CF3"/>
    <w:rsid w:val="00387219"/>
    <w:rsid w:val="00390308"/>
    <w:rsid w:val="00392C00"/>
    <w:rsid w:val="0039439A"/>
    <w:rsid w:val="003943BF"/>
    <w:rsid w:val="003955CC"/>
    <w:rsid w:val="00397674"/>
    <w:rsid w:val="003A109E"/>
    <w:rsid w:val="003A365E"/>
    <w:rsid w:val="003A404D"/>
    <w:rsid w:val="003A57C1"/>
    <w:rsid w:val="003A74E6"/>
    <w:rsid w:val="003B192D"/>
    <w:rsid w:val="003B2135"/>
    <w:rsid w:val="003B4930"/>
    <w:rsid w:val="003B4DEA"/>
    <w:rsid w:val="003B58C6"/>
    <w:rsid w:val="003B7119"/>
    <w:rsid w:val="003B72A5"/>
    <w:rsid w:val="003C2857"/>
    <w:rsid w:val="003C476E"/>
    <w:rsid w:val="003D12EC"/>
    <w:rsid w:val="003D3C90"/>
    <w:rsid w:val="003D409E"/>
    <w:rsid w:val="003D6DB3"/>
    <w:rsid w:val="003D7A9E"/>
    <w:rsid w:val="003E0B6B"/>
    <w:rsid w:val="003E2516"/>
    <w:rsid w:val="003E3998"/>
    <w:rsid w:val="003E70E6"/>
    <w:rsid w:val="003F0313"/>
    <w:rsid w:val="003F23FD"/>
    <w:rsid w:val="003F5299"/>
    <w:rsid w:val="003F5A54"/>
    <w:rsid w:val="003F6337"/>
    <w:rsid w:val="003F748E"/>
    <w:rsid w:val="003F7A79"/>
    <w:rsid w:val="004004B0"/>
    <w:rsid w:val="00402551"/>
    <w:rsid w:val="00403845"/>
    <w:rsid w:val="0040407A"/>
    <w:rsid w:val="00407725"/>
    <w:rsid w:val="00411A1A"/>
    <w:rsid w:val="004126FB"/>
    <w:rsid w:val="00413B86"/>
    <w:rsid w:val="0041559A"/>
    <w:rsid w:val="004156D2"/>
    <w:rsid w:val="00416A73"/>
    <w:rsid w:val="00417005"/>
    <w:rsid w:val="00420C02"/>
    <w:rsid w:val="00422417"/>
    <w:rsid w:val="0042245E"/>
    <w:rsid w:val="0042331D"/>
    <w:rsid w:val="004242D8"/>
    <w:rsid w:val="00424616"/>
    <w:rsid w:val="004269A4"/>
    <w:rsid w:val="00431F88"/>
    <w:rsid w:val="00433538"/>
    <w:rsid w:val="004337DF"/>
    <w:rsid w:val="004342E5"/>
    <w:rsid w:val="004344AD"/>
    <w:rsid w:val="00435AE7"/>
    <w:rsid w:val="004369EB"/>
    <w:rsid w:val="004372F0"/>
    <w:rsid w:val="0044089E"/>
    <w:rsid w:val="00440937"/>
    <w:rsid w:val="00441605"/>
    <w:rsid w:val="00443568"/>
    <w:rsid w:val="00445881"/>
    <w:rsid w:val="004474A8"/>
    <w:rsid w:val="00450DF5"/>
    <w:rsid w:val="00454AEC"/>
    <w:rsid w:val="0045523E"/>
    <w:rsid w:val="004575F1"/>
    <w:rsid w:val="004619CD"/>
    <w:rsid w:val="0046226C"/>
    <w:rsid w:val="0046253F"/>
    <w:rsid w:val="00462AC7"/>
    <w:rsid w:val="00462D94"/>
    <w:rsid w:val="0046779A"/>
    <w:rsid w:val="00473463"/>
    <w:rsid w:val="0047347E"/>
    <w:rsid w:val="00473D04"/>
    <w:rsid w:val="004767A1"/>
    <w:rsid w:val="00482198"/>
    <w:rsid w:val="00482BAD"/>
    <w:rsid w:val="00482F36"/>
    <w:rsid w:val="00483012"/>
    <w:rsid w:val="00485C92"/>
    <w:rsid w:val="00491ACE"/>
    <w:rsid w:val="0049256C"/>
    <w:rsid w:val="004942E4"/>
    <w:rsid w:val="00495637"/>
    <w:rsid w:val="004962E2"/>
    <w:rsid w:val="0049634B"/>
    <w:rsid w:val="004A1732"/>
    <w:rsid w:val="004A2BC8"/>
    <w:rsid w:val="004A4EA8"/>
    <w:rsid w:val="004A726D"/>
    <w:rsid w:val="004B1F07"/>
    <w:rsid w:val="004B237F"/>
    <w:rsid w:val="004B7501"/>
    <w:rsid w:val="004C1E4B"/>
    <w:rsid w:val="004C37FC"/>
    <w:rsid w:val="004C68D4"/>
    <w:rsid w:val="004D1652"/>
    <w:rsid w:val="004D680E"/>
    <w:rsid w:val="004E0BA3"/>
    <w:rsid w:val="004E1C29"/>
    <w:rsid w:val="004E32A3"/>
    <w:rsid w:val="004E4889"/>
    <w:rsid w:val="004E4D86"/>
    <w:rsid w:val="004E6BC8"/>
    <w:rsid w:val="004F202B"/>
    <w:rsid w:val="004F2072"/>
    <w:rsid w:val="004F3B35"/>
    <w:rsid w:val="004F423D"/>
    <w:rsid w:val="00500634"/>
    <w:rsid w:val="005013DC"/>
    <w:rsid w:val="00502802"/>
    <w:rsid w:val="00503E28"/>
    <w:rsid w:val="00511428"/>
    <w:rsid w:val="00513961"/>
    <w:rsid w:val="00513AAA"/>
    <w:rsid w:val="00515CBE"/>
    <w:rsid w:val="00517D16"/>
    <w:rsid w:val="005204DE"/>
    <w:rsid w:val="00523EE7"/>
    <w:rsid w:val="00532082"/>
    <w:rsid w:val="005327E4"/>
    <w:rsid w:val="005333B3"/>
    <w:rsid w:val="00533D93"/>
    <w:rsid w:val="00534C3A"/>
    <w:rsid w:val="00535AB6"/>
    <w:rsid w:val="00536B16"/>
    <w:rsid w:val="005377C6"/>
    <w:rsid w:val="0053797C"/>
    <w:rsid w:val="00540D15"/>
    <w:rsid w:val="005415B4"/>
    <w:rsid w:val="005427B9"/>
    <w:rsid w:val="00542ABD"/>
    <w:rsid w:val="00542C25"/>
    <w:rsid w:val="00542F66"/>
    <w:rsid w:val="00543CCE"/>
    <w:rsid w:val="00550C77"/>
    <w:rsid w:val="00550EDA"/>
    <w:rsid w:val="00551113"/>
    <w:rsid w:val="00555BAD"/>
    <w:rsid w:val="00556E83"/>
    <w:rsid w:val="00562B18"/>
    <w:rsid w:val="00567A46"/>
    <w:rsid w:val="00571165"/>
    <w:rsid w:val="00571C6E"/>
    <w:rsid w:val="0057262E"/>
    <w:rsid w:val="00575648"/>
    <w:rsid w:val="00577140"/>
    <w:rsid w:val="00582886"/>
    <w:rsid w:val="005851F5"/>
    <w:rsid w:val="00590AEC"/>
    <w:rsid w:val="00594FDB"/>
    <w:rsid w:val="005A0E95"/>
    <w:rsid w:val="005A2C99"/>
    <w:rsid w:val="005A355E"/>
    <w:rsid w:val="005A4E8C"/>
    <w:rsid w:val="005A5337"/>
    <w:rsid w:val="005A7996"/>
    <w:rsid w:val="005B0E18"/>
    <w:rsid w:val="005C0BE5"/>
    <w:rsid w:val="005C1B76"/>
    <w:rsid w:val="005C22A9"/>
    <w:rsid w:val="005C3E1D"/>
    <w:rsid w:val="005C3E50"/>
    <w:rsid w:val="005C4BD4"/>
    <w:rsid w:val="005C4D88"/>
    <w:rsid w:val="005D3272"/>
    <w:rsid w:val="005D4448"/>
    <w:rsid w:val="005D5A75"/>
    <w:rsid w:val="005D5D36"/>
    <w:rsid w:val="005E040D"/>
    <w:rsid w:val="005E0CB8"/>
    <w:rsid w:val="005E37A3"/>
    <w:rsid w:val="005E44C8"/>
    <w:rsid w:val="005E5950"/>
    <w:rsid w:val="005E622D"/>
    <w:rsid w:val="005E6B4D"/>
    <w:rsid w:val="005F43D0"/>
    <w:rsid w:val="005F6016"/>
    <w:rsid w:val="006027EA"/>
    <w:rsid w:val="006034CD"/>
    <w:rsid w:val="00607BE5"/>
    <w:rsid w:val="006115A1"/>
    <w:rsid w:val="006116F7"/>
    <w:rsid w:val="00612FBD"/>
    <w:rsid w:val="00613023"/>
    <w:rsid w:val="006151CF"/>
    <w:rsid w:val="00615968"/>
    <w:rsid w:val="006165FF"/>
    <w:rsid w:val="0061662A"/>
    <w:rsid w:val="0062028D"/>
    <w:rsid w:val="006211B3"/>
    <w:rsid w:val="00621905"/>
    <w:rsid w:val="00623503"/>
    <w:rsid w:val="00624C1B"/>
    <w:rsid w:val="00626464"/>
    <w:rsid w:val="00626A88"/>
    <w:rsid w:val="00630026"/>
    <w:rsid w:val="00631152"/>
    <w:rsid w:val="006312D3"/>
    <w:rsid w:val="0063135B"/>
    <w:rsid w:val="006317FF"/>
    <w:rsid w:val="00631BC3"/>
    <w:rsid w:val="00632371"/>
    <w:rsid w:val="00634263"/>
    <w:rsid w:val="00634AFA"/>
    <w:rsid w:val="00635EDB"/>
    <w:rsid w:val="00637DA7"/>
    <w:rsid w:val="00640648"/>
    <w:rsid w:val="00642898"/>
    <w:rsid w:val="00650EFD"/>
    <w:rsid w:val="00652135"/>
    <w:rsid w:val="00655907"/>
    <w:rsid w:val="00660547"/>
    <w:rsid w:val="00662AE4"/>
    <w:rsid w:val="00664B3F"/>
    <w:rsid w:val="00664F38"/>
    <w:rsid w:val="0066578D"/>
    <w:rsid w:val="00666460"/>
    <w:rsid w:val="00667544"/>
    <w:rsid w:val="00671FAC"/>
    <w:rsid w:val="00672436"/>
    <w:rsid w:val="00673094"/>
    <w:rsid w:val="00673257"/>
    <w:rsid w:val="00673772"/>
    <w:rsid w:val="00674134"/>
    <w:rsid w:val="006763F2"/>
    <w:rsid w:val="00676BEC"/>
    <w:rsid w:val="00676C60"/>
    <w:rsid w:val="00682D8C"/>
    <w:rsid w:val="00683402"/>
    <w:rsid w:val="006838EF"/>
    <w:rsid w:val="00684CB0"/>
    <w:rsid w:val="006870D6"/>
    <w:rsid w:val="0068730E"/>
    <w:rsid w:val="006934BE"/>
    <w:rsid w:val="00696F98"/>
    <w:rsid w:val="006A18A3"/>
    <w:rsid w:val="006A1E7E"/>
    <w:rsid w:val="006A24C9"/>
    <w:rsid w:val="006A25C3"/>
    <w:rsid w:val="006A48C1"/>
    <w:rsid w:val="006A4F13"/>
    <w:rsid w:val="006B27B4"/>
    <w:rsid w:val="006B542B"/>
    <w:rsid w:val="006B5ED9"/>
    <w:rsid w:val="006B7486"/>
    <w:rsid w:val="006C0DD6"/>
    <w:rsid w:val="006C1F56"/>
    <w:rsid w:val="006C299E"/>
    <w:rsid w:val="006C2A1C"/>
    <w:rsid w:val="006C33D6"/>
    <w:rsid w:val="006C3AD8"/>
    <w:rsid w:val="006C52EE"/>
    <w:rsid w:val="006C6764"/>
    <w:rsid w:val="006D378E"/>
    <w:rsid w:val="006E00D9"/>
    <w:rsid w:val="006E2BD9"/>
    <w:rsid w:val="006E34A8"/>
    <w:rsid w:val="006E3820"/>
    <w:rsid w:val="006E508F"/>
    <w:rsid w:val="006E56A3"/>
    <w:rsid w:val="006F0019"/>
    <w:rsid w:val="006F05C4"/>
    <w:rsid w:val="006F0FF7"/>
    <w:rsid w:val="006F17FA"/>
    <w:rsid w:val="006F3A75"/>
    <w:rsid w:val="006F3D5C"/>
    <w:rsid w:val="006F3D66"/>
    <w:rsid w:val="006F3EE7"/>
    <w:rsid w:val="007009AC"/>
    <w:rsid w:val="00703A36"/>
    <w:rsid w:val="00706ABA"/>
    <w:rsid w:val="00706BC6"/>
    <w:rsid w:val="00710050"/>
    <w:rsid w:val="007111FD"/>
    <w:rsid w:val="0071170D"/>
    <w:rsid w:val="0071172E"/>
    <w:rsid w:val="0071591E"/>
    <w:rsid w:val="00721569"/>
    <w:rsid w:val="007248D6"/>
    <w:rsid w:val="00724F6A"/>
    <w:rsid w:val="00727C81"/>
    <w:rsid w:val="00731AB3"/>
    <w:rsid w:val="00733547"/>
    <w:rsid w:val="00735905"/>
    <w:rsid w:val="00736090"/>
    <w:rsid w:val="00741220"/>
    <w:rsid w:val="00743C6A"/>
    <w:rsid w:val="00744AC3"/>
    <w:rsid w:val="00745696"/>
    <w:rsid w:val="00746E56"/>
    <w:rsid w:val="00751114"/>
    <w:rsid w:val="00751A10"/>
    <w:rsid w:val="00751E44"/>
    <w:rsid w:val="00752B47"/>
    <w:rsid w:val="007566B0"/>
    <w:rsid w:val="00757E7C"/>
    <w:rsid w:val="00763DB3"/>
    <w:rsid w:val="00764588"/>
    <w:rsid w:val="00764D8D"/>
    <w:rsid w:val="007663F9"/>
    <w:rsid w:val="00766471"/>
    <w:rsid w:val="00771208"/>
    <w:rsid w:val="007716CB"/>
    <w:rsid w:val="00771AFB"/>
    <w:rsid w:val="00772F28"/>
    <w:rsid w:val="0077323B"/>
    <w:rsid w:val="00773B12"/>
    <w:rsid w:val="00781CD0"/>
    <w:rsid w:val="00781DB0"/>
    <w:rsid w:val="00784767"/>
    <w:rsid w:val="0078653F"/>
    <w:rsid w:val="00793D4C"/>
    <w:rsid w:val="00794849"/>
    <w:rsid w:val="00795527"/>
    <w:rsid w:val="007971E9"/>
    <w:rsid w:val="00797F04"/>
    <w:rsid w:val="007A1FE4"/>
    <w:rsid w:val="007A32E7"/>
    <w:rsid w:val="007A4F74"/>
    <w:rsid w:val="007A6883"/>
    <w:rsid w:val="007A6B98"/>
    <w:rsid w:val="007B17E6"/>
    <w:rsid w:val="007B2436"/>
    <w:rsid w:val="007B2982"/>
    <w:rsid w:val="007B59A7"/>
    <w:rsid w:val="007B5ADF"/>
    <w:rsid w:val="007B61C8"/>
    <w:rsid w:val="007B6511"/>
    <w:rsid w:val="007B6813"/>
    <w:rsid w:val="007C183E"/>
    <w:rsid w:val="007C1B8F"/>
    <w:rsid w:val="007C7C5E"/>
    <w:rsid w:val="007D1A8D"/>
    <w:rsid w:val="007D3448"/>
    <w:rsid w:val="007D5554"/>
    <w:rsid w:val="007D5760"/>
    <w:rsid w:val="007E1890"/>
    <w:rsid w:val="007E2B46"/>
    <w:rsid w:val="007E535A"/>
    <w:rsid w:val="007F0A7A"/>
    <w:rsid w:val="007F18AB"/>
    <w:rsid w:val="007F2AC3"/>
    <w:rsid w:val="007F4434"/>
    <w:rsid w:val="007F5228"/>
    <w:rsid w:val="007F5282"/>
    <w:rsid w:val="007F5F0B"/>
    <w:rsid w:val="007F60DA"/>
    <w:rsid w:val="007F6A87"/>
    <w:rsid w:val="007F6AAC"/>
    <w:rsid w:val="00803E93"/>
    <w:rsid w:val="008042A5"/>
    <w:rsid w:val="00805BA2"/>
    <w:rsid w:val="00807C5A"/>
    <w:rsid w:val="00807CC6"/>
    <w:rsid w:val="00810250"/>
    <w:rsid w:val="00810556"/>
    <w:rsid w:val="008132C6"/>
    <w:rsid w:val="00815267"/>
    <w:rsid w:val="00817500"/>
    <w:rsid w:val="0082121F"/>
    <w:rsid w:val="008237B8"/>
    <w:rsid w:val="00824B49"/>
    <w:rsid w:val="00825263"/>
    <w:rsid w:val="00827BE2"/>
    <w:rsid w:val="00827D4B"/>
    <w:rsid w:val="008305C9"/>
    <w:rsid w:val="00831016"/>
    <w:rsid w:val="0083199C"/>
    <w:rsid w:val="0083588E"/>
    <w:rsid w:val="00835D02"/>
    <w:rsid w:val="00836A0E"/>
    <w:rsid w:val="00841EEA"/>
    <w:rsid w:val="00842B67"/>
    <w:rsid w:val="00844129"/>
    <w:rsid w:val="0085069B"/>
    <w:rsid w:val="00852389"/>
    <w:rsid w:val="008539A3"/>
    <w:rsid w:val="00855A16"/>
    <w:rsid w:val="00860FDD"/>
    <w:rsid w:val="00861A0F"/>
    <w:rsid w:val="00862503"/>
    <w:rsid w:val="008628B8"/>
    <w:rsid w:val="00863577"/>
    <w:rsid w:val="00865FD1"/>
    <w:rsid w:val="00866954"/>
    <w:rsid w:val="00866E22"/>
    <w:rsid w:val="00867F5D"/>
    <w:rsid w:val="00871779"/>
    <w:rsid w:val="00872158"/>
    <w:rsid w:val="008729F3"/>
    <w:rsid w:val="00874F02"/>
    <w:rsid w:val="00875DDD"/>
    <w:rsid w:val="00877125"/>
    <w:rsid w:val="008831B6"/>
    <w:rsid w:val="00883AEF"/>
    <w:rsid w:val="008844FF"/>
    <w:rsid w:val="00884E7D"/>
    <w:rsid w:val="008904A4"/>
    <w:rsid w:val="00891AA4"/>
    <w:rsid w:val="00891B56"/>
    <w:rsid w:val="00895020"/>
    <w:rsid w:val="00896483"/>
    <w:rsid w:val="00897F01"/>
    <w:rsid w:val="008A1B2E"/>
    <w:rsid w:val="008A2375"/>
    <w:rsid w:val="008A5ED2"/>
    <w:rsid w:val="008A61C5"/>
    <w:rsid w:val="008A61E7"/>
    <w:rsid w:val="008A6910"/>
    <w:rsid w:val="008A6CB9"/>
    <w:rsid w:val="008A7168"/>
    <w:rsid w:val="008A7B22"/>
    <w:rsid w:val="008B2D62"/>
    <w:rsid w:val="008B3F4F"/>
    <w:rsid w:val="008B5C9B"/>
    <w:rsid w:val="008B60EE"/>
    <w:rsid w:val="008C1352"/>
    <w:rsid w:val="008C4D76"/>
    <w:rsid w:val="008C4E71"/>
    <w:rsid w:val="008C6D23"/>
    <w:rsid w:val="008D0AF6"/>
    <w:rsid w:val="008E1FB0"/>
    <w:rsid w:val="008E2F28"/>
    <w:rsid w:val="008E3B1E"/>
    <w:rsid w:val="008E3E29"/>
    <w:rsid w:val="008E4156"/>
    <w:rsid w:val="008E4F19"/>
    <w:rsid w:val="008E5C3B"/>
    <w:rsid w:val="008F2A8E"/>
    <w:rsid w:val="008F53E5"/>
    <w:rsid w:val="008F5C0F"/>
    <w:rsid w:val="00900085"/>
    <w:rsid w:val="009023E1"/>
    <w:rsid w:val="00902446"/>
    <w:rsid w:val="00903D81"/>
    <w:rsid w:val="00903DC6"/>
    <w:rsid w:val="00904DC1"/>
    <w:rsid w:val="00904DCF"/>
    <w:rsid w:val="00905A41"/>
    <w:rsid w:val="00906CF1"/>
    <w:rsid w:val="009127BF"/>
    <w:rsid w:val="00913A43"/>
    <w:rsid w:val="009153BA"/>
    <w:rsid w:val="0091784E"/>
    <w:rsid w:val="00920D6B"/>
    <w:rsid w:val="0093012B"/>
    <w:rsid w:val="00931048"/>
    <w:rsid w:val="009357FE"/>
    <w:rsid w:val="00936A73"/>
    <w:rsid w:val="009400FF"/>
    <w:rsid w:val="00941F03"/>
    <w:rsid w:val="00944934"/>
    <w:rsid w:val="00946123"/>
    <w:rsid w:val="009469D1"/>
    <w:rsid w:val="00947781"/>
    <w:rsid w:val="00952C63"/>
    <w:rsid w:val="009567B5"/>
    <w:rsid w:val="0097389E"/>
    <w:rsid w:val="00976E67"/>
    <w:rsid w:val="00981416"/>
    <w:rsid w:val="00981A63"/>
    <w:rsid w:val="009823ED"/>
    <w:rsid w:val="009849A0"/>
    <w:rsid w:val="009859BF"/>
    <w:rsid w:val="009912EB"/>
    <w:rsid w:val="0099379B"/>
    <w:rsid w:val="009970E5"/>
    <w:rsid w:val="009A3616"/>
    <w:rsid w:val="009A3655"/>
    <w:rsid w:val="009A3D08"/>
    <w:rsid w:val="009B0111"/>
    <w:rsid w:val="009B204E"/>
    <w:rsid w:val="009B755D"/>
    <w:rsid w:val="009C054B"/>
    <w:rsid w:val="009C05DC"/>
    <w:rsid w:val="009C105A"/>
    <w:rsid w:val="009C1772"/>
    <w:rsid w:val="009C1BAF"/>
    <w:rsid w:val="009C43F4"/>
    <w:rsid w:val="009C4F43"/>
    <w:rsid w:val="009C7392"/>
    <w:rsid w:val="009D54DF"/>
    <w:rsid w:val="009D65E9"/>
    <w:rsid w:val="009D7B6D"/>
    <w:rsid w:val="009D7F2A"/>
    <w:rsid w:val="009E085D"/>
    <w:rsid w:val="009E17F2"/>
    <w:rsid w:val="009E30D2"/>
    <w:rsid w:val="009E36BD"/>
    <w:rsid w:val="009E4615"/>
    <w:rsid w:val="009E6BAB"/>
    <w:rsid w:val="009F06ED"/>
    <w:rsid w:val="009F1630"/>
    <w:rsid w:val="009F166E"/>
    <w:rsid w:val="009F28D4"/>
    <w:rsid w:val="009F377E"/>
    <w:rsid w:val="009F3AFE"/>
    <w:rsid w:val="009F6E0B"/>
    <w:rsid w:val="00A01309"/>
    <w:rsid w:val="00A03596"/>
    <w:rsid w:val="00A0419E"/>
    <w:rsid w:val="00A04EA5"/>
    <w:rsid w:val="00A06572"/>
    <w:rsid w:val="00A06AA2"/>
    <w:rsid w:val="00A07582"/>
    <w:rsid w:val="00A077CD"/>
    <w:rsid w:val="00A12E2D"/>
    <w:rsid w:val="00A15A37"/>
    <w:rsid w:val="00A15CBE"/>
    <w:rsid w:val="00A172FC"/>
    <w:rsid w:val="00A22AC1"/>
    <w:rsid w:val="00A23065"/>
    <w:rsid w:val="00A26252"/>
    <w:rsid w:val="00A27714"/>
    <w:rsid w:val="00A30336"/>
    <w:rsid w:val="00A305B8"/>
    <w:rsid w:val="00A317BB"/>
    <w:rsid w:val="00A341CF"/>
    <w:rsid w:val="00A36090"/>
    <w:rsid w:val="00A40B57"/>
    <w:rsid w:val="00A40FEF"/>
    <w:rsid w:val="00A42C99"/>
    <w:rsid w:val="00A44576"/>
    <w:rsid w:val="00A51B86"/>
    <w:rsid w:val="00A55109"/>
    <w:rsid w:val="00A56D37"/>
    <w:rsid w:val="00A60CFC"/>
    <w:rsid w:val="00A62746"/>
    <w:rsid w:val="00A629E2"/>
    <w:rsid w:val="00A6548C"/>
    <w:rsid w:val="00A65720"/>
    <w:rsid w:val="00A66729"/>
    <w:rsid w:val="00A704EF"/>
    <w:rsid w:val="00A709BA"/>
    <w:rsid w:val="00A73243"/>
    <w:rsid w:val="00A744D6"/>
    <w:rsid w:val="00A76AE5"/>
    <w:rsid w:val="00A76D4C"/>
    <w:rsid w:val="00A81C59"/>
    <w:rsid w:val="00A825F3"/>
    <w:rsid w:val="00A84891"/>
    <w:rsid w:val="00A90CC3"/>
    <w:rsid w:val="00A919C0"/>
    <w:rsid w:val="00A91B06"/>
    <w:rsid w:val="00A95F19"/>
    <w:rsid w:val="00AA1987"/>
    <w:rsid w:val="00AA1ABE"/>
    <w:rsid w:val="00AB551F"/>
    <w:rsid w:val="00AB6CA7"/>
    <w:rsid w:val="00AC014F"/>
    <w:rsid w:val="00AC1851"/>
    <w:rsid w:val="00AC2148"/>
    <w:rsid w:val="00AC5548"/>
    <w:rsid w:val="00AC74D8"/>
    <w:rsid w:val="00AD044C"/>
    <w:rsid w:val="00AD38DE"/>
    <w:rsid w:val="00AD4461"/>
    <w:rsid w:val="00AD64DD"/>
    <w:rsid w:val="00AE006D"/>
    <w:rsid w:val="00AE16E8"/>
    <w:rsid w:val="00AE4B38"/>
    <w:rsid w:val="00AE6EC4"/>
    <w:rsid w:val="00AE7568"/>
    <w:rsid w:val="00AF0DAF"/>
    <w:rsid w:val="00AF2091"/>
    <w:rsid w:val="00AF284F"/>
    <w:rsid w:val="00AF5BAA"/>
    <w:rsid w:val="00AF68A4"/>
    <w:rsid w:val="00B00E4A"/>
    <w:rsid w:val="00B00F3C"/>
    <w:rsid w:val="00B01079"/>
    <w:rsid w:val="00B03A78"/>
    <w:rsid w:val="00B05B56"/>
    <w:rsid w:val="00B075A0"/>
    <w:rsid w:val="00B07E87"/>
    <w:rsid w:val="00B104B6"/>
    <w:rsid w:val="00B120D8"/>
    <w:rsid w:val="00B1297E"/>
    <w:rsid w:val="00B12A1E"/>
    <w:rsid w:val="00B13440"/>
    <w:rsid w:val="00B13815"/>
    <w:rsid w:val="00B138B6"/>
    <w:rsid w:val="00B206C6"/>
    <w:rsid w:val="00B210B0"/>
    <w:rsid w:val="00B21D2D"/>
    <w:rsid w:val="00B223C8"/>
    <w:rsid w:val="00B2348E"/>
    <w:rsid w:val="00B277FC"/>
    <w:rsid w:val="00B32726"/>
    <w:rsid w:val="00B3712B"/>
    <w:rsid w:val="00B41FBD"/>
    <w:rsid w:val="00B42DA4"/>
    <w:rsid w:val="00B42E73"/>
    <w:rsid w:val="00B435BA"/>
    <w:rsid w:val="00B4375D"/>
    <w:rsid w:val="00B44A53"/>
    <w:rsid w:val="00B47B28"/>
    <w:rsid w:val="00B47F1F"/>
    <w:rsid w:val="00B50C98"/>
    <w:rsid w:val="00B50F7F"/>
    <w:rsid w:val="00B51303"/>
    <w:rsid w:val="00B51E7C"/>
    <w:rsid w:val="00B52035"/>
    <w:rsid w:val="00B53A45"/>
    <w:rsid w:val="00B54F28"/>
    <w:rsid w:val="00B62D9B"/>
    <w:rsid w:val="00B6389E"/>
    <w:rsid w:val="00B65652"/>
    <w:rsid w:val="00B70123"/>
    <w:rsid w:val="00B71B0C"/>
    <w:rsid w:val="00B72243"/>
    <w:rsid w:val="00B72F1A"/>
    <w:rsid w:val="00B73C4F"/>
    <w:rsid w:val="00B762C0"/>
    <w:rsid w:val="00B76F2B"/>
    <w:rsid w:val="00B805C6"/>
    <w:rsid w:val="00B81E3A"/>
    <w:rsid w:val="00B82841"/>
    <w:rsid w:val="00B84157"/>
    <w:rsid w:val="00B91B0A"/>
    <w:rsid w:val="00B92183"/>
    <w:rsid w:val="00B9435A"/>
    <w:rsid w:val="00B9438D"/>
    <w:rsid w:val="00B9532D"/>
    <w:rsid w:val="00B960D4"/>
    <w:rsid w:val="00B9635C"/>
    <w:rsid w:val="00BA0AE6"/>
    <w:rsid w:val="00BA78B5"/>
    <w:rsid w:val="00BA7D78"/>
    <w:rsid w:val="00BB1DEC"/>
    <w:rsid w:val="00BB2282"/>
    <w:rsid w:val="00BB2D49"/>
    <w:rsid w:val="00BB49A1"/>
    <w:rsid w:val="00BB5187"/>
    <w:rsid w:val="00BB59C7"/>
    <w:rsid w:val="00BB6624"/>
    <w:rsid w:val="00BB6D58"/>
    <w:rsid w:val="00BC0E3C"/>
    <w:rsid w:val="00BC285A"/>
    <w:rsid w:val="00BC364B"/>
    <w:rsid w:val="00BC5738"/>
    <w:rsid w:val="00BC673C"/>
    <w:rsid w:val="00BC747F"/>
    <w:rsid w:val="00BC78F6"/>
    <w:rsid w:val="00BD2B38"/>
    <w:rsid w:val="00BD3207"/>
    <w:rsid w:val="00BD4497"/>
    <w:rsid w:val="00BE1E63"/>
    <w:rsid w:val="00BE3D25"/>
    <w:rsid w:val="00BE515C"/>
    <w:rsid w:val="00BF0AC6"/>
    <w:rsid w:val="00BF0CCF"/>
    <w:rsid w:val="00BF0F2B"/>
    <w:rsid w:val="00BF1A26"/>
    <w:rsid w:val="00BF386D"/>
    <w:rsid w:val="00BF7579"/>
    <w:rsid w:val="00C0063C"/>
    <w:rsid w:val="00C01D9E"/>
    <w:rsid w:val="00C01E22"/>
    <w:rsid w:val="00C039AB"/>
    <w:rsid w:val="00C04448"/>
    <w:rsid w:val="00C0483B"/>
    <w:rsid w:val="00C04C03"/>
    <w:rsid w:val="00C06830"/>
    <w:rsid w:val="00C06BF0"/>
    <w:rsid w:val="00C06DAF"/>
    <w:rsid w:val="00C06F2E"/>
    <w:rsid w:val="00C071BF"/>
    <w:rsid w:val="00C07219"/>
    <w:rsid w:val="00C13908"/>
    <w:rsid w:val="00C1614C"/>
    <w:rsid w:val="00C21D0C"/>
    <w:rsid w:val="00C22AD4"/>
    <w:rsid w:val="00C2348A"/>
    <w:rsid w:val="00C31239"/>
    <w:rsid w:val="00C33758"/>
    <w:rsid w:val="00C33D83"/>
    <w:rsid w:val="00C35CE7"/>
    <w:rsid w:val="00C369EA"/>
    <w:rsid w:val="00C36D21"/>
    <w:rsid w:val="00C36DA3"/>
    <w:rsid w:val="00C4226D"/>
    <w:rsid w:val="00C46606"/>
    <w:rsid w:val="00C47441"/>
    <w:rsid w:val="00C52ADB"/>
    <w:rsid w:val="00C5302B"/>
    <w:rsid w:val="00C53A14"/>
    <w:rsid w:val="00C53F31"/>
    <w:rsid w:val="00C549A0"/>
    <w:rsid w:val="00C55854"/>
    <w:rsid w:val="00C56AE8"/>
    <w:rsid w:val="00C60486"/>
    <w:rsid w:val="00C6123B"/>
    <w:rsid w:val="00C61C06"/>
    <w:rsid w:val="00C63F99"/>
    <w:rsid w:val="00C66C7B"/>
    <w:rsid w:val="00C721AE"/>
    <w:rsid w:val="00C728F4"/>
    <w:rsid w:val="00C729EB"/>
    <w:rsid w:val="00C72BF1"/>
    <w:rsid w:val="00C75461"/>
    <w:rsid w:val="00C75962"/>
    <w:rsid w:val="00C75D6A"/>
    <w:rsid w:val="00C761C2"/>
    <w:rsid w:val="00C76B58"/>
    <w:rsid w:val="00C76D5D"/>
    <w:rsid w:val="00C7774F"/>
    <w:rsid w:val="00C80593"/>
    <w:rsid w:val="00C82BAA"/>
    <w:rsid w:val="00C857B3"/>
    <w:rsid w:val="00C85E23"/>
    <w:rsid w:val="00C8640F"/>
    <w:rsid w:val="00C908CE"/>
    <w:rsid w:val="00C93139"/>
    <w:rsid w:val="00C93721"/>
    <w:rsid w:val="00C95C47"/>
    <w:rsid w:val="00CA78B2"/>
    <w:rsid w:val="00CB053C"/>
    <w:rsid w:val="00CB1F26"/>
    <w:rsid w:val="00CB24BF"/>
    <w:rsid w:val="00CB2AE6"/>
    <w:rsid w:val="00CB2DDC"/>
    <w:rsid w:val="00CB428D"/>
    <w:rsid w:val="00CB688E"/>
    <w:rsid w:val="00CC2164"/>
    <w:rsid w:val="00CD1E68"/>
    <w:rsid w:val="00CD4A60"/>
    <w:rsid w:val="00CE011B"/>
    <w:rsid w:val="00CE7CD5"/>
    <w:rsid w:val="00CF0859"/>
    <w:rsid w:val="00CF2E92"/>
    <w:rsid w:val="00CF49C8"/>
    <w:rsid w:val="00CF650A"/>
    <w:rsid w:val="00D0292C"/>
    <w:rsid w:val="00D04242"/>
    <w:rsid w:val="00D06658"/>
    <w:rsid w:val="00D06A64"/>
    <w:rsid w:val="00D0721B"/>
    <w:rsid w:val="00D07DC4"/>
    <w:rsid w:val="00D101CA"/>
    <w:rsid w:val="00D13925"/>
    <w:rsid w:val="00D13FCC"/>
    <w:rsid w:val="00D16518"/>
    <w:rsid w:val="00D16DA5"/>
    <w:rsid w:val="00D16F85"/>
    <w:rsid w:val="00D1767C"/>
    <w:rsid w:val="00D23544"/>
    <w:rsid w:val="00D23A7A"/>
    <w:rsid w:val="00D266CE"/>
    <w:rsid w:val="00D40B79"/>
    <w:rsid w:val="00D40D6E"/>
    <w:rsid w:val="00D4206C"/>
    <w:rsid w:val="00D42271"/>
    <w:rsid w:val="00D4322C"/>
    <w:rsid w:val="00D43776"/>
    <w:rsid w:val="00D43F8A"/>
    <w:rsid w:val="00D45945"/>
    <w:rsid w:val="00D45B84"/>
    <w:rsid w:val="00D46C04"/>
    <w:rsid w:val="00D46E2B"/>
    <w:rsid w:val="00D47040"/>
    <w:rsid w:val="00D504CC"/>
    <w:rsid w:val="00D50ED6"/>
    <w:rsid w:val="00D60245"/>
    <w:rsid w:val="00D632A3"/>
    <w:rsid w:val="00D63E94"/>
    <w:rsid w:val="00D64B6D"/>
    <w:rsid w:val="00D650CE"/>
    <w:rsid w:val="00D66944"/>
    <w:rsid w:val="00D6799D"/>
    <w:rsid w:val="00D67A80"/>
    <w:rsid w:val="00D71EF9"/>
    <w:rsid w:val="00D7564A"/>
    <w:rsid w:val="00D75EED"/>
    <w:rsid w:val="00D770D2"/>
    <w:rsid w:val="00D80A94"/>
    <w:rsid w:val="00D81D58"/>
    <w:rsid w:val="00D82B86"/>
    <w:rsid w:val="00D850C1"/>
    <w:rsid w:val="00D87CB9"/>
    <w:rsid w:val="00D9092A"/>
    <w:rsid w:val="00D95208"/>
    <w:rsid w:val="00D952A3"/>
    <w:rsid w:val="00DA04EB"/>
    <w:rsid w:val="00DA0990"/>
    <w:rsid w:val="00DA2E69"/>
    <w:rsid w:val="00DA32E9"/>
    <w:rsid w:val="00DA339B"/>
    <w:rsid w:val="00DA4A94"/>
    <w:rsid w:val="00DA5364"/>
    <w:rsid w:val="00DA5E3E"/>
    <w:rsid w:val="00DA72FF"/>
    <w:rsid w:val="00DB08A3"/>
    <w:rsid w:val="00DB1446"/>
    <w:rsid w:val="00DB3231"/>
    <w:rsid w:val="00DB476C"/>
    <w:rsid w:val="00DB5A49"/>
    <w:rsid w:val="00DB6F06"/>
    <w:rsid w:val="00DB750D"/>
    <w:rsid w:val="00DC0535"/>
    <w:rsid w:val="00DC0B91"/>
    <w:rsid w:val="00DC2704"/>
    <w:rsid w:val="00DC3EC5"/>
    <w:rsid w:val="00DC5079"/>
    <w:rsid w:val="00DC713E"/>
    <w:rsid w:val="00DC7655"/>
    <w:rsid w:val="00DD0044"/>
    <w:rsid w:val="00DD065A"/>
    <w:rsid w:val="00DD211F"/>
    <w:rsid w:val="00DD41DF"/>
    <w:rsid w:val="00DD4C1F"/>
    <w:rsid w:val="00DD5057"/>
    <w:rsid w:val="00DD6EFD"/>
    <w:rsid w:val="00DE0863"/>
    <w:rsid w:val="00DE0F8F"/>
    <w:rsid w:val="00DE138D"/>
    <w:rsid w:val="00DE173A"/>
    <w:rsid w:val="00DE22DD"/>
    <w:rsid w:val="00DE3D10"/>
    <w:rsid w:val="00DE3D1D"/>
    <w:rsid w:val="00DE3DCD"/>
    <w:rsid w:val="00DE5CD5"/>
    <w:rsid w:val="00DE6FF3"/>
    <w:rsid w:val="00DE7EB7"/>
    <w:rsid w:val="00DF1AC2"/>
    <w:rsid w:val="00DF3EE1"/>
    <w:rsid w:val="00DF4BD1"/>
    <w:rsid w:val="00DF4C76"/>
    <w:rsid w:val="00DF5189"/>
    <w:rsid w:val="00DF756E"/>
    <w:rsid w:val="00DF7A6F"/>
    <w:rsid w:val="00E0068D"/>
    <w:rsid w:val="00E11C6D"/>
    <w:rsid w:val="00E1287D"/>
    <w:rsid w:val="00E13C88"/>
    <w:rsid w:val="00E1427E"/>
    <w:rsid w:val="00E156D9"/>
    <w:rsid w:val="00E15A2E"/>
    <w:rsid w:val="00E17CAE"/>
    <w:rsid w:val="00E21D35"/>
    <w:rsid w:val="00E23767"/>
    <w:rsid w:val="00E24552"/>
    <w:rsid w:val="00E266AE"/>
    <w:rsid w:val="00E26936"/>
    <w:rsid w:val="00E30552"/>
    <w:rsid w:val="00E30663"/>
    <w:rsid w:val="00E31CC0"/>
    <w:rsid w:val="00E320FC"/>
    <w:rsid w:val="00E353DC"/>
    <w:rsid w:val="00E35C28"/>
    <w:rsid w:val="00E37555"/>
    <w:rsid w:val="00E43702"/>
    <w:rsid w:val="00E501EF"/>
    <w:rsid w:val="00E52B29"/>
    <w:rsid w:val="00E55E14"/>
    <w:rsid w:val="00E56777"/>
    <w:rsid w:val="00E57012"/>
    <w:rsid w:val="00E57FF5"/>
    <w:rsid w:val="00E60332"/>
    <w:rsid w:val="00E6083C"/>
    <w:rsid w:val="00E623A9"/>
    <w:rsid w:val="00E62E7A"/>
    <w:rsid w:val="00E661AC"/>
    <w:rsid w:val="00E718A6"/>
    <w:rsid w:val="00E71DBE"/>
    <w:rsid w:val="00E73279"/>
    <w:rsid w:val="00E74B3F"/>
    <w:rsid w:val="00E765CB"/>
    <w:rsid w:val="00E76C2F"/>
    <w:rsid w:val="00E77111"/>
    <w:rsid w:val="00E81B37"/>
    <w:rsid w:val="00E8336E"/>
    <w:rsid w:val="00E83FFA"/>
    <w:rsid w:val="00E843ED"/>
    <w:rsid w:val="00E8464C"/>
    <w:rsid w:val="00E84FFB"/>
    <w:rsid w:val="00E85A3F"/>
    <w:rsid w:val="00E85D2B"/>
    <w:rsid w:val="00E87DA4"/>
    <w:rsid w:val="00E9009E"/>
    <w:rsid w:val="00E900BA"/>
    <w:rsid w:val="00E90DB1"/>
    <w:rsid w:val="00E92881"/>
    <w:rsid w:val="00E93312"/>
    <w:rsid w:val="00E9335F"/>
    <w:rsid w:val="00E93D7D"/>
    <w:rsid w:val="00E9571D"/>
    <w:rsid w:val="00E96EB8"/>
    <w:rsid w:val="00EA24DD"/>
    <w:rsid w:val="00EA2552"/>
    <w:rsid w:val="00EA2903"/>
    <w:rsid w:val="00EA4A89"/>
    <w:rsid w:val="00EA4CA7"/>
    <w:rsid w:val="00EA653C"/>
    <w:rsid w:val="00EA6FE5"/>
    <w:rsid w:val="00EA7792"/>
    <w:rsid w:val="00EA77BC"/>
    <w:rsid w:val="00EB0140"/>
    <w:rsid w:val="00EB2959"/>
    <w:rsid w:val="00EB3F3B"/>
    <w:rsid w:val="00EB4884"/>
    <w:rsid w:val="00EB501D"/>
    <w:rsid w:val="00EB5B64"/>
    <w:rsid w:val="00EC20EC"/>
    <w:rsid w:val="00ED2BB5"/>
    <w:rsid w:val="00ED357E"/>
    <w:rsid w:val="00ED40BF"/>
    <w:rsid w:val="00ED40D2"/>
    <w:rsid w:val="00EE107B"/>
    <w:rsid w:val="00EE13D9"/>
    <w:rsid w:val="00EE2954"/>
    <w:rsid w:val="00EE4599"/>
    <w:rsid w:val="00EE4648"/>
    <w:rsid w:val="00EE47DA"/>
    <w:rsid w:val="00EE5C16"/>
    <w:rsid w:val="00EE75F8"/>
    <w:rsid w:val="00EF322D"/>
    <w:rsid w:val="00EF3AAC"/>
    <w:rsid w:val="00EF5D1A"/>
    <w:rsid w:val="00EF707A"/>
    <w:rsid w:val="00F00C5B"/>
    <w:rsid w:val="00F014DF"/>
    <w:rsid w:val="00F01E87"/>
    <w:rsid w:val="00F02F60"/>
    <w:rsid w:val="00F036EA"/>
    <w:rsid w:val="00F04A46"/>
    <w:rsid w:val="00F0517D"/>
    <w:rsid w:val="00F07BF0"/>
    <w:rsid w:val="00F14103"/>
    <w:rsid w:val="00F14344"/>
    <w:rsid w:val="00F14CA1"/>
    <w:rsid w:val="00F205B4"/>
    <w:rsid w:val="00F209FC"/>
    <w:rsid w:val="00F21124"/>
    <w:rsid w:val="00F21315"/>
    <w:rsid w:val="00F2415F"/>
    <w:rsid w:val="00F24360"/>
    <w:rsid w:val="00F25AB7"/>
    <w:rsid w:val="00F26ACF"/>
    <w:rsid w:val="00F31306"/>
    <w:rsid w:val="00F3163C"/>
    <w:rsid w:val="00F31CED"/>
    <w:rsid w:val="00F3654F"/>
    <w:rsid w:val="00F368CD"/>
    <w:rsid w:val="00F40D92"/>
    <w:rsid w:val="00F40E96"/>
    <w:rsid w:val="00F40EA7"/>
    <w:rsid w:val="00F41141"/>
    <w:rsid w:val="00F41BEE"/>
    <w:rsid w:val="00F43075"/>
    <w:rsid w:val="00F437B0"/>
    <w:rsid w:val="00F44A76"/>
    <w:rsid w:val="00F463D4"/>
    <w:rsid w:val="00F51A57"/>
    <w:rsid w:val="00F529D7"/>
    <w:rsid w:val="00F52E61"/>
    <w:rsid w:val="00F55896"/>
    <w:rsid w:val="00F6065C"/>
    <w:rsid w:val="00F6096D"/>
    <w:rsid w:val="00F63594"/>
    <w:rsid w:val="00F63D2B"/>
    <w:rsid w:val="00F64615"/>
    <w:rsid w:val="00F67BDA"/>
    <w:rsid w:val="00F71064"/>
    <w:rsid w:val="00F74239"/>
    <w:rsid w:val="00F745CE"/>
    <w:rsid w:val="00F74659"/>
    <w:rsid w:val="00F77035"/>
    <w:rsid w:val="00F779C8"/>
    <w:rsid w:val="00F83369"/>
    <w:rsid w:val="00F83F97"/>
    <w:rsid w:val="00F83FFD"/>
    <w:rsid w:val="00F845EF"/>
    <w:rsid w:val="00F87289"/>
    <w:rsid w:val="00F92580"/>
    <w:rsid w:val="00F92A04"/>
    <w:rsid w:val="00F93CA1"/>
    <w:rsid w:val="00F9693E"/>
    <w:rsid w:val="00F96DB4"/>
    <w:rsid w:val="00F9752E"/>
    <w:rsid w:val="00FA048B"/>
    <w:rsid w:val="00FA1430"/>
    <w:rsid w:val="00FA1B86"/>
    <w:rsid w:val="00FA27B6"/>
    <w:rsid w:val="00FA3873"/>
    <w:rsid w:val="00FA48BD"/>
    <w:rsid w:val="00FA51F5"/>
    <w:rsid w:val="00FA5BB8"/>
    <w:rsid w:val="00FA6C94"/>
    <w:rsid w:val="00FB1CA6"/>
    <w:rsid w:val="00FB43B4"/>
    <w:rsid w:val="00FB627D"/>
    <w:rsid w:val="00FB6CC4"/>
    <w:rsid w:val="00FD4FD6"/>
    <w:rsid w:val="00FD5857"/>
    <w:rsid w:val="00FD643E"/>
    <w:rsid w:val="00FE2D63"/>
    <w:rsid w:val="00FE3427"/>
    <w:rsid w:val="00FE357C"/>
    <w:rsid w:val="00FE367C"/>
    <w:rsid w:val="00FE3829"/>
    <w:rsid w:val="00FE49EA"/>
    <w:rsid w:val="00FE5395"/>
    <w:rsid w:val="00FE6977"/>
    <w:rsid w:val="00FF2EC9"/>
    <w:rsid w:val="00FF2FAD"/>
    <w:rsid w:val="00FF4C46"/>
    <w:rsid w:val="00FF5EA8"/>
    <w:rsid w:val="00FF7E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872158"/>
    <w:pPr>
      <w:ind w:left="720"/>
      <w:contextualSpacing/>
    </w:pPr>
  </w:style>
  <w:style w:type="paragraph" w:styleId="Footer">
    <w:name w:val="footer"/>
    <w:basedOn w:val="Normal"/>
    <w:link w:val="FooterChar"/>
    <w:uiPriority w:val="99"/>
    <w:unhideWhenUsed/>
    <w:rsid w:val="0087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58"/>
  </w:style>
  <w:style w:type="character" w:styleId="Hyperlink">
    <w:name w:val="Hyperlink"/>
    <w:basedOn w:val="DefaultParagraphFont"/>
    <w:uiPriority w:val="99"/>
    <w:unhideWhenUsed/>
    <w:rsid w:val="00872158"/>
    <w:rPr>
      <w:color w:val="0000FF" w:themeColor="hyperlink"/>
      <w:u w:val="single"/>
    </w:rPr>
  </w:style>
  <w:style w:type="paragraph" w:styleId="BodyText">
    <w:name w:val="Body Text"/>
    <w:basedOn w:val="Normal"/>
    <w:link w:val="BodyTextChar"/>
    <w:rsid w:val="00872158"/>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87215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2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B0"/>
    <w:rPr>
      <w:rFonts w:ascii="Tahoma" w:hAnsi="Tahoma" w:cs="Tahoma"/>
      <w:sz w:val="16"/>
      <w:szCs w:val="16"/>
    </w:rPr>
  </w:style>
  <w:style w:type="paragraph" w:styleId="NormalWeb">
    <w:name w:val="Normal (Web)"/>
    <w:basedOn w:val="Normal"/>
    <w:uiPriority w:val="99"/>
    <w:unhideWhenUsed/>
    <w:rsid w:val="007511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751114"/>
    <w:pPr>
      <w:numPr>
        <w:ilvl w:val="1"/>
      </w:numPr>
      <w:spacing w:after="160" w:line="259" w:lineRule="auto"/>
    </w:pPr>
    <w:rPr>
      <w:color w:val="5A5A5A" w:themeColor="text1" w:themeTint="A5"/>
      <w:spacing w:val="15"/>
      <w:lang w:val="en-US" w:eastAsia="en-US"/>
    </w:rPr>
  </w:style>
  <w:style w:type="character" w:customStyle="1" w:styleId="SubtitleChar">
    <w:name w:val="Subtitle Char"/>
    <w:basedOn w:val="DefaultParagraphFont"/>
    <w:link w:val="Subtitle"/>
    <w:uiPriority w:val="11"/>
    <w:rsid w:val="00751114"/>
    <w:rPr>
      <w:color w:val="5A5A5A" w:themeColor="text1" w:themeTint="A5"/>
      <w:spacing w:val="15"/>
      <w:lang w:val="en-US" w:eastAsia="en-US"/>
    </w:rPr>
  </w:style>
  <w:style w:type="character" w:customStyle="1" w:styleId="ListParagraphChar">
    <w:name w:val="List Paragraph Char"/>
    <w:aliases w:val="List Paragraph 1 Char,Bullets Char,Table of contents numbered Char,footer text Char"/>
    <w:link w:val="ListParagraph"/>
    <w:uiPriority w:val="34"/>
    <w:locked/>
    <w:rsid w:val="00906CF1"/>
  </w:style>
  <w:style w:type="paragraph" w:styleId="Revision">
    <w:name w:val="Revision"/>
    <w:hidden/>
    <w:uiPriority w:val="99"/>
    <w:semiHidden/>
    <w:rsid w:val="007B2436"/>
    <w:pPr>
      <w:spacing w:after="0" w:line="240" w:lineRule="auto"/>
    </w:pPr>
  </w:style>
  <w:style w:type="paragraph" w:styleId="FootnoteText">
    <w:name w:val="footnote text"/>
    <w:basedOn w:val="Normal"/>
    <w:link w:val="FootnoteTextChar"/>
    <w:uiPriority w:val="99"/>
    <w:rsid w:val="00A27714"/>
    <w:pPr>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basedOn w:val="DefaultParagraphFont"/>
    <w:link w:val="FootnoteText"/>
    <w:uiPriority w:val="99"/>
    <w:rsid w:val="00A27714"/>
    <w:rPr>
      <w:rFonts w:ascii="Times New Roman" w:eastAsia="Times New Roman" w:hAnsi="Times New Roman" w:cs="Times New Roman"/>
      <w:sz w:val="20"/>
      <w:szCs w:val="20"/>
      <w:lang w:val="en-US" w:eastAsia="x-none"/>
    </w:rPr>
  </w:style>
  <w:style w:type="character" w:styleId="FootnoteReference">
    <w:name w:val="footnote reference"/>
    <w:uiPriority w:val="99"/>
    <w:rsid w:val="00A27714"/>
    <w:rPr>
      <w:vertAlign w:val="superscript"/>
    </w:rPr>
  </w:style>
  <w:style w:type="paragraph" w:styleId="Header">
    <w:name w:val="header"/>
    <w:basedOn w:val="Normal"/>
    <w:link w:val="HeaderChar"/>
    <w:uiPriority w:val="99"/>
    <w:unhideWhenUsed/>
    <w:rsid w:val="00A2771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7714"/>
    <w:rPr>
      <w:rFonts w:eastAsiaTheme="minorHAnsi"/>
      <w:lang w:eastAsia="en-US"/>
    </w:rPr>
  </w:style>
  <w:style w:type="table" w:styleId="TableGrid">
    <w:name w:val="Table Grid"/>
    <w:basedOn w:val="TableNormal"/>
    <w:uiPriority w:val="39"/>
    <w:rsid w:val="00A277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714"/>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A27714"/>
    <w:rPr>
      <w:i/>
      <w:iCs/>
    </w:rPr>
  </w:style>
  <w:style w:type="character" w:styleId="CommentReference">
    <w:name w:val="annotation reference"/>
    <w:basedOn w:val="DefaultParagraphFont"/>
    <w:rsid w:val="00A27714"/>
    <w:rPr>
      <w:sz w:val="16"/>
      <w:szCs w:val="16"/>
    </w:rPr>
  </w:style>
  <w:style w:type="paragraph" w:styleId="CommentText">
    <w:name w:val="annotation text"/>
    <w:basedOn w:val="Normal"/>
    <w:link w:val="CommentTextChar"/>
    <w:uiPriority w:val="99"/>
    <w:semiHidden/>
    <w:unhideWhenUsed/>
    <w:rsid w:val="00215BCA"/>
    <w:pPr>
      <w:spacing w:line="240" w:lineRule="auto"/>
    </w:pPr>
    <w:rPr>
      <w:sz w:val="20"/>
      <w:szCs w:val="20"/>
    </w:rPr>
  </w:style>
  <w:style w:type="character" w:customStyle="1" w:styleId="CommentTextChar">
    <w:name w:val="Comment Text Char"/>
    <w:basedOn w:val="DefaultParagraphFont"/>
    <w:link w:val="CommentText"/>
    <w:uiPriority w:val="99"/>
    <w:semiHidden/>
    <w:rsid w:val="00215BCA"/>
    <w:rPr>
      <w:sz w:val="20"/>
      <w:szCs w:val="20"/>
    </w:rPr>
  </w:style>
  <w:style w:type="paragraph" w:styleId="CommentSubject">
    <w:name w:val="annotation subject"/>
    <w:basedOn w:val="CommentText"/>
    <w:next w:val="CommentText"/>
    <w:link w:val="CommentSubjectChar"/>
    <w:uiPriority w:val="99"/>
    <w:semiHidden/>
    <w:unhideWhenUsed/>
    <w:rsid w:val="00215BCA"/>
    <w:rPr>
      <w:b/>
      <w:bCs/>
    </w:rPr>
  </w:style>
  <w:style w:type="character" w:customStyle="1" w:styleId="CommentSubjectChar">
    <w:name w:val="Comment Subject Char"/>
    <w:basedOn w:val="CommentTextChar"/>
    <w:link w:val="CommentSubject"/>
    <w:uiPriority w:val="99"/>
    <w:semiHidden/>
    <w:rsid w:val="00215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872158"/>
    <w:pPr>
      <w:ind w:left="720"/>
      <w:contextualSpacing/>
    </w:pPr>
  </w:style>
  <w:style w:type="paragraph" w:styleId="Footer">
    <w:name w:val="footer"/>
    <w:basedOn w:val="Normal"/>
    <w:link w:val="FooterChar"/>
    <w:uiPriority w:val="99"/>
    <w:unhideWhenUsed/>
    <w:rsid w:val="0087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58"/>
  </w:style>
  <w:style w:type="character" w:styleId="Hyperlink">
    <w:name w:val="Hyperlink"/>
    <w:basedOn w:val="DefaultParagraphFont"/>
    <w:uiPriority w:val="99"/>
    <w:unhideWhenUsed/>
    <w:rsid w:val="00872158"/>
    <w:rPr>
      <w:color w:val="0000FF" w:themeColor="hyperlink"/>
      <w:u w:val="single"/>
    </w:rPr>
  </w:style>
  <w:style w:type="paragraph" w:styleId="BodyText">
    <w:name w:val="Body Text"/>
    <w:basedOn w:val="Normal"/>
    <w:link w:val="BodyTextChar"/>
    <w:rsid w:val="00872158"/>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87215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2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B0"/>
    <w:rPr>
      <w:rFonts w:ascii="Tahoma" w:hAnsi="Tahoma" w:cs="Tahoma"/>
      <w:sz w:val="16"/>
      <w:szCs w:val="16"/>
    </w:rPr>
  </w:style>
  <w:style w:type="paragraph" w:styleId="NormalWeb">
    <w:name w:val="Normal (Web)"/>
    <w:basedOn w:val="Normal"/>
    <w:uiPriority w:val="99"/>
    <w:unhideWhenUsed/>
    <w:rsid w:val="007511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751114"/>
    <w:pPr>
      <w:numPr>
        <w:ilvl w:val="1"/>
      </w:numPr>
      <w:spacing w:after="160" w:line="259" w:lineRule="auto"/>
    </w:pPr>
    <w:rPr>
      <w:color w:val="5A5A5A" w:themeColor="text1" w:themeTint="A5"/>
      <w:spacing w:val="15"/>
      <w:lang w:val="en-US" w:eastAsia="en-US"/>
    </w:rPr>
  </w:style>
  <w:style w:type="character" w:customStyle="1" w:styleId="SubtitleChar">
    <w:name w:val="Subtitle Char"/>
    <w:basedOn w:val="DefaultParagraphFont"/>
    <w:link w:val="Subtitle"/>
    <w:uiPriority w:val="11"/>
    <w:rsid w:val="00751114"/>
    <w:rPr>
      <w:color w:val="5A5A5A" w:themeColor="text1" w:themeTint="A5"/>
      <w:spacing w:val="15"/>
      <w:lang w:val="en-US" w:eastAsia="en-US"/>
    </w:rPr>
  </w:style>
  <w:style w:type="character" w:customStyle="1" w:styleId="ListParagraphChar">
    <w:name w:val="List Paragraph Char"/>
    <w:aliases w:val="List Paragraph 1 Char,Bullets Char,Table of contents numbered Char,footer text Char"/>
    <w:link w:val="ListParagraph"/>
    <w:uiPriority w:val="34"/>
    <w:locked/>
    <w:rsid w:val="00906CF1"/>
  </w:style>
  <w:style w:type="paragraph" w:styleId="Revision">
    <w:name w:val="Revision"/>
    <w:hidden/>
    <w:uiPriority w:val="99"/>
    <w:semiHidden/>
    <w:rsid w:val="007B2436"/>
    <w:pPr>
      <w:spacing w:after="0" w:line="240" w:lineRule="auto"/>
    </w:pPr>
  </w:style>
  <w:style w:type="paragraph" w:styleId="FootnoteText">
    <w:name w:val="footnote text"/>
    <w:basedOn w:val="Normal"/>
    <w:link w:val="FootnoteTextChar"/>
    <w:uiPriority w:val="99"/>
    <w:rsid w:val="00A27714"/>
    <w:pPr>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basedOn w:val="DefaultParagraphFont"/>
    <w:link w:val="FootnoteText"/>
    <w:uiPriority w:val="99"/>
    <w:rsid w:val="00A27714"/>
    <w:rPr>
      <w:rFonts w:ascii="Times New Roman" w:eastAsia="Times New Roman" w:hAnsi="Times New Roman" w:cs="Times New Roman"/>
      <w:sz w:val="20"/>
      <w:szCs w:val="20"/>
      <w:lang w:val="en-US" w:eastAsia="x-none"/>
    </w:rPr>
  </w:style>
  <w:style w:type="character" w:styleId="FootnoteReference">
    <w:name w:val="footnote reference"/>
    <w:uiPriority w:val="99"/>
    <w:rsid w:val="00A27714"/>
    <w:rPr>
      <w:vertAlign w:val="superscript"/>
    </w:rPr>
  </w:style>
  <w:style w:type="paragraph" w:styleId="Header">
    <w:name w:val="header"/>
    <w:basedOn w:val="Normal"/>
    <w:link w:val="HeaderChar"/>
    <w:uiPriority w:val="99"/>
    <w:unhideWhenUsed/>
    <w:rsid w:val="00A2771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7714"/>
    <w:rPr>
      <w:rFonts w:eastAsiaTheme="minorHAnsi"/>
      <w:lang w:eastAsia="en-US"/>
    </w:rPr>
  </w:style>
  <w:style w:type="table" w:styleId="TableGrid">
    <w:name w:val="Table Grid"/>
    <w:basedOn w:val="TableNormal"/>
    <w:uiPriority w:val="39"/>
    <w:rsid w:val="00A277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714"/>
    <w:pPr>
      <w:autoSpaceDE w:val="0"/>
      <w:autoSpaceDN w:val="0"/>
      <w:adjustRightInd w:val="0"/>
      <w:spacing w:after="0" w:line="240" w:lineRule="auto"/>
    </w:pPr>
    <w:rPr>
      <w:rFonts w:ascii="Arial" w:eastAsia="Calibri" w:hAnsi="Arial" w:cs="Arial"/>
      <w:color w:val="000000"/>
      <w:sz w:val="24"/>
      <w:szCs w:val="24"/>
      <w:lang w:eastAsia="en-US"/>
    </w:rPr>
  </w:style>
  <w:style w:type="character" w:styleId="Emphasis">
    <w:name w:val="Emphasis"/>
    <w:uiPriority w:val="20"/>
    <w:qFormat/>
    <w:rsid w:val="00A27714"/>
    <w:rPr>
      <w:i/>
      <w:iCs/>
    </w:rPr>
  </w:style>
  <w:style w:type="character" w:styleId="CommentReference">
    <w:name w:val="annotation reference"/>
    <w:basedOn w:val="DefaultParagraphFont"/>
    <w:rsid w:val="00A27714"/>
    <w:rPr>
      <w:sz w:val="16"/>
      <w:szCs w:val="16"/>
    </w:rPr>
  </w:style>
  <w:style w:type="paragraph" w:styleId="CommentText">
    <w:name w:val="annotation text"/>
    <w:basedOn w:val="Normal"/>
    <w:link w:val="CommentTextChar"/>
    <w:uiPriority w:val="99"/>
    <w:semiHidden/>
    <w:unhideWhenUsed/>
    <w:rsid w:val="00215BCA"/>
    <w:pPr>
      <w:spacing w:line="240" w:lineRule="auto"/>
    </w:pPr>
    <w:rPr>
      <w:sz w:val="20"/>
      <w:szCs w:val="20"/>
    </w:rPr>
  </w:style>
  <w:style w:type="character" w:customStyle="1" w:styleId="CommentTextChar">
    <w:name w:val="Comment Text Char"/>
    <w:basedOn w:val="DefaultParagraphFont"/>
    <w:link w:val="CommentText"/>
    <w:uiPriority w:val="99"/>
    <w:semiHidden/>
    <w:rsid w:val="00215BCA"/>
    <w:rPr>
      <w:sz w:val="20"/>
      <w:szCs w:val="20"/>
    </w:rPr>
  </w:style>
  <w:style w:type="paragraph" w:styleId="CommentSubject">
    <w:name w:val="annotation subject"/>
    <w:basedOn w:val="CommentText"/>
    <w:next w:val="CommentText"/>
    <w:link w:val="CommentSubjectChar"/>
    <w:uiPriority w:val="99"/>
    <w:semiHidden/>
    <w:unhideWhenUsed/>
    <w:rsid w:val="00215BCA"/>
    <w:rPr>
      <w:b/>
      <w:bCs/>
    </w:rPr>
  </w:style>
  <w:style w:type="character" w:customStyle="1" w:styleId="CommentSubjectChar">
    <w:name w:val="Comment Subject Char"/>
    <w:basedOn w:val="CommentTextChar"/>
    <w:link w:val="CommentSubject"/>
    <w:uiPriority w:val="99"/>
    <w:semiHidden/>
    <w:rsid w:val="00215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1514">
      <w:bodyDiv w:val="1"/>
      <w:marLeft w:val="0"/>
      <w:marRight w:val="0"/>
      <w:marTop w:val="0"/>
      <w:marBottom w:val="0"/>
      <w:divBdr>
        <w:top w:val="none" w:sz="0" w:space="0" w:color="auto"/>
        <w:left w:val="none" w:sz="0" w:space="0" w:color="auto"/>
        <w:bottom w:val="none" w:sz="0" w:space="0" w:color="auto"/>
        <w:right w:val="none" w:sz="0" w:space="0" w:color="auto"/>
      </w:divBdr>
    </w:div>
    <w:div w:id="200555966">
      <w:bodyDiv w:val="1"/>
      <w:marLeft w:val="0"/>
      <w:marRight w:val="0"/>
      <w:marTop w:val="0"/>
      <w:marBottom w:val="0"/>
      <w:divBdr>
        <w:top w:val="none" w:sz="0" w:space="0" w:color="auto"/>
        <w:left w:val="none" w:sz="0" w:space="0" w:color="auto"/>
        <w:bottom w:val="none" w:sz="0" w:space="0" w:color="auto"/>
        <w:right w:val="none" w:sz="0" w:space="0" w:color="auto"/>
      </w:divBdr>
    </w:div>
    <w:div w:id="1387996163">
      <w:bodyDiv w:val="1"/>
      <w:marLeft w:val="0"/>
      <w:marRight w:val="0"/>
      <w:marTop w:val="0"/>
      <w:marBottom w:val="0"/>
      <w:divBdr>
        <w:top w:val="none" w:sz="0" w:space="0" w:color="auto"/>
        <w:left w:val="none" w:sz="0" w:space="0" w:color="auto"/>
        <w:bottom w:val="none" w:sz="0" w:space="0" w:color="auto"/>
        <w:right w:val="none" w:sz="0" w:space="0" w:color="auto"/>
      </w:divBdr>
      <w:divsChild>
        <w:div w:id="1665085799">
          <w:marLeft w:val="547"/>
          <w:marRight w:val="0"/>
          <w:marTop w:val="134"/>
          <w:marBottom w:val="0"/>
          <w:divBdr>
            <w:top w:val="none" w:sz="0" w:space="0" w:color="auto"/>
            <w:left w:val="none" w:sz="0" w:space="0" w:color="auto"/>
            <w:bottom w:val="none" w:sz="0" w:space="0" w:color="auto"/>
            <w:right w:val="none" w:sz="0" w:space="0" w:color="auto"/>
          </w:divBdr>
        </w:div>
      </w:divsChild>
    </w:div>
    <w:div w:id="13942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1FEE-E59D-4914-8EE2-8AF8A243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11946</Words>
  <Characters>68095</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79882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 of South Africa</dc:creator>
  <cp:lastModifiedBy>Asanda</cp:lastModifiedBy>
  <cp:revision>2</cp:revision>
  <cp:lastPrinted>2017-05-12T11:10:00Z</cp:lastPrinted>
  <dcterms:created xsi:type="dcterms:W3CDTF">2017-05-16T08:49:00Z</dcterms:created>
  <dcterms:modified xsi:type="dcterms:W3CDTF">2017-05-16T08:49:00Z</dcterms:modified>
</cp:coreProperties>
</file>