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B9" w:rsidRPr="00F338B4" w:rsidRDefault="00AD3AB9" w:rsidP="00F338B4">
      <w:pPr>
        <w:pStyle w:val="Header"/>
        <w:spacing w:before="120" w:after="120"/>
        <w:ind w:left="720"/>
        <w:rPr>
          <w:bCs/>
          <w14:shadow w14:blurRad="50800" w14:dist="50800" w14:dir="5400000" w14:sx="2000" w14:sy="2000" w14:kx="0" w14:ky="0" w14:algn="ctr">
            <w14:srgbClr w14:val="000000">
              <w14:alpha w14:val="1000"/>
            </w14:srgbClr>
          </w14:shadow>
        </w:rPr>
      </w:pPr>
    </w:p>
    <w:p w:rsidR="00AD3AB9" w:rsidRPr="00F338B4" w:rsidRDefault="00AD3AB9" w:rsidP="00F338B4">
      <w:pPr>
        <w:pStyle w:val="Header"/>
        <w:spacing w:before="120" w:after="120"/>
        <w:ind w:left="720"/>
        <w:jc w:val="center"/>
        <w:rPr>
          <w:bCs/>
          <w14:shadow w14:blurRad="50800" w14:dist="50800" w14:dir="5400000" w14:sx="2000" w14:sy="2000" w14:kx="0" w14:ky="0" w14:algn="ctr">
            <w14:srgbClr w14:val="000000">
              <w14:alpha w14:val="1000"/>
            </w14:srgbClr>
          </w14:shadow>
        </w:rPr>
      </w:pPr>
    </w:p>
    <w:p w:rsidR="004A3289" w:rsidRPr="00F338B4" w:rsidRDefault="004A3289" w:rsidP="00F338B4">
      <w:pPr>
        <w:pStyle w:val="BodyText2"/>
        <w:spacing w:before="120" w:line="240" w:lineRule="auto"/>
        <w:rPr>
          <w:bCs/>
          <w:i/>
          <w:sz w:val="24"/>
          <w:lang w:val="en-US"/>
          <w14:shadow w14:blurRad="50800" w14:dist="50800" w14:dir="5400000" w14:sx="2000" w14:sy="2000" w14:kx="0" w14:ky="0" w14:algn="ctr">
            <w14:srgbClr w14:val="000000">
              <w14:alpha w14:val="1000"/>
            </w14:srgbClr>
          </w14:shadow>
        </w:rPr>
      </w:pPr>
      <w:r w:rsidRPr="00F338B4">
        <w:rPr>
          <w:bCs/>
          <w:i/>
          <w:sz w:val="24"/>
          <w:lang w:val="en-US"/>
          <w14:shadow w14:blurRad="50800" w14:dist="50800" w14:dir="5400000" w14:sx="2000" w14:sy="2000" w14:kx="0" w14:ky="0" w14:algn="ctr">
            <w14:srgbClr w14:val="000000">
              <w14:alpha w14:val="1000"/>
            </w14:srgbClr>
          </w14:shadow>
        </w:rPr>
        <w:t xml:space="preserve">The following report replaces the report of the Portfolio Committee on </w:t>
      </w:r>
      <w:r w:rsidR="00F338B4" w:rsidRPr="00F338B4">
        <w:rPr>
          <w:bCs/>
          <w:i/>
          <w:sz w:val="24"/>
          <w:lang w:val="en-US"/>
          <w14:shadow w14:blurRad="50800" w14:dist="50800" w14:dir="5400000" w14:sx="2000" w14:sy="2000" w14:kx="0" w14:ky="0" w14:algn="ctr">
            <w14:srgbClr w14:val="000000">
              <w14:alpha w14:val="1000"/>
            </w14:srgbClr>
          </w14:shadow>
        </w:rPr>
        <w:t>Human Settlements</w:t>
      </w:r>
      <w:r w:rsidRPr="00F338B4">
        <w:rPr>
          <w:bCs/>
          <w:i/>
          <w:sz w:val="24"/>
          <w:lang w:val="en-US"/>
          <w14:shadow w14:blurRad="50800" w14:dist="50800" w14:dir="5400000" w14:sx="2000" w14:sy="2000" w14:kx="0" w14:ky="0" w14:algn="ctr">
            <w14:srgbClr w14:val="000000">
              <w14:alpha w14:val="1000"/>
            </w14:srgbClr>
          </w14:shadow>
        </w:rPr>
        <w:t xml:space="preserve"> which was </w:t>
      </w:r>
      <w:r w:rsidR="00F338B4" w:rsidRPr="00F338B4">
        <w:rPr>
          <w:bCs/>
          <w:i/>
          <w:sz w:val="24"/>
          <w:lang w:val="en-US"/>
          <w14:shadow w14:blurRad="50800" w14:dist="50800" w14:dir="5400000" w14:sx="2000" w14:sy="2000" w14:kx="0" w14:ky="0" w14:algn="ctr">
            <w14:srgbClr w14:val="000000">
              <w14:alpha w14:val="1000"/>
            </w14:srgbClr>
          </w14:shadow>
        </w:rPr>
        <w:t>published page 27 in ATC No 56</w:t>
      </w:r>
      <w:r w:rsidRPr="00F338B4">
        <w:rPr>
          <w:bCs/>
          <w:i/>
          <w:sz w:val="24"/>
          <w:lang w:val="en-US"/>
          <w14:shadow w14:blurRad="50800" w14:dist="50800" w14:dir="5400000" w14:sx="2000" w14:sy="2000" w14:kx="0" w14:ky="0" w14:algn="ctr">
            <w14:srgbClr w14:val="000000">
              <w14:alpha w14:val="1000"/>
            </w14:srgbClr>
          </w14:shadow>
        </w:rPr>
        <w:t xml:space="preserve"> dated </w:t>
      </w:r>
      <w:r w:rsidR="00F338B4" w:rsidRPr="00F338B4">
        <w:rPr>
          <w:bCs/>
          <w:i/>
          <w:sz w:val="24"/>
          <w:lang w:val="en-US"/>
          <w14:shadow w14:blurRad="50800" w14:dist="50800" w14:dir="5400000" w14:sx="2000" w14:sy="2000" w14:kx="0" w14:ky="0" w14:algn="ctr">
            <w14:srgbClr w14:val="000000">
              <w14:alpha w14:val="1000"/>
            </w14:srgbClr>
          </w14:shadow>
        </w:rPr>
        <w:t>10 May 2017</w:t>
      </w:r>
      <w:r w:rsidRPr="00F338B4">
        <w:rPr>
          <w:bCs/>
          <w:i/>
          <w:sz w:val="24"/>
          <w:lang w:val="en-US"/>
          <w14:shadow w14:blurRad="50800" w14:dist="50800" w14:dir="5400000" w14:sx="2000" w14:sy="2000" w14:kx="0" w14:ky="0" w14:algn="ctr">
            <w14:srgbClr w14:val="000000">
              <w14:alpha w14:val="1000"/>
            </w14:srgbClr>
          </w14:shadow>
        </w:rPr>
        <w:t>.</w:t>
      </w:r>
    </w:p>
    <w:p w:rsidR="00AD3AB9" w:rsidRPr="00F338B4" w:rsidRDefault="00AD3AB9" w:rsidP="00F338B4">
      <w:pPr>
        <w:pStyle w:val="Header"/>
        <w:spacing w:before="120" w:after="120"/>
        <w:ind w:left="720"/>
        <w:jc w:val="center"/>
        <w:rPr>
          <w:bCs/>
          <w14:shadow w14:blurRad="50800" w14:dist="50800" w14:dir="5400000" w14:sx="2000" w14:sy="2000" w14:kx="0" w14:ky="0" w14:algn="ctr">
            <w14:srgbClr w14:val="000000">
              <w14:alpha w14:val="1000"/>
            </w14:srgbClr>
          </w14:shadow>
        </w:rPr>
      </w:pPr>
    </w:p>
    <w:p w:rsidR="00EF76B0" w:rsidRPr="00F338B4" w:rsidRDefault="00D0618E" w:rsidP="00D0618E">
      <w:pPr>
        <w:pStyle w:val="BodyText2"/>
        <w:spacing w:before="120" w:line="240" w:lineRule="auto"/>
        <w:ind w:left="-90" w:hanging="360"/>
        <w:rPr>
          <w:rFonts w:eastAsia="Times New Roman"/>
          <w:b/>
          <w:bCs/>
          <w:sz w:val="28"/>
          <w:szCs w:val="28"/>
          <w:lang w:val="en-US"/>
          <w14:shadow w14:blurRad="50800" w14:dist="50800" w14:dir="5400000" w14:sx="2000" w14:sy="2000" w14:kx="0" w14:ky="0" w14:algn="ctr">
            <w14:srgbClr w14:val="000000">
              <w14:alpha w14:val="1000"/>
            </w14:srgbClr>
          </w14:shadow>
        </w:rPr>
      </w:pPr>
      <w:r>
        <w:rPr>
          <w:rFonts w:eastAsia="Times New Roman"/>
          <w:b/>
          <w:bCs/>
          <w:sz w:val="28"/>
          <w:szCs w:val="28"/>
          <w:lang w:val="en-US" w:eastAsia="en-GB"/>
          <w14:shadow w14:blurRad="50800" w14:dist="50800" w14:dir="5400000" w14:sx="2000" w14:sy="2000" w14:kx="0" w14:ky="0" w14:algn="ctr">
            <w14:srgbClr w14:val="000000">
              <w14:alpha w14:val="1000"/>
            </w14:srgbClr>
          </w14:shadow>
        </w:rPr>
        <w:t>2</w:t>
      </w:r>
      <w:r>
        <w:rPr>
          <w:rFonts w:eastAsia="Times New Roman"/>
          <w:b/>
          <w:bCs/>
          <w:sz w:val="28"/>
          <w:szCs w:val="28"/>
          <w:lang w:val="en-US" w:eastAsia="en-GB"/>
          <w14:shadow w14:blurRad="50800" w14:dist="50800" w14:dir="5400000" w14:sx="2000" w14:sy="2000" w14:kx="0" w14:ky="0" w14:algn="ctr">
            <w14:srgbClr w14:val="000000">
              <w14:alpha w14:val="1000"/>
            </w14:srgbClr>
          </w14:shadow>
        </w:rPr>
        <w:tab/>
      </w:r>
      <w:r w:rsidR="00780A61"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R</w:t>
      </w:r>
      <w:r w:rsidR="00EF76B0"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eport of the Portfolio Committee on Human Settlements on Budget Vote 3</w:t>
      </w:r>
      <w:r w:rsidR="00864F65"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8</w:t>
      </w:r>
      <w:r w:rsidR="00E00FB9"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w:t>
      </w:r>
      <w:r w:rsidR="00EF76B0"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 Human Settlements</w:t>
      </w:r>
      <w:r w:rsidR="00E00FB9"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w:t>
      </w:r>
      <w:r w:rsidR="00142091"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 and on the </w:t>
      </w:r>
      <w:r w:rsidR="00893EBD"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s</w:t>
      </w:r>
      <w:r w:rsidR="00142091"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trategic </w:t>
      </w:r>
      <w:r w:rsidR="00893EBD"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p</w:t>
      </w:r>
      <w:r w:rsidR="00142091"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lan</w:t>
      </w:r>
      <w:r w:rsidR="00F64B90"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s</w:t>
      </w:r>
      <w:r w:rsidR="00AE6092"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 </w:t>
      </w:r>
      <w:r w:rsidR="005B4CCA"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for </w:t>
      </w:r>
      <w:r w:rsidR="00E00FB9"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the </w:t>
      </w:r>
      <w:r w:rsidR="005B4CCA"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coming Medium Term Expenditure Framework (MTEF) period </w:t>
      </w:r>
      <w:r w:rsidR="00233CBC"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and Annual Performance Plan </w:t>
      </w:r>
      <w:r w:rsidR="00826969"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2017/</w:t>
      </w:r>
      <w:r w:rsidR="00C60C7F"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18,</w:t>
      </w:r>
      <w:r w:rsidR="00C20D51"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 </w:t>
      </w:r>
      <w:r w:rsidR="003631FC"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 xml:space="preserve">dated </w:t>
      </w:r>
      <w:r w:rsidR="00C20D51" w:rsidRPr="00F338B4">
        <w:rPr>
          <w:rFonts w:eastAsia="Times New Roman"/>
          <w:b/>
          <w:bCs/>
          <w:sz w:val="28"/>
          <w:szCs w:val="28"/>
          <w:lang w:val="en-US" w:eastAsia="en-GB"/>
          <w14:shadow w14:blurRad="50800" w14:dist="50800" w14:dir="5400000" w14:sx="2000" w14:sy="2000" w14:kx="0" w14:ky="0" w14:algn="ctr">
            <w14:srgbClr w14:val="000000">
              <w14:alpha w14:val="1000"/>
            </w14:srgbClr>
          </w14:shadow>
        </w:rPr>
        <w:t>9 May 2017</w:t>
      </w:r>
      <w:bookmarkStart w:id="0" w:name="_GoBack"/>
      <w:bookmarkEnd w:id="0"/>
    </w:p>
    <w:p w:rsidR="00826969" w:rsidRPr="00F338B4" w:rsidRDefault="00826969"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EF76B0" w:rsidRPr="00F338B4" w:rsidRDefault="00EF76B0"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The Portfolio Committee on Human Settlements, having considered Budget Vote 3</w:t>
      </w:r>
      <w:r w:rsidR="005B4CCA" w:rsidRPr="00F338B4">
        <w:rPr>
          <w:rFonts w:eastAsia="Calibri"/>
          <w:bCs w:val="0"/>
          <w:sz w:val="24"/>
          <w14:shadow w14:blurRad="50800" w14:dist="50800" w14:dir="5400000" w14:sx="2000" w14:sy="2000" w14:kx="0" w14:ky="0" w14:algn="ctr">
            <w14:srgbClr w14:val="000000">
              <w14:alpha w14:val="1000"/>
            </w14:srgbClr>
          </w14:shadow>
        </w:rPr>
        <w:t>8</w:t>
      </w:r>
      <w:r w:rsidRPr="00F338B4">
        <w:rPr>
          <w:rFonts w:eastAsia="Calibri"/>
          <w:bCs w:val="0"/>
          <w:sz w:val="24"/>
          <w14:shadow w14:blurRad="50800" w14:dist="50800" w14:dir="5400000" w14:sx="2000" w14:sy="2000" w14:kx="0" w14:ky="0" w14:algn="ctr">
            <w14:srgbClr w14:val="000000">
              <w14:alpha w14:val="1000"/>
            </w14:srgbClr>
          </w14:shadow>
        </w:rPr>
        <w:t>: Human Settlements</w:t>
      </w:r>
      <w:r w:rsidR="00142091" w:rsidRPr="00F338B4">
        <w:rPr>
          <w:rFonts w:eastAsia="Calibri"/>
          <w:bCs w:val="0"/>
          <w:sz w:val="24"/>
          <w14:shadow w14:blurRad="50800" w14:dist="50800" w14:dir="5400000" w14:sx="2000" w14:sy="2000" w14:kx="0" w14:ky="0" w14:algn="ctr">
            <w14:srgbClr w14:val="000000">
              <w14:alpha w14:val="1000"/>
            </w14:srgbClr>
          </w14:shadow>
        </w:rPr>
        <w:t xml:space="preserve">, </w:t>
      </w:r>
      <w:r w:rsidR="00AB4A80" w:rsidRPr="00F338B4">
        <w:rPr>
          <w:rFonts w:eastAsia="Calibri"/>
          <w:bCs w:val="0"/>
          <w:sz w:val="24"/>
          <w14:shadow w14:blurRad="50800" w14:dist="50800" w14:dir="5400000" w14:sx="2000" w14:sy="2000" w14:kx="0" w14:ky="0" w14:algn="ctr">
            <w14:srgbClr w14:val="000000">
              <w14:alpha w14:val="1000"/>
            </w14:srgbClr>
          </w14:shadow>
        </w:rPr>
        <w:t xml:space="preserve">and </w:t>
      </w:r>
      <w:r w:rsidR="00142091" w:rsidRPr="00F338B4">
        <w:rPr>
          <w:rFonts w:eastAsia="Calibri"/>
          <w:bCs w:val="0"/>
          <w:sz w:val="24"/>
          <w14:shadow w14:blurRad="50800" w14:dist="50800" w14:dir="5400000" w14:sx="2000" w14:sy="2000" w14:kx="0" w14:ky="0" w14:algn="ctr">
            <w14:srgbClr w14:val="000000">
              <w14:alpha w14:val="1000"/>
            </w14:srgbClr>
          </w14:shadow>
        </w:rPr>
        <w:t>the strategic plan</w:t>
      </w:r>
      <w:r w:rsidR="00C71705" w:rsidRPr="00F338B4">
        <w:rPr>
          <w:rFonts w:eastAsia="Calibri"/>
          <w:bCs w:val="0"/>
          <w:sz w:val="24"/>
          <w14:shadow w14:blurRad="50800" w14:dist="50800" w14:dir="5400000" w14:sx="2000" w14:sy="2000" w14:kx="0" w14:ky="0" w14:algn="ctr">
            <w14:srgbClr w14:val="000000">
              <w14:alpha w14:val="1000"/>
            </w14:srgbClr>
          </w14:shadow>
        </w:rPr>
        <w:t>s</w:t>
      </w:r>
      <w:r w:rsidR="005B4CCA" w:rsidRPr="00F338B4">
        <w:rPr>
          <w:rFonts w:eastAsia="Calibri"/>
          <w:bCs w:val="0"/>
          <w:sz w:val="24"/>
          <w14:shadow w14:blurRad="50800" w14:dist="50800" w14:dir="5400000" w14:sx="2000" w14:sy="2000" w14:kx="0" w14:ky="0" w14:algn="ctr">
            <w14:srgbClr w14:val="000000">
              <w14:alpha w14:val="1000"/>
            </w14:srgbClr>
          </w14:shadow>
        </w:rPr>
        <w:t xml:space="preserve"> for the MTEF period</w:t>
      </w:r>
      <w:r w:rsidR="00142091" w:rsidRPr="00F338B4">
        <w:rPr>
          <w:rFonts w:eastAsia="Calibri"/>
          <w:bCs w:val="0"/>
          <w:sz w:val="24"/>
          <w14:shadow w14:blurRad="50800" w14:dist="50800" w14:dir="5400000" w14:sx="2000" w14:sy="2000" w14:kx="0" w14:ky="0" w14:algn="ctr">
            <w14:srgbClr w14:val="000000">
              <w14:alpha w14:val="1000"/>
            </w14:srgbClr>
          </w14:shadow>
        </w:rPr>
        <w:t xml:space="preserve"> </w:t>
      </w:r>
      <w:r w:rsidR="00142091" w:rsidRPr="00913053">
        <w:rPr>
          <w:rFonts w:eastAsia="Calibri"/>
          <w:bCs w:val="0"/>
          <w:color w:val="000000"/>
          <w:sz w:val="24"/>
          <w14:shadow w14:blurRad="50800" w14:dist="50800" w14:dir="5400000" w14:sx="2000" w14:sy="2000" w14:kx="0" w14:ky="0" w14:algn="ctr">
            <w14:srgbClr w14:val="000000">
              <w14:alpha w14:val="1000"/>
            </w14:srgbClr>
          </w14:shadow>
          <w14:textFill>
            <w14:solidFill>
              <w14:srgbClr w14:val="000000">
                <w14:alpha w14:val="60000"/>
              </w14:srgbClr>
            </w14:solidFill>
          </w14:textFill>
        </w:rPr>
        <w:t>and</w:t>
      </w:r>
      <w:r w:rsidR="00142091" w:rsidRPr="00F338B4">
        <w:rPr>
          <w:rFonts w:eastAsia="Calibri"/>
          <w:bCs w:val="0"/>
          <w:sz w:val="24"/>
          <w14:shadow w14:blurRad="50800" w14:dist="50800" w14:dir="5400000" w14:sx="2000" w14:sy="2000" w14:kx="0" w14:ky="0" w14:algn="ctr">
            <w14:srgbClr w14:val="000000">
              <w14:alpha w14:val="1000"/>
            </w14:srgbClr>
          </w14:shadow>
        </w:rPr>
        <w:t xml:space="preserve"> the annual performance plan</w:t>
      </w:r>
      <w:r w:rsidR="00C71705" w:rsidRPr="00F338B4">
        <w:rPr>
          <w:rFonts w:eastAsia="Calibri"/>
          <w:bCs w:val="0"/>
          <w:sz w:val="24"/>
          <w14:shadow w14:blurRad="50800" w14:dist="50800" w14:dir="5400000" w14:sx="2000" w14:sy="2000" w14:kx="0" w14:ky="0" w14:algn="ctr">
            <w14:srgbClr w14:val="000000">
              <w14:alpha w14:val="1000"/>
            </w14:srgbClr>
          </w14:shadow>
        </w:rPr>
        <w:t>s</w:t>
      </w:r>
      <w:r w:rsidRPr="00F338B4">
        <w:rPr>
          <w:rFonts w:eastAsia="Calibri"/>
          <w:bCs w:val="0"/>
          <w:sz w:val="24"/>
          <w14:shadow w14:blurRad="50800" w14:dist="50800" w14:dir="5400000" w14:sx="2000" w14:sy="2000" w14:kx="0" w14:ky="0" w14:algn="ctr">
            <w14:srgbClr w14:val="000000">
              <w14:alpha w14:val="1000"/>
            </w14:srgbClr>
          </w14:shadow>
        </w:rPr>
        <w:t xml:space="preserve"> of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Pr="00F338B4">
        <w:rPr>
          <w:rFonts w:eastAsia="Calibri"/>
          <w:bCs w:val="0"/>
          <w:sz w:val="24"/>
          <w14:shadow w14:blurRad="50800" w14:dist="50800" w14:dir="5400000" w14:sx="2000" w14:sy="2000" w14:kx="0" w14:ky="0" w14:algn="ctr">
            <w14:srgbClr w14:val="000000">
              <w14:alpha w14:val="1000"/>
            </w14:srgbClr>
          </w14:shadow>
        </w:rPr>
        <w:t xml:space="preserve"> of Human Settlements</w:t>
      </w:r>
      <w:r w:rsidR="00430F21" w:rsidRPr="00F338B4">
        <w:rPr>
          <w:rFonts w:eastAsia="Calibri"/>
          <w:bCs w:val="0"/>
          <w:sz w:val="24"/>
          <w14:shadow w14:blurRad="50800" w14:dist="50800" w14:dir="5400000" w14:sx="2000" w14:sy="2000" w14:kx="0" w14:ky="0" w14:algn="ctr">
            <w14:srgbClr w14:val="000000">
              <w14:alpha w14:val="1000"/>
            </w14:srgbClr>
          </w14:shadow>
        </w:rPr>
        <w:t xml:space="preserve"> </w:t>
      </w:r>
      <w:r w:rsidR="002B33DC" w:rsidRPr="00F338B4">
        <w:rPr>
          <w:rFonts w:eastAsia="Calibri"/>
          <w:bCs w:val="0"/>
          <w:sz w:val="24"/>
          <w14:shadow w14:blurRad="50800" w14:dist="50800" w14:dir="5400000" w14:sx="2000" w14:sy="2000" w14:kx="0" w14:ky="0" w14:algn="ctr">
            <w14:srgbClr w14:val="000000">
              <w14:alpha w14:val="1000"/>
            </w14:srgbClr>
          </w14:shadow>
        </w:rPr>
        <w:t xml:space="preserve">(the Department) </w:t>
      </w:r>
      <w:r w:rsidR="000A7618" w:rsidRPr="00F338B4">
        <w:rPr>
          <w:rFonts w:eastAsia="Calibri"/>
          <w:bCs w:val="0"/>
          <w:sz w:val="24"/>
          <w14:shadow w14:blurRad="50800" w14:dist="50800" w14:dir="5400000" w14:sx="2000" w14:sy="2000" w14:kx="0" w14:ky="0" w14:algn="ctr">
            <w14:srgbClr w14:val="000000">
              <w14:alpha w14:val="1000"/>
            </w14:srgbClr>
          </w14:shadow>
        </w:rPr>
        <w:t xml:space="preserve">on 14 March 2017 </w:t>
      </w:r>
      <w:r w:rsidRPr="00F338B4">
        <w:rPr>
          <w:rFonts w:eastAsia="Calibri"/>
          <w:bCs w:val="0"/>
          <w:sz w:val="24"/>
          <w14:shadow w14:blurRad="50800" w14:dist="50800" w14:dir="5400000" w14:sx="2000" w14:sy="2000" w14:kx="0" w14:ky="0" w14:algn="ctr">
            <w14:srgbClr w14:val="000000">
              <w14:alpha w14:val="1000"/>
            </w14:srgbClr>
          </w14:shadow>
        </w:rPr>
        <w:t>and its entities</w:t>
      </w:r>
      <w:r w:rsidR="000A7618" w:rsidRPr="00F338B4">
        <w:rPr>
          <w:rFonts w:eastAsia="Calibri"/>
          <w:bCs w:val="0"/>
          <w:sz w:val="24"/>
          <w14:shadow w14:blurRad="50800" w14:dist="50800" w14:dir="5400000" w14:sx="2000" w14:sy="2000" w14:kx="0" w14:ky="0" w14:algn="ctr">
            <w14:srgbClr w14:val="000000">
              <w14:alpha w14:val="1000"/>
            </w14:srgbClr>
          </w14:shadow>
        </w:rPr>
        <w:t xml:space="preserve"> on 17 and 28 March 2017</w:t>
      </w:r>
      <w:r w:rsidRPr="00F338B4">
        <w:rPr>
          <w:rFonts w:eastAsia="Calibri"/>
          <w:bCs w:val="0"/>
          <w:sz w:val="24"/>
          <w14:shadow w14:blurRad="50800" w14:dist="50800" w14:dir="5400000" w14:sx="2000" w14:sy="2000" w14:kx="0" w14:ky="0" w14:algn="ctr">
            <w14:srgbClr w14:val="000000">
              <w14:alpha w14:val="1000"/>
            </w14:srgbClr>
          </w14:shadow>
        </w:rPr>
        <w:t>,</w:t>
      </w:r>
      <w:r w:rsidR="00925F95" w:rsidRPr="00F338B4">
        <w:rPr>
          <w:rFonts w:eastAsia="Calibri"/>
          <w:bCs w:val="0"/>
          <w:sz w:val="24"/>
          <w14:shadow w14:blurRad="50800" w14:dist="50800" w14:dir="5400000" w14:sx="2000" w14:sy="2000" w14:kx="0" w14:ky="0" w14:algn="ctr">
            <w14:srgbClr w14:val="000000">
              <w14:alpha w14:val="1000"/>
            </w14:srgbClr>
          </w14:shadow>
        </w:rPr>
        <w:t xml:space="preserve"> referred to it</w:t>
      </w:r>
      <w:r w:rsidR="00143937" w:rsidRPr="00F338B4">
        <w:rPr>
          <w:rFonts w:eastAsia="Calibri"/>
          <w:bCs w:val="0"/>
          <w:sz w:val="24"/>
          <w14:shadow w14:blurRad="50800" w14:dist="50800" w14:dir="5400000" w14:sx="2000" w14:sy="2000" w14:kx="0" w14:ky="0" w14:algn="ctr">
            <w14:srgbClr w14:val="000000">
              <w14:alpha w14:val="1000"/>
            </w14:srgbClr>
          </w14:shadow>
        </w:rPr>
        <w:t>, reports</w:t>
      </w:r>
      <w:r w:rsidRPr="00F338B4">
        <w:rPr>
          <w:rFonts w:eastAsia="Calibri"/>
          <w:bCs w:val="0"/>
          <w:sz w:val="24"/>
          <w14:shadow w14:blurRad="50800" w14:dist="50800" w14:dir="5400000" w14:sx="2000" w14:sy="2000" w14:kx="0" w14:ky="0" w14:algn="ctr">
            <w14:srgbClr w14:val="000000">
              <w14:alpha w14:val="1000"/>
            </w14:srgbClr>
          </w14:shadow>
        </w:rPr>
        <w:t xml:space="preserve"> as follows: </w:t>
      </w:r>
    </w:p>
    <w:p w:rsidR="00AB6A01" w:rsidRPr="00F338B4" w:rsidRDefault="00AB6A01"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p>
    <w:p w:rsidR="00EF76B0" w:rsidRPr="00F338B4" w:rsidRDefault="00EF76B0" w:rsidP="00F338B4">
      <w:pPr>
        <w:spacing w:before="120" w:after="120"/>
        <w:jc w:val="both"/>
        <w:rPr>
          <w:rFonts w:eastAsia="Calibri"/>
          <w:b/>
          <w:lang w:val="en-US" w:eastAsia="en-US"/>
          <w14:shadow w14:blurRad="50800" w14:dist="50800" w14:dir="5400000" w14:sx="2000" w14:sy="2000" w14:kx="0" w14:ky="0" w14:algn="ctr">
            <w14:srgbClr w14:val="000000">
              <w14:alpha w14:val="1000"/>
            </w14:srgbClr>
          </w14:shadow>
        </w:rPr>
      </w:pPr>
      <w:r w:rsidRPr="00F338B4">
        <w:rPr>
          <w:rFonts w:eastAsia="Calibri"/>
          <w:b/>
          <w:lang w:val="en-US" w:eastAsia="en-US"/>
          <w14:shadow w14:blurRad="50800" w14:dist="50800" w14:dir="5400000" w14:sx="2000" w14:sy="2000" w14:kx="0" w14:ky="0" w14:algn="ctr">
            <w14:srgbClr w14:val="000000">
              <w14:alpha w14:val="1000"/>
            </w14:srgbClr>
          </w14:shadow>
        </w:rPr>
        <w:t>1.</w:t>
      </w:r>
      <w:r w:rsidRPr="00F338B4">
        <w:rPr>
          <w:rFonts w:eastAsia="Calibri"/>
          <w:b/>
          <w:lang w:val="en-US" w:eastAsia="en-US"/>
          <w14:shadow w14:blurRad="50800" w14:dist="50800" w14:dir="5400000" w14:sx="2000" w14:sy="2000" w14:kx="0" w14:ky="0" w14:algn="ctr">
            <w14:srgbClr w14:val="000000">
              <w14:alpha w14:val="1000"/>
            </w14:srgbClr>
          </w14:shadow>
        </w:rPr>
        <w:tab/>
        <w:t xml:space="preserve">Introduction </w:t>
      </w:r>
    </w:p>
    <w:p w:rsidR="00232947" w:rsidRPr="00F338B4" w:rsidRDefault="00232947"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p>
    <w:p w:rsidR="00FE4D70" w:rsidRPr="00F338B4" w:rsidRDefault="00FE4D70"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 xml:space="preserve">The Constitution </w:t>
      </w:r>
      <w:r w:rsidR="00F80BCA" w:rsidRPr="00F338B4">
        <w:rPr>
          <w:rFonts w:eastAsia="Calibri"/>
          <w:bCs w:val="0"/>
          <w:sz w:val="24"/>
          <w14:shadow w14:blurRad="50800" w14:dist="50800" w14:dir="5400000" w14:sx="2000" w14:sy="2000" w14:kx="0" w14:ky="0" w14:algn="ctr">
            <w14:srgbClr w14:val="000000">
              <w14:alpha w14:val="1000"/>
            </w14:srgbClr>
          </w14:shadow>
        </w:rPr>
        <w:t xml:space="preserve">of the Republic of South Africa (1996) </w:t>
      </w:r>
      <w:r w:rsidRPr="00F338B4">
        <w:rPr>
          <w:rFonts w:eastAsia="Calibri"/>
          <w:bCs w:val="0"/>
          <w:sz w:val="24"/>
          <w14:shadow w14:blurRad="50800" w14:dist="50800" w14:dir="5400000" w14:sx="2000" w14:sy="2000" w14:kx="0" w14:ky="0" w14:algn="ctr">
            <w14:srgbClr w14:val="000000">
              <w14:alpha w14:val="1000"/>
            </w14:srgbClr>
          </w14:shadow>
        </w:rPr>
        <w:t xml:space="preserve">places an obligation on the State to provide </w:t>
      </w:r>
      <w:proofErr w:type="gramStart"/>
      <w:r w:rsidRPr="00F338B4">
        <w:rPr>
          <w:rFonts w:eastAsia="Calibri"/>
          <w:bCs w:val="0"/>
          <w:sz w:val="24"/>
          <w14:shadow w14:blurRad="50800" w14:dist="50800" w14:dir="5400000" w14:sx="2000" w14:sy="2000" w14:kx="0" w14:ky="0" w14:algn="ctr">
            <w14:srgbClr w14:val="000000">
              <w14:alpha w14:val="1000"/>
            </w14:srgbClr>
          </w14:shadow>
        </w:rPr>
        <w:t>access</w:t>
      </w:r>
      <w:proofErr w:type="gramEnd"/>
      <w:r w:rsidRPr="00F338B4">
        <w:rPr>
          <w:rFonts w:eastAsia="Calibri"/>
          <w:bCs w:val="0"/>
          <w:sz w:val="24"/>
          <w14:shadow w14:blurRad="50800" w14:dist="50800" w14:dir="5400000" w14:sx="2000" w14:sy="2000" w14:kx="0" w14:ky="0" w14:algn="ctr">
            <w14:srgbClr w14:val="000000">
              <w14:alpha w14:val="1000"/>
            </w14:srgbClr>
          </w14:shadow>
        </w:rPr>
        <w:t xml:space="preserve"> to adequate housing to its citizens. As the custodian of the housing sector,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00F8269C" w:rsidRPr="00F338B4">
        <w:rPr>
          <w:rFonts w:eastAsia="Calibri"/>
          <w:bCs w:val="0"/>
          <w:sz w:val="24"/>
          <w14:shadow w14:blurRad="50800" w14:dist="50800" w14:dir="5400000" w14:sx="2000" w14:sy="2000" w14:kx="0" w14:ky="0" w14:algn="ctr">
            <w14:srgbClr w14:val="000000">
              <w14:alpha w14:val="1000"/>
            </w14:srgbClr>
          </w14:shadow>
        </w:rPr>
        <w:t xml:space="preserve"> </w:t>
      </w:r>
      <w:r w:rsidRPr="00F338B4">
        <w:rPr>
          <w:rFonts w:eastAsia="Calibri"/>
          <w:bCs w:val="0"/>
          <w:sz w:val="24"/>
          <w14:shadow w14:blurRad="50800" w14:dist="50800" w14:dir="5400000" w14:sx="2000" w14:sy="2000" w14:kx="0" w14:ky="0" w14:algn="ctr">
            <w14:srgbClr w14:val="000000">
              <w14:alpha w14:val="1000"/>
            </w14:srgbClr>
          </w14:shadow>
        </w:rPr>
        <w:t>derives its core mandate and responsibilities from section 3 of the Housing Act (</w:t>
      </w:r>
      <w:r w:rsidR="00826969" w:rsidRPr="00F338B4">
        <w:rPr>
          <w:rFonts w:eastAsia="Calibri"/>
          <w:bCs w:val="0"/>
          <w:sz w:val="24"/>
          <w14:shadow w14:blurRad="50800" w14:dist="50800" w14:dir="5400000" w14:sx="2000" w14:sy="2000" w14:kx="0" w14:ky="0" w14:algn="ctr">
            <w14:srgbClr w14:val="000000">
              <w14:alpha w14:val="1000"/>
            </w14:srgbClr>
          </w14:shadow>
        </w:rPr>
        <w:t xml:space="preserve">No. 107of </w:t>
      </w:r>
      <w:r w:rsidRPr="00F338B4">
        <w:rPr>
          <w:rFonts w:eastAsia="Calibri"/>
          <w:bCs w:val="0"/>
          <w:sz w:val="24"/>
          <w14:shadow w14:blurRad="50800" w14:dist="50800" w14:dir="5400000" w14:sx="2000" w14:sy="2000" w14:kx="0" w14:ky="0" w14:algn="ctr">
            <w14:srgbClr w14:val="000000">
              <w14:alpha w14:val="1000"/>
            </w14:srgbClr>
          </w14:shadow>
        </w:rPr>
        <w:t>1997)</w:t>
      </w:r>
      <w:r w:rsidR="00826969" w:rsidRPr="00F338B4">
        <w:rPr>
          <w:rFonts w:eastAsia="Calibri"/>
          <w:bCs w:val="0"/>
          <w:sz w:val="24"/>
          <w14:shadow w14:blurRad="50800" w14:dist="50800" w14:dir="5400000" w14:sx="2000" w14:sy="2000" w14:kx="0" w14:ky="0" w14:algn="ctr">
            <w14:srgbClr w14:val="000000">
              <w14:alpha w14:val="1000"/>
            </w14:srgbClr>
          </w14:shadow>
        </w:rPr>
        <w:t xml:space="preserve">.  This Act is read in </w:t>
      </w:r>
      <w:r w:rsidR="006D44CA" w:rsidRPr="00F338B4">
        <w:rPr>
          <w:rFonts w:eastAsia="Calibri"/>
          <w:bCs w:val="0"/>
          <w:sz w:val="24"/>
          <w14:shadow w14:blurRad="50800" w14:dist="50800" w14:dir="5400000" w14:sx="2000" w14:sy="2000" w14:kx="0" w14:ky="0" w14:algn="ctr">
            <w14:srgbClr w14:val="000000">
              <w14:alpha w14:val="1000"/>
            </w14:srgbClr>
          </w14:shadow>
        </w:rPr>
        <w:t>conjunction with approved policies and C</w:t>
      </w:r>
      <w:r w:rsidR="00826969" w:rsidRPr="00F338B4">
        <w:rPr>
          <w:rFonts w:eastAsia="Calibri"/>
          <w:bCs w:val="0"/>
          <w:sz w:val="24"/>
          <w14:shadow w14:blurRad="50800" w14:dist="50800" w14:dir="5400000" w14:sx="2000" w14:sy="2000" w14:kx="0" w14:ky="0" w14:algn="ctr">
            <w14:srgbClr w14:val="000000">
              <w14:alpha w14:val="1000"/>
            </w14:srgbClr>
          </w14:shadow>
        </w:rPr>
        <w:t>hapter 8 of the National Development Plan (NDP).</w:t>
      </w:r>
      <w:r w:rsidRPr="00F338B4">
        <w:rPr>
          <w:rFonts w:eastAsia="Calibri"/>
          <w:bCs w:val="0"/>
          <w:sz w:val="24"/>
          <w14:shadow w14:blurRad="50800" w14:dist="50800" w14:dir="5400000" w14:sx="2000" w14:sy="2000" w14:kx="0" w14:ky="0" w14:algn="ctr">
            <w14:srgbClr w14:val="000000">
              <w14:alpha w14:val="1000"/>
            </w14:srgbClr>
          </w14:shadow>
        </w:rPr>
        <w:t xml:space="preserve"> </w:t>
      </w:r>
      <w:r w:rsidR="00826969" w:rsidRPr="00F338B4">
        <w:rPr>
          <w:rFonts w:eastAsia="Calibri"/>
          <w:bCs w:val="0"/>
          <w:sz w:val="24"/>
          <w14:shadow w14:blurRad="50800" w14:dist="50800" w14:dir="5400000" w14:sx="2000" w14:sy="2000" w14:kx="0" w14:ky="0" w14:algn="ctr">
            <w14:srgbClr w14:val="000000">
              <w14:alpha w14:val="1000"/>
            </w14:srgbClr>
          </w14:shadow>
        </w:rPr>
        <w:t xml:space="preserve"> This allows the</w:t>
      </w:r>
      <w:r w:rsidRPr="00F338B4">
        <w:rPr>
          <w:rFonts w:eastAsia="Calibri"/>
          <w:bCs w:val="0"/>
          <w:sz w:val="24"/>
          <w14:shadow w14:blurRad="50800" w14:dist="50800" w14:dir="5400000" w14:sx="2000" w14:sy="2000" w14:kx="0" w14:ky="0" w14:algn="ctr">
            <w14:srgbClr w14:val="000000">
              <w14:alpha w14:val="1000"/>
            </w14:srgbClr>
          </w14:shadow>
        </w:rPr>
        <w:t xml:space="preserv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Pr="00F338B4">
        <w:rPr>
          <w:rFonts w:eastAsia="Calibri"/>
          <w:bCs w:val="0"/>
          <w:sz w:val="24"/>
          <w14:shadow w14:blurRad="50800" w14:dist="50800" w14:dir="5400000" w14:sx="2000" w14:sy="2000" w14:kx="0" w14:ky="0" w14:algn="ctr">
            <w14:srgbClr w14:val="000000">
              <w14:alpha w14:val="1000"/>
            </w14:srgbClr>
          </w14:shadow>
        </w:rPr>
        <w:t>, in collaboration with provinces and municipalities, to establish and facilitate a sustainable national housing development process.</w:t>
      </w:r>
      <w:r w:rsidR="00F9596E" w:rsidRPr="00F338B4">
        <w:rPr>
          <w:rFonts w:eastAsia="Calibri"/>
          <w:bCs w:val="0"/>
          <w:sz w:val="24"/>
          <w14:shadow w14:blurRad="50800" w14:dist="50800" w14:dir="5400000" w14:sx="2000" w14:sy="2000" w14:kx="0" w14:ky="0" w14:algn="ctr">
            <w14:srgbClr w14:val="000000">
              <w14:alpha w14:val="1000"/>
            </w14:srgbClr>
          </w14:shadow>
        </w:rPr>
        <w:t xml:space="preserve"> </w:t>
      </w:r>
      <w:r w:rsidRPr="00F338B4">
        <w:rPr>
          <w:rFonts w:eastAsia="Calibri"/>
          <w:bCs w:val="0"/>
          <w:sz w:val="24"/>
          <w14:shadow w14:blurRad="50800" w14:dist="50800" w14:dir="5400000" w14:sx="2000" w14:sy="2000" w14:kx="0" w14:ky="0" w14:algn="ctr">
            <w14:srgbClr w14:val="000000">
              <w14:alpha w14:val="1000"/>
            </w14:srgbClr>
          </w14:shadow>
        </w:rPr>
        <w:t xml:space="preserve">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Pr="00F338B4">
        <w:rPr>
          <w:rFonts w:eastAsia="Calibri"/>
          <w:bCs w:val="0"/>
          <w:sz w:val="24"/>
          <w14:shadow w14:blurRad="50800" w14:dist="50800" w14:dir="5400000" w14:sx="2000" w14:sy="2000" w14:kx="0" w14:ky="0" w14:algn="ctr">
            <w14:srgbClr w14:val="000000">
              <w14:alpha w14:val="1000"/>
            </w14:srgbClr>
          </w14:shadow>
        </w:rPr>
        <w:t xml:space="preserve"> does this by, det</w:t>
      </w:r>
      <w:r w:rsidR="00C71705" w:rsidRPr="00F338B4">
        <w:rPr>
          <w:rFonts w:eastAsia="Calibri"/>
          <w:bCs w:val="0"/>
          <w:sz w:val="24"/>
          <w14:shadow w14:blurRad="50800" w14:dist="50800" w14:dir="5400000" w14:sx="2000" w14:sy="2000" w14:kx="0" w14:ky="0" w14:algn="ctr">
            <w14:srgbClr w14:val="000000">
              <w14:alpha w14:val="1000"/>
            </w14:srgbClr>
          </w14:shadow>
        </w:rPr>
        <w:t>ermining the national policy,</w:t>
      </w:r>
      <w:r w:rsidRPr="00F338B4">
        <w:rPr>
          <w:rFonts w:eastAsia="Calibri"/>
          <w:bCs w:val="0"/>
          <w:sz w:val="24"/>
          <w14:shadow w14:blurRad="50800" w14:dist="50800" w14:dir="5400000" w14:sx="2000" w14:sy="2000" w14:kx="0" w14:ky="0" w14:algn="ctr">
            <w14:srgbClr w14:val="000000">
              <w14:alpha w14:val="1000"/>
            </w14:srgbClr>
          </w14:shadow>
        </w:rPr>
        <w:t xml:space="preserve"> national norms and standards for housing and human settlements development, setting broad national housing delivery goals, and monitoring the financial and non-financial performance of provinces and municipalities against these goals, building the capacity of provinces and municipalities and promoting consultation with all the stakeholders in the housing delivery chain, including civil society and the private sector.  </w:t>
      </w:r>
    </w:p>
    <w:p w:rsidR="00C71705" w:rsidRPr="00F338B4" w:rsidRDefault="00C71705"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FE4D70" w:rsidRPr="00F338B4" w:rsidRDefault="00A963A7"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In order to</w:t>
      </w:r>
      <w:r w:rsidR="00FE4D70" w:rsidRPr="00F338B4">
        <w:rPr>
          <w:rFonts w:eastAsia="Calibri"/>
          <w:bCs w:val="0"/>
          <w:sz w:val="24"/>
          <w14:shadow w14:blurRad="50800" w14:dist="50800" w14:dir="5400000" w14:sx="2000" w14:sy="2000" w14:kx="0" w14:ky="0" w14:algn="ctr">
            <w14:srgbClr w14:val="000000">
              <w14:alpha w14:val="1000"/>
            </w14:srgbClr>
          </w14:shadow>
        </w:rPr>
        <w:t xml:space="preserve"> ensure the progressive </w:t>
      </w:r>
      <w:r w:rsidR="005A7EFF" w:rsidRPr="00F338B4">
        <w:rPr>
          <w:rFonts w:eastAsia="Calibri"/>
          <w:bCs w:val="0"/>
          <w:sz w:val="24"/>
          <w14:shadow w14:blurRad="50800" w14:dist="50800" w14:dir="5400000" w14:sx="2000" w14:sy="2000" w14:kx="0" w14:ky="0" w14:algn="ctr">
            <w14:srgbClr w14:val="000000">
              <w14:alpha w14:val="1000"/>
            </w14:srgbClr>
          </w14:shadow>
        </w:rPr>
        <w:t>realization</w:t>
      </w:r>
      <w:r w:rsidR="00FE4D70" w:rsidRPr="00F338B4">
        <w:rPr>
          <w:rFonts w:eastAsia="Calibri"/>
          <w:bCs w:val="0"/>
          <w:sz w:val="24"/>
          <w14:shadow w14:blurRad="50800" w14:dist="50800" w14:dir="5400000" w14:sx="2000" w14:sy="2000" w14:kx="0" w14:ky="0" w14:algn="ctr">
            <w14:srgbClr w14:val="000000">
              <w14:alpha w14:val="1000"/>
            </w14:srgbClr>
          </w14:shadow>
        </w:rPr>
        <w:t xml:space="preserve"> of its mandate and the goal of sustainable and integrated human settlement</w:t>
      </w:r>
      <w:r w:rsidR="00F80BCA" w:rsidRPr="00F338B4">
        <w:rPr>
          <w:rFonts w:eastAsia="Calibri"/>
          <w:bCs w:val="0"/>
          <w:sz w:val="24"/>
          <w14:shadow w14:blurRad="50800" w14:dist="50800" w14:dir="5400000" w14:sx="2000" w14:sy="2000" w14:kx="0" w14:ky="0" w14:algn="ctr">
            <w14:srgbClr w14:val="000000">
              <w14:alpha w14:val="1000"/>
            </w14:srgbClr>
          </w14:shadow>
        </w:rPr>
        <w:t>s</w:t>
      </w:r>
      <w:r w:rsidR="00FE4D70" w:rsidRPr="00F338B4">
        <w:rPr>
          <w:rFonts w:eastAsia="Calibri"/>
          <w:bCs w:val="0"/>
          <w:sz w:val="24"/>
          <w14:shadow w14:blurRad="50800" w14:dist="50800" w14:dir="5400000" w14:sx="2000" w14:sy="2000" w14:kx="0" w14:ky="0" w14:algn="ctr">
            <w14:srgbClr w14:val="000000">
              <w14:alpha w14:val="1000"/>
            </w14:srgbClr>
          </w14:shadow>
        </w:rPr>
        <w:t xml:space="preserve">,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00F8269C" w:rsidRPr="00F338B4">
        <w:rPr>
          <w:rFonts w:eastAsia="Calibri"/>
          <w:bCs w:val="0"/>
          <w:sz w:val="24"/>
          <w14:shadow w14:blurRad="50800" w14:dist="50800" w14:dir="5400000" w14:sx="2000" w14:sy="2000" w14:kx="0" w14:ky="0" w14:algn="ctr">
            <w14:srgbClr w14:val="000000">
              <w14:alpha w14:val="1000"/>
            </w14:srgbClr>
          </w14:shadow>
        </w:rPr>
        <w:t xml:space="preserve"> has subsequently </w:t>
      </w:r>
      <w:r w:rsidR="00FE4D70" w:rsidRPr="00F338B4">
        <w:rPr>
          <w:rFonts w:eastAsia="Calibri"/>
          <w:bCs w:val="0"/>
          <w:sz w:val="24"/>
          <w14:shadow w14:blurRad="50800" w14:dist="50800" w14:dir="5400000" w14:sx="2000" w14:sy="2000" w14:kx="0" w14:ky="0" w14:algn="ctr">
            <w14:srgbClr w14:val="000000">
              <w14:alpha w14:val="1000"/>
            </w14:srgbClr>
          </w14:shadow>
        </w:rPr>
        <w:t>developed strategies, policies and programmes.</w:t>
      </w:r>
      <w:r w:rsidR="00F9596E" w:rsidRPr="00F338B4">
        <w:rPr>
          <w:rFonts w:eastAsia="Calibri"/>
          <w:bCs w:val="0"/>
          <w:sz w:val="24"/>
          <w14:shadow w14:blurRad="50800" w14:dist="50800" w14:dir="5400000" w14:sx="2000" w14:sy="2000" w14:kx="0" w14:ky="0" w14:algn="ctr">
            <w14:srgbClr w14:val="000000">
              <w14:alpha w14:val="1000"/>
            </w14:srgbClr>
          </w14:shadow>
        </w:rPr>
        <w:t xml:space="preserve"> </w:t>
      </w:r>
      <w:r w:rsidR="00FE4D70" w:rsidRPr="00F338B4">
        <w:rPr>
          <w:rFonts w:eastAsia="Calibri"/>
          <w:bCs w:val="0"/>
          <w:sz w:val="24"/>
          <w14:shadow w14:blurRad="50800" w14:dist="50800" w14:dir="5400000" w14:sx="2000" w14:sy="2000" w14:kx="0" w14:ky="0" w14:algn="ctr">
            <w14:srgbClr w14:val="000000">
              <w14:alpha w14:val="1000"/>
            </w14:srgbClr>
          </w14:shadow>
        </w:rPr>
        <w:t>The comprehensive plan for the development of sustainable human settlements, approved in 200</w:t>
      </w:r>
      <w:r w:rsidR="00F80BCA" w:rsidRPr="00F338B4">
        <w:rPr>
          <w:rFonts w:eastAsia="Calibri"/>
          <w:bCs w:val="0"/>
          <w:sz w:val="24"/>
          <w14:shadow w14:blurRad="50800" w14:dist="50800" w14:dir="5400000" w14:sx="2000" w14:sy="2000" w14:kx="0" w14:ky="0" w14:algn="ctr">
            <w14:srgbClr w14:val="000000">
              <w14:alpha w14:val="1000"/>
            </w14:srgbClr>
          </w14:shadow>
        </w:rPr>
        <w:t>4</w:t>
      </w:r>
      <w:r w:rsidR="00FE4D70" w:rsidRPr="00F338B4">
        <w:rPr>
          <w:rFonts w:eastAsia="Calibri"/>
          <w:bCs w:val="0"/>
          <w:sz w:val="24"/>
          <w14:shadow w14:blurRad="50800" w14:dist="50800" w14:dir="5400000" w14:sx="2000" w14:sy="2000" w14:kx="0" w14:ky="0" w14:algn="ctr">
            <w14:srgbClr w14:val="000000">
              <w14:alpha w14:val="1000"/>
            </w14:srgbClr>
          </w14:shadow>
        </w:rPr>
        <w:t xml:space="preserve"> and the revised Housing Code, published in 2009, mark a conceptual shift away from the mandate </w:t>
      </w:r>
      <w:r w:rsidR="006D44CA" w:rsidRPr="00F338B4">
        <w:rPr>
          <w:rFonts w:eastAsia="Calibri"/>
          <w:bCs w:val="0"/>
          <w:sz w:val="24"/>
          <w14:shadow w14:blurRad="50800" w14:dist="50800" w14:dir="5400000" w14:sx="2000" w14:sy="2000" w14:kx="0" w14:ky="0" w14:algn="ctr">
            <w14:srgbClr w14:val="000000">
              <w14:alpha w14:val="1000"/>
            </w14:srgbClr>
          </w14:shadow>
        </w:rPr>
        <w:t xml:space="preserve">of just </w:t>
      </w:r>
      <w:r w:rsidR="00FE4D70" w:rsidRPr="00F338B4">
        <w:rPr>
          <w:rFonts w:eastAsia="Calibri"/>
          <w:bCs w:val="0"/>
          <w:sz w:val="24"/>
          <w14:shadow w14:blurRad="50800" w14:dist="50800" w14:dir="5400000" w14:sx="2000" w14:sy="2000" w14:kx="0" w14:ky="0" w14:algn="ctr">
            <w14:srgbClr w14:val="000000">
              <w14:alpha w14:val="1000"/>
            </w14:srgbClr>
          </w14:shadow>
        </w:rPr>
        <w:t xml:space="preserve">providing shelter, to supporting the residential property market. The Housing Code allows for access </w:t>
      </w:r>
      <w:r w:rsidR="00F8269C" w:rsidRPr="00F338B4">
        <w:rPr>
          <w:rFonts w:eastAsia="Calibri"/>
          <w:bCs w:val="0"/>
          <w:sz w:val="24"/>
          <w14:shadow w14:blurRad="50800" w14:dist="50800" w14:dir="5400000" w14:sx="2000" w14:sy="2000" w14:kx="0" w14:ky="0" w14:algn="ctr">
            <w14:srgbClr w14:val="000000">
              <w14:alpha w14:val="1000"/>
            </w14:srgbClr>
          </w14:shadow>
        </w:rPr>
        <w:t>to housing and services for low-</w:t>
      </w:r>
      <w:r w:rsidR="00FE4D70" w:rsidRPr="00F338B4">
        <w:rPr>
          <w:rFonts w:eastAsia="Calibri"/>
          <w:bCs w:val="0"/>
          <w:sz w:val="24"/>
          <w14:shadow w14:blurRad="50800" w14:dist="50800" w14:dir="5400000" w14:sx="2000" w14:sy="2000" w14:kx="0" w14:ky="0" w14:algn="ctr">
            <w14:srgbClr w14:val="000000">
              <w14:alpha w14:val="1000"/>
            </w14:srgbClr>
          </w14:shadow>
        </w:rPr>
        <w:t xml:space="preserve">income families and ensures greater choice in quality, location and ownership. </w:t>
      </w:r>
      <w:r w:rsidRPr="00F338B4">
        <w:rPr>
          <w:rFonts w:eastAsia="Calibri"/>
          <w:bCs w:val="0"/>
          <w:sz w:val="24"/>
          <w14:shadow w14:blurRad="50800" w14:dist="50800" w14:dir="5400000" w14:sx="2000" w14:sy="2000" w14:kx="0" w14:ky="0" w14:algn="ctr">
            <w14:srgbClr w14:val="000000">
              <w14:alpha w14:val="1000"/>
            </w14:srgbClr>
          </w14:shadow>
        </w:rPr>
        <w:t xml:space="preserve">Subsequently, </w:t>
      </w:r>
      <w:r w:rsidR="006D44CA" w:rsidRPr="00F338B4">
        <w:rPr>
          <w:rFonts w:eastAsia="Calibri"/>
          <w:bCs w:val="0"/>
          <w:sz w:val="24"/>
          <w14:shadow w14:blurRad="50800" w14:dist="50800" w14:dir="5400000" w14:sx="2000" w14:sy="2000" w14:kx="0" w14:ky="0" w14:algn="ctr">
            <w14:srgbClr w14:val="000000">
              <w14:alpha w14:val="1000"/>
            </w14:srgbClr>
          </w14:shadow>
        </w:rPr>
        <w:t>C</w:t>
      </w:r>
      <w:r w:rsidRPr="00F338B4">
        <w:rPr>
          <w:rFonts w:eastAsia="Calibri"/>
          <w:bCs w:val="0"/>
          <w:sz w:val="24"/>
          <w14:shadow w14:blurRad="50800" w14:dist="50800" w14:dir="5400000" w14:sx="2000" w14:sy="2000" w14:kx="0" w14:ky="0" w14:algn="ctr">
            <w14:srgbClr w14:val="000000">
              <w14:alpha w14:val="1000"/>
            </w14:srgbClr>
          </w14:shadow>
        </w:rPr>
        <w:t xml:space="preserve">hapter </w:t>
      </w:r>
      <w:r w:rsidR="006D44CA" w:rsidRPr="00F338B4">
        <w:rPr>
          <w:rFonts w:eastAsia="Calibri"/>
          <w:bCs w:val="0"/>
          <w:sz w:val="24"/>
          <w14:shadow w14:blurRad="50800" w14:dist="50800" w14:dir="5400000" w14:sx="2000" w14:sy="2000" w14:kx="0" w14:ky="0" w14:algn="ctr">
            <w14:srgbClr w14:val="000000">
              <w14:alpha w14:val="1000"/>
            </w14:srgbClr>
          </w14:shadow>
        </w:rPr>
        <w:t>8</w:t>
      </w:r>
      <w:r w:rsidRPr="00F338B4">
        <w:rPr>
          <w:rFonts w:eastAsia="Calibri"/>
          <w:bCs w:val="0"/>
          <w:sz w:val="24"/>
          <w14:shadow w14:blurRad="50800" w14:dist="50800" w14:dir="5400000" w14:sx="2000" w14:sy="2000" w14:kx="0" w14:ky="0" w14:algn="ctr">
            <w14:srgbClr w14:val="000000">
              <w14:alpha w14:val="1000"/>
            </w14:srgbClr>
          </w14:shadow>
        </w:rPr>
        <w:t xml:space="preserve"> of the National Development Plan (NDP) provides a roadmap for the achievement of sustainable human settlements in South Africa</w:t>
      </w:r>
      <w:r w:rsidR="00C71705" w:rsidRPr="00F338B4">
        <w:rPr>
          <w:rFonts w:eastAsia="Calibri"/>
          <w:bCs w:val="0"/>
          <w:sz w:val="24"/>
          <w14:shadow w14:blurRad="50800" w14:dist="50800" w14:dir="5400000" w14:sx="2000" w14:sy="2000" w14:kx="0" w14:ky="0" w14:algn="ctr">
            <w14:srgbClr w14:val="000000">
              <w14:alpha w14:val="1000"/>
            </w14:srgbClr>
          </w14:shadow>
        </w:rPr>
        <w:t xml:space="preserve"> by 2030</w:t>
      </w:r>
      <w:r w:rsidRPr="00F338B4">
        <w:rPr>
          <w:rFonts w:eastAsia="Calibri"/>
          <w:bCs w:val="0"/>
          <w:sz w:val="24"/>
          <w14:shadow w14:blurRad="50800" w14:dist="50800" w14:dir="5400000" w14:sx="2000" w14:sy="2000" w14:kx="0" w14:ky="0" w14:algn="ctr">
            <w14:srgbClr w14:val="000000">
              <w14:alpha w14:val="1000"/>
            </w14:srgbClr>
          </w14:shadow>
        </w:rPr>
        <w:t>.</w:t>
      </w:r>
      <w:r w:rsidR="00A70E9A" w:rsidRPr="00F338B4">
        <w:rPr>
          <w:rFonts w:eastAsia="Calibri"/>
          <w:bCs w:val="0"/>
          <w:sz w:val="24"/>
          <w14:shadow w14:blurRad="50800" w14:dist="50800" w14:dir="5400000" w14:sx="2000" w14:sy="2000" w14:kx="0" w14:ky="0" w14:algn="ctr">
            <w14:srgbClr w14:val="000000">
              <w14:alpha w14:val="1000"/>
            </w14:srgbClr>
          </w14:shadow>
        </w:rPr>
        <w:t xml:space="preserve">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00A70E9A" w:rsidRPr="00F338B4">
        <w:rPr>
          <w:rFonts w:eastAsia="Calibri"/>
          <w:bCs w:val="0"/>
          <w:sz w:val="24"/>
          <w14:shadow w14:blurRad="50800" w14:dist="50800" w14:dir="5400000" w14:sx="2000" w14:sy="2000" w14:kx="0" w14:ky="0" w14:algn="ctr">
            <w14:srgbClr w14:val="000000">
              <w14:alpha w14:val="1000"/>
            </w14:srgbClr>
          </w14:shadow>
        </w:rPr>
        <w:t xml:space="preserve"> </w:t>
      </w:r>
      <w:r w:rsidR="00C71705" w:rsidRPr="00F338B4">
        <w:rPr>
          <w:rFonts w:eastAsia="Calibri"/>
          <w:bCs w:val="0"/>
          <w:sz w:val="24"/>
          <w14:shadow w14:blurRad="50800" w14:dist="50800" w14:dir="5400000" w14:sx="2000" w14:sy="2000" w14:kx="0" w14:ky="0" w14:algn="ctr">
            <w14:srgbClr w14:val="000000">
              <w14:alpha w14:val="1000"/>
            </w14:srgbClr>
          </w14:shadow>
        </w:rPr>
        <w:t>h</w:t>
      </w:r>
      <w:r w:rsidR="00A70E9A" w:rsidRPr="00F338B4">
        <w:rPr>
          <w:rFonts w:eastAsia="Calibri"/>
          <w:bCs w:val="0"/>
          <w:sz w:val="24"/>
          <w14:shadow w14:blurRad="50800" w14:dist="50800" w14:dir="5400000" w14:sx="2000" w14:sy="2000" w14:kx="0" w14:ky="0" w14:algn="ctr">
            <w14:srgbClr w14:val="000000">
              <w14:alpha w14:val="1000"/>
            </w14:srgbClr>
          </w14:shadow>
        </w:rPr>
        <w:t xml:space="preserve">as thus strategically aligned its plans with the NDP. </w:t>
      </w:r>
    </w:p>
    <w:p w:rsidR="00F8269C" w:rsidRPr="00F338B4" w:rsidRDefault="00F8269C"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p>
    <w:p w:rsidR="00FE4D70" w:rsidRPr="00F338B4" w:rsidRDefault="00A70E9A"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lastRenderedPageBreak/>
        <w:t>To ensure it</w:t>
      </w:r>
      <w:r w:rsidR="00F80BCA" w:rsidRPr="00F338B4">
        <w:rPr>
          <w:rFonts w:eastAsia="Calibri"/>
          <w:lang w:val="en-US" w:eastAsia="en-US"/>
          <w14:shadow w14:blurRad="50800" w14:dist="50800" w14:dir="5400000" w14:sx="2000" w14:sy="2000" w14:kx="0" w14:ky="0" w14:algn="ctr">
            <w14:srgbClr w14:val="000000">
              <w14:alpha w14:val="1000"/>
            </w14:srgbClr>
          </w14:shadow>
        </w:rPr>
        <w:t>s</w:t>
      </w:r>
      <w:r w:rsidRPr="00F338B4">
        <w:rPr>
          <w:rFonts w:eastAsia="Calibri"/>
          <w:lang w:val="en-US" w:eastAsia="en-US"/>
          <w14:shadow w14:blurRad="50800" w14:dist="50800" w14:dir="5400000" w14:sx="2000" w14:sy="2000" w14:kx="0" w14:ky="0" w14:algn="ctr">
            <w14:srgbClr w14:val="000000">
              <w14:alpha w14:val="1000"/>
            </w14:srgbClr>
          </w14:shadow>
        </w:rPr>
        <w:t xml:space="preserve"> oversight role, the Committee received </w:t>
      </w:r>
      <w:r w:rsidR="00FE4D70" w:rsidRPr="00F338B4">
        <w:rPr>
          <w:rFonts w:eastAsia="Calibri"/>
          <w:lang w:val="en-US" w:eastAsia="en-US"/>
          <w14:shadow w14:blurRad="50800" w14:dist="50800" w14:dir="5400000" w14:sx="2000" w14:sy="2000" w14:kx="0" w14:ky="0" w14:algn="ctr">
            <w14:srgbClr w14:val="000000">
              <w14:alpha w14:val="1000"/>
            </w14:srgbClr>
          </w14:shadow>
        </w:rPr>
        <w:t>briefing</w:t>
      </w:r>
      <w:r w:rsidRPr="00F338B4">
        <w:rPr>
          <w:rFonts w:eastAsia="Calibri"/>
          <w:lang w:val="en-US" w:eastAsia="en-US"/>
          <w14:shadow w14:blurRad="50800" w14:dist="50800" w14:dir="5400000" w14:sx="2000" w14:sy="2000" w14:kx="0" w14:ky="0" w14:algn="ctr">
            <w14:srgbClr w14:val="000000">
              <w14:alpha w14:val="1000"/>
            </w14:srgbClr>
          </w14:shadow>
        </w:rPr>
        <w:t>s</w:t>
      </w:r>
      <w:r w:rsidR="00FE4D70" w:rsidRPr="00F338B4">
        <w:rPr>
          <w:rFonts w:eastAsia="Calibri"/>
          <w:lang w:val="en-US" w:eastAsia="en-US"/>
          <w14:shadow w14:blurRad="50800" w14:dist="50800" w14:dir="5400000" w14:sx="2000" w14:sy="2000" w14:kx="0" w14:ky="0" w14:algn="ctr">
            <w14:srgbClr w14:val="000000">
              <w14:alpha w14:val="1000"/>
            </w14:srgbClr>
          </w14:shadow>
        </w:rPr>
        <w:t xml:space="preserve"> from the </w:t>
      </w:r>
      <w:r w:rsidR="003D4517" w:rsidRPr="00F338B4">
        <w:rPr>
          <w:rFonts w:eastAsia="Calibri"/>
          <w:lang w:val="en-US" w:eastAsia="en-US"/>
          <w14:shadow w14:blurRad="50800" w14:dist="50800" w14:dir="5400000" w14:sx="2000" w14:sy="2000" w14:kx="0" w14:ky="0" w14:algn="ctr">
            <w14:srgbClr w14:val="000000">
              <w14:alpha w14:val="1000"/>
            </w14:srgbClr>
          </w14:shadow>
        </w:rPr>
        <w:t>Department</w:t>
      </w:r>
      <w:r w:rsidR="00FE4D70" w:rsidRPr="00F338B4">
        <w:rPr>
          <w:rFonts w:eastAsia="Calibri"/>
          <w:lang w:val="en-US" w:eastAsia="en-US"/>
          <w14:shadow w14:blurRad="50800" w14:dist="50800" w14:dir="5400000" w14:sx="2000" w14:sy="2000" w14:kx="0" w14:ky="0" w14:algn="ctr">
            <w14:srgbClr w14:val="000000">
              <w14:alpha w14:val="1000"/>
            </w14:srgbClr>
          </w14:shadow>
        </w:rPr>
        <w:t xml:space="preserve"> of Human Settlements and </w:t>
      </w:r>
      <w:r w:rsidRPr="00F338B4">
        <w:rPr>
          <w:rFonts w:eastAsia="Calibri"/>
          <w:lang w:val="en-US" w:eastAsia="en-US"/>
          <w14:shadow w14:blurRad="50800" w14:dist="50800" w14:dir="5400000" w14:sx="2000" w14:sy="2000" w14:kx="0" w14:ky="0" w14:algn="ctr">
            <w14:srgbClr w14:val="000000">
              <w14:alpha w14:val="1000"/>
            </w14:srgbClr>
          </w14:shadow>
        </w:rPr>
        <w:t xml:space="preserve">its </w:t>
      </w:r>
      <w:r w:rsidR="006D44CA" w:rsidRPr="00F338B4">
        <w:rPr>
          <w:rFonts w:eastAsia="Calibri"/>
          <w:lang w:val="en-US" w:eastAsia="en-US"/>
          <w14:shadow w14:blurRad="50800" w14:dist="50800" w14:dir="5400000" w14:sx="2000" w14:sy="2000" w14:kx="0" w14:ky="0" w14:algn="ctr">
            <w14:srgbClr w14:val="000000">
              <w14:alpha w14:val="1000"/>
            </w14:srgbClr>
          </w14:shadow>
        </w:rPr>
        <w:t>E</w:t>
      </w:r>
      <w:r w:rsidRPr="00F338B4">
        <w:rPr>
          <w:rFonts w:eastAsia="Calibri"/>
          <w:lang w:val="en-US" w:eastAsia="en-US"/>
          <w14:shadow w14:blurRad="50800" w14:dist="50800" w14:dir="5400000" w14:sx="2000" w14:sy="2000" w14:kx="0" w14:ky="0" w14:algn="ctr">
            <w14:srgbClr w14:val="000000">
              <w14:alpha w14:val="1000"/>
            </w14:srgbClr>
          </w14:shadow>
        </w:rPr>
        <w:t>ntities on the</w:t>
      </w:r>
      <w:r w:rsidR="00F80BCA" w:rsidRPr="00F338B4">
        <w:rPr>
          <w:rFonts w:eastAsia="Calibri"/>
          <w:lang w:val="en-US" w:eastAsia="en-US"/>
          <w14:shadow w14:blurRad="50800" w14:dist="50800" w14:dir="5400000" w14:sx="2000" w14:sy="2000" w14:kx="0" w14:ky="0" w14:algn="ctr">
            <w14:srgbClr w14:val="000000">
              <w14:alpha w14:val="1000"/>
            </w14:srgbClr>
          </w14:shadow>
        </w:rPr>
        <w:t>ir</w:t>
      </w:r>
      <w:r w:rsidRPr="00F338B4">
        <w:rPr>
          <w:rFonts w:eastAsia="Calibri"/>
          <w:lang w:val="en-US" w:eastAsia="en-US"/>
          <w14:shadow w14:blurRad="50800" w14:dist="50800" w14:dir="5400000" w14:sx="2000" w14:sy="2000" w14:kx="0" w14:ky="0" w14:algn="ctr">
            <w14:srgbClr w14:val="000000">
              <w14:alpha w14:val="1000"/>
            </w14:srgbClr>
          </w14:shadow>
        </w:rPr>
        <w:t xml:space="preserve"> strategic plans, budget</w:t>
      </w:r>
      <w:r w:rsidR="00C71705" w:rsidRPr="00F338B4">
        <w:rPr>
          <w:rFonts w:eastAsia="Calibri"/>
          <w:lang w:val="en-US" w:eastAsia="en-US"/>
          <w14:shadow w14:blurRad="50800" w14:dist="50800" w14:dir="5400000" w14:sx="2000" w14:sy="2000" w14:kx="0" w14:ky="0" w14:algn="ctr">
            <w14:srgbClr w14:val="000000">
              <w14:alpha w14:val="1000"/>
            </w14:srgbClr>
          </w14:shadow>
        </w:rPr>
        <w:t xml:space="preserve">s and </w:t>
      </w:r>
      <w:r w:rsidR="00FE4D70" w:rsidRPr="00F338B4">
        <w:rPr>
          <w:rFonts w:eastAsia="Calibri"/>
          <w:lang w:val="en-US" w:eastAsia="en-US"/>
          <w14:shadow w14:blurRad="50800" w14:dist="50800" w14:dir="5400000" w14:sx="2000" w14:sy="2000" w14:kx="0" w14:ky="0" w14:algn="ctr">
            <w14:srgbClr w14:val="000000">
              <w14:alpha w14:val="1000"/>
            </w14:srgbClr>
          </w14:shadow>
        </w:rPr>
        <w:t>ann</w:t>
      </w:r>
      <w:r w:rsidRPr="00F338B4">
        <w:rPr>
          <w:rFonts w:eastAsia="Calibri"/>
          <w:lang w:val="en-US" w:eastAsia="en-US"/>
          <w14:shadow w14:blurRad="50800" w14:dist="50800" w14:dir="5400000" w14:sx="2000" w14:sy="2000" w14:kx="0" w14:ky="0" w14:algn="ctr">
            <w14:srgbClr w14:val="000000">
              <w14:alpha w14:val="1000"/>
            </w14:srgbClr>
          </w14:shadow>
        </w:rPr>
        <w:t>ual performance plans</w:t>
      </w:r>
      <w:r w:rsidR="00C71705" w:rsidRPr="00F338B4">
        <w:rPr>
          <w:rFonts w:eastAsia="Calibri"/>
          <w:lang w:val="en-US" w:eastAsia="en-US"/>
          <w14:shadow w14:blurRad="50800" w14:dist="50800" w14:dir="5400000" w14:sx="2000" w14:sy="2000" w14:kx="0" w14:ky="0" w14:algn="ctr">
            <w14:srgbClr w14:val="000000">
              <w14:alpha w14:val="1000"/>
            </w14:srgbClr>
          </w14:shadow>
        </w:rPr>
        <w:t xml:space="preserve">. </w:t>
      </w:r>
      <w:r w:rsidR="00F80BCA" w:rsidRPr="00F338B4">
        <w:rPr>
          <w:rFonts w:eastAsia="Calibri"/>
          <w:lang w:val="en-US" w:eastAsia="en-US"/>
          <w14:shadow w14:blurRad="50800" w14:dist="50800" w14:dir="5400000" w14:sx="2000" w14:sy="2000" w14:kx="0" w14:ky="0" w14:algn="ctr">
            <w14:srgbClr w14:val="000000">
              <w14:alpha w14:val="1000"/>
            </w14:srgbClr>
          </w14:shadow>
        </w:rPr>
        <w:t xml:space="preserve"> </w:t>
      </w:r>
    </w:p>
    <w:p w:rsidR="006D44CA" w:rsidRPr="00F338B4" w:rsidRDefault="006D44CA"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EF76B0" w:rsidRPr="00F338B4" w:rsidRDefault="00EF76B0" w:rsidP="00F338B4">
      <w:pPr>
        <w:spacing w:before="120" w:after="120"/>
        <w:jc w:val="both"/>
        <w:rPr>
          <w:rFonts w:eastAsia="Calibri"/>
          <w:b/>
          <w:lang w:val="en-US" w:eastAsia="en-US"/>
          <w14:shadow w14:blurRad="50800" w14:dist="50800" w14:dir="5400000" w14:sx="2000" w14:sy="2000" w14:kx="0" w14:ky="0" w14:algn="ctr">
            <w14:srgbClr w14:val="000000">
              <w14:alpha w14:val="1000"/>
            </w14:srgbClr>
          </w14:shadow>
        </w:rPr>
      </w:pPr>
      <w:r w:rsidRPr="00F338B4">
        <w:rPr>
          <w:rFonts w:eastAsia="Calibri"/>
          <w:b/>
          <w:lang w:val="en-US" w:eastAsia="en-US"/>
          <w14:shadow w14:blurRad="50800" w14:dist="50800" w14:dir="5400000" w14:sx="2000" w14:sy="2000" w14:kx="0" w14:ky="0" w14:algn="ctr">
            <w14:srgbClr w14:val="000000">
              <w14:alpha w14:val="1000"/>
            </w14:srgbClr>
          </w14:shadow>
        </w:rPr>
        <w:t>2.</w:t>
      </w:r>
      <w:r w:rsidRPr="00F338B4">
        <w:rPr>
          <w:rFonts w:eastAsia="Calibri"/>
          <w:b/>
          <w:lang w:val="en-US" w:eastAsia="en-US"/>
          <w14:shadow w14:blurRad="50800" w14:dist="50800" w14:dir="5400000" w14:sx="2000" w14:sy="2000" w14:kx="0" w14:ky="0" w14:algn="ctr">
            <w14:srgbClr w14:val="000000">
              <w14:alpha w14:val="1000"/>
            </w14:srgbClr>
          </w14:shadow>
        </w:rPr>
        <w:tab/>
      </w:r>
      <w:r w:rsidR="003D4517" w:rsidRPr="00F338B4">
        <w:rPr>
          <w:rFonts w:eastAsia="Calibri"/>
          <w:b/>
          <w:lang w:val="en-US" w:eastAsia="en-US"/>
          <w14:shadow w14:blurRad="50800" w14:dist="50800" w14:dir="5400000" w14:sx="2000" w14:sy="2000" w14:kx="0" w14:ky="0" w14:algn="ctr">
            <w14:srgbClr w14:val="000000">
              <w14:alpha w14:val="1000"/>
            </w14:srgbClr>
          </w14:shadow>
        </w:rPr>
        <w:t>Department</w:t>
      </w:r>
      <w:r w:rsidRPr="00F338B4">
        <w:rPr>
          <w:rFonts w:eastAsia="Calibri"/>
          <w:b/>
          <w:lang w:val="en-US" w:eastAsia="en-US"/>
          <w14:shadow w14:blurRad="50800" w14:dist="50800" w14:dir="5400000" w14:sx="2000" w14:sy="2000" w14:kx="0" w14:ky="0" w14:algn="ctr">
            <w14:srgbClr w14:val="000000">
              <w14:alpha w14:val="1000"/>
            </w14:srgbClr>
          </w14:shadow>
        </w:rPr>
        <w:t xml:space="preserve"> of Human Settlements</w:t>
      </w:r>
    </w:p>
    <w:p w:rsidR="00EF76B0" w:rsidRPr="00F338B4" w:rsidRDefault="00EF76B0"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2.1</w:t>
      </w:r>
      <w:r w:rsidRPr="00F338B4">
        <w:rPr>
          <w:rFonts w:eastAsia="Calibri"/>
          <w:bCs w:val="0"/>
          <w:sz w:val="24"/>
          <w14:shadow w14:blurRad="50800" w14:dist="50800" w14:dir="5400000" w14:sx="2000" w14:sy="2000" w14:kx="0" w14:ky="0" w14:algn="ctr">
            <w14:srgbClr w14:val="000000">
              <w14:alpha w14:val="1000"/>
            </w14:srgbClr>
          </w14:shadow>
        </w:rPr>
        <w:tab/>
      </w:r>
      <w:r w:rsidR="00D42702" w:rsidRPr="00F338B4">
        <w:rPr>
          <w:rFonts w:eastAsia="Calibri"/>
          <w:bCs w:val="0"/>
          <w:sz w:val="24"/>
          <w14:shadow w14:blurRad="50800" w14:dist="50800" w14:dir="5400000" w14:sx="2000" w14:sy="2000" w14:kx="0" w14:ky="0" w14:algn="ctr">
            <w14:srgbClr w14:val="000000">
              <w14:alpha w14:val="1000"/>
            </w14:srgbClr>
          </w14:shadow>
        </w:rPr>
        <w:t>Aim and m</w:t>
      </w:r>
      <w:r w:rsidRPr="00F338B4">
        <w:rPr>
          <w:rFonts w:eastAsia="Calibri"/>
          <w:bCs w:val="0"/>
          <w:sz w:val="24"/>
          <w14:shadow w14:blurRad="50800" w14:dist="50800" w14:dir="5400000" w14:sx="2000" w14:sy="2000" w14:kx="0" w14:ky="0" w14:algn="ctr">
            <w14:srgbClr w14:val="000000">
              <w14:alpha w14:val="1000"/>
            </w14:srgbClr>
          </w14:shadow>
        </w:rPr>
        <w:t xml:space="preserve">andate of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p>
    <w:p w:rsidR="00EF76B0" w:rsidRPr="00F338B4" w:rsidRDefault="00EF76B0"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 xml:space="preserve">The mandate of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00925F19" w:rsidRPr="00F338B4">
        <w:rPr>
          <w:rFonts w:eastAsia="Calibri"/>
          <w:bCs w:val="0"/>
          <w:sz w:val="24"/>
          <w14:shadow w14:blurRad="50800" w14:dist="50800" w14:dir="5400000" w14:sx="2000" w14:sy="2000" w14:kx="0" w14:ky="0" w14:algn="ctr">
            <w14:srgbClr w14:val="000000">
              <w14:alpha w14:val="1000"/>
            </w14:srgbClr>
          </w14:shadow>
        </w:rPr>
        <w:t xml:space="preserve"> was</w:t>
      </w:r>
      <w:r w:rsidRPr="00F338B4">
        <w:rPr>
          <w:rFonts w:eastAsia="Calibri"/>
          <w:bCs w:val="0"/>
          <w:sz w:val="24"/>
          <w14:shadow w14:blurRad="50800" w14:dist="50800" w14:dir="5400000" w14:sx="2000" w14:sy="2000" w14:kx="0" w14:ky="0" w14:algn="ctr">
            <w14:srgbClr w14:val="000000">
              <w14:alpha w14:val="1000"/>
            </w14:srgbClr>
          </w14:shadow>
        </w:rPr>
        <w:t xml:space="preserve"> to determine, finance, promote, co-ordinate, communicate and monitor the implementation of housing policy and human settlements. Since the formulation of the Comprehensive Housing Plan in 2004,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Pr="00F338B4">
        <w:rPr>
          <w:rFonts w:eastAsia="Calibri"/>
          <w:bCs w:val="0"/>
          <w:sz w:val="24"/>
          <w14:shadow w14:blurRad="50800" w14:dist="50800" w14:dir="5400000" w14:sx="2000" w14:sy="2000" w14:kx="0" w14:ky="0" w14:algn="ctr">
            <w14:srgbClr w14:val="000000">
              <w14:alpha w14:val="1000"/>
            </w14:srgbClr>
          </w14:shadow>
        </w:rPr>
        <w:t xml:space="preserve"> has conducted various initiatives to enhance the creation of comprehensive, integrated, coordinated and sustainable human settlements and quality housing. These initiatives include the review of the National Housing Code, which determines national norms and standards in respect of housing development, as well as the provision of the Farm Worker/Occupier Housing Assistance Programme and the establishment of the Housing Development Agency. </w:t>
      </w:r>
    </w:p>
    <w:p w:rsidR="006D44CA" w:rsidRPr="00F338B4" w:rsidRDefault="006D44CA"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1941F0" w:rsidRPr="00F338B4" w:rsidRDefault="00EF76B0"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Subsequent to that and during the course of January 2010, the Cabinet approved an outcomes-</w:t>
      </w:r>
      <w:r w:rsidR="00A54BD1" w:rsidRPr="00F338B4">
        <w:rPr>
          <w:rFonts w:eastAsia="Calibri"/>
          <w:bCs w:val="0"/>
          <w:sz w:val="24"/>
          <w14:shadow w14:blurRad="50800" w14:dist="50800" w14:dir="5400000" w14:sx="2000" w14:sy="2000" w14:kx="0" w14:ky="0" w14:algn="ctr">
            <w14:srgbClr w14:val="000000">
              <w14:alpha w14:val="1000"/>
            </w14:srgbClr>
          </w14:shadow>
        </w:rPr>
        <w:t xml:space="preserve">based </w:t>
      </w:r>
      <w:r w:rsidR="006102FB" w:rsidRPr="00F338B4">
        <w:rPr>
          <w:rFonts w:eastAsia="Calibri"/>
          <w:bCs w:val="0"/>
          <w:sz w:val="24"/>
          <w14:shadow w14:blurRad="50800" w14:dist="50800" w14:dir="5400000" w14:sx="2000" w14:sy="2000" w14:kx="0" w14:ky="0" w14:algn="ctr">
            <w14:srgbClr w14:val="000000">
              <w14:alpha w14:val="1000"/>
            </w14:srgbClr>
          </w14:shadow>
        </w:rPr>
        <w:t>performance approach</w:t>
      </w:r>
      <w:r w:rsidRPr="00F338B4">
        <w:rPr>
          <w:rFonts w:eastAsia="Calibri"/>
          <w:bCs w:val="0"/>
          <w:sz w:val="24"/>
          <w14:shadow w14:blurRad="50800" w14:dist="50800" w14:dir="5400000" w14:sx="2000" w14:sy="2000" w14:kx="0" w14:ky="0" w14:algn="ctr">
            <w14:srgbClr w14:val="000000">
              <w14:alpha w14:val="1000"/>
            </w14:srgbClr>
          </w14:shadow>
        </w:rPr>
        <w:t xml:space="preserve"> to the mandate of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Pr="00F338B4">
        <w:rPr>
          <w:rFonts w:eastAsia="Calibri"/>
          <w:bCs w:val="0"/>
          <w:sz w:val="24"/>
          <w14:shadow w14:blurRad="50800" w14:dist="50800" w14:dir="5400000" w14:sx="2000" w14:sy="2000" w14:kx="0" w14:ky="0" w14:algn="ctr">
            <w14:srgbClr w14:val="000000">
              <w14:alpha w14:val="1000"/>
            </w14:srgbClr>
          </w14:shadow>
        </w:rPr>
        <w:t xml:space="preserve"> with the adoption of Outcome 8 – Sustainable Human Settlements and Improved Quality of Household Life. </w:t>
      </w:r>
      <w:r w:rsidR="00644445" w:rsidRPr="00F338B4">
        <w:rPr>
          <w:rFonts w:eastAsia="Calibri"/>
          <w:bCs w:val="0"/>
          <w:sz w:val="24"/>
          <w14:shadow w14:blurRad="50800" w14:dist="50800" w14:dir="5400000" w14:sx="2000" w14:sy="2000" w14:kx="0" w14:ky="0" w14:algn="ctr">
            <w14:srgbClr w14:val="000000">
              <w14:alpha w14:val="1000"/>
            </w14:srgbClr>
          </w14:shadow>
        </w:rPr>
        <w:t xml:space="preserve"> The Outcome 8 has sub-</w:t>
      </w:r>
      <w:r w:rsidR="00E975BF" w:rsidRPr="00F338B4">
        <w:rPr>
          <w:rFonts w:eastAsia="Calibri"/>
          <w:bCs w:val="0"/>
          <w:sz w:val="24"/>
          <w14:shadow w14:blurRad="50800" w14:dist="50800" w14:dir="5400000" w14:sx="2000" w14:sy="2000" w14:kx="0" w14:ky="0" w14:algn="ctr">
            <w14:srgbClr w14:val="000000">
              <w14:alpha w14:val="1000"/>
            </w14:srgbClr>
          </w14:shadow>
        </w:rPr>
        <w:t xml:space="preserve">outcomes that the </w:t>
      </w:r>
      <w:r w:rsidR="003D4517" w:rsidRPr="00F338B4">
        <w:rPr>
          <w:rFonts w:eastAsia="Calibri"/>
          <w:bCs w:val="0"/>
          <w:sz w:val="24"/>
          <w14:shadow w14:blurRad="50800" w14:dist="50800" w14:dir="5400000" w14:sx="2000" w14:sy="2000" w14:kx="0" w14:ky="0" w14:algn="ctr">
            <w14:srgbClr w14:val="000000">
              <w14:alpha w14:val="1000"/>
            </w14:srgbClr>
          </w14:shadow>
        </w:rPr>
        <w:t>Department</w:t>
      </w:r>
      <w:r w:rsidR="00E975BF" w:rsidRPr="00F338B4">
        <w:rPr>
          <w:rFonts w:eastAsia="Calibri"/>
          <w:bCs w:val="0"/>
          <w:sz w:val="24"/>
          <w14:shadow w14:blurRad="50800" w14:dist="50800" w14:dir="5400000" w14:sx="2000" w14:sy="2000" w14:kx="0" w14:ky="0" w14:algn="ctr">
            <w14:srgbClr w14:val="000000">
              <w14:alpha w14:val="1000"/>
            </w14:srgbClr>
          </w14:shadow>
        </w:rPr>
        <w:t xml:space="preserve"> has to adhere to</w:t>
      </w:r>
      <w:r w:rsidR="009E4F96" w:rsidRPr="00F338B4">
        <w:rPr>
          <w:rFonts w:eastAsia="Calibri"/>
          <w:bCs w:val="0"/>
          <w:sz w:val="24"/>
          <w14:shadow w14:blurRad="50800" w14:dist="50800" w14:dir="5400000" w14:sx="2000" w14:sy="2000" w14:kx="0" w14:ky="0" w14:algn="ctr">
            <w14:srgbClr w14:val="000000">
              <w14:alpha w14:val="1000"/>
            </w14:srgbClr>
          </w14:shadow>
        </w:rPr>
        <w:t xml:space="preserve"> such as the provision of </w:t>
      </w:r>
      <w:r w:rsidR="00E975BF" w:rsidRPr="00F338B4">
        <w:rPr>
          <w:rFonts w:eastAsia="Calibri"/>
          <w:bCs w:val="0"/>
          <w:sz w:val="24"/>
          <w14:shadow w14:blurRad="50800" w14:dist="50800" w14:dir="5400000" w14:sx="2000" w14:sy="2000" w14:kx="0" w14:ky="0" w14:algn="ctr">
            <w14:srgbClr w14:val="000000">
              <w14:alpha w14:val="1000"/>
            </w14:srgbClr>
          </w14:shadow>
        </w:rPr>
        <w:t>adequate housing and improved quality living environments; a functionally equitable residential property market and enhanced institutional capabilities for effective coordination and spatial investment decisions.</w:t>
      </w:r>
      <w:r w:rsidR="004B14B3" w:rsidRPr="00F338B4">
        <w:rPr>
          <w:rFonts w:eastAsia="Calibri"/>
          <w:bCs w:val="0"/>
          <w:sz w:val="24"/>
          <w14:shadow w14:blurRad="50800" w14:dist="50800" w14:dir="5400000" w14:sx="2000" w14:sy="2000" w14:kx="0" w14:ky="0" w14:algn="ctr">
            <w14:srgbClr w14:val="000000">
              <w14:alpha w14:val="1000"/>
            </w14:srgbClr>
          </w14:shadow>
        </w:rPr>
        <w:t xml:space="preserve"> The Outcome 8 approach set</w:t>
      </w:r>
      <w:r w:rsidR="009E4F96" w:rsidRPr="00F338B4">
        <w:rPr>
          <w:rFonts w:eastAsia="Calibri"/>
          <w:bCs w:val="0"/>
          <w:sz w:val="24"/>
          <w14:shadow w14:blurRad="50800" w14:dist="50800" w14:dir="5400000" w14:sx="2000" w14:sy="2000" w14:kx="0" w14:ky="0" w14:algn="ctr">
            <w14:srgbClr w14:val="000000">
              <w14:alpha w14:val="1000"/>
            </w14:srgbClr>
          </w14:shadow>
        </w:rPr>
        <w:t>s</w:t>
      </w:r>
      <w:r w:rsidR="004B14B3" w:rsidRPr="00F338B4">
        <w:rPr>
          <w:rFonts w:eastAsia="Calibri"/>
          <w:bCs w:val="0"/>
          <w:sz w:val="24"/>
          <w14:shadow w14:blurRad="50800" w14:dist="50800" w14:dir="5400000" w14:sx="2000" w14:sy="2000" w14:kx="0" w14:ky="0" w14:algn="ctr">
            <w14:srgbClr w14:val="000000">
              <w14:alpha w14:val="1000"/>
            </w14:srgbClr>
          </w14:shadow>
        </w:rPr>
        <w:t xml:space="preserve"> targets for Government in respect of four areas: </w:t>
      </w:r>
    </w:p>
    <w:p w:rsidR="004B14B3" w:rsidRPr="00F338B4" w:rsidRDefault="004B14B3"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Accelerated delivery of housing opportunities with a focus on upgrading of informal settlements and providing affordable rental housing stock;</w:t>
      </w:r>
    </w:p>
    <w:p w:rsidR="004B14B3" w:rsidRPr="00F338B4" w:rsidRDefault="004B14B3"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Providing access to basic services as part of the National Bulk Infrastructure Development Programme;</w:t>
      </w:r>
    </w:p>
    <w:p w:rsidR="004B14B3" w:rsidRPr="00F338B4" w:rsidRDefault="004B14B3"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 xml:space="preserve">Ensuring more efficient land utilization with a target of the acquisition of 6250 ha (net) state owned land; </w:t>
      </w:r>
      <w:r w:rsidR="00AE0E31" w:rsidRPr="00F338B4">
        <w:rPr>
          <w:rFonts w:eastAsia="Calibri"/>
          <w:bCs w:val="0"/>
          <w:sz w:val="24"/>
          <w14:shadow w14:blurRad="50800" w14:dist="50800" w14:dir="5400000" w14:sx="2000" w14:sy="2000" w14:kx="0" w14:ky="0" w14:algn="ctr">
            <w14:srgbClr w14:val="000000">
              <w14:alpha w14:val="1000"/>
            </w14:srgbClr>
          </w14:shadow>
        </w:rPr>
        <w:t>and</w:t>
      </w:r>
    </w:p>
    <w:p w:rsidR="004B14B3" w:rsidRPr="00F338B4" w:rsidRDefault="004B14B3"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Facilitating an improved property market through the supply of affordable housing finance.</w:t>
      </w:r>
    </w:p>
    <w:p w:rsidR="000E20AE" w:rsidRPr="00F338B4" w:rsidRDefault="000E20AE" w:rsidP="00F338B4">
      <w:pPr>
        <w:pStyle w:val="Char"/>
        <w:spacing w:before="120" w:after="120" w:line="240" w:lineRule="auto"/>
        <w:ind w:left="720"/>
        <w:jc w:val="both"/>
        <w:rPr>
          <w:rFonts w:eastAsia="Calibri"/>
          <w:bCs w:val="0"/>
          <w:sz w:val="24"/>
          <w14:shadow w14:blurRad="50800" w14:dist="50800" w14:dir="5400000" w14:sx="2000" w14:sy="2000" w14:kx="0" w14:ky="0" w14:algn="ctr">
            <w14:srgbClr w14:val="000000">
              <w14:alpha w14:val="1000"/>
            </w14:srgbClr>
          </w14:shadow>
        </w:rPr>
      </w:pPr>
    </w:p>
    <w:p w:rsidR="00D179DB" w:rsidRPr="00F338B4" w:rsidRDefault="00D179DB"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 xml:space="preserve">While the timeframe of the Outcome 8 in terms of targets ended in 2014, the policy approach and focus </w:t>
      </w:r>
      <w:r w:rsidR="000C3E03" w:rsidRPr="00F338B4">
        <w:rPr>
          <w:rFonts w:eastAsia="Calibri"/>
          <w:bCs w:val="0"/>
          <w:sz w:val="24"/>
          <w14:shadow w14:blurRad="50800" w14:dist="50800" w14:dir="5400000" w14:sx="2000" w14:sy="2000" w14:kx="0" w14:ky="0" w14:algn="ctr">
            <w14:srgbClr w14:val="000000">
              <w14:alpha w14:val="1000"/>
            </w14:srgbClr>
          </w14:shadow>
        </w:rPr>
        <w:t>remain</w:t>
      </w:r>
      <w:r w:rsidR="00AE0E31" w:rsidRPr="00F338B4">
        <w:rPr>
          <w:rFonts w:eastAsia="Calibri"/>
          <w:bCs w:val="0"/>
          <w:sz w:val="24"/>
          <w14:shadow w14:blurRad="50800" w14:dist="50800" w14:dir="5400000" w14:sx="2000" w14:sy="2000" w14:kx="0" w14:ky="0" w14:algn="ctr">
            <w14:srgbClr w14:val="000000">
              <w14:alpha w14:val="1000"/>
            </w14:srgbClr>
          </w14:shadow>
        </w:rPr>
        <w:t xml:space="preserve"> </w:t>
      </w:r>
      <w:r w:rsidRPr="00F338B4">
        <w:rPr>
          <w:rFonts w:eastAsia="Calibri"/>
          <w:bCs w:val="0"/>
          <w:sz w:val="24"/>
          <w14:shadow w14:blurRad="50800" w14:dist="50800" w14:dir="5400000" w14:sx="2000" w14:sy="2000" w14:kx="0" w14:ky="0" w14:algn="ctr">
            <w14:srgbClr w14:val="000000">
              <w14:alpha w14:val="1000"/>
            </w14:srgbClr>
          </w14:shadow>
        </w:rPr>
        <w:t xml:space="preserve">relevant. </w:t>
      </w:r>
    </w:p>
    <w:p w:rsidR="00864533" w:rsidRPr="00F338B4" w:rsidRDefault="00864533"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6451AA" w:rsidRPr="00F338B4" w:rsidRDefault="00EC58D2" w:rsidP="00F338B4">
      <w:pPr>
        <w:spacing w:before="120" w:after="120"/>
        <w:jc w:val="both"/>
        <w:rPr>
          <w:rFonts w:eastAsia="Calibri"/>
          <w:bCs/>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xml:space="preserve">2.2 </w:t>
      </w:r>
      <w:r w:rsidR="00850E1D" w:rsidRPr="00F338B4">
        <w:rPr>
          <w:rFonts w:eastAsia="Calibri"/>
          <w:lang w:val="en-US" w:eastAsia="en-US"/>
          <w14:shadow w14:blurRad="50800" w14:dist="50800" w14:dir="5400000" w14:sx="2000" w14:sy="2000" w14:kx="0" w14:ky="0" w14:algn="ctr">
            <w14:srgbClr w14:val="000000">
              <w14:alpha w14:val="1000"/>
            </w14:srgbClr>
          </w14:shadow>
        </w:rPr>
        <w:tab/>
      </w:r>
      <w:r w:rsidR="006451AA" w:rsidRPr="00F338B4">
        <w:rPr>
          <w:rFonts w:eastAsia="Calibri"/>
          <w:lang w:val="en-US" w:eastAsia="en-US"/>
          <w14:shadow w14:blurRad="50800" w14:dist="50800" w14:dir="5400000" w14:sx="2000" w14:sy="2000" w14:kx="0" w14:ky="0" w14:algn="ctr">
            <w14:srgbClr w14:val="000000">
              <w14:alpha w14:val="1000"/>
            </w14:srgbClr>
          </w14:shadow>
        </w:rPr>
        <w:t xml:space="preserve">National Development Plan </w:t>
      </w:r>
    </w:p>
    <w:p w:rsidR="00850E1D" w:rsidRPr="00F338B4" w:rsidRDefault="00850E1D" w:rsidP="00F338B4">
      <w:pPr>
        <w:pStyle w:val="Default"/>
        <w:spacing w:before="120" w:after="120"/>
        <w:rPr>
          <w:rFonts w:ascii="Times New Roman" w:hAnsi="Times New Roman" w:cs="Times New Roman"/>
          <w:color w:val="auto"/>
          <w14:shadow w14:blurRad="50800" w14:dist="50800" w14:dir="5400000" w14:sx="2000" w14:sy="2000" w14:kx="0" w14:ky="0" w14:algn="ctr">
            <w14:srgbClr w14:val="000000">
              <w14:alpha w14:val="1000"/>
            </w14:srgbClr>
          </w14:shadow>
        </w:rPr>
      </w:pPr>
    </w:p>
    <w:p w:rsidR="006451AA" w:rsidRPr="00F338B4" w:rsidRDefault="006451AA"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Chapter 8 of the National Development Plan (NDP) outlines a vision for human settlements and housing towards 2030. The emphasis in the NDP is on a government-led strategy to fast-track the development of housing and human settlements whilst at the same time improving the quality of life of citizens. Key recommendations contained in the NDP are: </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Strengthen the spatial planning system</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lastRenderedPageBreak/>
        <w:t xml:space="preserve"> Initiate a national conversation about cities, towns and villages – the media and civil</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Institute bolder measures to achieve sustainable human settlements</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Develop a more coherent and inclusive approach to land</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Radically revise the housing finance system</w:t>
      </w:r>
      <w:r w:rsidR="006D44CA" w:rsidRPr="00F338B4">
        <w:rPr>
          <w:rFonts w:eastAsia="Calibri"/>
          <w:bCs w:val="0"/>
          <w:sz w:val="24"/>
          <w14:shadow w14:blurRad="50800" w14:dist="50800" w14:dir="5400000" w14:sx="2000" w14:sy="2000" w14:kx="0" w14:ky="0" w14:algn="ctr">
            <w14:srgbClr w14:val="000000">
              <w14:alpha w14:val="1000"/>
            </w14:srgbClr>
          </w14:shadow>
        </w:rPr>
        <w:t>;</w:t>
      </w:r>
      <w:r w:rsidRPr="00F338B4">
        <w:rPr>
          <w:rFonts w:eastAsia="Calibri"/>
          <w:bCs w:val="0"/>
          <w:sz w:val="24"/>
          <w14:shadow w14:blurRad="50800" w14:dist="50800" w14:dir="5400000" w14:sx="2000" w14:sy="2000" w14:kx="0" w14:ky="0" w14:algn="ctr">
            <w14:srgbClr w14:val="000000">
              <w14:alpha w14:val="1000"/>
            </w14:srgbClr>
          </w14:shadow>
        </w:rPr>
        <w:t xml:space="preserve"> </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Revise the regulations and incentives for housing and land use management</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8A25C4"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Recognize</w:t>
      </w:r>
      <w:r w:rsidR="006451AA" w:rsidRPr="00F338B4">
        <w:rPr>
          <w:rFonts w:eastAsia="Calibri"/>
          <w:bCs w:val="0"/>
          <w:sz w:val="24"/>
          <w14:shadow w14:blurRad="50800" w14:dist="50800" w14:dir="5400000" w14:sx="2000" w14:sy="2000" w14:kx="0" w14:ky="0" w14:algn="ctr">
            <w14:srgbClr w14:val="000000">
              <w14:alpha w14:val="1000"/>
            </w14:srgbClr>
          </w14:shadow>
        </w:rPr>
        <w:t xml:space="preserve"> the role of informal settlements and enhancing the existing national programme for informal settlement upgrading by developing a range of tailored responses to support their upgrade</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Support the transition to environmental sustainability</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Support rural spatial development</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Initiate spatial interventions to support agricultural development</w:t>
      </w:r>
      <w:r w:rsidR="006D44CA" w:rsidRPr="00F338B4">
        <w:rPr>
          <w:rFonts w:eastAsia="Calibri"/>
          <w:bCs w:val="0"/>
          <w:sz w:val="24"/>
          <w14:shadow w14:blurRad="50800" w14:dist="50800" w14:dir="5400000" w14:sx="2000" w14:sy="2000" w14:kx="0" w14:ky="0" w14:algn="ctr">
            <w14:srgbClr w14:val="000000">
              <w14:alpha w14:val="1000"/>
            </w14:srgbClr>
          </w14:shadow>
        </w:rPr>
        <w:t>;</w:t>
      </w:r>
    </w:p>
    <w:p w:rsidR="006451AA" w:rsidRPr="00F338B4" w:rsidRDefault="006451AA" w:rsidP="00F338B4">
      <w:pPr>
        <w:pStyle w:val="Char"/>
        <w:numPr>
          <w:ilvl w:val="0"/>
          <w:numId w:val="2"/>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 xml:space="preserve">Building an active citizenry to rebuild local place and community. </w:t>
      </w:r>
    </w:p>
    <w:p w:rsidR="00122B0F" w:rsidRPr="00F338B4" w:rsidRDefault="00122B0F"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p>
    <w:p w:rsidR="00C1629B" w:rsidRPr="00F338B4" w:rsidRDefault="00C1629B"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p>
    <w:p w:rsidR="00312C29" w:rsidRPr="00F338B4" w:rsidRDefault="00EC58D2" w:rsidP="00F338B4">
      <w:pPr>
        <w:spacing w:before="120" w:after="120"/>
        <w:jc w:val="both"/>
        <w:rPr>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xml:space="preserve">2.3 </w:t>
      </w:r>
      <w:r w:rsidR="00850E1D" w:rsidRPr="00F338B4">
        <w:rPr>
          <w:rFonts w:eastAsia="Calibri"/>
          <w:lang w:val="en-US" w:eastAsia="en-US"/>
          <w14:shadow w14:blurRad="50800" w14:dist="50800" w14:dir="5400000" w14:sx="2000" w14:sy="2000" w14:kx="0" w14:ky="0" w14:algn="ctr">
            <w14:srgbClr w14:val="000000">
              <w14:alpha w14:val="1000"/>
            </w14:srgbClr>
          </w14:shadow>
        </w:rPr>
        <w:tab/>
      </w:r>
      <w:r w:rsidR="00312C29" w:rsidRPr="00F338B4">
        <w:rPr>
          <w:rFonts w:eastAsia="Calibri"/>
          <w:lang w:val="en-US" w:eastAsia="en-US"/>
          <w14:shadow w14:blurRad="50800" w14:dist="50800" w14:dir="5400000" w14:sx="2000" w14:sy="2000" w14:kx="0" w14:ky="0" w14:algn="ctr">
            <w14:srgbClr w14:val="000000">
              <w14:alpha w14:val="1000"/>
            </w14:srgbClr>
          </w14:shadow>
        </w:rPr>
        <w:t>Medium Term Strategic Framework</w:t>
      </w:r>
    </w:p>
    <w:p w:rsidR="00312C29" w:rsidRPr="00F338B4" w:rsidRDefault="00312C29" w:rsidP="00F338B4">
      <w:pPr>
        <w:spacing w:before="120" w:after="120"/>
        <w:jc w:val="both"/>
        <w:rPr>
          <w14:shadow w14:blurRad="50800" w14:dist="50800" w14:dir="5400000" w14:sx="2000" w14:sy="2000" w14:kx="0" w14:ky="0" w14:algn="ctr">
            <w14:srgbClr w14:val="000000">
              <w14:alpha w14:val="1000"/>
            </w14:srgbClr>
          </w14:shadow>
        </w:rPr>
      </w:pPr>
    </w:p>
    <w:p w:rsidR="00312C29" w:rsidRPr="00F338B4" w:rsidRDefault="00312C29"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The Medium Term Strategic Framework (MTSF) serves as the principal guide to the planning and allocation of departmental resources across all spheres of government. The MTSF outlines a vision of sustainable human settlements and an improved quality of household life. Priorities for 2014 – 2019 are</w:t>
      </w:r>
      <w:r w:rsidR="000C3E03"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the following</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p>
    <w:p w:rsidR="000F016F" w:rsidRPr="00F338B4" w:rsidRDefault="000F016F" w:rsidP="00F338B4">
      <w:pPr>
        <w:kinsoku w:val="0"/>
        <w:overflowPunct w:val="0"/>
        <w:spacing w:before="120" w:after="120"/>
        <w:textAlignment w:val="baseline"/>
        <w:rPr>
          <w:rFonts w:eastAsia="MS PGothic"/>
          <w:kern w:val="24"/>
          <w14:shadow w14:blurRad="50800" w14:dist="50800" w14:dir="5400000" w14:sx="2000" w14:sy="2000" w14:kx="0" w14:ky="0" w14:algn="ctr">
            <w14:srgbClr w14:val="000000">
              <w14:alpha w14:val="1000"/>
            </w14:srgbClr>
          </w14:shadow>
        </w:rPr>
      </w:pP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Upgradi</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ng of 2200 informal settlements;</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750 000 households in informal settlements benefitting from the Informal </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Settlements Upgrading Programme;</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563 000 individual units for </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subsidy housing market provided;</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70 000 Finance  Linked Individual Subsidy Programme subsidies allocated to approved beneficia</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ries</w:t>
      </w:r>
      <w:r w:rsidR="006A1BF5"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27 000 social housing units;</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10 000 C</w:t>
      </w:r>
      <w:r w:rsidR="00742C2E"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ommunity </w:t>
      </w:r>
      <w:r w:rsidRPr="00F338B4">
        <w:rPr>
          <w:rFonts w:ascii="Times New Roman" w:hAnsi="Times New Roman"/>
          <w:sz w:val="24"/>
          <w:szCs w:val="24"/>
          <w14:shadow w14:blurRad="50800" w14:dist="50800" w14:dir="5400000" w14:sx="2000" w14:sy="2000" w14:kx="0" w14:ky="0" w14:algn="ctr">
            <w14:srgbClr w14:val="000000">
              <w14:alpha w14:val="1000"/>
            </w14:srgbClr>
          </w14:shadow>
        </w:rPr>
        <w:t>R</w:t>
      </w:r>
      <w:r w:rsidR="00742C2E"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esidential </w:t>
      </w:r>
      <w:r w:rsidRPr="00F338B4">
        <w:rPr>
          <w:rFonts w:ascii="Times New Roman" w:hAnsi="Times New Roman"/>
          <w:sz w:val="24"/>
          <w:szCs w:val="24"/>
          <w14:shadow w14:blurRad="50800" w14:dist="50800" w14:dir="5400000" w14:sx="2000" w14:sy="2000" w14:kx="0" w14:ky="0" w14:algn="ctr">
            <w14:srgbClr w14:val="000000">
              <w14:alpha w14:val="1000"/>
            </w14:srgbClr>
          </w14:shadow>
        </w:rPr>
        <w:t>U</w:t>
      </w:r>
      <w:r w:rsidR="00742C2E" w:rsidRPr="00F338B4">
        <w:rPr>
          <w:rFonts w:ascii="Times New Roman" w:hAnsi="Times New Roman"/>
          <w:sz w:val="24"/>
          <w:szCs w:val="24"/>
          <w14:shadow w14:blurRad="50800" w14:dist="50800" w14:dir="5400000" w14:sx="2000" w14:sy="2000" w14:kx="0" w14:ky="0" w14:algn="ctr">
            <w14:srgbClr w14:val="000000">
              <w14:alpha w14:val="1000"/>
            </w14:srgbClr>
          </w14:shadow>
        </w:rPr>
        <w:t>nits</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35 000 priva</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te rental housing opportunities;</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5000 non statutory military veterans housed</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10 000 of hectares of well-located land rezoned and released for new developments targeting poor and lower middle income households</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50</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Catalytic Projects implemented;</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22 mining towns supported on</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human settlements interventions;</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818 057 pre-and post-1994 title deeds issued</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340 480 of new title deeds issued</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30% of the HSDG construction budget allocated to Women and Youth Contractors</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0F016F" w:rsidRPr="00F338B4" w:rsidRDefault="000F016F" w:rsidP="00F338B4">
      <w:pPr>
        <w:pStyle w:val="ListParagraph"/>
        <w:numPr>
          <w:ilvl w:val="0"/>
          <w:numId w:val="7"/>
        </w:numPr>
        <w:kinsoku w:val="0"/>
        <w:overflowPunct w:val="0"/>
        <w:spacing w:before="120" w:after="120" w:line="240" w:lineRule="auto"/>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30% of the USDG construction budget allocated to Women and youth Contractors</w:t>
      </w:r>
      <w:r w:rsidR="0061317F" w:rsidRPr="00F338B4">
        <w:rPr>
          <w:rFonts w:ascii="Times New Roman" w:hAnsi="Times New Roman"/>
          <w:sz w:val="24"/>
          <w:szCs w:val="24"/>
          <w14:shadow w14:blurRad="50800" w14:dist="50800" w14:dir="5400000" w14:sx="2000" w14:sy="2000" w14:kx="0" w14:ky="0" w14:algn="ctr">
            <w14:srgbClr w14:val="000000">
              <w14:alpha w14:val="1000"/>
            </w14:srgbClr>
          </w14:shadow>
        </w:rPr>
        <w:t>.</w:t>
      </w: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w:t>
      </w:r>
    </w:p>
    <w:p w:rsidR="000F016F" w:rsidRPr="00F338B4" w:rsidRDefault="000F016F" w:rsidP="00F338B4">
      <w:pPr>
        <w:pStyle w:val="ListParagraph"/>
        <w:kinsoku w:val="0"/>
        <w:overflowPunct w:val="0"/>
        <w:spacing w:before="120" w:after="120" w:line="240" w:lineRule="auto"/>
        <w:ind w:firstLine="0"/>
        <w:textAlignment w:val="baseline"/>
        <w:rPr>
          <w:rFonts w:ascii="Times New Roman" w:hAnsi="Times New Roman"/>
          <w:sz w:val="24"/>
          <w:szCs w:val="24"/>
          <w14:shadow w14:blurRad="50800" w14:dist="50800" w14:dir="5400000" w14:sx="2000" w14:sy="2000" w14:kx="0" w14:ky="0" w14:algn="ctr">
            <w14:srgbClr w14:val="000000">
              <w14:alpha w14:val="1000"/>
            </w14:srgbClr>
          </w14:shadow>
        </w:rPr>
      </w:pPr>
    </w:p>
    <w:p w:rsidR="00312C29" w:rsidRPr="00F338B4" w:rsidRDefault="00312C29"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lastRenderedPageBreak/>
        <w:t xml:space="preserve">In addition, </w:t>
      </w:r>
      <w:r w:rsidR="003F2AD8"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it was indicated that MTSF priorities would be translated into Strategic Plan Targets as indicated below</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A policy Framework for Human Settlements developed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A comprehensive human settlements legislation developed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A Hum</w:t>
      </w:r>
      <w:r w:rsidR="009A18D2" w:rsidRPr="00F338B4">
        <w:rPr>
          <w:rFonts w:eastAsia="Calibri"/>
          <w:lang w:val="en-US" w:eastAsia="en-US"/>
          <w14:shadow w14:blurRad="50800" w14:dist="50800" w14:dir="5400000" w14:sx="2000" w14:sy="2000" w14:kx="0" w14:ky="0" w14:algn="ctr">
            <w14:srgbClr w14:val="000000">
              <w14:alpha w14:val="1000"/>
            </w14:srgbClr>
          </w14:shadow>
        </w:rPr>
        <w:t>an Settlements Bank Established;</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Policy compliance enforced on projects under implementation</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Human Settlements Code developed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Seven evaluations of key human settlem</w:t>
      </w:r>
      <w:r w:rsidR="009A18D2" w:rsidRPr="00F338B4">
        <w:rPr>
          <w:rFonts w:eastAsia="Calibri"/>
          <w:lang w:val="en-US" w:eastAsia="en-US"/>
          <w14:shadow w14:blurRad="50800" w14:dist="50800" w14:dir="5400000" w14:sx="2000" w14:sy="2000" w14:kx="0" w14:ky="0" w14:algn="ctr">
            <w14:srgbClr w14:val="000000">
              <w14:alpha w14:val="1000"/>
            </w14:srgbClr>
          </w14:shadow>
        </w:rPr>
        <w:t>ents strategic thrust completed;</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Research to support policy development conducted</w:t>
      </w:r>
      <w:r w:rsidR="009A18D2" w:rsidRPr="00F338B4">
        <w:rPr>
          <w:rFonts w:eastAsia="Calibri"/>
          <w:lang w:val="en-US" w:eastAsia="en-US"/>
          <w14:shadow w14:blurRad="50800" w14:dist="50800" w14:dir="5400000" w14:sx="2000" w14:sy="2000" w14:kx="0" w14:ky="0" w14:algn="ctr">
            <w14:srgbClr w14:val="000000">
              <w14:alpha w14:val="1000"/>
            </w14:srgbClr>
          </w14:shadow>
        </w:rPr>
        <w:t>;</w:t>
      </w:r>
      <w:r w:rsidRPr="00F338B4">
        <w:rPr>
          <w:rFonts w:eastAsia="Calibri"/>
          <w:lang w:val="en-US" w:eastAsia="en-US"/>
          <w14:shadow w14:blurRad="50800" w14:dist="50800" w14:dir="5400000" w14:sx="2000" w14:sy="2000" w14:kx="0" w14:ky="0" w14:algn="ctr">
            <w14:srgbClr w14:val="000000">
              <w14:alpha w14:val="1000"/>
            </w14:srgbClr>
          </w14:shadow>
        </w:rPr>
        <w:t xml:space="preserve"> </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An analysis of the functionality of the residential property market conducted</w:t>
      </w:r>
      <w:r w:rsidR="009A18D2" w:rsidRPr="00F338B4">
        <w:rPr>
          <w:rFonts w:eastAsia="Calibri"/>
          <w:lang w:val="en-US" w:eastAsia="en-US"/>
          <w14:shadow w14:blurRad="50800" w14:dist="50800" w14:dir="5400000" w14:sx="2000" w14:sy="2000" w14:kx="0" w14:ky="0" w14:algn="ctr">
            <w14:srgbClr w14:val="000000">
              <w14:alpha w14:val="1000"/>
            </w14:srgbClr>
          </w14:shadow>
        </w:rPr>
        <w:t>;</w:t>
      </w:r>
      <w:r w:rsidRPr="00F338B4">
        <w:rPr>
          <w:rFonts w:eastAsia="Calibri"/>
          <w:lang w:val="en-US" w:eastAsia="en-US"/>
          <w14:shadow w14:blurRad="50800" w14:dist="50800" w14:dir="5400000" w14:sx="2000" w14:sy="2000" w14:kx="0" w14:ky="0" w14:algn="ctr">
            <w14:srgbClr w14:val="000000">
              <w14:alpha w14:val="1000"/>
            </w14:srgbClr>
          </w14:shadow>
        </w:rPr>
        <w:t xml:space="preserve"> </w:t>
      </w:r>
    </w:p>
    <w:p w:rsidR="003F2AD8" w:rsidRPr="00F338B4" w:rsidRDefault="003F2AD8"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Human Settlements Capacity Development Programme Implemented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12C29" w:rsidRPr="00F338B4" w:rsidRDefault="00312C29" w:rsidP="00F338B4">
      <w:pPr>
        <w:pStyle w:val="Default"/>
        <w:spacing w:before="120" w:after="120"/>
        <w:rPr>
          <w:rFonts w:ascii="Times New Roman" w:hAnsi="Times New Roman" w:cs="Times New Roman"/>
          <w:color w:val="auto"/>
          <w14:shadow w14:blurRad="50800" w14:dist="50800" w14:dir="5400000" w14:sx="2000" w14:sy="2000" w14:kx="0" w14:ky="0" w14:algn="ctr">
            <w14:srgbClr w14:val="000000">
              <w14:alpha w14:val="1000"/>
            </w14:srgbClr>
          </w14:shadow>
        </w:rPr>
      </w:pPr>
    </w:p>
    <w:p w:rsidR="003F2AD8" w:rsidRPr="00F338B4" w:rsidRDefault="003F2AD8"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The summary of targets for 2017/2018 Annual Performance Plan are as listed below:</w:t>
      </w:r>
    </w:p>
    <w:p w:rsidR="000E20AE" w:rsidRPr="00F338B4" w:rsidRDefault="000E20AE"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50 catalytic projects implemented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22 mining towns supported on human settlements development interventions</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400 feasibilities conducted in informal settlements</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300 Informal settlement upgrading plans developed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150 000  households i</w:t>
      </w:r>
      <w:r w:rsidR="009A18D2" w:rsidRPr="00F338B4">
        <w:rPr>
          <w:rFonts w:eastAsia="Calibri"/>
          <w:lang w:val="en-US" w:eastAsia="en-US"/>
          <w14:shadow w14:blurRad="50800" w14:dist="50800" w14:dir="5400000" w14:sx="2000" w14:sy="2000" w14:kx="0" w14:ky="0" w14:algn="ctr">
            <w14:srgbClr w14:val="000000">
              <w14:alpha w14:val="1000"/>
            </w14:srgbClr>
          </w14:shadow>
        </w:rPr>
        <w:t>n informal settlements upgraded;</w:t>
      </w: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7 Provinces and 6 Metros  supported in the implementation of PHP Policy</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1 700 non-statutory Military Veterans housed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3A5A71" w:rsidRPr="00F338B4" w:rsidRDefault="003A5A71"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112 600 individual units for subsidy housing submarket provided</w:t>
      </w:r>
      <w:r w:rsidR="009A18D2" w:rsidRPr="00F338B4">
        <w:rPr>
          <w:rFonts w:eastAsia="Calibri"/>
          <w:lang w:val="en-US" w:eastAsia="en-US"/>
          <w14:shadow w14:blurRad="50800" w14:dist="50800" w14:dir="5400000" w14:sx="2000" w14:sy="2000" w14:kx="0" w14:ky="0" w14:algn="ctr">
            <w14:srgbClr w14:val="000000">
              <w14:alpha w14:val="1000"/>
            </w14:srgbClr>
          </w14:shadow>
        </w:rPr>
        <w:t>;</w:t>
      </w:r>
      <w:r w:rsidRPr="00F338B4">
        <w:rPr>
          <w:rFonts w:eastAsia="Calibri"/>
          <w:lang w:val="en-US"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xml:space="preserve">327 300 pre-and </w:t>
      </w:r>
      <w:r w:rsidR="00B908F2" w:rsidRPr="00F338B4">
        <w:rPr>
          <w:rFonts w:eastAsia="Calibri"/>
          <w:lang w:val="en-US" w:eastAsia="en-US"/>
          <w14:shadow w14:blurRad="50800" w14:dist="50800" w14:dir="5400000" w14:sx="2000" w14:sy="2000" w14:kx="0" w14:ky="0" w14:algn="ctr">
            <w14:srgbClr w14:val="000000">
              <w14:alpha w14:val="1000"/>
            </w14:srgbClr>
          </w14:shadow>
        </w:rPr>
        <w:t>post-1994</w:t>
      </w:r>
      <w:r w:rsidRPr="00F338B4">
        <w:rPr>
          <w:rFonts w:eastAsia="Calibri"/>
          <w:lang w:val="en-US" w:eastAsia="en-US"/>
          <w14:shadow w14:blurRad="50800" w14:dist="50800" w14:dir="5400000" w14:sx="2000" w14:sy="2000" w14:kx="0" w14:ky="0" w14:algn="ctr">
            <w14:srgbClr w14:val="000000">
              <w14:alpha w14:val="1000"/>
            </w14:srgbClr>
          </w14:shadow>
        </w:rPr>
        <w:t xml:space="preserve"> title deeds issued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93 200 title deeds for new subsidy houses issued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6000 Social Housing units delivered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1 915 Community Residential Units delivered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7920 private affordable rental  housing opportunities delivered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5 000 Finance  Linked Individual Subsidy Programme subsidies allocated to approved beneficiaries</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3 000 hectares of well-located land acquired, rezoned, and released for new developments</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A Policy Framework for human Settlements Developed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Housing Consumer Protection Bill 2017</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The Home Loan and Mortgage Disclosure Amendment Bill 2016</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Human Settlement Development Bank Bill 2017</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Human Settlement Bill 2017</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PIE Amendment Bill</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Guidelines for Human Settlements Planning and Design revised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Programmes in the housing code reviewed</w:t>
      </w:r>
      <w:r w:rsidR="009A18D2" w:rsidRPr="00F338B4">
        <w:rPr>
          <w:rFonts w:eastAsia="Calibri"/>
          <w:lang w:eastAsia="en-US"/>
          <w14:shadow w14:blurRad="50800" w14:dist="50800" w14:dir="5400000" w14:sx="2000" w14:sy="2000" w14:kx="0" w14:ky="0" w14:algn="ctr">
            <w14:srgbClr w14:val="000000">
              <w14:alpha w14:val="1000"/>
            </w14:srgbClr>
          </w14:shadow>
        </w:rPr>
        <w:t>;</w:t>
      </w:r>
      <w:r w:rsidRPr="00F338B4">
        <w:rPr>
          <w:rFonts w:eastAsia="Calibri"/>
          <w:lang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Research to support policy development conducted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Analysis of the functionality of the residential property market conducted</w:t>
      </w:r>
      <w:r w:rsidR="009A18D2" w:rsidRPr="00F338B4">
        <w:rPr>
          <w:rFonts w:eastAsia="Calibri"/>
          <w:lang w:eastAsia="en-US"/>
          <w14:shadow w14:blurRad="50800" w14:dist="50800" w14:dir="5400000" w14:sx="2000" w14:sy="2000" w14:kx="0" w14:ky="0" w14:algn="ctr">
            <w14:srgbClr w14:val="000000">
              <w14:alpha w14:val="1000"/>
            </w14:srgbClr>
          </w14:shadow>
        </w:rPr>
        <w:t>;</w:t>
      </w:r>
      <w:r w:rsidRPr="00F338B4">
        <w:rPr>
          <w:rFonts w:eastAsia="Calibri"/>
          <w:lang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5% of projects under implementation</w:t>
      </w:r>
      <w:r w:rsidR="009A18D2" w:rsidRPr="00F338B4">
        <w:rPr>
          <w:rFonts w:eastAsia="Calibri"/>
          <w:lang w:eastAsia="en-US"/>
          <w14:shadow w14:blurRad="50800" w14:dist="50800" w14:dir="5400000" w14:sx="2000" w14:sy="2000" w14:kx="0" w14:ky="0" w14:algn="ctr">
            <w14:srgbClr w14:val="000000">
              <w14:alpha w14:val="1000"/>
            </w14:srgbClr>
          </w14:shadow>
        </w:rPr>
        <w:t xml:space="preserve"> assessed for policy compliance;</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Human Settlements sector Capacity audit conducted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9A18D2"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7 Provinces and six Metros</w:t>
      </w:r>
      <w:r w:rsidR="00612A75" w:rsidRPr="00F338B4">
        <w:rPr>
          <w:rFonts w:eastAsia="Calibri"/>
          <w:lang w:eastAsia="en-US"/>
          <w14:shadow w14:blurRad="50800" w14:dist="50800" w14:dir="5400000" w14:sx="2000" w14:sy="2000" w14:kx="0" w14:ky="0" w14:algn="ctr">
            <w14:srgbClr w14:val="000000">
              <w14:alpha w14:val="1000"/>
            </w14:srgbClr>
          </w14:shadow>
        </w:rPr>
        <w:t xml:space="preserve"> supported on the implementation of PHP Policy</w:t>
      </w:r>
      <w:r w:rsidRPr="00F338B4">
        <w:rPr>
          <w:rFonts w:eastAsia="Calibri"/>
          <w:lang w:eastAsia="en-US"/>
          <w14:shadow w14:blurRad="50800" w14:dist="50800" w14:dir="5400000" w14:sx="2000" w14:sy="2000" w14:kx="0" w14:ky="0" w14:algn="ctr">
            <w14:srgbClr w14:val="000000">
              <w14:alpha w14:val="1000"/>
            </w14:srgbClr>
          </w14:shadow>
        </w:rPr>
        <w:t>;</w:t>
      </w:r>
      <w:r w:rsidR="00612A75" w:rsidRPr="00F338B4">
        <w:rPr>
          <w:rFonts w:eastAsia="Calibri"/>
          <w:lang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100 youth supported through a bursary Programme</w:t>
      </w:r>
      <w:r w:rsidR="009A18D2" w:rsidRPr="00F338B4">
        <w:rPr>
          <w:rFonts w:eastAsia="Calibri"/>
          <w:lang w:eastAsia="en-US"/>
          <w14:shadow w14:blurRad="50800" w14:dist="50800" w14:dir="5400000" w14:sx="2000" w14:sy="2000" w14:kx="0" w14:ky="0" w14:algn="ctr">
            <w14:srgbClr w14:val="000000">
              <w14:alpha w14:val="1000"/>
            </w14:srgbClr>
          </w14:shadow>
        </w:rPr>
        <w:t>;</w:t>
      </w:r>
      <w:r w:rsidRPr="00F338B4">
        <w:rPr>
          <w:rFonts w:eastAsia="Calibri"/>
          <w:lang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 xml:space="preserve">500 practitioners trained on </w:t>
      </w:r>
      <w:r w:rsidR="009A18D2" w:rsidRPr="00F338B4">
        <w:rPr>
          <w:rFonts w:eastAsia="Calibri"/>
          <w:lang w:eastAsia="en-US"/>
          <w14:shadow w14:blurRad="50800" w14:dist="50800" w14:dir="5400000" w14:sx="2000" w14:sy="2000" w14:kx="0" w14:ky="0" w14:algn="ctr">
            <w14:srgbClr w14:val="000000">
              <w14:alpha w14:val="1000"/>
            </w14:srgbClr>
          </w14:shadow>
        </w:rPr>
        <w:t>Sustainable human settlements s</w:t>
      </w:r>
      <w:r w:rsidRPr="00F338B4">
        <w:rPr>
          <w:rFonts w:eastAsia="Calibri"/>
          <w:lang w:eastAsia="en-US"/>
          <w14:shadow w14:blurRad="50800" w14:dist="50800" w14:dir="5400000" w14:sx="2000" w14:sy="2000" w14:kx="0" w14:ky="0" w14:algn="ctr">
            <w14:srgbClr w14:val="000000">
              <w14:alpha w14:val="1000"/>
            </w14:srgbClr>
          </w14:shadow>
        </w:rPr>
        <w:t>kills development programmes</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lastRenderedPageBreak/>
        <w:t>Guideline Framework for Testing Pro</w:t>
      </w:r>
      <w:r w:rsidR="009A18D2" w:rsidRPr="00F338B4">
        <w:rPr>
          <w:rFonts w:eastAsia="Calibri"/>
          <w:lang w:eastAsia="en-US"/>
          <w14:shadow w14:blurRad="50800" w14:dist="50800" w14:dir="5400000" w14:sx="2000" w14:sy="2000" w14:kx="0" w14:ky="0" w14:algn="ctr">
            <w14:srgbClr w14:val="000000">
              <w14:alpha w14:val="1000"/>
            </w14:srgbClr>
          </w14:shadow>
        </w:rPr>
        <w:t>ject Readiness implemented;</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Operational integra</w:t>
      </w:r>
      <w:r w:rsidR="009A18D2" w:rsidRPr="00F338B4">
        <w:rPr>
          <w:rFonts w:eastAsia="Calibri"/>
          <w:lang w:eastAsia="en-US"/>
          <w14:shadow w14:blurRad="50800" w14:dist="50800" w14:dir="5400000" w14:sx="2000" w14:sy="2000" w14:kx="0" w14:ky="0" w14:algn="ctr">
            <w14:srgbClr w14:val="000000">
              <w14:alpha w14:val="1000"/>
            </w14:srgbClr>
          </w14:shadow>
        </w:rPr>
        <w:t>tion of the 3 DFI’s implemented;</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30 per cent of the total HSDG construction budget allocated to women and youth Contractors</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30 per cent of the total USDG constr</w:t>
      </w:r>
      <w:r w:rsidR="009A18D2" w:rsidRPr="00F338B4">
        <w:rPr>
          <w:rFonts w:eastAsia="Calibri"/>
          <w:lang w:eastAsia="en-US"/>
          <w14:shadow w14:blurRad="50800" w14:dist="50800" w14:dir="5400000" w14:sx="2000" w14:sy="2000" w14:kx="0" w14:ky="0" w14:algn="ctr">
            <w14:srgbClr w14:val="000000">
              <w14:alpha w14:val="1000"/>
            </w14:srgbClr>
          </w14:shadow>
        </w:rPr>
        <w:t xml:space="preserve">uction budget allocated to women </w:t>
      </w:r>
      <w:r w:rsidRPr="00F338B4">
        <w:rPr>
          <w:rFonts w:eastAsia="Calibri"/>
          <w:lang w:eastAsia="en-US"/>
          <w14:shadow w14:blurRad="50800" w14:dist="50800" w14:dir="5400000" w14:sx="2000" w14:sy="2000" w14:kx="0" w14:ky="0" w14:algn="ctr">
            <w14:srgbClr w14:val="000000">
              <w14:alpha w14:val="1000"/>
            </w14:srgbClr>
          </w14:shadow>
        </w:rPr>
        <w:t>and youth Contra</w:t>
      </w:r>
      <w:r w:rsidR="009A18D2" w:rsidRPr="00F338B4">
        <w:rPr>
          <w:rFonts w:eastAsia="Calibri"/>
          <w:lang w:eastAsia="en-US"/>
          <w14:shadow w14:blurRad="50800" w14:dist="50800" w14:dir="5400000" w14:sx="2000" w14:sy="2000" w14:kx="0" w14:ky="0" w14:algn="ctr">
            <w14:srgbClr w14:val="000000">
              <w14:alpha w14:val="1000"/>
            </w14:srgbClr>
          </w14:shadow>
        </w:rPr>
        <w:t>ctor;</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Framework for to improve DFI lending developed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Framework to achieve private sector investment leveraging developed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Assessments on the volume of loans granted by DFIs for the affordable housing market conducted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Assessment of the current financing model on grants</w:t>
      </w:r>
      <w:r w:rsidRPr="00F338B4">
        <w:rPr>
          <w:rFonts w:eastAsia="Calibri"/>
          <w:lang w:val="en-US" w:eastAsia="en-US"/>
          <w14:shadow w14:blurRad="50800" w14:dist="50800" w14:dir="5400000" w14:sx="2000" w14:sy="2000" w14:kx="0" w14:ky="0" w14:algn="ctr">
            <w14:srgbClr w14:val="000000">
              <w14:alpha w14:val="1000"/>
            </w14:srgbClr>
          </w14:shadow>
        </w:rPr>
        <w:t xml:space="preserve"> conducted</w:t>
      </w:r>
      <w:r w:rsidR="009A18D2" w:rsidRPr="00F338B4">
        <w:rPr>
          <w:rFonts w:eastAsia="Calibri"/>
          <w:lang w:val="en-US"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Employers’ contribution towards Employer Assisted Housing assessed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9 municipal</w:t>
      </w:r>
      <w:r w:rsidR="009A18D2" w:rsidRPr="00F338B4">
        <w:rPr>
          <w:rFonts w:eastAsia="Calibri"/>
          <w:lang w:eastAsia="en-US"/>
          <w14:shadow w14:blurRad="50800" w14:dist="50800" w14:dir="5400000" w14:sx="2000" w14:sy="2000" w14:kx="0" w14:ky="0" w14:algn="ctr">
            <w14:srgbClr w14:val="000000">
              <w14:alpha w14:val="1000"/>
            </w14:srgbClr>
          </w14:shadow>
        </w:rPr>
        <w:t>ities assessed for accreditation;</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8 municipalities in secondary cities supported on the implementation of the Human Settlements Master Plan</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6 initiatives on international cooperative aligned to human settlements priorities serviced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24  Intergovernmental fora coordinated in line with human settlements priorities</w:t>
      </w:r>
      <w:r w:rsidR="009A18D2" w:rsidRPr="00F338B4">
        <w:rPr>
          <w:rFonts w:eastAsia="Calibri"/>
          <w:lang w:eastAsia="en-US"/>
          <w14:shadow w14:blurRad="50800" w14:dist="50800" w14:dir="5400000" w14:sx="2000" w14:sy="2000" w14:kx="0" w14:ky="0" w14:algn="ctr">
            <w14:srgbClr w14:val="000000">
              <w14:alpha w14:val="1000"/>
            </w14:srgbClr>
          </w14:shadow>
        </w:rPr>
        <w:t>;</w:t>
      </w:r>
      <w:r w:rsidRPr="00F338B4">
        <w:rPr>
          <w:rFonts w:eastAsia="Calibri"/>
          <w:lang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40 Partnerships, mobilised towards Human Settlements</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100% of projects under implementation monitored and verified (HSDG and USDG)</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1 evaluation study (UISP three year impact)</w:t>
      </w:r>
      <w:r w:rsidR="009A18D2" w:rsidRPr="00F338B4">
        <w:rPr>
          <w:rFonts w:eastAsia="Calibri"/>
          <w:lang w:eastAsia="en-US"/>
          <w14:shadow w14:blurRad="50800" w14:dist="50800" w14:dir="5400000" w14:sx="2000" w14:sy="2000" w14:kx="0" w14:ky="0" w14:algn="ctr">
            <w14:srgbClr w14:val="000000">
              <w14:alpha w14:val="1000"/>
            </w14:srgbClr>
          </w14:shadow>
        </w:rPr>
        <w:t>;</w:t>
      </w:r>
      <w:r w:rsidRPr="00F338B4">
        <w:rPr>
          <w:rFonts w:eastAsia="Calibri"/>
          <w:lang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All  valid invoices paid within 30 days</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 xml:space="preserve">Approved </w:t>
      </w:r>
      <w:r w:rsidR="009A18D2" w:rsidRPr="00F338B4">
        <w:rPr>
          <w:rFonts w:eastAsia="Calibri"/>
          <w:lang w:eastAsia="en-US"/>
          <w14:shadow w14:blurRad="50800" w14:dist="50800" w14:dir="5400000" w14:sx="2000" w14:sy="2000" w14:kx="0" w14:ky="0" w14:algn="ctr">
            <w14:srgbClr w14:val="000000">
              <w14:alpha w14:val="1000"/>
            </w14:srgbClr>
          </w14:shadow>
        </w:rPr>
        <w:t>internal audit plan implemented;</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Approved risk management plan implemented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Approved Departmental anti-fraud and corruption plan implemented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Unqualified audit report 2016/17 with no matters of emphasis</w:t>
      </w:r>
      <w:r w:rsidR="009A18D2" w:rsidRPr="00F338B4">
        <w:rPr>
          <w:rFonts w:eastAsia="Calibri"/>
          <w:lang w:eastAsia="en-US"/>
          <w14:shadow w14:blurRad="50800" w14:dist="50800" w14:dir="5400000" w14:sx="2000" w14:sy="2000" w14:kx="0" w14:ky="0" w14:algn="ctr">
            <w14:srgbClr w14:val="000000">
              <w14:alpha w14:val="1000"/>
            </w14:srgbClr>
          </w14:shadow>
        </w:rPr>
        <w:t>;</w:t>
      </w:r>
      <w:r w:rsidRPr="00F338B4">
        <w:rPr>
          <w:rFonts w:eastAsia="Calibri"/>
          <w:lang w:eastAsia="en-US"/>
          <w14:shadow w14:blurRad="50800" w14:dist="50800" w14:dir="5400000" w14:sx="2000" w14:sy="2000" w14:kx="0" w14:ky="0" w14:algn="ctr">
            <w14:srgbClr w14:val="000000">
              <w14:alpha w14:val="1000"/>
            </w14:srgbClr>
          </w14:shadow>
        </w:rPr>
        <w:t xml:space="preserve"> </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Human Resource Plan implemented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8B6C70" w:rsidRPr="00F338B4" w:rsidRDefault="00612A75" w:rsidP="00F338B4">
      <w:pPr>
        <w:numPr>
          <w:ilvl w:val="0"/>
          <w:numId w:val="10"/>
        </w:numPr>
        <w:kinsoku w:val="0"/>
        <w:overflowPunct w:val="0"/>
        <w:spacing w:before="120" w:after="120"/>
        <w:ind w:left="1267"/>
        <w:contextualSpacing/>
        <w:textAlignment w:val="baseline"/>
        <w:rPr>
          <w:rFonts w:eastAsia="Calibri"/>
          <w:lang w:eastAsia="en-US"/>
          <w14:shadow w14:blurRad="50800" w14:dist="50800" w14:dir="5400000" w14:sx="2000" w14:sy="2000" w14:kx="0" w14:ky="0" w14:algn="ctr">
            <w14:srgbClr w14:val="000000">
              <w14:alpha w14:val="1000"/>
            </w14:srgbClr>
          </w14:shadow>
        </w:rPr>
      </w:pPr>
      <w:r w:rsidRPr="00F338B4">
        <w:rPr>
          <w:rFonts w:eastAsia="Calibri"/>
          <w:lang w:eastAsia="en-US"/>
          <w14:shadow w14:blurRad="50800" w14:dist="50800" w14:dir="5400000" w14:sx="2000" w14:sy="2000" w14:kx="0" w14:ky="0" w14:algn="ctr">
            <w14:srgbClr w14:val="000000">
              <w14:alpha w14:val="1000"/>
            </w14:srgbClr>
          </w14:shadow>
        </w:rPr>
        <w:t>Approved communication strategy implemented</w:t>
      </w:r>
      <w:r w:rsidR="009A18D2" w:rsidRPr="00F338B4">
        <w:rPr>
          <w:rFonts w:eastAsia="Calibri"/>
          <w:lang w:eastAsia="en-US"/>
          <w14:shadow w14:blurRad="50800" w14:dist="50800" w14:dir="5400000" w14:sx="2000" w14:sy="2000" w14:kx="0" w14:ky="0" w14:algn="ctr">
            <w14:srgbClr w14:val="000000">
              <w14:alpha w14:val="1000"/>
            </w14:srgbClr>
          </w14:shadow>
        </w:rPr>
        <w:t>.</w:t>
      </w:r>
    </w:p>
    <w:p w:rsidR="003F2AD8" w:rsidRPr="00F338B4" w:rsidRDefault="003F2AD8" w:rsidP="00F338B4">
      <w:pPr>
        <w:kinsoku w:val="0"/>
        <w:overflowPunct w:val="0"/>
        <w:spacing w:before="120" w:after="120"/>
        <w:ind w:left="1267"/>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p>
    <w:p w:rsidR="00EB6829" w:rsidRPr="00F338B4" w:rsidRDefault="00EB6829" w:rsidP="00F338B4">
      <w:pPr>
        <w:spacing w:before="120" w:after="120"/>
        <w:jc w:val="both"/>
        <w:rPr>
          <w14:shadow w14:blurRad="50800" w14:dist="50800" w14:dir="5400000" w14:sx="2000" w14:sy="2000" w14:kx="0" w14:ky="0" w14:algn="ctr">
            <w14:srgbClr w14:val="000000">
              <w14:alpha w14:val="1000"/>
            </w14:srgbClr>
          </w14:shadow>
        </w:rPr>
      </w:pPr>
    </w:p>
    <w:p w:rsidR="00320E23" w:rsidRPr="00F338B4" w:rsidRDefault="00F37F09"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w:t>
      </w:r>
      <w:r w:rsidR="00EC58D2" w:rsidRPr="00F338B4">
        <w:rPr>
          <w:rFonts w:eastAsia="Calibri"/>
          <w:lang w:val="en-US" w:eastAsia="en-US"/>
          <w14:shadow w14:blurRad="50800" w14:dist="50800" w14:dir="5400000" w14:sx="2000" w14:sy="2000" w14:kx="0" w14:ky="0" w14:algn="ctr">
            <w14:srgbClr w14:val="000000">
              <w14:alpha w14:val="1000"/>
            </w14:srgbClr>
          </w14:shadow>
        </w:rPr>
        <w:t xml:space="preserve">.6 </w:t>
      </w:r>
      <w:r w:rsidR="00850E1D" w:rsidRPr="00F338B4">
        <w:rPr>
          <w:rFonts w:eastAsia="Calibri"/>
          <w:lang w:val="en-US" w:eastAsia="en-US"/>
          <w14:shadow w14:blurRad="50800" w14:dist="50800" w14:dir="5400000" w14:sx="2000" w14:sy="2000" w14:kx="0" w14:ky="0" w14:algn="ctr">
            <w14:srgbClr w14:val="000000">
              <w14:alpha w14:val="1000"/>
            </w14:srgbClr>
          </w14:shadow>
        </w:rPr>
        <w:tab/>
      </w:r>
      <w:r w:rsidR="00320E23" w:rsidRPr="00F338B4">
        <w:rPr>
          <w:rFonts w:eastAsia="Calibri"/>
          <w:lang w:val="en-US" w:eastAsia="en-US"/>
          <w14:shadow w14:blurRad="50800" w14:dist="50800" w14:dir="5400000" w14:sx="2000" w14:sy="2000" w14:kx="0" w14:ky="0" w14:algn="ctr">
            <w14:srgbClr w14:val="000000">
              <w14:alpha w14:val="1000"/>
            </w14:srgbClr>
          </w14:shadow>
        </w:rPr>
        <w:t>Policy Mandates</w:t>
      </w:r>
    </w:p>
    <w:p w:rsidR="00312C29" w:rsidRPr="00F338B4" w:rsidRDefault="00312C29"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p>
    <w:p w:rsidR="00320E23" w:rsidRPr="00F338B4" w:rsidRDefault="00320E23"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xml:space="preserve">Other specific constitutional, legislative and policy mandates of the Department including government policy frameworks are: </w:t>
      </w:r>
    </w:p>
    <w:p w:rsidR="00320E23" w:rsidRPr="00F338B4" w:rsidRDefault="00320E23" w:rsidP="00F338B4">
      <w:pPr>
        <w:spacing w:before="120" w:after="120"/>
        <w:jc w:val="both"/>
        <w:rPr>
          <w14:shadow w14:blurRad="50800" w14:dist="50800" w14:dir="5400000" w14:sx="2000" w14:sy="2000" w14:kx="0" w14:ky="0" w14:algn="ctr">
            <w14:srgbClr w14:val="000000">
              <w14:alpha w14:val="1000"/>
            </w14:srgbClr>
          </w14:shadow>
        </w:rPr>
      </w:pP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Constitution of the Republic of South Africa;</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Housing Act, 1997 (Act No 107 of 1997);</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Comprehensive Plan for the Creation of Sustainable Human Settlements (BNG);</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Housing Consumer Protection Measures Act, 1998 (Act No 19 of 1998);</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Housing Development Agency Act, 2008 (Act No 23 of 2008);</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Public Finance Management Act, 1999 (Act No 1 of 1999-as amended by Act No 29);</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Social Housing Act, 2008 (Act No 16 of 2008);</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Division of Revenue Act, 1999 (Act No 50 of 1999);</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Home Loan and Mortgage Disclosure Act, 2000 (Act No 63 of 2000);</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Inclusionary Housing Bill;</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lastRenderedPageBreak/>
        <w:t>Sectional Titles Schemes Ombud Service Act (Act 9 of 2011);</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Intergovernmental Relations Framework (Act No 13 of 2005); </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National Development Plan (NDP);</w:t>
      </w:r>
    </w:p>
    <w:p w:rsidR="00320E23" w:rsidRPr="00F338B4" w:rsidRDefault="00320E23"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Spatial Planning and Land Use Management Act, 2013 (Act No 16 of 2013).</w:t>
      </w:r>
    </w:p>
    <w:p w:rsidR="000E20AE" w:rsidRPr="00F338B4" w:rsidRDefault="000E20AE" w:rsidP="00F338B4">
      <w:pPr>
        <w:spacing w:before="120" w:after="120"/>
        <w:jc w:val="both"/>
        <w:rPr>
          <w14:shadow w14:blurRad="50800" w14:dist="50800" w14:dir="5400000" w14:sx="2000" w14:sy="2000" w14:kx="0" w14:ky="0" w14:algn="ctr">
            <w14:srgbClr w14:val="000000">
              <w14:alpha w14:val="1000"/>
            </w14:srgbClr>
          </w14:shadow>
        </w:rPr>
      </w:pPr>
    </w:p>
    <w:p w:rsidR="006451AA" w:rsidRPr="00F338B4" w:rsidRDefault="00850E1D"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2.7</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ab/>
      </w:r>
      <w:r w:rsidR="006451AA"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Outcome 8: Sustainable human settlements and an improved quality of household life </w:t>
      </w:r>
    </w:p>
    <w:p w:rsidR="006451AA" w:rsidRPr="00F338B4" w:rsidRDefault="006451AA"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6451AA" w:rsidRPr="00F338B4" w:rsidRDefault="006451AA"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While the timeframe of targets stated in Outcome 8 ended in 2014, the Department is of the view that the policy approach and focus of the document remains relevant.</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The following targets apply: </w:t>
      </w:r>
    </w:p>
    <w:p w:rsidR="006451AA" w:rsidRPr="00F338B4" w:rsidRDefault="006451AA"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Accelerated delivery of housing opportunities with a focus on the upgrading of informal settlements and providing affordable rental housing stock. </w:t>
      </w:r>
    </w:p>
    <w:p w:rsidR="006451AA" w:rsidRPr="00F338B4" w:rsidRDefault="006451AA"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Access to basic services as part of the National Bulk Infrastructure Development Programme</w:t>
      </w:r>
      <w:r w:rsidR="006D44CA"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6451AA" w:rsidRPr="00F338B4" w:rsidRDefault="006451AA"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More efficient land utilisation with a target of acquiring 6 250 hectare of State-owned land</w:t>
      </w:r>
      <w:r w:rsidR="006D44CA" w:rsidRPr="00F338B4">
        <w:rPr>
          <w:rFonts w:ascii="Times New Roman" w:hAnsi="Times New Roman"/>
          <w:sz w:val="24"/>
          <w:szCs w:val="24"/>
          <w14:shadow w14:blurRad="50800" w14:dist="50800" w14:dir="5400000" w14:sx="2000" w14:sy="2000" w14:kx="0" w14:ky="0" w14:algn="ctr">
            <w14:srgbClr w14:val="000000">
              <w14:alpha w14:val="1000"/>
            </w14:srgbClr>
          </w14:shadow>
        </w:rPr>
        <w:t>;</w:t>
      </w: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w:t>
      </w:r>
    </w:p>
    <w:p w:rsidR="006451AA" w:rsidRPr="00F338B4" w:rsidRDefault="006451AA" w:rsidP="00F338B4">
      <w:pPr>
        <w:pStyle w:val="ListParagraph"/>
        <w:numPr>
          <w:ilvl w:val="0"/>
          <w:numId w:val="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An improved property market through the supply of affordable housing finance. </w:t>
      </w:r>
    </w:p>
    <w:p w:rsidR="006451AA" w:rsidRPr="00F338B4" w:rsidRDefault="006451AA"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p>
    <w:p w:rsidR="00307F35" w:rsidRPr="00F338B4" w:rsidRDefault="00307F35"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6451AA" w:rsidRPr="00F338B4" w:rsidRDefault="00850E1D"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2.8</w:t>
      </w:r>
      <w:r w:rsidRPr="00F338B4">
        <w:rPr>
          <w:rFonts w:eastAsia="Calibri"/>
          <w:bCs w:val="0"/>
          <w:sz w:val="24"/>
          <w14:shadow w14:blurRad="50800" w14:dist="50800" w14:dir="5400000" w14:sx="2000" w14:sy="2000" w14:kx="0" w14:ky="0" w14:algn="ctr">
            <w14:srgbClr w14:val="000000">
              <w14:alpha w14:val="1000"/>
            </w14:srgbClr>
          </w14:shadow>
        </w:rPr>
        <w:tab/>
      </w:r>
      <w:r w:rsidR="006451AA" w:rsidRPr="00F338B4">
        <w:rPr>
          <w:rFonts w:eastAsia="Calibri"/>
          <w:bCs w:val="0"/>
          <w:sz w:val="24"/>
          <w14:shadow w14:blurRad="50800" w14:dist="50800" w14:dir="5400000" w14:sx="2000" w14:sy="2000" w14:kx="0" w14:ky="0" w14:algn="ctr">
            <w14:srgbClr w14:val="000000">
              <w14:alpha w14:val="1000"/>
            </w14:srgbClr>
          </w14:shadow>
        </w:rPr>
        <w:t xml:space="preserve">State-of-the-nation address (SONA) and the Budget Speech </w:t>
      </w:r>
    </w:p>
    <w:p w:rsidR="009A5EEB" w:rsidRPr="00F338B4" w:rsidRDefault="009A5EEB" w:rsidP="00F338B4">
      <w:pPr>
        <w:pStyle w:val="Default"/>
        <w:spacing w:before="120" w:after="120"/>
        <w:rPr>
          <w:rFonts w:ascii="Times New Roman" w:hAnsi="Times New Roman" w:cs="Times New Roman"/>
          <w:color w:val="auto"/>
          <w14:shadow w14:blurRad="50800" w14:dist="50800" w14:dir="5400000" w14:sx="2000" w14:sy="2000" w14:kx="0" w14:ky="0" w14:algn="ctr">
            <w14:srgbClr w14:val="000000">
              <w14:alpha w14:val="1000"/>
            </w14:srgbClr>
          </w14:shadow>
        </w:rPr>
      </w:pPr>
    </w:p>
    <w:p w:rsidR="009A5EEB" w:rsidRPr="00F338B4" w:rsidRDefault="009A5EEB"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During the 2017 SONA, President Zuma made specific referenc</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e to the sector by stating that:</w:t>
      </w:r>
    </w:p>
    <w:p w:rsidR="009A5EEB" w:rsidRPr="00F338B4" w:rsidRDefault="009A5EEB" w:rsidP="00F338B4">
      <w:pPr>
        <w:pStyle w:val="Default"/>
        <w:numPr>
          <w:ilvl w:val="0"/>
          <w:numId w:val="8"/>
        </w:numPr>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The South Africa government is actively involved in the property sector and has provided more th</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an 4 million houses since 1994;</w:t>
      </w:r>
    </w:p>
    <w:p w:rsidR="009A5EEB" w:rsidRPr="00F338B4" w:rsidRDefault="009A5EEB" w:rsidP="00F338B4">
      <w:pPr>
        <w:pStyle w:val="Default"/>
        <w:numPr>
          <w:ilvl w:val="0"/>
          <w:numId w:val="8"/>
        </w:numPr>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The property sector in South Africa is valued at around R7 trillion, with the subsidised sector being </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valued at around R1.5 trillion;</w:t>
      </w:r>
    </w:p>
    <w:p w:rsidR="009A5EEB" w:rsidRPr="00F338B4" w:rsidRDefault="009A5EEB" w:rsidP="00F338B4">
      <w:pPr>
        <w:pStyle w:val="Default"/>
        <w:numPr>
          <w:ilvl w:val="0"/>
          <w:numId w:val="8"/>
        </w:numPr>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Less than 5 percent of the property sector is owned or manag</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ed by black and African people;</w:t>
      </w:r>
    </w:p>
    <w:p w:rsidR="009A5EEB" w:rsidRPr="00F338B4" w:rsidRDefault="009A5EEB" w:rsidP="00F338B4">
      <w:pPr>
        <w:pStyle w:val="Default"/>
        <w:numPr>
          <w:ilvl w:val="0"/>
          <w:numId w:val="8"/>
        </w:numPr>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A draft </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Property Practitioners Bill would</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be published by the Department for public comment in order to establish a more inclusive, representative sector, towards r</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adical economic transformation;</w:t>
      </w:r>
    </w:p>
    <w:p w:rsidR="009A5EEB" w:rsidRPr="00F338B4" w:rsidRDefault="009A5EEB" w:rsidP="00F338B4">
      <w:pPr>
        <w:pStyle w:val="Default"/>
        <w:numPr>
          <w:ilvl w:val="0"/>
          <w:numId w:val="8"/>
        </w:numPr>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Key priorities for th</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e 2017/2018 financial year would </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include addressing the delays and backlogs in registration and issuing of title deeds to beneficiaries of housing projects funded by the capital subsidy. </w:t>
      </w:r>
    </w:p>
    <w:p w:rsidR="009A5EEB" w:rsidRPr="00F338B4" w:rsidRDefault="009A5EEB" w:rsidP="00F338B4">
      <w:pPr>
        <w:pStyle w:val="Default"/>
        <w:spacing w:before="120" w:after="1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C1629B" w:rsidRPr="00F338B4" w:rsidRDefault="009A5EEB"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The strategic objectives relating to the human settlements sector in SONA 2017 correspond with the National Development Plan (NDP), the Medium Term Strategic Framework (MTSF) and the Medium Term Budget Policy Statement (MTBPS) as these objectives relate to transformation and inclusion. Chapter 8 of the NDP focuses on the transformation of human settlements and the national space economy. Its human settlements trajectory proposition states that by 2050 South Africa’s human settlements would have transformed into equitable and efficient spaces with citizens living in close proximity to work and having access to social facilities and essential infrastructure. </w:t>
      </w:r>
      <w:r w:rsidR="00AB2BB1"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It also envisages that by 2030, measurable progress towards breaking apartheid spatial patterns would have been made.</w:t>
      </w:r>
    </w:p>
    <w:p w:rsidR="009A5EEB" w:rsidRPr="00F338B4" w:rsidRDefault="009A5EEB"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lastRenderedPageBreak/>
        <w:t xml:space="preserve"> </w:t>
      </w:r>
    </w:p>
    <w:p w:rsidR="009A5EEB" w:rsidRPr="00F338B4" w:rsidRDefault="009A5EEB"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The Department is therefore responsible for addressing the issue of transformation in the housing sector, and to ensure that the fractured housing and land markets are addressed. One way in which the issue of transformation in the sector is prioritised in SONA 2017, is the announcement that the draft </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Property Practitioners Bill would</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be released for public comment. </w:t>
      </w:r>
      <w:r w:rsidR="00C1629B"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This bill has been anticipated for a number of years, and has now been reprioritised. </w:t>
      </w:r>
    </w:p>
    <w:p w:rsidR="001A33C7" w:rsidRPr="00F338B4" w:rsidRDefault="001A33C7"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9A5EEB" w:rsidRPr="00F338B4" w:rsidRDefault="009A5EEB"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The NDP highlights the spatial inequalities that exist in society as a major challenge to reducing inequality. A number of objectives were listed in order to transform the human settlements sector in line with the developmental vision for South Africa, as set out in the NDP. These include:</w:t>
      </w:r>
    </w:p>
    <w:p w:rsidR="009A5EEB" w:rsidRPr="00F338B4" w:rsidRDefault="009A5EEB" w:rsidP="00F338B4">
      <w:pPr>
        <w:pStyle w:val="Default"/>
        <w:numPr>
          <w:ilvl w:val="0"/>
          <w:numId w:val="9"/>
        </w:numPr>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A strong and efficient spatial planning system that is well integrated a</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cross the spheres of government;</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p>
    <w:p w:rsidR="009A5EEB" w:rsidRPr="00F338B4" w:rsidRDefault="009A5EEB" w:rsidP="00F338B4">
      <w:pPr>
        <w:pStyle w:val="Default"/>
        <w:numPr>
          <w:ilvl w:val="0"/>
          <w:numId w:val="9"/>
        </w:numPr>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The upgrading of all informal settlements on suita</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ble, well located land by 2030;</w:t>
      </w:r>
    </w:p>
    <w:p w:rsidR="009A5EEB" w:rsidRPr="00F338B4" w:rsidRDefault="009A5EEB" w:rsidP="00F338B4">
      <w:pPr>
        <w:pStyle w:val="Default"/>
        <w:numPr>
          <w:ilvl w:val="0"/>
          <w:numId w:val="9"/>
        </w:numPr>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More people living closer to wher</w:t>
      </w:r>
      <w:r w:rsidR="009A18D2"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e they work;</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p>
    <w:p w:rsidR="009A5EEB" w:rsidRPr="00F338B4" w:rsidRDefault="009A18D2" w:rsidP="00F338B4">
      <w:pPr>
        <w:pStyle w:val="Default"/>
        <w:numPr>
          <w:ilvl w:val="0"/>
          <w:numId w:val="9"/>
        </w:numPr>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Better quality public transport;</w:t>
      </w:r>
      <w:r w:rsidR="009A5EEB"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p>
    <w:p w:rsidR="009A5EEB" w:rsidRPr="00F338B4" w:rsidRDefault="009A5EEB" w:rsidP="00F338B4">
      <w:pPr>
        <w:pStyle w:val="Default"/>
        <w:numPr>
          <w:ilvl w:val="0"/>
          <w:numId w:val="9"/>
        </w:numPr>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More jobs in or close to dense, urban townships. </w:t>
      </w:r>
    </w:p>
    <w:p w:rsidR="009A5EEB" w:rsidRPr="00F338B4" w:rsidRDefault="009A5EEB"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9A5EEB" w:rsidRPr="00F338B4" w:rsidRDefault="009A5EEB"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The NDP further recommended that bolder measures be instituted to address inequities in the land market that pose a challenge to the poor to access benefits of life in towns and cities.</w:t>
      </w:r>
      <w:r w:rsidR="00C1629B"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  </w:t>
      </w: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 xml:space="preserve">In light of this recommendation, the focus on addressing backlogs and delays in issuing title deeds during the 2017 SONA is of particular relevance, as home ownership is a critical factor for the poor to access land and housing and benefit from opportunities in towns and cities. Despite the strong emphasis on spatial integration and inclusion in the NDP, the strategic objectives raised in SONA 2017 in relation to the sector are centred mostly on economic transformation, and does not include specific suggested actions or plans for addressing the broader challenges of spatial </w:t>
      </w:r>
      <w:r w:rsidR="00103E50"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integration and transformation.</w:t>
      </w:r>
    </w:p>
    <w:p w:rsidR="00103E50" w:rsidRPr="00F338B4" w:rsidRDefault="00103E50"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9A5EEB" w:rsidRPr="00F338B4" w:rsidRDefault="009A5EEB" w:rsidP="00F338B4">
      <w:pPr>
        <w:pStyle w:val="Default"/>
        <w:spacing w:before="120" w:after="120"/>
        <w:jc w:val="both"/>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r w:rsidRPr="00F338B4">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t>Insofar as the 2017 SONA addresses the issue of delays and backlogs in issuing title deeds, there is a possibility that this may include a change in the systems used at deeds’ offices. This could potentially, in part, address the vision for a strong and efficient spatial planning system that is integrated across the spheres of government and is likely to require a partnership between the Department and the Department of Rural Development and Land Reform.</w:t>
      </w:r>
    </w:p>
    <w:p w:rsidR="009A5EEB" w:rsidRPr="00F338B4" w:rsidRDefault="009A5EEB" w:rsidP="00F338B4">
      <w:pPr>
        <w:pStyle w:val="Default"/>
        <w:spacing w:before="120" w:after="120"/>
        <w:ind w:left="7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AF4C5C" w:rsidRPr="00F338B4" w:rsidRDefault="00AF4C5C" w:rsidP="00F338B4">
      <w:pPr>
        <w:pStyle w:val="Default"/>
        <w:spacing w:before="120" w:after="120"/>
        <w:ind w:left="720"/>
        <w:rPr>
          <w:rFonts w:ascii="Times New Roman" w:eastAsia="Calibri" w:hAnsi="Times New Roman" w:cs="Times New Roman"/>
          <w:color w:val="auto"/>
          <w:lang w:val="en-US" w:eastAsia="en-US"/>
          <w14:shadow w14:blurRad="50800" w14:dist="50800" w14:dir="5400000" w14:sx="2000" w14:sy="2000" w14:kx="0" w14:ky="0" w14:algn="ctr">
            <w14:srgbClr w14:val="000000">
              <w14:alpha w14:val="1000"/>
            </w14:srgbClr>
          </w14:shadow>
        </w:rPr>
      </w:pPr>
    </w:p>
    <w:p w:rsidR="00F338B4" w:rsidRDefault="00F338B4">
      <w:pPr>
        <w:rPr>
          <w:rFonts w:eastAsia="Calibri"/>
          <w:lang w:val="en-US" w:eastAsia="en-US"/>
          <w14:shadow w14:blurRad="50800" w14:dist="50800" w14:dir="5400000" w14:sx="2000" w14:sy="2000" w14:kx="0" w14:ky="0" w14:algn="ctr">
            <w14:srgbClr w14:val="000000">
              <w14:alpha w14:val="1000"/>
            </w14:srgbClr>
          </w14:shadow>
        </w:rPr>
      </w:pPr>
      <w:r>
        <w:rPr>
          <w:rFonts w:eastAsia="Calibri"/>
          <w:bCs/>
          <w14:shadow w14:blurRad="50800" w14:dist="50800" w14:dir="5400000" w14:sx="2000" w14:sy="2000" w14:kx="0" w14:ky="0" w14:algn="ctr">
            <w14:srgbClr w14:val="000000">
              <w14:alpha w14:val="1000"/>
            </w14:srgbClr>
          </w14:shadow>
        </w:rPr>
        <w:br w:type="page"/>
      </w:r>
    </w:p>
    <w:p w:rsidR="00EF76B0" w:rsidRPr="00F338B4" w:rsidRDefault="00850E1D"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lastRenderedPageBreak/>
        <w:t>2.9</w:t>
      </w:r>
      <w:r w:rsidRPr="00F338B4">
        <w:rPr>
          <w:rFonts w:eastAsia="Calibri"/>
          <w:bCs w:val="0"/>
          <w:sz w:val="24"/>
          <w14:shadow w14:blurRad="50800" w14:dist="50800" w14:dir="5400000" w14:sx="2000" w14:sy="2000" w14:kx="0" w14:ky="0" w14:algn="ctr">
            <w14:srgbClr w14:val="000000">
              <w14:alpha w14:val="1000"/>
            </w14:srgbClr>
          </w14:shadow>
        </w:rPr>
        <w:tab/>
      </w:r>
      <w:r w:rsidR="00EF76B0" w:rsidRPr="00F338B4">
        <w:rPr>
          <w:rFonts w:eastAsia="Calibri"/>
          <w:bCs w:val="0"/>
          <w:sz w:val="24"/>
          <w14:shadow w14:blurRad="50800" w14:dist="50800" w14:dir="5400000" w14:sx="2000" w14:sy="2000" w14:kx="0" w14:ky="0" w14:algn="ctr">
            <w14:srgbClr w14:val="000000">
              <w14:alpha w14:val="1000"/>
            </w14:srgbClr>
          </w14:shadow>
        </w:rPr>
        <w:t xml:space="preserve">Summary of the </w:t>
      </w:r>
      <w:r w:rsidR="005A7EFF" w:rsidRPr="00F338B4">
        <w:rPr>
          <w:rFonts w:eastAsia="Calibri"/>
          <w:bCs w:val="0"/>
          <w:sz w:val="24"/>
          <w14:shadow w14:blurRad="50800" w14:dist="50800" w14:dir="5400000" w14:sx="2000" w14:sy="2000" w14:kx="0" w14:ky="0" w14:algn="ctr">
            <w14:srgbClr w14:val="000000">
              <w14:alpha w14:val="1000"/>
            </w14:srgbClr>
          </w14:shadow>
        </w:rPr>
        <w:t>S</w:t>
      </w:r>
      <w:r w:rsidR="00EF76B0" w:rsidRPr="00F338B4">
        <w:rPr>
          <w:rFonts w:eastAsia="Calibri"/>
          <w:bCs w:val="0"/>
          <w:sz w:val="24"/>
          <w14:shadow w14:blurRad="50800" w14:dist="50800" w14:dir="5400000" w14:sx="2000" w14:sy="2000" w14:kx="0" w14:ky="0" w14:algn="ctr">
            <w14:srgbClr w14:val="000000">
              <w14:alpha w14:val="1000"/>
            </w14:srgbClr>
          </w14:shadow>
        </w:rPr>
        <w:t xml:space="preserve">trategic </w:t>
      </w:r>
      <w:r w:rsidR="005A7EFF" w:rsidRPr="00F338B4">
        <w:rPr>
          <w:rFonts w:eastAsia="Calibri"/>
          <w:bCs w:val="0"/>
          <w:sz w:val="24"/>
          <w14:shadow w14:blurRad="50800" w14:dist="50800" w14:dir="5400000" w14:sx="2000" w14:sy="2000" w14:kx="0" w14:ky="0" w14:algn="ctr">
            <w14:srgbClr w14:val="000000">
              <w14:alpha w14:val="1000"/>
            </w14:srgbClr>
          </w14:shadow>
        </w:rPr>
        <w:t>P</w:t>
      </w:r>
      <w:r w:rsidR="00EF76B0" w:rsidRPr="00F338B4">
        <w:rPr>
          <w:rFonts w:eastAsia="Calibri"/>
          <w:bCs w:val="0"/>
          <w:sz w:val="24"/>
          <w14:shadow w14:blurRad="50800" w14:dist="50800" w14:dir="5400000" w14:sx="2000" w14:sy="2000" w14:kx="0" w14:ky="0" w14:algn="ctr">
            <w14:srgbClr w14:val="000000">
              <w14:alpha w14:val="1000"/>
            </w14:srgbClr>
          </w14:shadow>
        </w:rPr>
        <w:t>lan</w:t>
      </w:r>
    </w:p>
    <w:p w:rsidR="0055626F" w:rsidRPr="00F338B4" w:rsidRDefault="0055626F"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xml:space="preserve">The </w:t>
      </w:r>
      <w:r w:rsidR="003D4517" w:rsidRPr="00F338B4">
        <w:rPr>
          <w:rFonts w:eastAsia="Calibri"/>
          <w:lang w:val="en-US" w:eastAsia="en-US"/>
          <w14:shadow w14:blurRad="50800" w14:dist="50800" w14:dir="5400000" w14:sx="2000" w14:sy="2000" w14:kx="0" w14:ky="0" w14:algn="ctr">
            <w14:srgbClr w14:val="000000">
              <w14:alpha w14:val="1000"/>
            </w14:srgbClr>
          </w14:shadow>
        </w:rPr>
        <w:t>Department</w:t>
      </w:r>
      <w:r w:rsidRPr="00F338B4">
        <w:rPr>
          <w:rFonts w:eastAsia="Calibri"/>
          <w:lang w:val="en-US" w:eastAsia="en-US"/>
          <w14:shadow w14:blurRad="50800" w14:dist="50800" w14:dir="5400000" w14:sx="2000" w14:sy="2000" w14:kx="0" w14:ky="0" w14:algn="ctr">
            <w14:srgbClr w14:val="000000">
              <w14:alpha w14:val="1000"/>
            </w14:srgbClr>
          </w14:shadow>
        </w:rPr>
        <w:t>’s Strategic and P</w:t>
      </w:r>
      <w:r w:rsidR="00894453" w:rsidRPr="00F338B4">
        <w:rPr>
          <w:rFonts w:eastAsia="Calibri"/>
          <w:lang w:val="en-US" w:eastAsia="en-US"/>
          <w14:shadow w14:blurRad="50800" w14:dist="50800" w14:dir="5400000" w14:sx="2000" w14:sy="2000" w14:kx="0" w14:ky="0" w14:algn="ctr">
            <w14:srgbClr w14:val="000000">
              <w14:alpha w14:val="1000"/>
            </w14:srgbClr>
          </w14:shadow>
        </w:rPr>
        <w:t>erformance Plans for the 2015/</w:t>
      </w:r>
      <w:r w:rsidRPr="00F338B4">
        <w:rPr>
          <w:rFonts w:eastAsia="Calibri"/>
          <w:lang w:val="en-US" w:eastAsia="en-US"/>
          <w14:shadow w14:blurRad="50800" w14:dist="50800" w14:dir="5400000" w14:sx="2000" w14:sy="2000" w14:kx="0" w14:ky="0" w14:algn="ctr">
            <w14:srgbClr w14:val="000000">
              <w14:alpha w14:val="1000"/>
            </w14:srgbClr>
          </w14:shadow>
        </w:rPr>
        <w:t>16 financial years indicate</w:t>
      </w:r>
      <w:r w:rsidR="009A18D2" w:rsidRPr="00F338B4">
        <w:rPr>
          <w:rFonts w:eastAsia="Calibri"/>
          <w:lang w:val="en-US" w:eastAsia="en-US"/>
          <w14:shadow w14:blurRad="50800" w14:dist="50800" w14:dir="5400000" w14:sx="2000" w14:sy="2000" w14:kx="0" w14:ky="0" w14:algn="ctr">
            <w14:srgbClr w14:val="000000">
              <w14:alpha w14:val="1000"/>
            </w14:srgbClr>
          </w14:shadow>
        </w:rPr>
        <w:t>d</w:t>
      </w:r>
      <w:r w:rsidRPr="00F338B4">
        <w:rPr>
          <w:rFonts w:eastAsia="Calibri"/>
          <w:lang w:val="en-US" w:eastAsia="en-US"/>
          <w14:shadow w14:blurRad="50800" w14:dist="50800" w14:dir="5400000" w14:sx="2000" w14:sy="2000" w14:kx="0" w14:ky="0" w14:algn="ctr">
            <w14:srgbClr w14:val="000000">
              <w14:alpha w14:val="1000"/>
            </w14:srgbClr>
          </w14:shadow>
        </w:rPr>
        <w:t xml:space="preserve"> the following focus areas: </w:t>
      </w:r>
    </w:p>
    <w:p w:rsidR="0055626F" w:rsidRPr="00F338B4" w:rsidRDefault="0055626F" w:rsidP="00F338B4">
      <w:pPr>
        <w:pStyle w:val="Char"/>
        <w:numPr>
          <w:ilvl w:val="0"/>
          <w:numId w:val="1"/>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Accelerating the delivery of housing as a key strategy for poverty alleviation</w:t>
      </w:r>
      <w:r w:rsidR="00544006" w:rsidRPr="00F338B4">
        <w:rPr>
          <w:rFonts w:eastAsia="Calibri"/>
          <w:bCs w:val="0"/>
          <w:sz w:val="24"/>
          <w14:shadow w14:blurRad="50800" w14:dist="50800" w14:dir="5400000" w14:sx="2000" w14:sy="2000" w14:kx="0" w14:ky="0" w14:algn="ctr">
            <w14:srgbClr w14:val="000000">
              <w14:alpha w14:val="1000"/>
            </w14:srgbClr>
          </w14:shadow>
        </w:rPr>
        <w:t>;</w:t>
      </w:r>
    </w:p>
    <w:p w:rsidR="0055626F" w:rsidRPr="00F338B4" w:rsidRDefault="0055626F" w:rsidP="00F338B4">
      <w:pPr>
        <w:pStyle w:val="Char"/>
        <w:numPr>
          <w:ilvl w:val="0"/>
          <w:numId w:val="1"/>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Utilizing</w:t>
      </w:r>
      <w:r w:rsidR="00894453" w:rsidRPr="00F338B4">
        <w:rPr>
          <w:rFonts w:eastAsia="Calibri"/>
          <w:bCs w:val="0"/>
          <w:sz w:val="24"/>
          <w14:shadow w14:blurRad="50800" w14:dist="50800" w14:dir="5400000" w14:sx="2000" w14:sy="2000" w14:kx="0" w14:ky="0" w14:algn="ctr">
            <w14:srgbClr w14:val="000000">
              <w14:alpha w14:val="1000"/>
            </w14:srgbClr>
          </w14:shadow>
        </w:rPr>
        <w:t xml:space="preserve"> the</w:t>
      </w:r>
      <w:r w:rsidRPr="00F338B4">
        <w:rPr>
          <w:rFonts w:eastAsia="Calibri"/>
          <w:bCs w:val="0"/>
          <w:sz w:val="24"/>
          <w14:shadow w14:blurRad="50800" w14:dist="50800" w14:dir="5400000" w14:sx="2000" w14:sy="2000" w14:kx="0" w14:ky="0" w14:algn="ctr">
            <w14:srgbClr w14:val="000000">
              <w14:alpha w14:val="1000"/>
            </w14:srgbClr>
          </w14:shadow>
        </w:rPr>
        <w:t xml:space="preserve"> provision of housi</w:t>
      </w:r>
      <w:r w:rsidR="00544006" w:rsidRPr="00F338B4">
        <w:rPr>
          <w:rFonts w:eastAsia="Calibri"/>
          <w:bCs w:val="0"/>
          <w:sz w:val="24"/>
          <w14:shadow w14:blurRad="50800" w14:dist="50800" w14:dir="5400000" w14:sx="2000" w14:sy="2000" w14:kx="0" w14:ky="0" w14:algn="ctr">
            <w14:srgbClr w14:val="000000">
              <w14:alpha w14:val="1000"/>
            </w14:srgbClr>
          </w14:shadow>
        </w:rPr>
        <w:t>ng as a major creation strategy;</w:t>
      </w:r>
    </w:p>
    <w:p w:rsidR="0055626F" w:rsidRPr="00F338B4" w:rsidRDefault="0055626F" w:rsidP="00F338B4">
      <w:pPr>
        <w:pStyle w:val="Char"/>
        <w:numPr>
          <w:ilvl w:val="0"/>
          <w:numId w:val="1"/>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 xml:space="preserve">Ensuring </w:t>
      </w:r>
      <w:r w:rsidR="00894453" w:rsidRPr="00F338B4">
        <w:rPr>
          <w:rFonts w:eastAsia="Calibri"/>
          <w:bCs w:val="0"/>
          <w:sz w:val="24"/>
          <w14:shadow w14:blurRad="50800" w14:dist="50800" w14:dir="5400000" w14:sx="2000" w14:sy="2000" w14:kx="0" w14:ky="0" w14:algn="ctr">
            <w14:srgbClr w14:val="000000">
              <w14:alpha w14:val="1000"/>
            </w14:srgbClr>
          </w14:shadow>
        </w:rPr>
        <w:t>that property can be acc</w:t>
      </w:r>
      <w:r w:rsidRPr="00F338B4">
        <w:rPr>
          <w:rFonts w:eastAsia="Calibri"/>
          <w:bCs w:val="0"/>
          <w:sz w:val="24"/>
          <w14:shadow w14:blurRad="50800" w14:dist="50800" w14:dir="5400000" w14:sx="2000" w14:sy="2000" w14:kx="0" w14:ky="0" w14:algn="ctr">
            <w14:srgbClr w14:val="000000">
              <w14:alpha w14:val="1000"/>
            </w14:srgbClr>
          </w14:shadow>
        </w:rPr>
        <w:t>essed by all as an asset for wealth creation and empowerment</w:t>
      </w:r>
      <w:r w:rsidR="00544006" w:rsidRPr="00F338B4">
        <w:rPr>
          <w:rFonts w:eastAsia="Calibri"/>
          <w:bCs w:val="0"/>
          <w:sz w:val="24"/>
          <w14:shadow w14:blurRad="50800" w14:dist="50800" w14:dir="5400000" w14:sx="2000" w14:sy="2000" w14:kx="0" w14:ky="0" w14:algn="ctr">
            <w14:srgbClr w14:val="000000">
              <w14:alpha w14:val="1000"/>
            </w14:srgbClr>
          </w14:shadow>
        </w:rPr>
        <w:t>;</w:t>
      </w:r>
    </w:p>
    <w:p w:rsidR="0055626F" w:rsidRPr="00F338B4" w:rsidRDefault="0055626F" w:rsidP="00F338B4">
      <w:pPr>
        <w:pStyle w:val="Char"/>
        <w:numPr>
          <w:ilvl w:val="0"/>
          <w:numId w:val="1"/>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Leveraging growth in the economy</w:t>
      </w:r>
      <w:r w:rsidR="00544006" w:rsidRPr="00F338B4">
        <w:rPr>
          <w:rFonts w:eastAsia="Calibri"/>
          <w:bCs w:val="0"/>
          <w:sz w:val="24"/>
          <w14:shadow w14:blurRad="50800" w14:dist="50800" w14:dir="5400000" w14:sx="2000" w14:sy="2000" w14:kx="0" w14:ky="0" w14:algn="ctr">
            <w14:srgbClr w14:val="000000">
              <w14:alpha w14:val="1000"/>
            </w14:srgbClr>
          </w14:shadow>
        </w:rPr>
        <w:t>;</w:t>
      </w:r>
    </w:p>
    <w:p w:rsidR="0055626F" w:rsidRPr="00F338B4" w:rsidRDefault="0055626F" w:rsidP="00F338B4">
      <w:pPr>
        <w:pStyle w:val="Char"/>
        <w:numPr>
          <w:ilvl w:val="0"/>
          <w:numId w:val="1"/>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Combating crime, promoting social cohesion and improving quality of life for the poor</w:t>
      </w:r>
      <w:r w:rsidR="00544006" w:rsidRPr="00F338B4">
        <w:rPr>
          <w:rFonts w:eastAsia="Calibri"/>
          <w:bCs w:val="0"/>
          <w:sz w:val="24"/>
          <w14:shadow w14:blurRad="50800" w14:dist="50800" w14:dir="5400000" w14:sx="2000" w14:sy="2000" w14:kx="0" w14:ky="0" w14:algn="ctr">
            <w14:srgbClr w14:val="000000">
              <w14:alpha w14:val="1000"/>
            </w14:srgbClr>
          </w14:shadow>
        </w:rPr>
        <w:t>;</w:t>
      </w:r>
    </w:p>
    <w:p w:rsidR="0055626F" w:rsidRPr="00F338B4" w:rsidRDefault="0055626F" w:rsidP="00F338B4">
      <w:pPr>
        <w:pStyle w:val="Char"/>
        <w:numPr>
          <w:ilvl w:val="0"/>
          <w:numId w:val="1"/>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Supporting the functioning of the entire single residential property market to reduce duality within the sector by breaking the barriers between the first economy residential property boom and the second economy slump</w:t>
      </w:r>
      <w:r w:rsidR="00544006" w:rsidRPr="00F338B4">
        <w:rPr>
          <w:rFonts w:eastAsia="Calibri"/>
          <w:bCs w:val="0"/>
          <w:sz w:val="24"/>
          <w14:shadow w14:blurRad="50800" w14:dist="50800" w14:dir="5400000" w14:sx="2000" w14:sy="2000" w14:kx="0" w14:ky="0" w14:algn="ctr">
            <w14:srgbClr w14:val="000000">
              <w14:alpha w14:val="1000"/>
            </w14:srgbClr>
          </w14:shadow>
        </w:rPr>
        <w:t>;</w:t>
      </w:r>
      <w:r w:rsidR="00AE0E31" w:rsidRPr="00F338B4">
        <w:rPr>
          <w:rFonts w:eastAsia="Calibri"/>
          <w:bCs w:val="0"/>
          <w:sz w:val="24"/>
          <w14:shadow w14:blurRad="50800" w14:dist="50800" w14:dir="5400000" w14:sx="2000" w14:sy="2000" w14:kx="0" w14:ky="0" w14:algn="ctr">
            <w14:srgbClr w14:val="000000">
              <w14:alpha w14:val="1000"/>
            </w14:srgbClr>
          </w14:shadow>
        </w:rPr>
        <w:t xml:space="preserve"> and</w:t>
      </w:r>
    </w:p>
    <w:p w:rsidR="0055626F" w:rsidRPr="00F338B4" w:rsidRDefault="0055626F" w:rsidP="00F338B4">
      <w:pPr>
        <w:pStyle w:val="Char"/>
        <w:numPr>
          <w:ilvl w:val="0"/>
          <w:numId w:val="1"/>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Utilizing housing as an instrument for the development of sustainable human settlements, in support of spatial restructuring.</w:t>
      </w:r>
    </w:p>
    <w:p w:rsidR="00C32A06" w:rsidRPr="00F338B4" w:rsidRDefault="00C32A06"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C32A06" w:rsidRPr="00F338B4" w:rsidRDefault="00962832"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 xml:space="preserve">The strategic </w:t>
      </w:r>
      <w:r w:rsidR="005A7EFF" w:rsidRPr="00F338B4">
        <w:rPr>
          <w:rFonts w:eastAsia="Calibri"/>
          <w:bCs w:val="0"/>
          <w:sz w:val="24"/>
          <w14:shadow w14:blurRad="50800" w14:dist="50800" w14:dir="5400000" w14:sx="2000" w14:sy="2000" w14:kx="0" w14:ky="0" w14:algn="ctr">
            <w14:srgbClr w14:val="000000">
              <w14:alpha w14:val="1000"/>
            </w14:srgbClr>
          </w14:shadow>
        </w:rPr>
        <w:t xml:space="preserve">objectives would </w:t>
      </w:r>
      <w:r w:rsidR="00C32A06" w:rsidRPr="00F338B4">
        <w:rPr>
          <w:rFonts w:eastAsia="Calibri"/>
          <w:bCs w:val="0"/>
          <w:sz w:val="24"/>
          <w14:shadow w14:blurRad="50800" w14:dist="50800" w14:dir="5400000" w14:sx="2000" w14:sy="2000" w14:kx="0" w14:ky="0" w14:algn="ctr">
            <w14:srgbClr w14:val="000000">
              <w14:alpha w14:val="1000"/>
            </w14:srgbClr>
          </w14:shadow>
        </w:rPr>
        <w:t xml:space="preserve">be implemented through the following four programmes: </w:t>
      </w:r>
    </w:p>
    <w:p w:rsidR="00C32A06" w:rsidRPr="00F338B4" w:rsidRDefault="00C32A06" w:rsidP="00F338B4">
      <w:pPr>
        <w:pStyle w:val="Char"/>
        <w:numPr>
          <w:ilvl w:val="0"/>
          <w:numId w:val="3"/>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Programme 1: Administration</w:t>
      </w:r>
      <w:r w:rsidR="00AE0E31" w:rsidRPr="00F338B4">
        <w:rPr>
          <w:rFonts w:eastAsia="Calibri"/>
          <w:bCs w:val="0"/>
          <w:sz w:val="24"/>
          <w14:shadow w14:blurRad="50800" w14:dist="50800" w14:dir="5400000" w14:sx="2000" w14:sy="2000" w14:kx="0" w14:ky="0" w14:algn="ctr">
            <w14:srgbClr w14:val="000000">
              <w14:alpha w14:val="1000"/>
            </w14:srgbClr>
          </w14:shadow>
        </w:rPr>
        <w:t>;</w:t>
      </w:r>
      <w:r w:rsidRPr="00F338B4">
        <w:rPr>
          <w:rFonts w:eastAsia="Calibri"/>
          <w:bCs w:val="0"/>
          <w:sz w:val="24"/>
          <w14:shadow w14:blurRad="50800" w14:dist="50800" w14:dir="5400000" w14:sx="2000" w14:sy="2000" w14:kx="0" w14:ky="0" w14:algn="ctr">
            <w14:srgbClr w14:val="000000">
              <w14:alpha w14:val="1000"/>
            </w14:srgbClr>
          </w14:shadow>
        </w:rPr>
        <w:t xml:space="preserve"> </w:t>
      </w:r>
    </w:p>
    <w:p w:rsidR="00C32A06" w:rsidRPr="00F338B4" w:rsidRDefault="00C32A06" w:rsidP="00F338B4">
      <w:pPr>
        <w:pStyle w:val="Char"/>
        <w:numPr>
          <w:ilvl w:val="0"/>
          <w:numId w:val="3"/>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Programme 2: Human Settlements Strategy, Policy and Planning</w:t>
      </w:r>
      <w:r w:rsidR="00AE0E31" w:rsidRPr="00F338B4">
        <w:rPr>
          <w:rFonts w:eastAsia="Calibri"/>
          <w:bCs w:val="0"/>
          <w:sz w:val="24"/>
          <w14:shadow w14:blurRad="50800" w14:dist="50800" w14:dir="5400000" w14:sx="2000" w14:sy="2000" w14:kx="0" w14:ky="0" w14:algn="ctr">
            <w14:srgbClr w14:val="000000">
              <w14:alpha w14:val="1000"/>
            </w14:srgbClr>
          </w14:shadow>
        </w:rPr>
        <w:t>;</w:t>
      </w:r>
    </w:p>
    <w:p w:rsidR="00C32A06" w:rsidRPr="00F338B4" w:rsidRDefault="00C32A06" w:rsidP="00F338B4">
      <w:pPr>
        <w:pStyle w:val="Char"/>
        <w:numPr>
          <w:ilvl w:val="0"/>
          <w:numId w:val="3"/>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Programme 3: Programme Management Unit</w:t>
      </w:r>
      <w:r w:rsidR="00AE0E31" w:rsidRPr="00F338B4">
        <w:rPr>
          <w:rFonts w:eastAsia="Calibri"/>
          <w:bCs w:val="0"/>
          <w:sz w:val="24"/>
          <w14:shadow w14:blurRad="50800" w14:dist="50800" w14:dir="5400000" w14:sx="2000" w14:sy="2000" w14:kx="0" w14:ky="0" w14:algn="ctr">
            <w14:srgbClr w14:val="000000">
              <w14:alpha w14:val="1000"/>
            </w14:srgbClr>
          </w14:shadow>
        </w:rPr>
        <w:t>; and</w:t>
      </w:r>
    </w:p>
    <w:p w:rsidR="00C32A06" w:rsidRPr="00F338B4" w:rsidRDefault="00C32A06" w:rsidP="00F338B4">
      <w:pPr>
        <w:pStyle w:val="Char"/>
        <w:numPr>
          <w:ilvl w:val="0"/>
          <w:numId w:val="3"/>
        </w:numP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Programme 4: Housing Development Finance</w:t>
      </w:r>
      <w:r w:rsidR="00AE0E31" w:rsidRPr="00F338B4">
        <w:rPr>
          <w:rFonts w:eastAsia="Calibri"/>
          <w:bCs w:val="0"/>
          <w:sz w:val="24"/>
          <w14:shadow w14:blurRad="50800" w14:dist="50800" w14:dir="5400000" w14:sx="2000" w14:sy="2000" w14:kx="0" w14:ky="0" w14:algn="ctr">
            <w14:srgbClr w14:val="000000">
              <w14:alpha w14:val="1000"/>
            </w14:srgbClr>
          </w14:shadow>
        </w:rPr>
        <w:t>.</w:t>
      </w:r>
    </w:p>
    <w:p w:rsidR="009A18D2" w:rsidRPr="00F338B4" w:rsidRDefault="009A18D2" w:rsidP="00F338B4">
      <w:pPr>
        <w:pStyle w:val="Char"/>
        <w:spacing w:before="120" w:after="120" w:line="240" w:lineRule="auto"/>
        <w:ind w:left="360"/>
        <w:jc w:val="both"/>
        <w:rPr>
          <w:rFonts w:eastAsia="Calibri"/>
          <w:bCs w:val="0"/>
          <w:sz w:val="24"/>
          <w14:shadow w14:blurRad="50800" w14:dist="50800" w14:dir="5400000" w14:sx="2000" w14:sy="2000" w14:kx="0" w14:ky="0" w14:algn="ctr">
            <w14:srgbClr w14:val="000000">
              <w14:alpha w14:val="1000"/>
            </w14:srgbClr>
          </w14:shadow>
        </w:rPr>
      </w:pPr>
    </w:p>
    <w:p w:rsidR="0055626F" w:rsidRPr="00F338B4" w:rsidRDefault="0055626F"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233CBC" w:rsidRPr="00F338B4" w:rsidRDefault="00850E1D"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2.10</w:t>
      </w:r>
      <w:r w:rsidRPr="00F338B4">
        <w:rPr>
          <w:rFonts w:eastAsia="Calibri"/>
          <w:sz w:val="24"/>
          <w14:shadow w14:blurRad="50800" w14:dist="50800" w14:dir="5400000" w14:sx="2000" w14:sy="2000" w14:kx="0" w14:ky="0" w14:algn="ctr">
            <w14:srgbClr w14:val="000000">
              <w14:alpha w14:val="1000"/>
            </w14:srgbClr>
          </w14:shadow>
        </w:rPr>
        <w:tab/>
      </w:r>
      <w:r w:rsidR="00233CBC" w:rsidRPr="00F338B4">
        <w:rPr>
          <w:rFonts w:eastAsia="Calibri"/>
          <w:sz w:val="24"/>
          <w14:shadow w14:blurRad="50800" w14:dist="50800" w14:dir="5400000" w14:sx="2000" w14:sy="2000" w14:kx="0" w14:ky="0" w14:algn="ctr">
            <w14:srgbClr w14:val="000000">
              <w14:alpha w14:val="1000"/>
            </w14:srgbClr>
          </w14:shadow>
        </w:rPr>
        <w:t xml:space="preserve">Updated Situational Analysis </w:t>
      </w:r>
    </w:p>
    <w:p w:rsidR="00884FEC" w:rsidRPr="00F338B4" w:rsidRDefault="00233CBC"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 xml:space="preserve">South Africa reached a tipping point in the early 1990’s when just over 50 percent of the total population resided in urban areas. Throughout, there has been a steady pace towards greater </w:t>
      </w:r>
      <w:r w:rsidR="00456B37" w:rsidRPr="00F338B4">
        <w:rPr>
          <w:rFonts w:eastAsia="Calibri"/>
          <w:sz w:val="24"/>
          <w14:shadow w14:blurRad="50800" w14:dist="50800" w14:dir="5400000" w14:sx="2000" w14:sy="2000" w14:kx="0" w14:ky="0" w14:algn="ctr">
            <w14:srgbClr w14:val="000000">
              <w14:alpha w14:val="1000"/>
            </w14:srgbClr>
          </w14:shadow>
        </w:rPr>
        <w:t>urbanization</w:t>
      </w:r>
      <w:r w:rsidRPr="00F338B4">
        <w:rPr>
          <w:rFonts w:eastAsia="Calibri"/>
          <w:sz w:val="24"/>
          <w14:shadow w14:blurRad="50800" w14:dist="50800" w14:dir="5400000" w14:sx="2000" w14:sy="2000" w14:kx="0" w14:ky="0" w14:algn="ctr">
            <w14:srgbClr w14:val="000000">
              <w14:alpha w14:val="1000"/>
            </w14:srgbClr>
          </w14:shadow>
        </w:rPr>
        <w:t xml:space="preserve"> and today 63 percent of South Africans live in urban areas, (20 Year Review: 1994-2014). Even though government provided just 2</w:t>
      </w:r>
      <w:r w:rsidR="00A23848" w:rsidRPr="00F338B4">
        <w:rPr>
          <w:rFonts w:eastAsia="Calibri"/>
          <w:sz w:val="24"/>
          <w14:shadow w14:blurRad="50800" w14:dist="50800" w14:dir="5400000" w14:sx="2000" w14:sy="2000" w14:kx="0" w14:ky="0" w14:algn="ctr">
            <w14:srgbClr w14:val="000000">
              <w14:alpha w14:val="1000"/>
            </w14:srgbClr>
          </w14:shadow>
        </w:rPr>
        <w:t>, 8</w:t>
      </w:r>
      <w:r w:rsidRPr="00F338B4">
        <w:rPr>
          <w:rFonts w:eastAsia="Calibri"/>
          <w:sz w:val="24"/>
          <w14:shadow w14:blurRad="50800" w14:dist="50800" w14:dir="5400000" w14:sx="2000" w14:sy="2000" w14:kx="0" w14:ky="0" w14:algn="ctr">
            <w14:srgbClr w14:val="000000">
              <w14:alpha w14:val="1000"/>
            </w14:srgbClr>
          </w14:shadow>
        </w:rPr>
        <w:t xml:space="preserve"> million housing opportunities through subsidy assistance to poor households, inadequate housing remains </w:t>
      </w:r>
      <w:r w:rsidR="00A23848" w:rsidRPr="00F338B4">
        <w:rPr>
          <w:rFonts w:eastAsia="Calibri"/>
          <w:sz w:val="24"/>
          <w14:shadow w14:blurRad="50800" w14:dist="50800" w14:dir="5400000" w14:sx="2000" w14:sy="2000" w14:kx="0" w14:ky="0" w14:algn="ctr">
            <w14:srgbClr w14:val="000000">
              <w14:alpha w14:val="1000"/>
            </w14:srgbClr>
          </w14:shadow>
        </w:rPr>
        <w:t>as one</w:t>
      </w:r>
      <w:r w:rsidRPr="00F338B4">
        <w:rPr>
          <w:rFonts w:eastAsia="Calibri"/>
          <w:sz w:val="24"/>
          <w14:shadow w14:blurRad="50800" w14:dist="50800" w14:dir="5400000" w14:sx="2000" w14:sy="2000" w14:kx="0" w14:ky="0" w14:algn="ctr">
            <w14:srgbClr w14:val="000000">
              <w14:alpha w14:val="1000"/>
            </w14:srgbClr>
          </w14:shadow>
        </w:rPr>
        <w:t xml:space="preserve"> of the main problems facing the country. This</w:t>
      </w:r>
      <w:r w:rsidR="000476EA" w:rsidRPr="00F338B4">
        <w:rPr>
          <w:rFonts w:eastAsia="Calibri"/>
          <w:sz w:val="24"/>
          <w14:shadow w14:blurRad="50800" w14:dist="50800" w14:dir="5400000" w14:sx="2000" w14:sy="2000" w14:kx="0" w14:ky="0" w14:algn="ctr">
            <w14:srgbClr w14:val="000000">
              <w14:alpha w14:val="1000"/>
            </w14:srgbClr>
          </w14:shadow>
        </w:rPr>
        <w:t xml:space="preserve"> </w:t>
      </w:r>
      <w:r w:rsidR="00E421D3" w:rsidRPr="00F338B4">
        <w:rPr>
          <w:rFonts w:eastAsia="Calibri"/>
          <w:sz w:val="24"/>
          <w14:shadow w14:blurRad="50800" w14:dist="50800" w14:dir="5400000" w14:sx="2000" w14:sy="2000" w14:kx="0" w14:ky="0" w14:algn="ctr">
            <w14:srgbClr w14:val="000000">
              <w14:alpha w14:val="1000"/>
            </w14:srgbClr>
          </w14:shadow>
        </w:rPr>
        <w:t>was exacerbated</w:t>
      </w:r>
      <w:r w:rsidRPr="00F338B4">
        <w:rPr>
          <w:rFonts w:eastAsia="Calibri"/>
          <w:sz w:val="24"/>
          <w14:shadow w14:blurRad="50800" w14:dist="50800" w14:dir="5400000" w14:sx="2000" w14:sy="2000" w14:kx="0" w14:ky="0" w14:algn="ctr">
            <w14:srgbClr w14:val="000000">
              <w14:alpha w14:val="1000"/>
            </w14:srgbClr>
          </w14:shadow>
        </w:rPr>
        <w:t xml:space="preserve"> by the relentless trends towards </w:t>
      </w:r>
      <w:r w:rsidR="00456B37" w:rsidRPr="00F338B4">
        <w:rPr>
          <w:rFonts w:eastAsia="Calibri"/>
          <w:sz w:val="24"/>
          <w14:shadow w14:blurRad="50800" w14:dist="50800" w14:dir="5400000" w14:sx="2000" w14:sy="2000" w14:kx="0" w14:ky="0" w14:algn="ctr">
            <w14:srgbClr w14:val="000000">
              <w14:alpha w14:val="1000"/>
            </w14:srgbClr>
          </w14:shadow>
        </w:rPr>
        <w:t>urbanization</w:t>
      </w:r>
      <w:r w:rsidRPr="00F338B4">
        <w:rPr>
          <w:rFonts w:eastAsia="Calibri"/>
          <w:sz w:val="24"/>
          <w14:shadow w14:blurRad="50800" w14:dist="50800" w14:dir="5400000" w14:sx="2000" w14:sy="2000" w14:kx="0" w14:ky="0" w14:algn="ctr">
            <w14:srgbClr w14:val="000000">
              <w14:alpha w14:val="1000"/>
            </w14:srgbClr>
          </w14:shadow>
        </w:rPr>
        <w:t xml:space="preserve"> that in most cases led to proliferation of informal settlements, social exclusion and the inability of municipalities to provide</w:t>
      </w:r>
      <w:r w:rsidR="00884FEC" w:rsidRPr="00F338B4">
        <w:rPr>
          <w:rFonts w:eastAsia="Calibri"/>
          <w:sz w:val="24"/>
          <w14:shadow w14:blurRad="50800" w14:dist="50800" w14:dir="5400000" w14:sx="2000" w14:sy="2000" w14:kx="0" w14:ky="0" w14:algn="ctr">
            <w14:srgbClr w14:val="000000">
              <w14:alpha w14:val="1000"/>
            </w14:srgbClr>
          </w14:shadow>
        </w:rPr>
        <w:t xml:space="preserve"> basic infrastructure to the urban poor households. Access to the poor to urban land and housing </w:t>
      </w:r>
      <w:r w:rsidR="000476EA" w:rsidRPr="00F338B4">
        <w:rPr>
          <w:rFonts w:eastAsia="Calibri"/>
          <w:sz w:val="24"/>
          <w14:shadow w14:blurRad="50800" w14:dist="50800" w14:dir="5400000" w14:sx="2000" w14:sy="2000" w14:kx="0" w14:ky="0" w14:algn="ctr">
            <w14:srgbClr w14:val="000000">
              <w14:alpha w14:val="1000"/>
            </w14:srgbClr>
          </w14:shadow>
        </w:rPr>
        <w:t>wa</w:t>
      </w:r>
      <w:r w:rsidR="00884FEC" w:rsidRPr="00F338B4">
        <w:rPr>
          <w:rFonts w:eastAsia="Calibri"/>
          <w:sz w:val="24"/>
          <w14:shadow w14:blurRad="50800" w14:dist="50800" w14:dir="5400000" w14:sx="2000" w14:sy="2000" w14:kx="0" w14:ky="0" w14:algn="ctr">
            <w14:srgbClr w14:val="000000">
              <w14:alpha w14:val="1000"/>
            </w14:srgbClr>
          </w14:shadow>
        </w:rPr>
        <w:t>s one of the challenges in the country. Urban management trends continue</w:t>
      </w:r>
      <w:r w:rsidR="000476EA" w:rsidRPr="00F338B4">
        <w:rPr>
          <w:rFonts w:eastAsia="Calibri"/>
          <w:sz w:val="24"/>
          <w14:shadow w14:blurRad="50800" w14:dist="50800" w14:dir="5400000" w14:sx="2000" w14:sy="2000" w14:kx="0" w14:ky="0" w14:algn="ctr">
            <w14:srgbClr w14:val="000000">
              <w14:alpha w14:val="1000"/>
            </w14:srgbClr>
          </w14:shadow>
        </w:rPr>
        <w:t>d</w:t>
      </w:r>
      <w:r w:rsidR="00884FEC" w:rsidRPr="00F338B4">
        <w:rPr>
          <w:rFonts w:eastAsia="Calibri"/>
          <w:sz w:val="24"/>
          <w14:shadow w14:blurRad="50800" w14:dist="50800" w14:dir="5400000" w14:sx="2000" w14:sy="2000" w14:kx="0" w14:ky="0" w14:algn="ctr">
            <w14:srgbClr w14:val="000000">
              <w14:alpha w14:val="1000"/>
            </w14:srgbClr>
          </w14:shadow>
        </w:rPr>
        <w:t xml:space="preserve"> to reinforce fragmentation and marginisation through the growth of peripheral formal and informal settlements. </w:t>
      </w:r>
    </w:p>
    <w:p w:rsidR="009A18D2" w:rsidRPr="00F338B4" w:rsidRDefault="009A18D2"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p>
    <w:p w:rsidR="00884FEC" w:rsidRPr="00F338B4" w:rsidRDefault="00884FEC"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The main challenge in South Africa</w:t>
      </w:r>
      <w:r w:rsidR="000476EA" w:rsidRPr="00F338B4">
        <w:rPr>
          <w:rFonts w:eastAsia="Calibri"/>
          <w:sz w:val="24"/>
          <w14:shadow w14:blurRad="50800" w14:dist="50800" w14:dir="5400000" w14:sx="2000" w14:sy="2000" w14:kx="0" w14:ky="0" w14:algn="ctr">
            <w14:srgbClr w14:val="000000">
              <w14:alpha w14:val="1000"/>
            </w14:srgbClr>
          </w14:shadow>
        </w:rPr>
        <w:t xml:space="preserve"> was </w:t>
      </w:r>
      <w:r w:rsidR="008324DE" w:rsidRPr="00F338B4">
        <w:rPr>
          <w:rFonts w:eastAsia="Calibri"/>
          <w:sz w:val="24"/>
          <w14:shadow w14:blurRad="50800" w14:dist="50800" w14:dir="5400000" w14:sx="2000" w14:sy="2000" w14:kx="0" w14:ky="0" w14:algn="ctr">
            <w14:srgbClr w14:val="000000">
              <w14:alpha w14:val="1000"/>
            </w14:srgbClr>
          </w14:shadow>
        </w:rPr>
        <w:t>persisting spatial</w:t>
      </w:r>
      <w:r w:rsidRPr="00F338B4">
        <w:rPr>
          <w:rFonts w:eastAsia="Calibri"/>
          <w:sz w:val="24"/>
          <w14:shadow w14:blurRad="50800" w14:dist="50800" w14:dir="5400000" w14:sx="2000" w14:sy="2000" w14:kx="0" w14:ky="0" w14:algn="ctr">
            <w14:srgbClr w14:val="000000">
              <w14:alpha w14:val="1000"/>
            </w14:srgbClr>
          </w14:shadow>
        </w:rPr>
        <w:t xml:space="preserve"> exclusion of low-income families from the main socio-economic facilities of cities and regions. Locations close to employment areas, opportunities and services </w:t>
      </w:r>
      <w:r w:rsidR="000476EA" w:rsidRPr="00F338B4">
        <w:rPr>
          <w:rFonts w:eastAsia="Calibri"/>
          <w:sz w:val="24"/>
          <w14:shadow w14:blurRad="50800" w14:dist="50800" w14:dir="5400000" w14:sx="2000" w14:sy="2000" w14:kx="0" w14:ky="0" w14:algn="ctr">
            <w14:srgbClr w14:val="000000">
              <w14:alpha w14:val="1000"/>
            </w14:srgbClr>
          </w14:shadow>
        </w:rPr>
        <w:t>were</w:t>
      </w:r>
      <w:r w:rsidRPr="00F338B4">
        <w:rPr>
          <w:rFonts w:eastAsia="Calibri"/>
          <w:sz w:val="24"/>
          <w14:shadow w14:blurRad="50800" w14:dist="50800" w14:dir="5400000" w14:sx="2000" w14:sy="2000" w14:kx="0" w14:ky="0" w14:algn="ctr">
            <w14:srgbClr w14:val="000000">
              <w14:alpha w14:val="1000"/>
            </w14:srgbClr>
          </w14:shadow>
        </w:rPr>
        <w:t xml:space="preserve"> not accessible to all people because of issues such as high land costs, limited availability of space, limited to planning and financial instruments, and lack of infrastructure in appropriate places. Notwithstanding the efforts to transform South Africa’s urban areas, major challenges </w:t>
      </w:r>
      <w:r w:rsidRPr="00F338B4">
        <w:rPr>
          <w:rFonts w:eastAsia="Calibri"/>
          <w:sz w:val="24"/>
          <w14:shadow w14:blurRad="50800" w14:dist="50800" w14:dir="5400000" w14:sx="2000" w14:sy="2000" w14:kx="0" w14:ky="0" w14:algn="ctr">
            <w14:srgbClr w14:val="000000">
              <w14:alpha w14:val="1000"/>
            </w14:srgbClr>
          </w14:shadow>
        </w:rPr>
        <w:lastRenderedPageBreak/>
        <w:t xml:space="preserve">regarding the sustainability of human settlements development continues </w:t>
      </w:r>
      <w:r w:rsidR="003963D0" w:rsidRPr="00F338B4">
        <w:rPr>
          <w:rFonts w:eastAsia="Calibri"/>
          <w:sz w:val="24"/>
          <w14:shadow w14:blurRad="50800" w14:dist="50800" w14:dir="5400000" w14:sx="2000" w14:sy="2000" w14:kx="0" w14:ky="0" w14:algn="ctr">
            <w14:srgbClr w14:val="000000">
              <w14:alpha w14:val="1000"/>
            </w14:srgbClr>
          </w14:shadow>
        </w:rPr>
        <w:t xml:space="preserve">to exist. The country’s human settlements patterns remain dysfunctional across the country, the housing market is fractured with inequitable access to its workings and benefits, and there </w:t>
      </w:r>
      <w:r w:rsidR="000476EA" w:rsidRPr="00F338B4">
        <w:rPr>
          <w:rFonts w:eastAsia="Calibri"/>
          <w:sz w:val="24"/>
          <w14:shadow w14:blurRad="50800" w14:dist="50800" w14:dir="5400000" w14:sx="2000" w14:sy="2000" w14:kx="0" w14:ky="0" w14:algn="ctr">
            <w14:srgbClr w14:val="000000">
              <w14:alpha w14:val="1000"/>
            </w14:srgbClr>
          </w14:shadow>
        </w:rPr>
        <w:t>wa</w:t>
      </w:r>
      <w:r w:rsidR="003963D0" w:rsidRPr="00F338B4">
        <w:rPr>
          <w:rFonts w:eastAsia="Calibri"/>
          <w:sz w:val="24"/>
          <w14:shadow w14:blurRad="50800" w14:dist="50800" w14:dir="5400000" w14:sx="2000" w14:sy="2000" w14:kx="0" w14:ky="0" w14:algn="ctr">
            <w14:srgbClr w14:val="000000">
              <w14:alpha w14:val="1000"/>
            </w14:srgbClr>
          </w14:shadow>
        </w:rPr>
        <w:t xml:space="preserve">s an on-going property </w:t>
      </w:r>
      <w:r w:rsidR="00392EED" w:rsidRPr="00F338B4">
        <w:rPr>
          <w:rFonts w:eastAsia="Calibri"/>
          <w:sz w:val="24"/>
          <w14:shadow w14:blurRad="50800" w14:dist="50800" w14:dir="5400000" w14:sx="2000" w14:sy="2000" w14:kx="0" w14:ky="0" w14:algn="ctr">
            <w14:srgbClr w14:val="000000">
              <w14:alpha w14:val="1000"/>
            </w14:srgbClr>
          </w14:shadow>
        </w:rPr>
        <w:t xml:space="preserve">affordability problem across various housing-markets. The rapid </w:t>
      </w:r>
      <w:r w:rsidR="00456B37" w:rsidRPr="00F338B4">
        <w:rPr>
          <w:rFonts w:eastAsia="Calibri"/>
          <w:sz w:val="24"/>
          <w14:shadow w14:blurRad="50800" w14:dist="50800" w14:dir="5400000" w14:sx="2000" w14:sy="2000" w14:kx="0" w14:ky="0" w14:algn="ctr">
            <w14:srgbClr w14:val="000000">
              <w14:alpha w14:val="1000"/>
            </w14:srgbClr>
          </w14:shadow>
        </w:rPr>
        <w:t>urbanization</w:t>
      </w:r>
      <w:r w:rsidR="00392EED" w:rsidRPr="00F338B4">
        <w:rPr>
          <w:rFonts w:eastAsia="Calibri"/>
          <w:sz w:val="24"/>
          <w14:shadow w14:blurRad="50800" w14:dist="50800" w14:dir="5400000" w14:sx="2000" w14:sy="2000" w14:kx="0" w14:ky="0" w14:algn="ctr">
            <w14:srgbClr w14:val="000000">
              <w14:alpha w14:val="1000"/>
            </w14:srgbClr>
          </w14:shadow>
        </w:rPr>
        <w:t xml:space="preserve"> rate resulting in the proliferation of informal settlements around urban centres exacerbates the need for housing.</w:t>
      </w:r>
    </w:p>
    <w:p w:rsidR="00392EED" w:rsidRPr="00F338B4" w:rsidRDefault="00392EED"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The 2013 General Household Survey show</w:t>
      </w:r>
      <w:r w:rsidR="000476EA" w:rsidRPr="00F338B4">
        <w:rPr>
          <w:rFonts w:eastAsia="Calibri"/>
          <w:sz w:val="24"/>
          <w14:shadow w14:blurRad="50800" w14:dist="50800" w14:dir="5400000" w14:sx="2000" w14:sy="2000" w14:kx="0" w14:ky="0" w14:algn="ctr">
            <w14:srgbClr w14:val="000000">
              <w14:alpha w14:val="1000"/>
            </w14:srgbClr>
          </w14:shadow>
        </w:rPr>
        <w:t>ed</w:t>
      </w:r>
      <w:r w:rsidR="009B4007" w:rsidRPr="00F338B4">
        <w:rPr>
          <w:rFonts w:eastAsia="Calibri"/>
          <w:sz w:val="24"/>
          <w14:shadow w14:blurRad="50800" w14:dist="50800" w14:dir="5400000" w14:sx="2000" w14:sy="2000" w14:kx="0" w14:ky="0" w14:algn="ctr">
            <w14:srgbClr w14:val="000000">
              <w14:alpha w14:val="1000"/>
            </w14:srgbClr>
          </w14:shadow>
        </w:rPr>
        <w:t xml:space="preserve"> </w:t>
      </w:r>
      <w:r w:rsidRPr="00F338B4">
        <w:rPr>
          <w:rFonts w:eastAsia="Calibri"/>
          <w:sz w:val="24"/>
          <w14:shadow w14:blurRad="50800" w14:dist="50800" w14:dir="5400000" w14:sx="2000" w14:sy="2000" w14:kx="0" w14:ky="0" w14:algn="ctr">
            <w14:srgbClr w14:val="000000">
              <w14:alpha w14:val="1000"/>
            </w14:srgbClr>
          </w14:shadow>
        </w:rPr>
        <w:t xml:space="preserve">that 13.6 percent of all dwellings </w:t>
      </w:r>
      <w:r w:rsidR="000476EA" w:rsidRPr="00F338B4">
        <w:rPr>
          <w:rFonts w:eastAsia="Calibri"/>
          <w:sz w:val="24"/>
          <w14:shadow w14:blurRad="50800" w14:dist="50800" w14:dir="5400000" w14:sx="2000" w14:sy="2000" w14:kx="0" w14:ky="0" w14:algn="ctr">
            <w14:srgbClr w14:val="000000">
              <w14:alpha w14:val="1000"/>
            </w14:srgbClr>
          </w14:shadow>
        </w:rPr>
        <w:t>we</w:t>
      </w:r>
      <w:r w:rsidRPr="00F338B4">
        <w:rPr>
          <w:rFonts w:eastAsia="Calibri"/>
          <w:sz w:val="24"/>
          <w14:shadow w14:blurRad="50800" w14:dist="50800" w14:dir="5400000" w14:sx="2000" w14:sy="2000" w14:kx="0" w14:ky="0" w14:algn="ctr">
            <w14:srgbClr w14:val="000000">
              <w14:alpha w14:val="1000"/>
            </w14:srgbClr>
          </w14:shadow>
        </w:rPr>
        <w:t xml:space="preserve">re informal. This is lower than the 15.7 percent of 2005; but at  </w:t>
      </w:r>
      <w:r w:rsidR="000476EA" w:rsidRPr="00F338B4">
        <w:rPr>
          <w:rFonts w:eastAsia="Calibri"/>
          <w:sz w:val="24"/>
          <w14:shadow w14:blurRad="50800" w14:dist="50800" w14:dir="5400000" w14:sx="2000" w14:sy="2000" w14:kx="0" w14:ky="0" w14:algn="ctr">
            <w14:srgbClr w14:val="000000">
              <w14:alpha w14:val="1000"/>
            </w14:srgbClr>
          </w14:shadow>
        </w:rPr>
        <w:t xml:space="preserve">that </w:t>
      </w:r>
      <w:r w:rsidRPr="00F338B4">
        <w:rPr>
          <w:rFonts w:eastAsia="Calibri"/>
          <w:sz w:val="24"/>
          <w14:shadow w14:blurRad="50800" w14:dist="50800" w14:dir="5400000" w14:sx="2000" w14:sy="2000" w14:kx="0" w14:ky="0" w14:algn="ctr">
            <w14:srgbClr w14:val="000000">
              <w14:alpha w14:val="1000"/>
            </w14:srgbClr>
          </w14:shadow>
        </w:rPr>
        <w:t xml:space="preserve">rate of delivery, the eradication of informal settlements, originally anticipated for 2014, </w:t>
      </w:r>
      <w:r w:rsidR="000476EA" w:rsidRPr="00F338B4">
        <w:rPr>
          <w:rFonts w:eastAsia="Calibri"/>
          <w:sz w:val="24"/>
          <w14:shadow w14:blurRad="50800" w14:dist="50800" w14:dir="5400000" w14:sx="2000" w14:sy="2000" w14:kx="0" w14:ky="0" w14:algn="ctr">
            <w14:srgbClr w14:val="000000">
              <w14:alpha w14:val="1000"/>
            </w14:srgbClr>
          </w14:shadow>
        </w:rPr>
        <w:t>wa</w:t>
      </w:r>
      <w:r w:rsidRPr="00F338B4">
        <w:rPr>
          <w:rFonts w:eastAsia="Calibri"/>
          <w:sz w:val="24"/>
          <w14:shadow w14:blurRad="50800" w14:dist="50800" w14:dir="5400000" w14:sx="2000" w14:sy="2000" w14:kx="0" w14:ky="0" w14:algn="ctr">
            <w14:srgbClr w14:val="000000">
              <w14:alpha w14:val="1000"/>
            </w14:srgbClr>
          </w14:shadow>
        </w:rPr>
        <w:t>s likely to be achieved only 2030. C</w:t>
      </w:r>
      <w:r w:rsidR="000B75CB" w:rsidRPr="00F338B4">
        <w:rPr>
          <w:rFonts w:eastAsia="Calibri"/>
          <w:sz w:val="24"/>
          <w14:shadow w14:blurRad="50800" w14:dist="50800" w14:dir="5400000" w14:sx="2000" w14:sy="2000" w14:kx="0" w14:ky="0" w14:algn="ctr">
            <w14:srgbClr w14:val="000000">
              <w14:alpha w14:val="1000"/>
            </w14:srgbClr>
          </w14:shadow>
        </w:rPr>
        <w:t>auses of this include</w:t>
      </w:r>
      <w:r w:rsidR="000476EA" w:rsidRPr="00F338B4">
        <w:rPr>
          <w:rFonts w:eastAsia="Calibri"/>
          <w:sz w:val="24"/>
          <w14:shadow w14:blurRad="50800" w14:dist="50800" w14:dir="5400000" w14:sx="2000" w14:sy="2000" w14:kx="0" w14:ky="0" w14:algn="ctr">
            <w14:srgbClr w14:val="000000">
              <w14:alpha w14:val="1000"/>
            </w14:srgbClr>
          </w14:shadow>
        </w:rPr>
        <w:t>d</w:t>
      </w:r>
      <w:r w:rsidRPr="00F338B4">
        <w:rPr>
          <w:rFonts w:eastAsia="Calibri"/>
          <w:sz w:val="24"/>
          <w14:shadow w14:blurRad="50800" w14:dist="50800" w14:dir="5400000" w14:sx="2000" w14:sy="2000" w14:kx="0" w14:ky="0" w14:algn="ctr">
            <w14:srgbClr w14:val="000000">
              <w14:alpha w14:val="1000"/>
            </w14:srgbClr>
          </w14:shadow>
        </w:rPr>
        <w:t xml:space="preserve"> the rise in property prices bet</w:t>
      </w:r>
      <w:r w:rsidR="000B75CB" w:rsidRPr="00F338B4">
        <w:rPr>
          <w:rFonts w:eastAsia="Calibri"/>
          <w:sz w:val="24"/>
          <w14:shadow w14:blurRad="50800" w14:dist="50800" w14:dir="5400000" w14:sx="2000" w14:sy="2000" w14:kx="0" w14:ky="0" w14:algn="ctr">
            <w14:srgbClr w14:val="000000">
              <w14:alpha w14:val="1000"/>
            </w14:srgbClr>
          </w14:shadow>
        </w:rPr>
        <w:t xml:space="preserve">ween 2000 and 2007, which made </w:t>
      </w:r>
      <w:r w:rsidRPr="00F338B4">
        <w:rPr>
          <w:rFonts w:eastAsia="Calibri"/>
          <w:sz w:val="24"/>
          <w14:shadow w14:blurRad="50800" w14:dist="50800" w14:dir="5400000" w14:sx="2000" w14:sy="2000" w14:kx="0" w14:ky="0" w14:algn="ctr">
            <w14:srgbClr w14:val="000000">
              <w14:alpha w14:val="1000"/>
            </w14:srgbClr>
          </w14:shadow>
        </w:rPr>
        <w:t xml:space="preserve">housing unaffordable for many low-income families; and supply-side </w:t>
      </w:r>
      <w:r w:rsidR="001D473D" w:rsidRPr="00F338B4">
        <w:rPr>
          <w:rFonts w:eastAsia="Calibri"/>
          <w:sz w:val="24"/>
          <w14:shadow w14:blurRad="50800" w14:dist="50800" w14:dir="5400000" w14:sx="2000" w14:sy="2000" w14:kx="0" w14:ky="0" w14:algn="ctr">
            <w14:srgbClr w14:val="000000">
              <w14:alpha w14:val="1000"/>
            </w14:srgbClr>
          </w14:shadow>
        </w:rPr>
        <w:t>constraints such</w:t>
      </w:r>
      <w:r w:rsidRPr="00F338B4">
        <w:rPr>
          <w:rFonts w:eastAsia="Calibri"/>
          <w:sz w:val="24"/>
          <w14:shadow w14:blurRad="50800" w14:dist="50800" w14:dir="5400000" w14:sx="2000" w14:sy="2000" w14:kx="0" w14:ky="0" w14:algn="ctr">
            <w14:srgbClr w14:val="000000">
              <w14:alpha w14:val="1000"/>
            </w14:srgbClr>
          </w14:shadow>
        </w:rPr>
        <w:t xml:space="preserve"> as access to suitable land, finance and basic services infrastructure. Government’s </w:t>
      </w:r>
      <w:r w:rsidR="00A037EC" w:rsidRPr="00F338B4">
        <w:rPr>
          <w:rFonts w:eastAsia="Calibri"/>
          <w:sz w:val="24"/>
          <w14:shadow w14:blurRad="50800" w14:dist="50800" w14:dir="5400000" w14:sx="2000" w14:sy="2000" w14:kx="0" w14:ky="0" w14:algn="ctr">
            <w14:srgbClr w14:val="000000">
              <w14:alpha w14:val="1000"/>
            </w14:srgbClr>
          </w14:shadow>
        </w:rPr>
        <w:t>comprehensive plan for the development of sustainable human settlements has shifted the state’s focus from delivering commoditized housing to supporting the entire property ma</w:t>
      </w:r>
      <w:r w:rsidR="000B75CB" w:rsidRPr="00F338B4">
        <w:rPr>
          <w:rFonts w:eastAsia="Calibri"/>
          <w:sz w:val="24"/>
          <w14:shadow w14:blurRad="50800" w14:dist="50800" w14:dir="5400000" w14:sx="2000" w14:sy="2000" w14:kx="0" w14:ky="0" w14:algn="ctr">
            <w14:srgbClr w14:val="000000">
              <w14:alpha w14:val="1000"/>
            </w14:srgbClr>
          </w14:shadow>
        </w:rPr>
        <w:t>rket and ensuring that housing is</w:t>
      </w:r>
      <w:r w:rsidR="009A18D2" w:rsidRPr="00F338B4">
        <w:rPr>
          <w:rFonts w:eastAsia="Calibri"/>
          <w:sz w:val="24"/>
          <w14:shadow w14:blurRad="50800" w14:dist="50800" w14:dir="5400000" w14:sx="2000" w14:sy="2000" w14:kx="0" w14:ky="0" w14:algn="ctr">
            <w14:srgbClr w14:val="000000">
              <w14:alpha w14:val="1000"/>
            </w14:srgbClr>
          </w14:shadow>
        </w:rPr>
        <w:t>/</w:t>
      </w:r>
      <w:r w:rsidR="000476EA" w:rsidRPr="00F338B4">
        <w:rPr>
          <w:rFonts w:eastAsia="Calibri"/>
          <w:sz w:val="24"/>
          <w14:shadow w14:blurRad="50800" w14:dist="50800" w14:dir="5400000" w14:sx="2000" w14:sy="2000" w14:kx="0" w14:ky="0" w14:algn="ctr">
            <w14:srgbClr w14:val="000000">
              <w14:alpha w14:val="1000"/>
            </w14:srgbClr>
          </w14:shadow>
        </w:rPr>
        <w:t>was</w:t>
      </w:r>
      <w:r w:rsidR="000B75CB" w:rsidRPr="00F338B4">
        <w:rPr>
          <w:rFonts w:eastAsia="Calibri"/>
          <w:sz w:val="24"/>
          <w14:shadow w14:blurRad="50800" w14:dist="50800" w14:dir="5400000" w14:sx="2000" w14:sy="2000" w14:kx="0" w14:ky="0" w14:algn="ctr">
            <w14:srgbClr w14:val="000000">
              <w14:alpha w14:val="1000"/>
            </w14:srgbClr>
          </w14:shadow>
        </w:rPr>
        <w:t xml:space="preserve"> delivered in sustainable and habitable settlements. Underpinned by policy that responds to demand and to the needs of poor households, sustainable human settlements can be achieved through integrated planning and good governance that supports optimal land use and stimulates private investment.</w:t>
      </w:r>
    </w:p>
    <w:p w:rsidR="009A18D2" w:rsidRPr="00F338B4" w:rsidRDefault="009A18D2"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p>
    <w:p w:rsidR="009A18D2" w:rsidRPr="00F338B4" w:rsidRDefault="000B75CB"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 xml:space="preserve">While the department’s focus is at accelerating the delivery of adequate housing in quality living environments, the ability to meet the housing </w:t>
      </w:r>
      <w:r w:rsidR="00103E50" w:rsidRPr="00F338B4">
        <w:rPr>
          <w:rFonts w:eastAsia="Calibri"/>
          <w:sz w:val="24"/>
          <w14:shadow w14:blurRad="50800" w14:dist="50800" w14:dir="5400000" w14:sx="2000" w14:sy="2000" w14:kx="0" w14:ky="0" w14:algn="ctr">
            <w14:srgbClr w14:val="000000">
              <w14:alpha w14:val="1000"/>
            </w14:srgbClr>
          </w14:shadow>
        </w:rPr>
        <w:t>demand remained</w:t>
      </w:r>
      <w:r w:rsidR="00054565" w:rsidRPr="00F338B4">
        <w:rPr>
          <w:rFonts w:eastAsia="Calibri"/>
          <w:sz w:val="24"/>
          <w14:shadow w14:blurRad="50800" w14:dist="50800" w14:dir="5400000" w14:sx="2000" w14:sy="2000" w14:kx="0" w14:ky="0" w14:algn="ctr">
            <w14:srgbClr w14:val="000000">
              <w14:alpha w14:val="1000"/>
            </w14:srgbClr>
          </w14:shadow>
        </w:rPr>
        <w:t xml:space="preserve"> a </w:t>
      </w:r>
      <w:r w:rsidRPr="00F338B4">
        <w:rPr>
          <w:rFonts w:eastAsia="Calibri"/>
          <w:sz w:val="24"/>
          <w14:shadow w14:blurRad="50800" w14:dist="50800" w14:dir="5400000" w14:sx="2000" w14:sy="2000" w14:kx="0" w14:ky="0" w14:algn="ctr">
            <w14:srgbClr w14:val="000000">
              <w14:alpha w14:val="1000"/>
            </w14:srgbClr>
          </w14:shadow>
        </w:rPr>
        <w:t>challenge. Addressing this challenge requires extensive attention to the credit markets and the reality of over-indebtedness. Given the state’s constraints and the recent budget cuts on the Human Settlements</w:t>
      </w:r>
      <w:r w:rsidR="00054565" w:rsidRPr="00F338B4">
        <w:rPr>
          <w:rFonts w:eastAsia="Calibri"/>
          <w:sz w:val="24"/>
          <w14:shadow w14:blurRad="50800" w14:dist="50800" w14:dir="5400000" w14:sx="2000" w14:sy="2000" w14:kx="0" w14:ky="0" w14:algn="ctr">
            <w14:srgbClr w14:val="000000">
              <w14:alpha w14:val="1000"/>
            </w14:srgbClr>
          </w14:shadow>
        </w:rPr>
        <w:t xml:space="preserve"> Development Grant (HSDG)</w:t>
      </w:r>
      <w:r w:rsidRPr="00F338B4">
        <w:rPr>
          <w:rFonts w:eastAsia="Calibri"/>
          <w:sz w:val="24"/>
          <w14:shadow w14:blurRad="50800" w14:dist="50800" w14:dir="5400000" w14:sx="2000" w14:sy="2000" w14:kx="0" w14:ky="0" w14:algn="ctr">
            <w14:srgbClr w14:val="000000">
              <w14:alpha w14:val="1000"/>
            </w14:srgbClr>
          </w14:shadow>
        </w:rPr>
        <w:t xml:space="preserve"> and the Urban Settlement Development Grant</w:t>
      </w:r>
      <w:r w:rsidR="00054565" w:rsidRPr="00F338B4">
        <w:rPr>
          <w:rFonts w:eastAsia="Calibri"/>
          <w:sz w:val="24"/>
          <w14:shadow w14:blurRad="50800" w14:dist="50800" w14:dir="5400000" w14:sx="2000" w14:sy="2000" w14:kx="0" w14:ky="0" w14:algn="ctr">
            <w14:srgbClr w14:val="000000">
              <w14:alpha w14:val="1000"/>
            </w14:srgbClr>
          </w14:shadow>
        </w:rPr>
        <w:t xml:space="preserve"> (USDG)</w:t>
      </w:r>
      <w:r w:rsidRPr="00F338B4">
        <w:rPr>
          <w:rFonts w:eastAsia="Calibri"/>
          <w:sz w:val="24"/>
          <w14:shadow w14:blurRad="50800" w14:dist="50800" w14:dir="5400000" w14:sx="2000" w14:sy="2000" w14:kx="0" w14:ky="0" w14:algn="ctr">
            <w14:srgbClr w14:val="000000">
              <w14:alpha w14:val="1000"/>
            </w14:srgbClr>
          </w14:shadow>
        </w:rPr>
        <w:t>, delivering at scale w</w:t>
      </w:r>
      <w:r w:rsidR="00054565" w:rsidRPr="00F338B4">
        <w:rPr>
          <w:rFonts w:eastAsia="Calibri"/>
          <w:sz w:val="24"/>
          <w14:shadow w14:blurRad="50800" w14:dist="50800" w14:dir="5400000" w14:sx="2000" w14:sy="2000" w14:kx="0" w14:ky="0" w14:algn="ctr">
            <w14:srgbClr w14:val="000000">
              <w14:alpha w14:val="1000"/>
            </w14:srgbClr>
          </w14:shadow>
        </w:rPr>
        <w:t xml:space="preserve">ould </w:t>
      </w:r>
      <w:r w:rsidRPr="00F338B4">
        <w:rPr>
          <w:rFonts w:eastAsia="Calibri"/>
          <w:sz w:val="24"/>
          <w14:shadow w14:blurRad="50800" w14:dist="50800" w14:dir="5400000" w14:sx="2000" w14:sy="2000" w14:kx="0" w14:ky="0" w14:algn="ctr">
            <w14:srgbClr w14:val="000000">
              <w14:alpha w14:val="1000"/>
            </w14:srgbClr>
          </w14:shadow>
        </w:rPr>
        <w:t>be a challenge. As part of accelerati</w:t>
      </w:r>
      <w:r w:rsidR="00BC277F" w:rsidRPr="00F338B4">
        <w:rPr>
          <w:rFonts w:eastAsia="Calibri"/>
          <w:sz w:val="24"/>
          <w14:shadow w14:blurRad="50800" w14:dist="50800" w14:dir="5400000" w14:sx="2000" w14:sy="2000" w14:kx="0" w14:ky="0" w14:algn="ctr">
            <w14:srgbClr w14:val="000000">
              <w14:alpha w14:val="1000"/>
            </w14:srgbClr>
          </w14:shadow>
        </w:rPr>
        <w:t>ng delivery, over the MTEF the D</w:t>
      </w:r>
      <w:r w:rsidRPr="00F338B4">
        <w:rPr>
          <w:rFonts w:eastAsia="Calibri"/>
          <w:sz w:val="24"/>
          <w14:shadow w14:blurRad="50800" w14:dist="50800" w14:dir="5400000" w14:sx="2000" w14:sy="2000" w14:kx="0" w14:ky="0" w14:algn="ctr">
            <w14:srgbClr w14:val="000000">
              <w14:alpha w14:val="1000"/>
            </w14:srgbClr>
          </w14:shadow>
        </w:rPr>
        <w:t xml:space="preserve">epartment will focus on: Given the provincial decline in the human settlements budget over the </w:t>
      </w:r>
      <w:r w:rsidR="009557A0" w:rsidRPr="00F338B4">
        <w:rPr>
          <w:rFonts w:eastAsia="Calibri"/>
          <w:sz w:val="24"/>
          <w14:shadow w14:blurRad="50800" w14:dist="50800" w14:dir="5400000" w14:sx="2000" w14:sy="2000" w14:kx="0" w14:ky="0" w14:algn="ctr">
            <w14:srgbClr w14:val="000000">
              <w14:alpha w14:val="1000"/>
            </w14:srgbClr>
          </w14:shadow>
        </w:rPr>
        <w:t xml:space="preserve">MTSF the Department cannot sustain the current housing provision model. A new, alternative and more cost effective model is needed to meet demand provincially and nationally. The National Department of Human Settlements (NDoHS) has identified expanding social and rental housing opportunities as an alternative </w:t>
      </w:r>
      <w:r w:rsidR="005246C5" w:rsidRPr="00F338B4">
        <w:rPr>
          <w:rFonts w:eastAsia="Calibri"/>
          <w:sz w:val="24"/>
          <w14:shadow w14:blurRad="50800" w14:dist="50800" w14:dir="5400000" w14:sx="2000" w14:sy="2000" w14:kx="0" w14:ky="0" w14:algn="ctr">
            <w14:srgbClr w14:val="000000">
              <w14:alpha w14:val="1000"/>
            </w14:srgbClr>
          </w14:shadow>
        </w:rPr>
        <w:t xml:space="preserve">solution to the housing problem: </w:t>
      </w:r>
    </w:p>
    <w:p w:rsidR="005246C5" w:rsidRPr="00F338B4" w:rsidRDefault="005246C5" w:rsidP="00F338B4">
      <w:pPr>
        <w:pStyle w:val="Char"/>
        <w:numPr>
          <w:ilvl w:val="0"/>
          <w:numId w:val="5"/>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Scaling up of the informal settlement-upgrading programme;</w:t>
      </w:r>
    </w:p>
    <w:p w:rsidR="005246C5" w:rsidRPr="00F338B4" w:rsidRDefault="005246C5" w:rsidP="00F338B4">
      <w:pPr>
        <w:pStyle w:val="Char"/>
        <w:numPr>
          <w:ilvl w:val="0"/>
          <w:numId w:val="5"/>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The transfer of all title deeds for subsidy units;</w:t>
      </w:r>
    </w:p>
    <w:p w:rsidR="005246C5" w:rsidRPr="00F338B4" w:rsidRDefault="005246C5" w:rsidP="00F338B4">
      <w:pPr>
        <w:pStyle w:val="Char"/>
        <w:numPr>
          <w:ilvl w:val="0"/>
          <w:numId w:val="5"/>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Locating new human settlements developments closer to major transport nodes and corridors, economic opportunities and social amenities by implementing Catalytic Projects together with the private sector;</w:t>
      </w:r>
    </w:p>
    <w:p w:rsidR="005246C5" w:rsidRPr="00F338B4" w:rsidRDefault="005246C5" w:rsidP="00F338B4">
      <w:pPr>
        <w:pStyle w:val="Char"/>
        <w:numPr>
          <w:ilvl w:val="0"/>
          <w:numId w:val="5"/>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 xml:space="preserve">Increasing the development of housing in the gap market by developing partnerships with the private </w:t>
      </w:r>
      <w:r w:rsidR="00602807" w:rsidRPr="00F338B4">
        <w:rPr>
          <w:rFonts w:eastAsia="Calibri"/>
          <w:sz w:val="24"/>
          <w14:shadow w14:blurRad="50800" w14:dist="50800" w14:dir="5400000" w14:sx="2000" w14:sy="2000" w14:kx="0" w14:ky="0" w14:algn="ctr">
            <w14:srgbClr w14:val="000000">
              <w14:alpha w14:val="1000"/>
            </w14:srgbClr>
          </w14:shadow>
        </w:rPr>
        <w:t>sector to improve delivery;</w:t>
      </w:r>
    </w:p>
    <w:p w:rsidR="00602807" w:rsidRPr="00F338B4" w:rsidRDefault="00602807" w:rsidP="00F338B4">
      <w:pPr>
        <w:pStyle w:val="Char"/>
        <w:numPr>
          <w:ilvl w:val="0"/>
          <w:numId w:val="5"/>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 xml:space="preserve">Strengthening coordination to ensure sustainable integrated human settlements. Although this is a radical strategy to deal with the housing problem and also to drive local economy by creating jobs, unblocking the property market requires much more  than the government in partnership with the private sector to lay a stronger foundation for growth and stability for a functional residential property market. </w:t>
      </w:r>
      <w:r w:rsidR="007839B5" w:rsidRPr="00F338B4">
        <w:rPr>
          <w:rFonts w:eastAsia="Calibri"/>
          <w:sz w:val="24"/>
          <w14:shadow w14:blurRad="50800" w14:dist="50800" w14:dir="5400000" w14:sx="2000" w14:sy="2000" w14:kx="0" w14:ky="0" w14:algn="ctr">
            <w14:srgbClr w14:val="000000">
              <w14:alpha w14:val="1000"/>
            </w14:srgbClr>
          </w14:shadow>
        </w:rPr>
        <w:t>This includes the use of existing instruments to accommodate citizens particularly those that are in the gap market and currently not sufficiently catered for by government subsidies or mortgage financing. The informal settlements upgrading programme is proving to be a viable instrument in dealing with rapid growth of urbanization.</w:t>
      </w:r>
    </w:p>
    <w:p w:rsidR="009A18D2" w:rsidRPr="00F338B4" w:rsidRDefault="009A18D2" w:rsidP="00F338B4">
      <w:pPr>
        <w:pStyle w:val="Char"/>
        <w:spacing w:before="120" w:after="120" w:line="240" w:lineRule="auto"/>
        <w:ind w:left="360"/>
        <w:jc w:val="both"/>
        <w:rPr>
          <w:rFonts w:eastAsia="Calibri"/>
          <w:sz w:val="24"/>
          <w14:shadow w14:blurRad="50800" w14:dist="50800" w14:dir="5400000" w14:sx="2000" w14:sy="2000" w14:kx="0" w14:ky="0" w14:algn="ctr">
            <w14:srgbClr w14:val="000000">
              <w14:alpha w14:val="1000"/>
            </w14:srgbClr>
          </w14:shadow>
        </w:rPr>
      </w:pPr>
    </w:p>
    <w:p w:rsidR="007839B5" w:rsidRPr="00F338B4" w:rsidRDefault="007839B5"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lastRenderedPageBreak/>
        <w:t>While the departments’ focus is at accelerating the delivery of adequate housing in quality living environments, the ability to meet the housing</w:t>
      </w:r>
      <w:r w:rsidR="001D473D" w:rsidRPr="00F338B4">
        <w:rPr>
          <w:rFonts w:eastAsia="Calibri"/>
          <w:sz w:val="24"/>
          <w14:shadow w14:blurRad="50800" w14:dist="50800" w14:dir="5400000" w14:sx="2000" w14:sy="2000" w14:kx="0" w14:ky="0" w14:algn="ctr">
            <w14:srgbClr w14:val="000000">
              <w14:alpha w14:val="1000"/>
            </w14:srgbClr>
          </w14:shadow>
        </w:rPr>
        <w:t>s</w:t>
      </w:r>
      <w:r w:rsidRPr="00F338B4">
        <w:rPr>
          <w:rFonts w:eastAsia="Calibri"/>
          <w:sz w:val="24"/>
          <w14:shadow w14:blurRad="50800" w14:dist="50800" w14:dir="5400000" w14:sx="2000" w14:sy="2000" w14:kx="0" w14:ky="0" w14:algn="ctr">
            <w14:srgbClr w14:val="000000">
              <w14:alpha w14:val="1000"/>
            </w14:srgbClr>
          </w14:shadow>
        </w:rPr>
        <w:t xml:space="preserve"> challenge requires extensive attention to the credit markets and the reality of over-indebtedness. Given the state’s </w:t>
      </w:r>
      <w:r w:rsidR="00A23848" w:rsidRPr="00F338B4">
        <w:rPr>
          <w:rFonts w:eastAsia="Calibri"/>
          <w:sz w:val="24"/>
          <w14:shadow w14:blurRad="50800" w14:dist="50800" w14:dir="5400000" w14:sx="2000" w14:sy="2000" w14:kx="0" w14:ky="0" w14:algn="ctr">
            <w14:srgbClr w14:val="000000">
              <w14:alpha w14:val="1000"/>
            </w14:srgbClr>
          </w14:shadow>
        </w:rPr>
        <w:t>constraints</w:t>
      </w:r>
      <w:r w:rsidRPr="00F338B4">
        <w:rPr>
          <w:rFonts w:eastAsia="Calibri"/>
          <w:sz w:val="24"/>
          <w14:shadow w14:blurRad="50800" w14:dist="50800" w14:dir="5400000" w14:sx="2000" w14:sy="2000" w14:kx="0" w14:ky="0" w14:algn="ctr">
            <w14:srgbClr w14:val="000000">
              <w14:alpha w14:val="1000"/>
            </w14:srgbClr>
          </w14:shadow>
        </w:rPr>
        <w:t xml:space="preserve"> and the recent budget cuts on the Human Settlements Grant and the Urban Settlements Development Grant, delivering at scale </w:t>
      </w:r>
      <w:r w:rsidR="00054565" w:rsidRPr="00F338B4">
        <w:rPr>
          <w:rFonts w:eastAsia="Calibri"/>
          <w:sz w:val="24"/>
          <w14:shadow w14:blurRad="50800" w14:dist="50800" w14:dir="5400000" w14:sx="2000" w14:sy="2000" w14:kx="0" w14:ky="0" w14:algn="ctr">
            <w14:srgbClr w14:val="000000">
              <w14:alpha w14:val="1000"/>
            </w14:srgbClr>
          </w14:shadow>
        </w:rPr>
        <w:t xml:space="preserve">would </w:t>
      </w:r>
      <w:r w:rsidRPr="00F338B4">
        <w:rPr>
          <w:rFonts w:eastAsia="Calibri"/>
          <w:sz w:val="24"/>
          <w14:shadow w14:blurRad="50800" w14:dist="50800" w14:dir="5400000" w14:sx="2000" w14:sy="2000" w14:kx="0" w14:ky="0" w14:algn="ctr">
            <w14:srgbClr w14:val="000000">
              <w14:alpha w14:val="1000"/>
            </w14:srgbClr>
          </w14:shadow>
        </w:rPr>
        <w:t>be a challenge. As part of accelerati</w:t>
      </w:r>
      <w:r w:rsidR="003074A9" w:rsidRPr="00F338B4">
        <w:rPr>
          <w:rFonts w:eastAsia="Calibri"/>
          <w:sz w:val="24"/>
          <w14:shadow w14:blurRad="50800" w14:dist="50800" w14:dir="5400000" w14:sx="2000" w14:sy="2000" w14:kx="0" w14:ky="0" w14:algn="ctr">
            <w14:srgbClr w14:val="000000">
              <w14:alpha w14:val="1000"/>
            </w14:srgbClr>
          </w14:shadow>
        </w:rPr>
        <w:t>ng delivery, over the MTSF the D</w:t>
      </w:r>
      <w:r w:rsidRPr="00F338B4">
        <w:rPr>
          <w:rFonts w:eastAsia="Calibri"/>
          <w:sz w:val="24"/>
          <w14:shadow w14:blurRad="50800" w14:dist="50800" w14:dir="5400000" w14:sx="2000" w14:sy="2000" w14:kx="0" w14:ky="0" w14:algn="ctr">
            <w14:srgbClr w14:val="000000">
              <w14:alpha w14:val="1000"/>
            </w14:srgbClr>
          </w14:shadow>
        </w:rPr>
        <w:t>epartment w</w:t>
      </w:r>
      <w:r w:rsidR="00054565" w:rsidRPr="00F338B4">
        <w:rPr>
          <w:rFonts w:eastAsia="Calibri"/>
          <w:sz w:val="24"/>
          <w14:shadow w14:blurRad="50800" w14:dist="50800" w14:dir="5400000" w14:sx="2000" w14:sy="2000" w14:kx="0" w14:ky="0" w14:algn="ctr">
            <w14:srgbClr w14:val="000000">
              <w14:alpha w14:val="1000"/>
            </w14:srgbClr>
          </w14:shadow>
        </w:rPr>
        <w:t>ould</w:t>
      </w:r>
      <w:r w:rsidRPr="00F338B4">
        <w:rPr>
          <w:rFonts w:eastAsia="Calibri"/>
          <w:sz w:val="24"/>
          <w14:shadow w14:blurRad="50800" w14:dist="50800" w14:dir="5400000" w14:sx="2000" w14:sy="2000" w14:kx="0" w14:ky="0" w14:algn="ctr">
            <w14:srgbClr w14:val="000000">
              <w14:alpha w14:val="1000"/>
            </w14:srgbClr>
          </w14:shadow>
        </w:rPr>
        <w:t xml:space="preserve"> focus on: </w:t>
      </w:r>
    </w:p>
    <w:p w:rsidR="007839B5" w:rsidRPr="00F338B4" w:rsidRDefault="007839B5" w:rsidP="00F338B4">
      <w:pPr>
        <w:pStyle w:val="Char"/>
        <w:numPr>
          <w:ilvl w:val="0"/>
          <w:numId w:val="6"/>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Scaling up of the informal settlements-upgrading programme;</w:t>
      </w:r>
    </w:p>
    <w:p w:rsidR="007839B5" w:rsidRPr="00F338B4" w:rsidRDefault="007839B5" w:rsidP="00F338B4">
      <w:pPr>
        <w:pStyle w:val="Char"/>
        <w:numPr>
          <w:ilvl w:val="0"/>
          <w:numId w:val="6"/>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The transfer of all title deeds for subsidy units;</w:t>
      </w:r>
    </w:p>
    <w:p w:rsidR="001D473D" w:rsidRPr="00F338B4" w:rsidRDefault="001D473D" w:rsidP="00F338B4">
      <w:pPr>
        <w:pStyle w:val="Char"/>
        <w:numPr>
          <w:ilvl w:val="0"/>
          <w:numId w:val="6"/>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Locating new human settlement</w:t>
      </w:r>
      <w:r w:rsidR="007839B5" w:rsidRPr="00F338B4">
        <w:rPr>
          <w:rFonts w:eastAsia="Calibri"/>
          <w:sz w:val="24"/>
          <w14:shadow w14:blurRad="50800" w14:dist="50800" w14:dir="5400000" w14:sx="2000" w14:sy="2000" w14:kx="0" w14:ky="0" w14:algn="ctr">
            <w14:srgbClr w14:val="000000">
              <w14:alpha w14:val="1000"/>
            </w14:srgbClr>
          </w14:shadow>
        </w:rPr>
        <w:t xml:space="preserve"> developments</w:t>
      </w:r>
      <w:r w:rsidRPr="00F338B4">
        <w:rPr>
          <w:rFonts w:eastAsia="Calibri"/>
          <w:sz w:val="24"/>
          <w14:shadow w14:blurRad="50800" w14:dist="50800" w14:dir="5400000" w14:sx="2000" w14:sy="2000" w14:kx="0" w14:ky="0" w14:algn="ctr">
            <w14:srgbClr w14:val="000000">
              <w14:alpha w14:val="1000"/>
            </w14:srgbClr>
          </w14:shadow>
        </w:rPr>
        <w:t xml:space="preserve"> closer to major transport nodes and corridors, economic opportunities and social amenities by implementing Catalytic Projects together with the private sector;</w:t>
      </w:r>
    </w:p>
    <w:p w:rsidR="001D473D" w:rsidRPr="00F338B4" w:rsidRDefault="001D473D" w:rsidP="00F338B4">
      <w:pPr>
        <w:pStyle w:val="Char"/>
        <w:numPr>
          <w:ilvl w:val="0"/>
          <w:numId w:val="6"/>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 xml:space="preserve">Increasing the development of housing in the gap market by developing partnerships with the private sector and encouraging greater investment in social housing projects and integrated housing and mixed used developments; </w:t>
      </w:r>
    </w:p>
    <w:p w:rsidR="001D473D" w:rsidRPr="00F338B4" w:rsidRDefault="001D473D" w:rsidP="00F338B4">
      <w:pPr>
        <w:pStyle w:val="Char"/>
        <w:numPr>
          <w:ilvl w:val="0"/>
          <w:numId w:val="6"/>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Deal with the affordable market and strengthen partnerships with the private sector to improve delivery;</w:t>
      </w:r>
    </w:p>
    <w:p w:rsidR="00A66702" w:rsidRPr="00F338B4" w:rsidRDefault="001D473D" w:rsidP="00F338B4">
      <w:pPr>
        <w:pStyle w:val="Char"/>
        <w:numPr>
          <w:ilvl w:val="0"/>
          <w:numId w:val="6"/>
        </w:numP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Strengthening coordination to ensure sustainable integrated human settlements. The identified priorities w</w:t>
      </w:r>
      <w:r w:rsidR="00054565" w:rsidRPr="00F338B4">
        <w:rPr>
          <w:rFonts w:eastAsia="Calibri"/>
          <w:sz w:val="24"/>
          <w14:shadow w14:blurRad="50800" w14:dist="50800" w14:dir="5400000" w14:sx="2000" w14:sy="2000" w14:kx="0" w14:ky="0" w14:algn="ctr">
            <w14:srgbClr w14:val="000000">
              <w14:alpha w14:val="1000"/>
            </w14:srgbClr>
          </w14:shadow>
        </w:rPr>
        <w:t>ould</w:t>
      </w:r>
      <w:r w:rsidRPr="00F338B4">
        <w:rPr>
          <w:rFonts w:eastAsia="Calibri"/>
          <w:sz w:val="24"/>
          <w14:shadow w14:blurRad="50800" w14:dist="50800" w14:dir="5400000" w14:sx="2000" w14:sy="2000" w14:kx="0" w14:ky="0" w14:algn="ctr">
            <w14:srgbClr w14:val="000000">
              <w14:alpha w14:val="1000"/>
            </w14:srgbClr>
          </w14:shadow>
        </w:rPr>
        <w:t xml:space="preserve"> be implemented in collaboration with provinces, municipalities, entities and private sector.</w:t>
      </w:r>
    </w:p>
    <w:p w:rsidR="009B4007" w:rsidRPr="00F338B4" w:rsidRDefault="009B4007" w:rsidP="00F338B4">
      <w:pPr>
        <w:pStyle w:val="Char"/>
        <w:spacing w:before="120" w:after="120" w:line="240" w:lineRule="auto"/>
        <w:ind w:left="720"/>
        <w:jc w:val="both"/>
        <w:rPr>
          <w:rFonts w:eastAsia="Calibri"/>
          <w:sz w:val="24"/>
          <w14:shadow w14:blurRad="50800" w14:dist="50800" w14:dir="5400000" w14:sx="2000" w14:sy="2000" w14:kx="0" w14:ky="0" w14:algn="ctr">
            <w14:srgbClr w14:val="000000">
              <w14:alpha w14:val="1000"/>
            </w14:srgbClr>
          </w14:shadow>
        </w:rPr>
      </w:pPr>
    </w:p>
    <w:p w:rsidR="001D473D" w:rsidRPr="00F338B4" w:rsidRDefault="00850E1D"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2.10.1</w:t>
      </w:r>
      <w:r w:rsidRPr="00F338B4">
        <w:rPr>
          <w:rFonts w:eastAsia="Calibri"/>
          <w:sz w:val="24"/>
          <w14:shadow w14:blurRad="50800" w14:dist="50800" w14:dir="5400000" w14:sx="2000" w14:sy="2000" w14:kx="0" w14:ky="0" w14:algn="ctr">
            <w14:srgbClr w14:val="000000">
              <w14:alpha w14:val="1000"/>
            </w14:srgbClr>
          </w14:shadow>
        </w:rPr>
        <w:tab/>
      </w:r>
      <w:r w:rsidR="001D473D" w:rsidRPr="00F338B4">
        <w:rPr>
          <w:rFonts w:eastAsia="Calibri"/>
          <w:sz w:val="24"/>
          <w14:shadow w14:blurRad="50800" w14:dist="50800" w14:dir="5400000" w14:sx="2000" w14:sy="2000" w14:kx="0" w14:ky="0" w14:algn="ctr">
            <w14:srgbClr w14:val="000000">
              <w14:alpha w14:val="1000"/>
            </w14:srgbClr>
          </w14:shadow>
        </w:rPr>
        <w:t>Performance Delivery Environment</w:t>
      </w:r>
    </w:p>
    <w:p w:rsidR="00E46466" w:rsidRPr="00F338B4" w:rsidRDefault="001D473D"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The dawn of democracy in 1994 created a</w:t>
      </w:r>
      <w:r w:rsidR="00054565" w:rsidRPr="00F338B4">
        <w:rPr>
          <w:rFonts w:eastAsia="Calibri"/>
          <w:sz w:val="24"/>
          <w14:shadow w14:blurRad="50800" w14:dist="50800" w14:dir="5400000" w14:sx="2000" w14:sy="2000" w14:kx="0" w14:ky="0" w14:algn="ctr">
            <w14:srgbClr w14:val="000000">
              <w14:alpha w14:val="1000"/>
            </w14:srgbClr>
          </w14:shadow>
        </w:rPr>
        <w:t xml:space="preserve"> different </w:t>
      </w:r>
      <w:r w:rsidRPr="00F338B4">
        <w:rPr>
          <w:rFonts w:eastAsia="Calibri"/>
          <w:sz w:val="24"/>
          <w14:shadow w14:blurRad="50800" w14:dist="50800" w14:dir="5400000" w14:sx="2000" w14:sy="2000" w14:kx="0" w14:ky="0" w14:algn="ctr">
            <w14:srgbClr w14:val="000000">
              <w14:alpha w14:val="1000"/>
            </w14:srgbClr>
          </w14:shadow>
        </w:rPr>
        <w:t xml:space="preserve">dispensation in which access to basic services such as housing, water and sanitation was recognized as a fundamental human right. South Africa inherited high levels of poverty and it continues to be confronted with unequal and often inadequate access to resources, infrastructure and social services. The Bill of Rights </w:t>
      </w:r>
      <w:r w:rsidR="00E46466" w:rsidRPr="00F338B4">
        <w:rPr>
          <w:rFonts w:eastAsia="Calibri"/>
          <w:sz w:val="24"/>
          <w14:shadow w14:blurRad="50800" w14:dist="50800" w14:dir="5400000" w14:sx="2000" w14:sy="2000" w14:kx="0" w14:ky="0" w14:algn="ctr">
            <w14:srgbClr w14:val="000000">
              <w14:alpha w14:val="1000"/>
            </w14:srgbClr>
          </w14:shadow>
        </w:rPr>
        <w:t>enshrined the right to basic services and commanded that the state must take reasonable measures to achieve the progressi</w:t>
      </w:r>
      <w:r w:rsidR="009A18D2" w:rsidRPr="00F338B4">
        <w:rPr>
          <w:rFonts w:eastAsia="Calibri"/>
          <w:sz w:val="24"/>
          <w14:shadow w14:blurRad="50800" w14:dist="50800" w14:dir="5400000" w14:sx="2000" w14:sy="2000" w14:kx="0" w14:ky="0" w14:algn="ctr">
            <w14:srgbClr w14:val="000000">
              <w14:alpha w14:val="1000"/>
            </w14:srgbClr>
          </w14:shadow>
        </w:rPr>
        <w:t>ve realization of these rights.</w:t>
      </w:r>
      <w:r w:rsidR="00E46466" w:rsidRPr="00F338B4">
        <w:rPr>
          <w:rFonts w:eastAsia="Calibri"/>
          <w:sz w:val="24"/>
          <w14:shadow w14:blurRad="50800" w14:dist="50800" w14:dir="5400000" w14:sx="2000" w14:sy="2000" w14:kx="0" w14:ky="0" w14:algn="ctr">
            <w14:srgbClr w14:val="000000">
              <w14:alpha w14:val="1000"/>
            </w14:srgbClr>
          </w14:shadow>
        </w:rPr>
        <w:t>The characteristics of the dwellings in which households live and their access to various services and facilities provide and important indication of the well-being of household members. It is widely recognised the shelter satisfies a basic human need for physical security and comfort. According to the 2014: General Household Survey, the percentage of households that fully owned the dwellings they inhabited increased was accompanied by a decrease of about five percentage points for households that rented accommodation. Households that maintained other tenure arrangements increased from 11</w:t>
      </w:r>
      <w:r w:rsidR="00122B0F" w:rsidRPr="00F338B4">
        <w:rPr>
          <w:rFonts w:eastAsia="Calibri"/>
          <w:sz w:val="24"/>
          <w14:shadow w14:blurRad="50800" w14:dist="50800" w14:dir="5400000" w14:sx="2000" w14:sy="2000" w14:kx="0" w14:ky="0" w14:algn="ctr">
            <w14:srgbClr w14:val="000000">
              <w14:alpha w14:val="1000"/>
            </w14:srgbClr>
          </w14:shadow>
        </w:rPr>
        <w:t>,</w:t>
      </w:r>
      <w:r w:rsidR="00054565" w:rsidRPr="00F338B4">
        <w:rPr>
          <w:rFonts w:eastAsia="Calibri"/>
          <w:sz w:val="24"/>
          <w14:shadow w14:blurRad="50800" w14:dist="50800" w14:dir="5400000" w14:sx="2000" w14:sy="2000" w14:kx="0" w14:ky="0" w14:algn="ctr">
            <w14:srgbClr w14:val="000000">
              <w14:alpha w14:val="1000"/>
            </w14:srgbClr>
          </w14:shadow>
        </w:rPr>
        <w:t xml:space="preserve"> </w:t>
      </w:r>
      <w:r w:rsidR="00122B0F" w:rsidRPr="00F338B4">
        <w:rPr>
          <w:rFonts w:eastAsia="Calibri"/>
          <w:sz w:val="24"/>
          <w14:shadow w14:blurRad="50800" w14:dist="50800" w14:dir="5400000" w14:sx="2000" w14:sy="2000" w14:kx="0" w14:ky="0" w14:algn="ctr">
            <w14:srgbClr w14:val="000000">
              <w14:alpha w14:val="1000"/>
            </w14:srgbClr>
          </w14:shadow>
        </w:rPr>
        <w:t>7</w:t>
      </w:r>
      <w:r w:rsidR="00E46466" w:rsidRPr="00F338B4">
        <w:rPr>
          <w:rFonts w:eastAsia="Calibri"/>
          <w:sz w:val="24"/>
          <w14:shadow w14:blurRad="50800" w14:dist="50800" w14:dir="5400000" w14:sx="2000" w14:sy="2000" w14:kx="0" w14:ky="0" w14:algn="ctr">
            <w14:srgbClr w14:val="000000">
              <w14:alpha w14:val="1000"/>
            </w14:srgbClr>
          </w14:shadow>
        </w:rPr>
        <w:t>% in 2002 to 12</w:t>
      </w:r>
      <w:r w:rsidR="00122B0F" w:rsidRPr="00F338B4">
        <w:rPr>
          <w:rFonts w:eastAsia="Calibri"/>
          <w:sz w:val="24"/>
          <w14:shadow w14:blurRad="50800" w14:dist="50800" w14:dir="5400000" w14:sx="2000" w14:sy="2000" w14:kx="0" w14:ky="0" w14:algn="ctr">
            <w14:srgbClr w14:val="000000">
              <w14:alpha w14:val="1000"/>
            </w14:srgbClr>
          </w14:shadow>
        </w:rPr>
        <w:t xml:space="preserve">, </w:t>
      </w:r>
      <w:proofErr w:type="gramStart"/>
      <w:r w:rsidR="00122B0F" w:rsidRPr="00F338B4">
        <w:rPr>
          <w:rFonts w:eastAsia="Calibri"/>
          <w:sz w:val="24"/>
          <w14:shadow w14:blurRad="50800" w14:dist="50800" w14:dir="5400000" w14:sx="2000" w14:sy="2000" w14:kx="0" w14:ky="0" w14:algn="ctr">
            <w14:srgbClr w14:val="000000">
              <w14:alpha w14:val="1000"/>
            </w14:srgbClr>
          </w14:shadow>
        </w:rPr>
        <w:t>4</w:t>
      </w:r>
      <w:proofErr w:type="gramEnd"/>
      <w:r w:rsidR="00E46466" w:rsidRPr="00F338B4">
        <w:rPr>
          <w:rFonts w:eastAsia="Calibri"/>
          <w:sz w:val="24"/>
          <w14:shadow w14:blurRad="50800" w14:dist="50800" w14:dir="5400000" w14:sx="2000" w14:sy="2000" w14:kx="0" w14:ky="0" w14:algn="ctr">
            <w14:srgbClr w14:val="000000">
              <w14:alpha w14:val="1000"/>
            </w14:srgbClr>
          </w14:shadow>
        </w:rPr>
        <w:t>% in 2014.</w:t>
      </w:r>
    </w:p>
    <w:p w:rsidR="009A18D2" w:rsidRPr="00F338B4" w:rsidRDefault="009A18D2"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p>
    <w:p w:rsidR="00280C8B" w:rsidRPr="00F338B4" w:rsidRDefault="00E46466"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In 2014, more than three-quarters (79</w:t>
      </w:r>
      <w:r w:rsidR="00122B0F" w:rsidRPr="00F338B4">
        <w:rPr>
          <w:rFonts w:eastAsia="Calibri"/>
          <w:sz w:val="24"/>
          <w14:shadow w14:blurRad="50800" w14:dist="50800" w14:dir="5400000" w14:sx="2000" w14:sy="2000" w14:kx="0" w14:ky="0" w14:algn="ctr">
            <w14:srgbClr w14:val="000000">
              <w14:alpha w14:val="1000"/>
            </w14:srgbClr>
          </w14:shadow>
        </w:rPr>
        <w:t>, 4) of</w:t>
      </w:r>
      <w:r w:rsidR="0007689E" w:rsidRPr="00F338B4">
        <w:rPr>
          <w:rFonts w:eastAsia="Calibri"/>
          <w:sz w:val="24"/>
          <w14:shadow w14:blurRad="50800" w14:dist="50800" w14:dir="5400000" w14:sx="2000" w14:sy="2000" w14:kx="0" w14:ky="0" w14:algn="ctr">
            <w14:srgbClr w14:val="000000">
              <w14:alpha w14:val="1000"/>
            </w14:srgbClr>
          </w14:shadow>
        </w:rPr>
        <w:t xml:space="preserve"> South African households lived in formal dwellings, followed by 12</w:t>
      </w:r>
      <w:r w:rsidR="00122B0F" w:rsidRPr="00F338B4">
        <w:rPr>
          <w:rFonts w:eastAsia="Calibri"/>
          <w:sz w:val="24"/>
          <w14:shadow w14:blurRad="50800" w14:dist="50800" w14:dir="5400000" w14:sx="2000" w14:sy="2000" w14:kx="0" w14:ky="0" w14:algn="ctr">
            <w14:srgbClr w14:val="000000">
              <w14:alpha w14:val="1000"/>
            </w14:srgbClr>
          </w14:shadow>
        </w:rPr>
        <w:t>,</w:t>
      </w:r>
      <w:r w:rsidR="00054565" w:rsidRPr="00F338B4">
        <w:rPr>
          <w:rFonts w:eastAsia="Calibri"/>
          <w:sz w:val="24"/>
          <w14:shadow w14:blurRad="50800" w14:dist="50800" w14:dir="5400000" w14:sx="2000" w14:sy="2000" w14:kx="0" w14:ky="0" w14:algn="ctr">
            <w14:srgbClr w14:val="000000">
              <w14:alpha w14:val="1000"/>
            </w14:srgbClr>
          </w14:shadow>
        </w:rPr>
        <w:t xml:space="preserve"> </w:t>
      </w:r>
      <w:r w:rsidR="00122B0F" w:rsidRPr="00F338B4">
        <w:rPr>
          <w:rFonts w:eastAsia="Calibri"/>
          <w:sz w:val="24"/>
          <w14:shadow w14:blurRad="50800" w14:dist="50800" w14:dir="5400000" w14:sx="2000" w14:sy="2000" w14:kx="0" w14:ky="0" w14:algn="ctr">
            <w14:srgbClr w14:val="000000">
              <w14:alpha w14:val="1000"/>
            </w14:srgbClr>
          </w14:shadow>
        </w:rPr>
        <w:t>9</w:t>
      </w:r>
      <w:r w:rsidR="0007689E" w:rsidRPr="00F338B4">
        <w:rPr>
          <w:rFonts w:eastAsia="Calibri"/>
          <w:sz w:val="24"/>
          <w14:shadow w14:blurRad="50800" w14:dist="50800" w14:dir="5400000" w14:sx="2000" w14:sy="2000" w14:kx="0" w14:ky="0" w14:algn="ctr">
            <w14:srgbClr w14:val="000000">
              <w14:alpha w14:val="1000"/>
            </w14:srgbClr>
          </w14:shadow>
        </w:rPr>
        <w:t>% who lived in informal dwellings, and 6</w:t>
      </w:r>
      <w:r w:rsidR="00734FA0" w:rsidRPr="00F338B4">
        <w:rPr>
          <w:rFonts w:eastAsia="Calibri"/>
          <w:sz w:val="24"/>
          <w14:shadow w14:blurRad="50800" w14:dist="50800" w14:dir="5400000" w14:sx="2000" w14:sy="2000" w14:kx="0" w14:ky="0" w14:algn="ctr">
            <w14:srgbClr w14:val="000000">
              <w14:alpha w14:val="1000"/>
            </w14:srgbClr>
          </w14:shadow>
        </w:rPr>
        <w:t>, 8</w:t>
      </w:r>
      <w:r w:rsidR="0007689E" w:rsidRPr="00F338B4">
        <w:rPr>
          <w:rFonts w:eastAsia="Calibri"/>
          <w:sz w:val="24"/>
          <w14:shadow w14:blurRad="50800" w14:dist="50800" w14:dir="5400000" w14:sx="2000" w14:sy="2000" w14:kx="0" w14:ky="0" w14:algn="ctr">
            <w14:srgbClr w14:val="000000">
              <w14:alpha w14:val="1000"/>
            </w14:srgbClr>
          </w14:shadow>
        </w:rPr>
        <w:t xml:space="preserve"> in traditional dwellings. The highest concentration of households in Limpopo (93,</w:t>
      </w:r>
      <w:r w:rsidR="00054565" w:rsidRPr="00F338B4">
        <w:rPr>
          <w:rFonts w:eastAsia="Calibri"/>
          <w:sz w:val="24"/>
          <w14:shadow w14:blurRad="50800" w14:dist="50800" w14:dir="5400000" w14:sx="2000" w14:sy="2000" w14:kx="0" w14:ky="0" w14:algn="ctr">
            <w14:srgbClr w14:val="000000">
              <w14:alpha w14:val="1000"/>
            </w14:srgbClr>
          </w14:shadow>
        </w:rPr>
        <w:t xml:space="preserve"> </w:t>
      </w:r>
      <w:r w:rsidR="0007689E" w:rsidRPr="00F338B4">
        <w:rPr>
          <w:rFonts w:eastAsia="Calibri"/>
          <w:sz w:val="24"/>
          <w14:shadow w14:blurRad="50800" w14:dist="50800" w14:dir="5400000" w14:sx="2000" w14:sy="2000" w14:kx="0" w14:ky="0" w14:algn="ctr">
            <w14:srgbClr w14:val="000000">
              <w14:alpha w14:val="1000"/>
            </w14:srgbClr>
          </w14:shadow>
        </w:rPr>
        <w:t xml:space="preserve">6%) lived in formal dwellings, followed by the households in Mpumalanga (88, 1%). Although the highest concentrations of informal dwellings </w:t>
      </w:r>
      <w:r w:rsidR="00456B37" w:rsidRPr="00F338B4">
        <w:rPr>
          <w:rFonts w:eastAsia="Calibri"/>
          <w:sz w:val="24"/>
          <w14:shadow w14:blurRad="50800" w14:dist="50800" w14:dir="5400000" w14:sx="2000" w14:sy="2000" w14:kx="0" w14:ky="0" w14:algn="ctr">
            <w14:srgbClr w14:val="000000">
              <w14:alpha w14:val="1000"/>
            </w14:srgbClr>
          </w14:shadow>
        </w:rPr>
        <w:t>were found  in North west  (21%) and Gauteng (19,2%), it is worth noting though that majority of households  in these two provinces lived in formal dwellings and 78% of North West living in formal households. More than one-fourth of households (27.7%) in Eastern Cape resided in traditional dwellings compared to 17% of households in KwaZulu-Natal.</w:t>
      </w:r>
    </w:p>
    <w:p w:rsidR="00456B37" w:rsidRPr="00F338B4" w:rsidRDefault="00456B37"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p>
    <w:p w:rsidR="00456B37" w:rsidRPr="00F338B4" w:rsidRDefault="00456B37"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lastRenderedPageBreak/>
        <w:t xml:space="preserve">The department’s delivery environment </w:t>
      </w:r>
      <w:r w:rsidR="00054565" w:rsidRPr="00F338B4">
        <w:rPr>
          <w:rFonts w:eastAsia="Calibri"/>
          <w:sz w:val="24"/>
          <w14:shadow w14:blurRad="50800" w14:dist="50800" w14:dir="5400000" w14:sx="2000" w14:sy="2000" w14:kx="0" w14:ky="0" w14:algn="ctr">
            <w14:srgbClr w14:val="000000">
              <w14:alpha w14:val="1000"/>
            </w14:srgbClr>
          </w14:shadow>
        </w:rPr>
        <w:t>wa</w:t>
      </w:r>
      <w:r w:rsidRPr="00F338B4">
        <w:rPr>
          <w:rFonts w:eastAsia="Calibri"/>
          <w:sz w:val="24"/>
          <w14:shadow w14:blurRad="50800" w14:dist="50800" w14:dir="5400000" w14:sx="2000" w14:sy="2000" w14:kx="0" w14:ky="0" w14:algn="ctr">
            <w14:srgbClr w14:val="000000">
              <w14:alpha w14:val="1000"/>
            </w14:srgbClr>
          </w14:shadow>
        </w:rPr>
        <w:t xml:space="preserve">s in the main influenced by the increase in urbanization resulting in </w:t>
      </w:r>
      <w:r w:rsidR="00CE3336" w:rsidRPr="00F338B4">
        <w:rPr>
          <w:rFonts w:eastAsia="Calibri"/>
          <w:sz w:val="24"/>
          <w14:shadow w14:blurRad="50800" w14:dist="50800" w14:dir="5400000" w14:sx="2000" w14:sy="2000" w14:kx="0" w14:ky="0" w14:algn="ctr">
            <w14:srgbClr w14:val="000000">
              <w14:alpha w14:val="1000"/>
            </w14:srgbClr>
          </w14:shadow>
        </w:rPr>
        <w:t xml:space="preserve">the increase demand for housing. Even though South Africa has a progressively accommodated in additional 4.1 million households in formal dwellings, an upward growth from 74.4% in 2003 to 79.4% in in 2014, demand for housing continued to exist. Households </w:t>
      </w:r>
      <w:r w:rsidR="00103E50" w:rsidRPr="00F338B4">
        <w:rPr>
          <w:rFonts w:eastAsia="Calibri"/>
          <w:sz w:val="24"/>
          <w14:shadow w14:blurRad="50800" w14:dist="50800" w14:dir="5400000" w14:sx="2000" w14:sy="2000" w14:kx="0" w14:ky="0" w14:algn="ctr">
            <w14:srgbClr w14:val="000000">
              <w14:alpha w14:val="1000"/>
            </w14:srgbClr>
          </w14:shadow>
        </w:rPr>
        <w:t>were</w:t>
      </w:r>
      <w:r w:rsidR="00CE3336" w:rsidRPr="00F338B4">
        <w:rPr>
          <w:rFonts w:eastAsia="Calibri"/>
          <w:sz w:val="24"/>
          <w14:shadow w14:blurRad="50800" w14:dist="50800" w14:dir="5400000" w14:sx="2000" w14:sy="2000" w14:kx="0" w14:ky="0" w14:algn="ctr">
            <w14:srgbClr w14:val="000000">
              <w14:alpha w14:val="1000"/>
            </w14:srgbClr>
          </w14:shadow>
        </w:rPr>
        <w:t xml:space="preserve"> also experiencing challenges in spending patterns and recurring low savings. The low savings combined with consumers’ credit-risks profiles contribute</w:t>
      </w:r>
      <w:r w:rsidR="00054565" w:rsidRPr="00F338B4">
        <w:rPr>
          <w:rFonts w:eastAsia="Calibri"/>
          <w:sz w:val="24"/>
          <w14:shadow w14:blurRad="50800" w14:dist="50800" w14:dir="5400000" w14:sx="2000" w14:sy="2000" w14:kx="0" w14:ky="0" w14:algn="ctr">
            <w14:srgbClr w14:val="000000">
              <w14:alpha w14:val="1000"/>
            </w14:srgbClr>
          </w14:shadow>
        </w:rPr>
        <w:t>d</w:t>
      </w:r>
      <w:r w:rsidR="00CE3336" w:rsidRPr="00F338B4">
        <w:rPr>
          <w:rFonts w:eastAsia="Calibri"/>
          <w:sz w:val="24"/>
          <w14:shadow w14:blurRad="50800" w14:dist="50800" w14:dir="5400000" w14:sx="2000" w14:sy="2000" w14:kx="0" w14:ky="0" w14:algn="ctr">
            <w14:srgbClr w14:val="000000">
              <w14:alpha w14:val="1000"/>
            </w14:srgbClr>
          </w14:shadow>
        </w:rPr>
        <w:t xml:space="preserve"> to the inability of access credit particularly for mortgages. This </w:t>
      </w:r>
      <w:r w:rsidR="00127E84" w:rsidRPr="00F338B4">
        <w:rPr>
          <w:rFonts w:eastAsia="Calibri"/>
          <w:sz w:val="24"/>
          <w14:shadow w14:blurRad="50800" w14:dist="50800" w14:dir="5400000" w14:sx="2000" w14:sy="2000" w14:kx="0" w14:ky="0" w14:algn="ctr">
            <w14:srgbClr w14:val="000000">
              <w14:alpha w14:val="1000"/>
            </w14:srgbClr>
          </w14:shadow>
        </w:rPr>
        <w:t xml:space="preserve">offers evidence of vulnerability of low income earners to access credit particularly mortgage loans which </w:t>
      </w:r>
      <w:r w:rsidR="00054565" w:rsidRPr="00F338B4">
        <w:rPr>
          <w:rFonts w:eastAsia="Calibri"/>
          <w:sz w:val="24"/>
          <w14:shadow w14:blurRad="50800" w14:dist="50800" w14:dir="5400000" w14:sx="2000" w14:sy="2000" w14:kx="0" w14:ky="0" w14:algn="ctr">
            <w14:srgbClr w14:val="000000">
              <w14:alpha w14:val="1000"/>
            </w14:srgbClr>
          </w14:shadow>
        </w:rPr>
        <w:t>was</w:t>
      </w:r>
      <w:r w:rsidR="00127E84" w:rsidRPr="00F338B4">
        <w:rPr>
          <w:rFonts w:eastAsia="Calibri"/>
          <w:sz w:val="24"/>
          <w14:shadow w14:blurRad="50800" w14:dist="50800" w14:dir="5400000" w14:sx="2000" w14:sy="2000" w14:kx="0" w14:ky="0" w14:algn="ctr">
            <w14:srgbClr w14:val="000000">
              <w14:alpha w14:val="1000"/>
            </w14:srgbClr>
          </w14:shadow>
        </w:rPr>
        <w:t xml:space="preserve"> the main form of funding for housing development. With the increase of the repo rate by 0.25 basis points in November 2015, the prime interest rate by commercial banks increased to 9.5%. The increase in interest rate has had a severe impact on disposable income for individuals with mortgages and other forms of credit exposure. The report by International Monitory Fund (IMF) indicates that in 2014, the South African economy was estimated to have grown by just 1.4% after expanding by 1.9% in 2013, 2.5% in 2012, 3.6% in 2011, and 3.1% in 2010.</w:t>
      </w:r>
    </w:p>
    <w:p w:rsidR="00A66702" w:rsidRPr="00F338B4" w:rsidRDefault="00A66702"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p>
    <w:p w:rsidR="00127E84" w:rsidRPr="00F338B4" w:rsidRDefault="00127E84" w:rsidP="00F338B4">
      <w:pPr>
        <w:pStyle w:val="Char"/>
        <w:spacing w:before="120" w:after="120" w:line="240" w:lineRule="auto"/>
        <w:jc w:val="both"/>
        <w:rPr>
          <w:rFonts w:eastAsia="Calibri"/>
          <w:sz w:val="24"/>
          <w14:shadow w14:blurRad="50800" w14:dist="50800" w14:dir="5400000" w14:sx="2000" w14:sy="2000" w14:kx="0" w14:ky="0" w14:algn="ctr">
            <w14:srgbClr w14:val="000000">
              <w14:alpha w14:val="1000"/>
            </w14:srgbClr>
          </w14:shadow>
        </w:rPr>
      </w:pPr>
      <w:r w:rsidRPr="00F338B4">
        <w:rPr>
          <w:rFonts w:eastAsia="Calibri"/>
          <w:sz w:val="24"/>
          <w14:shadow w14:blurRad="50800" w14:dist="50800" w14:dir="5400000" w14:sx="2000" w14:sy="2000" w14:kx="0" w14:ky="0" w14:algn="ctr">
            <w14:srgbClr w14:val="000000">
              <w14:alpha w14:val="1000"/>
            </w14:srgbClr>
          </w14:shadow>
        </w:rPr>
        <w:t>Even though South Africa has had the second biggest economy in the continent over the past ten years, the country’s GDP</w:t>
      </w:r>
      <w:r w:rsidR="00DC4A9E" w:rsidRPr="00F338B4">
        <w:rPr>
          <w:rFonts w:eastAsia="Calibri"/>
          <w:sz w:val="24"/>
          <w14:shadow w14:blurRad="50800" w14:dist="50800" w14:dir="5400000" w14:sx="2000" w14:sy="2000" w14:kx="0" w14:ky="0" w14:algn="ctr">
            <w14:srgbClr w14:val="000000">
              <w14:alpha w14:val="1000"/>
            </w14:srgbClr>
          </w14:shadow>
        </w:rPr>
        <w:t xml:space="preserve"> growth </w:t>
      </w:r>
      <w:r w:rsidR="00103E50" w:rsidRPr="00F338B4">
        <w:rPr>
          <w:rFonts w:eastAsia="Calibri"/>
          <w:sz w:val="24"/>
          <w14:shadow w14:blurRad="50800" w14:dist="50800" w14:dir="5400000" w14:sx="2000" w14:sy="2000" w14:kx="0" w14:ky="0" w14:algn="ctr">
            <w14:srgbClr w14:val="000000">
              <w14:alpha w14:val="1000"/>
            </w14:srgbClr>
          </w14:shadow>
        </w:rPr>
        <w:t>was still</w:t>
      </w:r>
      <w:r w:rsidRPr="00F338B4">
        <w:rPr>
          <w:rFonts w:eastAsia="Calibri"/>
          <w:sz w:val="24"/>
          <w14:shadow w14:blurRad="50800" w14:dist="50800" w14:dir="5400000" w14:sx="2000" w14:sy="2000" w14:kx="0" w14:ky="0" w14:algn="ctr">
            <w14:srgbClr w14:val="000000">
              <w14:alpha w14:val="1000"/>
            </w14:srgbClr>
          </w14:shadow>
        </w:rPr>
        <w:t xml:space="preserve"> lagging behind. This has resulted to increasing dependency </w:t>
      </w:r>
      <w:r w:rsidR="00DC4A9E" w:rsidRPr="00F338B4">
        <w:rPr>
          <w:rFonts w:eastAsia="Calibri"/>
          <w:sz w:val="24"/>
          <w14:shadow w14:blurRad="50800" w14:dist="50800" w14:dir="5400000" w14:sx="2000" w14:sy="2000" w14:kx="0" w14:ky="0" w14:algn="ctr">
            <w14:srgbClr w14:val="000000">
              <w14:alpha w14:val="1000"/>
            </w14:srgbClr>
          </w14:shadow>
        </w:rPr>
        <w:t>from government as 68,8% households  in rural areas and 30,9% of residents in urban areas are living in poverty. Only 30% of South Africans</w:t>
      </w:r>
      <w:r w:rsidR="00E800C9" w:rsidRPr="00F338B4">
        <w:rPr>
          <w:rFonts w:eastAsia="Calibri"/>
          <w:sz w:val="24"/>
          <w14:shadow w14:blurRad="50800" w14:dist="50800" w14:dir="5400000" w14:sx="2000" w14:sy="2000" w14:kx="0" w14:ky="0" w14:algn="ctr">
            <w14:srgbClr w14:val="000000">
              <w14:alpha w14:val="1000"/>
            </w14:srgbClr>
          </w14:shadow>
        </w:rPr>
        <w:t xml:space="preserve"> were </w:t>
      </w:r>
      <w:r w:rsidR="00DC4A9E" w:rsidRPr="00F338B4">
        <w:rPr>
          <w:rFonts w:eastAsia="Calibri"/>
          <w:sz w:val="24"/>
          <w14:shadow w14:blurRad="50800" w14:dist="50800" w14:dir="5400000" w14:sx="2000" w14:sy="2000" w14:kx="0" w14:ky="0" w14:algn="ctr">
            <w14:srgbClr w14:val="000000">
              <w14:alpha w14:val="1000"/>
            </w14:srgbClr>
          </w14:shadow>
        </w:rPr>
        <w:t>able to afford a house of more than R 500 000 as house prices, inflation, and income have affected the affordability levels. Low-income earners have found it increasingly difficult to enter the property market because of stringent lending regulations and declining levels of disposable income arising from increasing interest rates. Supply constraints continue</w:t>
      </w:r>
      <w:r w:rsidR="00E800C9" w:rsidRPr="00F338B4">
        <w:rPr>
          <w:rFonts w:eastAsia="Calibri"/>
          <w:sz w:val="24"/>
          <w14:shadow w14:blurRad="50800" w14:dist="50800" w14:dir="5400000" w14:sx="2000" w14:sy="2000" w14:kx="0" w14:ky="0" w14:algn="ctr">
            <w14:srgbClr w14:val="000000">
              <w14:alpha w14:val="1000"/>
            </w14:srgbClr>
          </w14:shadow>
        </w:rPr>
        <w:t>d</w:t>
      </w:r>
      <w:r w:rsidR="00DC4A9E" w:rsidRPr="00F338B4">
        <w:rPr>
          <w:rFonts w:eastAsia="Calibri"/>
          <w:sz w:val="24"/>
          <w14:shadow w14:blurRad="50800" w14:dist="50800" w14:dir="5400000" w14:sx="2000" w14:sy="2000" w14:kx="0" w14:ky="0" w14:algn="ctr">
            <w14:srgbClr w14:val="000000">
              <w14:alpha w14:val="1000"/>
            </w14:srgbClr>
          </w14:shadow>
        </w:rPr>
        <w:t xml:space="preserve"> to bedevil both subsidy and affordable housing market segments. The current offering is neither sustainable (fiscal sustainability), nor has the required critical mass been achieved, with the result that </w:t>
      </w:r>
      <w:r w:rsidR="00E451D1" w:rsidRPr="00F338B4">
        <w:rPr>
          <w:rFonts w:eastAsia="Calibri"/>
          <w:sz w:val="24"/>
          <w14:shadow w14:blurRad="50800" w14:dist="50800" w14:dir="5400000" w14:sx="2000" w14:sy="2000" w14:kx="0" w14:ky="0" w14:algn="ctr">
            <w14:srgbClr w14:val="000000">
              <w14:alpha w14:val="1000"/>
            </w14:srgbClr>
          </w14:shadow>
        </w:rPr>
        <w:t>housing backlogs within both the subsidy and affordable housing from two pers</w:t>
      </w:r>
      <w:r w:rsidR="003074A9" w:rsidRPr="00F338B4">
        <w:rPr>
          <w:rFonts w:eastAsia="Calibri"/>
          <w:sz w:val="24"/>
          <w14:shadow w14:blurRad="50800" w14:dist="50800" w14:dir="5400000" w14:sx="2000" w14:sy="2000" w14:kx="0" w14:ky="0" w14:algn="ctr">
            <w14:srgbClr w14:val="000000">
              <w14:alpha w14:val="1000"/>
            </w14:srgbClr>
          </w14:shadow>
        </w:rPr>
        <w:t>pectives. On the one hand, the D</w:t>
      </w:r>
      <w:r w:rsidR="00E451D1" w:rsidRPr="00F338B4">
        <w:rPr>
          <w:rFonts w:eastAsia="Calibri"/>
          <w:sz w:val="24"/>
          <w14:shadow w14:blurRad="50800" w14:dist="50800" w14:dir="5400000" w14:sx="2000" w14:sy="2000" w14:kx="0" w14:ky="0" w14:algn="ctr">
            <w14:srgbClr w14:val="000000">
              <w14:alpha w14:val="1000"/>
            </w14:srgbClr>
          </w14:shadow>
        </w:rPr>
        <w:t>epartment seeks to address the housing crisis directly through the scale delivery of subsidized housing for low income households. On the other hand, government seeks to create and environment conducive for the operations of the subsidised housing market within the larger economic outlook. With the resources at the disposal of government and of the department, dealing with housing demand could take longer.</w:t>
      </w:r>
    </w:p>
    <w:p w:rsidR="00425C66" w:rsidRPr="00F338B4" w:rsidRDefault="00850E1D" w:rsidP="00F338B4">
      <w:pPr>
        <w:spacing w:before="120" w:after="120"/>
        <w:jc w:val="both"/>
        <w:rPr>
          <w:rFonts w:eastAsia="Calibri"/>
          <w:b/>
          <w:lang w:val="en-US" w:eastAsia="en-US"/>
          <w14:shadow w14:blurRad="50800" w14:dist="50800" w14:dir="5400000" w14:sx="2000" w14:sy="2000" w14:kx="0" w14:ky="0" w14:algn="ctr">
            <w14:srgbClr w14:val="000000">
              <w14:alpha w14:val="1000"/>
            </w14:srgbClr>
          </w14:shadow>
        </w:rPr>
      </w:pPr>
      <w:r w:rsidRPr="00F338B4">
        <w:rPr>
          <w:rFonts w:eastAsia="Calibri"/>
          <w:b/>
          <w:lang w:val="en-US" w:eastAsia="en-US"/>
          <w14:shadow w14:blurRad="50800" w14:dist="50800" w14:dir="5400000" w14:sx="2000" w14:sy="2000" w14:kx="0" w14:ky="0" w14:algn="ctr">
            <w14:srgbClr w14:val="000000">
              <w14:alpha w14:val="1000"/>
            </w14:srgbClr>
          </w14:shadow>
        </w:rPr>
        <w:t>3</w:t>
      </w:r>
      <w:r w:rsidR="00426DAA" w:rsidRPr="00F338B4">
        <w:rPr>
          <w:rFonts w:eastAsia="Calibri"/>
          <w:b/>
          <w:lang w:val="en-US" w:eastAsia="en-US"/>
          <w14:shadow w14:blurRad="50800" w14:dist="50800" w14:dir="5400000" w14:sx="2000" w14:sy="2000" w14:kx="0" w14:ky="0" w14:algn="ctr">
            <w14:srgbClr w14:val="000000">
              <w14:alpha w14:val="1000"/>
            </w14:srgbClr>
          </w14:shadow>
        </w:rPr>
        <w:t>.</w:t>
      </w:r>
      <w:r w:rsidR="00CE3AAB" w:rsidRPr="00F338B4">
        <w:rPr>
          <w:rFonts w:eastAsia="Calibri"/>
          <w:b/>
          <w:lang w:val="en-US" w:eastAsia="en-US"/>
          <w14:shadow w14:blurRad="50800" w14:dist="50800" w14:dir="5400000" w14:sx="2000" w14:sy="2000" w14:kx="0" w14:ky="0" w14:algn="ctr">
            <w14:srgbClr w14:val="000000">
              <w14:alpha w14:val="1000"/>
            </w14:srgbClr>
          </w14:shadow>
        </w:rPr>
        <w:tab/>
      </w:r>
      <w:r w:rsidR="00426DAA" w:rsidRPr="00F338B4">
        <w:rPr>
          <w:rFonts w:eastAsia="Calibri"/>
          <w:b/>
          <w:lang w:val="en-US" w:eastAsia="en-US"/>
          <w14:shadow w14:blurRad="50800" w14:dist="50800" w14:dir="5400000" w14:sx="2000" w14:sy="2000" w14:kx="0" w14:ky="0" w14:algn="ctr">
            <w14:srgbClr w14:val="000000">
              <w14:alpha w14:val="1000"/>
            </w14:srgbClr>
          </w14:shadow>
        </w:rPr>
        <w:t xml:space="preserve"> </w:t>
      </w:r>
      <w:r w:rsidR="0046410B" w:rsidRPr="00F338B4">
        <w:rPr>
          <w:rFonts w:eastAsia="Calibri"/>
          <w:b/>
          <w:lang w:val="en-US" w:eastAsia="en-US"/>
          <w14:shadow w14:blurRad="50800" w14:dist="50800" w14:dir="5400000" w14:sx="2000" w14:sy="2000" w14:kx="0" w14:ky="0" w14:algn="ctr">
            <w14:srgbClr w14:val="000000">
              <w14:alpha w14:val="1000"/>
            </w14:srgbClr>
          </w14:shadow>
        </w:rPr>
        <w:t>Budget analysis</w:t>
      </w:r>
    </w:p>
    <w:p w:rsidR="00030AB0" w:rsidRPr="00F338B4" w:rsidRDefault="00850E1D"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3</w:t>
      </w:r>
      <w:r w:rsidR="0046410B" w:rsidRPr="00F338B4">
        <w:rPr>
          <w:rFonts w:eastAsia="Calibri"/>
          <w:bCs w:val="0"/>
          <w:sz w:val="24"/>
          <w14:shadow w14:blurRad="50800" w14:dist="50800" w14:dir="5400000" w14:sx="2000" w14:sy="2000" w14:kx="0" w14:ky="0" w14:algn="ctr">
            <w14:srgbClr w14:val="000000">
              <w14:alpha w14:val="1000"/>
            </w14:srgbClr>
          </w14:shadow>
        </w:rPr>
        <w:t>.1</w:t>
      </w:r>
      <w:r w:rsidR="0046410B" w:rsidRPr="00F338B4">
        <w:rPr>
          <w:rFonts w:eastAsia="Calibri"/>
          <w:bCs w:val="0"/>
          <w:sz w:val="24"/>
          <w14:shadow w14:blurRad="50800" w14:dist="50800" w14:dir="5400000" w14:sx="2000" w14:sy="2000" w14:kx="0" w14:ky="0" w14:algn="ctr">
            <w14:srgbClr w14:val="000000">
              <w14:alpha w14:val="1000"/>
            </w14:srgbClr>
          </w14:shadow>
        </w:rPr>
        <w:tab/>
        <w:t xml:space="preserve">Budget allocations per </w:t>
      </w:r>
      <w:r w:rsidR="00030AB0" w:rsidRPr="00F338B4">
        <w:rPr>
          <w:rFonts w:eastAsia="Calibri"/>
          <w:bCs w:val="0"/>
          <w:sz w:val="24"/>
          <w14:shadow w14:blurRad="50800" w14:dist="50800" w14:dir="5400000" w14:sx="2000" w14:sy="2000" w14:kx="0" w14:ky="0" w14:algn="ctr">
            <w14:srgbClr w14:val="000000">
              <w14:alpha w14:val="1000"/>
            </w14:srgbClr>
          </w14:shadow>
        </w:rPr>
        <w:t>programmes</w:t>
      </w:r>
    </w:p>
    <w:p w:rsidR="00EB10E4" w:rsidRPr="00F338B4" w:rsidRDefault="0046410B"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This budge</w:t>
      </w:r>
      <w:r w:rsidR="00472105" w:rsidRPr="00F338B4">
        <w:rPr>
          <w:rFonts w:eastAsia="Calibri"/>
          <w:bCs w:val="0"/>
          <w:sz w:val="24"/>
          <w14:shadow w14:blurRad="50800" w14:dist="50800" w14:dir="5400000" w14:sx="2000" w14:sy="2000" w14:kx="0" w14:ky="0" w14:algn="ctr">
            <w14:srgbClr w14:val="000000">
              <w14:alpha w14:val="1000"/>
            </w14:srgbClr>
          </w14:shadow>
        </w:rPr>
        <w:t>t analysis used</w:t>
      </w:r>
      <w:r w:rsidRPr="00F338B4">
        <w:rPr>
          <w:rFonts w:eastAsia="Calibri"/>
          <w:bCs w:val="0"/>
          <w:sz w:val="24"/>
          <w14:shadow w14:blurRad="50800" w14:dist="50800" w14:dir="5400000" w14:sx="2000" w14:sy="2000" w14:kx="0" w14:ky="0" w14:algn="ctr">
            <w14:srgbClr w14:val="000000">
              <w14:alpha w14:val="1000"/>
            </w14:srgbClr>
          </w14:shadow>
        </w:rPr>
        <w:t xml:space="preserve"> both the nominal and real value of al</w:t>
      </w:r>
      <w:r w:rsidR="00AF3C2D" w:rsidRPr="00F338B4">
        <w:rPr>
          <w:rFonts w:eastAsia="Calibri"/>
          <w:bCs w:val="0"/>
          <w:sz w:val="24"/>
          <w14:shadow w14:blurRad="50800" w14:dist="50800" w14:dir="5400000" w14:sx="2000" w14:sy="2000" w14:kx="0" w14:ky="0" w14:algn="ctr">
            <w14:srgbClr w14:val="000000">
              <w14:alpha w14:val="1000"/>
            </w14:srgbClr>
          </w14:shadow>
        </w:rPr>
        <w:t>locations to programmes and sub-</w:t>
      </w:r>
      <w:r w:rsidRPr="00F338B4">
        <w:rPr>
          <w:rFonts w:eastAsia="Calibri"/>
          <w:bCs w:val="0"/>
          <w:sz w:val="24"/>
          <w14:shadow w14:blurRad="50800" w14:dist="50800" w14:dir="5400000" w14:sx="2000" w14:sy="2000" w14:kx="0" w14:ky="0" w14:algn="ctr">
            <w14:srgbClr w14:val="000000">
              <w14:alpha w14:val="1000"/>
            </w14:srgbClr>
          </w14:shadow>
        </w:rPr>
        <w:t>progr</w:t>
      </w:r>
      <w:r w:rsidR="00472105" w:rsidRPr="00F338B4">
        <w:rPr>
          <w:rFonts w:eastAsia="Calibri"/>
          <w:bCs w:val="0"/>
          <w:sz w:val="24"/>
          <w14:shadow w14:blurRad="50800" w14:dist="50800" w14:dir="5400000" w14:sx="2000" w14:sy="2000" w14:kx="0" w14:ky="0" w14:algn="ctr">
            <w14:srgbClr w14:val="000000">
              <w14:alpha w14:val="1000"/>
            </w14:srgbClr>
          </w14:shadow>
        </w:rPr>
        <w:t>ammes.  The nominal value referred</w:t>
      </w:r>
      <w:r w:rsidRPr="00F338B4">
        <w:rPr>
          <w:rFonts w:eastAsia="Calibri"/>
          <w:bCs w:val="0"/>
          <w:sz w:val="24"/>
          <w14:shadow w14:blurRad="50800" w14:dist="50800" w14:dir="5400000" w14:sx="2000" w14:sy="2000" w14:kx="0" w14:ky="0" w14:algn="ctr">
            <w14:srgbClr w14:val="000000">
              <w14:alpha w14:val="1000"/>
            </w14:srgbClr>
          </w14:shadow>
        </w:rPr>
        <w:t xml:space="preserve"> to </w:t>
      </w:r>
      <w:r w:rsidR="00AE0E31" w:rsidRPr="00F338B4">
        <w:rPr>
          <w:rFonts w:eastAsia="Calibri"/>
          <w:bCs w:val="0"/>
          <w:sz w:val="24"/>
          <w14:shadow w14:blurRad="50800" w14:dist="50800" w14:dir="5400000" w14:sx="2000" w14:sy="2000" w14:kx="0" w14:ky="0" w14:algn="ctr">
            <w14:srgbClr w14:val="000000">
              <w14:alpha w14:val="1000"/>
            </w14:srgbClr>
          </w14:shadow>
        </w:rPr>
        <w:t xml:space="preserve">a </w:t>
      </w:r>
      <w:hyperlink r:id="rId9" w:tooltip="Value (economics)" w:history="1">
        <w:r w:rsidR="00AE0E31" w:rsidRPr="00F338B4">
          <w:rPr>
            <w:rFonts w:eastAsia="Calibri"/>
            <w:bCs w:val="0"/>
            <w:sz w:val="24"/>
            <w14:shadow w14:blurRad="50800" w14:dist="50800" w14:dir="5400000" w14:sx="2000" w14:sy="2000" w14:kx="0" w14:ky="0" w14:algn="ctr">
              <w14:srgbClr w14:val="000000">
                <w14:alpha w14:val="1000"/>
              </w14:srgbClr>
            </w14:shadow>
          </w:rPr>
          <w:t>value</w:t>
        </w:r>
      </w:hyperlink>
      <w:r w:rsidR="00AE0E31" w:rsidRPr="00F338B4">
        <w:rPr>
          <w:rFonts w:eastAsia="Calibri"/>
          <w:bCs w:val="0"/>
          <w:sz w:val="24"/>
          <w14:shadow w14:blurRad="50800" w14:dist="50800" w14:dir="5400000" w14:sx="2000" w14:sy="2000" w14:kx="0" w14:ky="0" w14:algn="ctr">
            <w14:srgbClr w14:val="000000">
              <w14:alpha w14:val="1000"/>
            </w14:srgbClr>
          </w14:shadow>
        </w:rPr>
        <w:t xml:space="preserve"> </w:t>
      </w:r>
      <w:r w:rsidRPr="00F338B4">
        <w:rPr>
          <w:rFonts w:eastAsia="Calibri"/>
          <w:bCs w:val="0"/>
          <w:sz w:val="24"/>
          <w14:shadow w14:blurRad="50800" w14:dist="50800" w14:dir="5400000" w14:sx="2000" w14:sy="2000" w14:kx="0" w14:ky="0" w14:algn="ctr">
            <w14:srgbClr w14:val="000000">
              <w14:alpha w14:val="1000"/>
            </w14:srgbClr>
          </w14:shadow>
        </w:rPr>
        <w:t>expressed in money term</w:t>
      </w:r>
      <w:r w:rsidR="00320823" w:rsidRPr="00F338B4">
        <w:rPr>
          <w:rFonts w:eastAsia="Calibri"/>
          <w:bCs w:val="0"/>
          <w:sz w:val="24"/>
          <w14:shadow w14:blurRad="50800" w14:dist="50800" w14:dir="5400000" w14:sx="2000" w14:sy="2000" w14:kx="0" w14:ky="0" w14:algn="ctr">
            <w14:srgbClr w14:val="000000">
              <w14:alpha w14:val="1000"/>
            </w14:srgbClr>
          </w14:shadow>
        </w:rPr>
        <w:t>s</w:t>
      </w:r>
      <w:r w:rsidRPr="00F338B4">
        <w:rPr>
          <w:rFonts w:eastAsia="Calibri"/>
          <w:bCs w:val="0"/>
          <w:sz w:val="24"/>
          <w14:shadow w14:blurRad="50800" w14:dist="50800" w14:dir="5400000" w14:sx="2000" w14:sy="2000" w14:kx="0" w14:ky="0" w14:algn="ctr">
            <w14:srgbClr w14:val="000000">
              <w14:alpha w14:val="1000"/>
            </w14:srgbClr>
          </w14:shadow>
        </w:rPr>
        <w:t xml:space="preserve">, i.e. a currency such as Rand value. The real value, however, adjusts nominal value to remove effects </w:t>
      </w:r>
      <w:r w:rsidR="008A25C4" w:rsidRPr="00F338B4">
        <w:rPr>
          <w:rFonts w:eastAsia="Calibri"/>
          <w:bCs w:val="0"/>
          <w:sz w:val="24"/>
          <w14:shadow w14:blurRad="50800" w14:dist="50800" w14:dir="5400000" w14:sx="2000" w14:sy="2000" w14:kx="0" w14:ky="0" w14:algn="ctr">
            <w14:srgbClr w14:val="000000">
              <w14:alpha w14:val="1000"/>
            </w14:srgbClr>
          </w14:shadow>
        </w:rPr>
        <w:t>of price changes over time, for instance,</w:t>
      </w:r>
      <w:r w:rsidRPr="00F338B4">
        <w:rPr>
          <w:rFonts w:eastAsia="Calibri"/>
          <w:bCs w:val="0"/>
          <w:sz w:val="24"/>
          <w14:shadow w14:blurRad="50800" w14:dist="50800" w14:dir="5400000" w14:sx="2000" w14:sy="2000" w14:kx="0" w14:ky="0" w14:algn="ctr">
            <w14:srgbClr w14:val="000000">
              <w14:alpha w14:val="1000"/>
            </w14:srgbClr>
          </w14:shadow>
        </w:rPr>
        <w:t xml:space="preserve"> the effects of inflation</w:t>
      </w:r>
      <w:r w:rsidR="00AE0E31" w:rsidRPr="00F338B4">
        <w:rPr>
          <w:rFonts w:eastAsia="Calibri"/>
          <w:bCs w:val="0"/>
          <w:sz w:val="24"/>
          <w14:shadow w14:blurRad="50800" w14:dist="50800" w14:dir="5400000" w14:sx="2000" w14:sy="2000" w14:kx="0" w14:ky="0" w14:algn="ctr">
            <w14:srgbClr w14:val="000000">
              <w14:alpha w14:val="1000"/>
            </w14:srgbClr>
          </w14:shadow>
        </w:rPr>
        <w:t xml:space="preserve">. </w:t>
      </w:r>
      <w:r w:rsidRPr="00F338B4">
        <w:rPr>
          <w:rFonts w:eastAsia="Calibri"/>
          <w:bCs w:val="0"/>
          <w:sz w:val="24"/>
          <w14:shadow w14:blurRad="50800" w14:dist="50800" w14:dir="5400000" w14:sx="2000" w14:sy="2000" w14:kx="0" w14:ky="0" w14:algn="ctr">
            <w14:srgbClr w14:val="000000">
              <w14:alpha w14:val="1000"/>
            </w14:srgbClr>
          </w14:shadow>
        </w:rPr>
        <w:t>Real increase</w:t>
      </w:r>
      <w:r w:rsidR="00472105" w:rsidRPr="00F338B4">
        <w:rPr>
          <w:rFonts w:eastAsia="Calibri"/>
          <w:bCs w:val="0"/>
          <w:sz w:val="24"/>
          <w14:shadow w14:blurRad="50800" w14:dist="50800" w14:dir="5400000" w14:sx="2000" w14:sy="2000" w14:kx="0" w14:ky="0" w14:algn="ctr">
            <w14:srgbClr w14:val="000000">
              <w14:alpha w14:val="1000"/>
            </w14:srgbClr>
          </w14:shadow>
        </w:rPr>
        <w:t>s</w:t>
      </w:r>
      <w:r w:rsidR="008A25C4" w:rsidRPr="00F338B4">
        <w:rPr>
          <w:rFonts w:eastAsia="Calibri"/>
          <w:bCs w:val="0"/>
          <w:sz w:val="24"/>
          <w14:shadow w14:blurRad="50800" w14:dist="50800" w14:dir="5400000" w14:sx="2000" w14:sy="2000" w14:kx="0" w14:ky="0" w14:algn="ctr">
            <w14:srgbClr w14:val="000000">
              <w14:alpha w14:val="1000"/>
            </w14:srgbClr>
          </w14:shadow>
        </w:rPr>
        <w:t xml:space="preserve"> or </w:t>
      </w:r>
      <w:r w:rsidR="00472105" w:rsidRPr="00F338B4">
        <w:rPr>
          <w:rFonts w:eastAsia="Calibri"/>
          <w:bCs w:val="0"/>
          <w:sz w:val="24"/>
          <w14:shadow w14:blurRad="50800" w14:dist="50800" w14:dir="5400000" w14:sx="2000" w14:sy="2000" w14:kx="0" w14:ky="0" w14:algn="ctr">
            <w14:srgbClr w14:val="000000">
              <w14:alpha w14:val="1000"/>
            </w14:srgbClr>
          </w14:shadow>
        </w:rPr>
        <w:t>decreases in allocations would</w:t>
      </w:r>
      <w:r w:rsidRPr="00F338B4">
        <w:rPr>
          <w:rFonts w:eastAsia="Calibri"/>
          <w:bCs w:val="0"/>
          <w:sz w:val="24"/>
          <w14:shadow w14:blurRad="50800" w14:dist="50800" w14:dir="5400000" w14:sx="2000" w14:sy="2000" w14:kx="0" w14:ky="0" w14:algn="ctr">
            <w14:srgbClr w14:val="000000">
              <w14:alpha w14:val="1000"/>
            </w14:srgbClr>
          </w14:shadow>
        </w:rPr>
        <w:t>, therefore, take into account the effects of inflation on the monetary allocation to a programme or sub programme</w:t>
      </w:r>
      <w:r w:rsidR="006044BD" w:rsidRPr="00F338B4">
        <w:rPr>
          <w:rFonts w:eastAsia="Calibri"/>
          <w:bCs w:val="0"/>
          <w:sz w:val="24"/>
          <w14:shadow w14:blurRad="50800" w14:dist="50800" w14:dir="5400000" w14:sx="2000" w14:sy="2000" w14:kx="0" w14:ky="0" w14:algn="ctr">
            <w14:srgbClr w14:val="000000">
              <w14:alpha w14:val="1000"/>
            </w14:srgbClr>
          </w14:shadow>
        </w:rPr>
        <w:t>:</w:t>
      </w:r>
    </w:p>
    <w:p w:rsidR="00EC6B52" w:rsidRPr="00F338B4" w:rsidRDefault="00DE58C5"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3.1.</w:t>
      </w:r>
      <w:r w:rsidR="00850E1D" w:rsidRPr="00F338B4">
        <w:rPr>
          <w:rFonts w:eastAsia="Calibri"/>
          <w:bCs w:val="0"/>
          <w:sz w:val="24"/>
          <w14:shadow w14:blurRad="50800" w14:dist="50800" w14:dir="5400000" w14:sx="2000" w14:sy="2000" w14:kx="0" w14:ky="0" w14:algn="ctr">
            <w14:srgbClr w14:val="000000">
              <w14:alpha w14:val="1000"/>
            </w14:srgbClr>
          </w14:shadow>
        </w:rPr>
        <w:t>1</w:t>
      </w:r>
      <w:r w:rsidR="00850E1D" w:rsidRPr="00F338B4">
        <w:rPr>
          <w:rFonts w:eastAsia="Calibri"/>
          <w:bCs w:val="0"/>
          <w:sz w:val="24"/>
          <w14:shadow w14:blurRad="50800" w14:dist="50800" w14:dir="5400000" w14:sx="2000" w14:sy="2000" w14:kx="0" w14:ky="0" w14:algn="ctr">
            <w14:srgbClr w14:val="000000">
              <w14:alpha w14:val="1000"/>
            </w14:srgbClr>
          </w14:shadow>
        </w:rPr>
        <w:tab/>
      </w:r>
      <w:r w:rsidRPr="00F338B4">
        <w:rPr>
          <w:rFonts w:eastAsia="Calibri"/>
          <w:bCs w:val="0"/>
          <w:sz w:val="24"/>
          <w14:shadow w14:blurRad="50800" w14:dist="50800" w14:dir="5400000" w14:sx="2000" w14:sy="2000" w14:kx="0" w14:ky="0" w14:algn="ctr">
            <w14:srgbClr w14:val="000000">
              <w14:alpha w14:val="1000"/>
            </w14:srgbClr>
          </w14:shadow>
        </w:rPr>
        <w:t xml:space="preserve"> Over</w:t>
      </w:r>
      <w:r w:rsidR="0060443E" w:rsidRPr="00F338B4">
        <w:rPr>
          <w:rFonts w:eastAsia="Calibri"/>
          <w:bCs w:val="0"/>
          <w:sz w:val="24"/>
          <w14:shadow w14:blurRad="50800" w14:dist="50800" w14:dir="5400000" w14:sx="2000" w14:sy="2000" w14:kx="0" w14:ky="0" w14:algn="ctr">
            <w14:srgbClr w14:val="000000">
              <w14:alpha w14:val="1000"/>
            </w14:srgbClr>
          </w14:shadow>
        </w:rPr>
        <w:t xml:space="preserve">view of the 2017/18 Budget and MSTF estimates </w:t>
      </w:r>
    </w:p>
    <w:p w:rsidR="00E235D7" w:rsidRPr="00F338B4" w:rsidRDefault="0085418F"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Table 1: Human Settlements expenditure per main programme 201</w:t>
      </w:r>
      <w:r w:rsidR="00E235D7" w:rsidRPr="00F338B4">
        <w:rPr>
          <w:rFonts w:eastAsia="Calibri"/>
          <w:bCs w:val="0"/>
          <w:sz w:val="24"/>
          <w14:shadow w14:blurRad="50800" w14:dist="50800" w14:dir="5400000" w14:sx="2000" w14:sy="2000" w14:kx="0" w14:ky="0" w14:algn="ctr">
            <w14:srgbClr w14:val="000000">
              <w14:alpha w14:val="1000"/>
            </w14:srgbClr>
          </w14:shadow>
        </w:rPr>
        <w:t>7</w:t>
      </w:r>
      <w:r w:rsidRPr="00F338B4">
        <w:rPr>
          <w:rFonts w:eastAsia="Calibri"/>
          <w:bCs w:val="0"/>
          <w:sz w:val="24"/>
          <w14:shadow w14:blurRad="50800" w14:dist="50800" w14:dir="5400000" w14:sx="2000" w14:sy="2000" w14:kx="0" w14:ky="0" w14:algn="ctr">
            <w14:srgbClr w14:val="000000">
              <w14:alpha w14:val="1000"/>
            </w14:srgbClr>
          </w14:shadow>
        </w:rPr>
        <w:t>/1</w:t>
      </w:r>
      <w:r w:rsidR="00E235D7" w:rsidRPr="00F338B4">
        <w:rPr>
          <w:rFonts w:eastAsia="Calibri"/>
          <w:bCs w:val="0"/>
          <w:sz w:val="24"/>
          <w14:shadow w14:blurRad="50800" w14:dist="50800" w14:dir="5400000" w14:sx="2000" w14:sy="2000" w14:kx="0" w14:ky="0" w14:algn="ctr">
            <w14:srgbClr w14:val="000000">
              <w14:alpha w14:val="1000"/>
            </w14:srgbClr>
          </w14:shadow>
        </w:rPr>
        <w:t>8</w:t>
      </w:r>
    </w:p>
    <w:p w:rsidR="00D0618E" w:rsidRDefault="00D0618E">
      <w:pPr>
        <w:rPr>
          <w14:shadow w14:blurRad="50800" w14:dist="50800" w14:dir="5400000" w14:sx="2000" w14:sy="2000" w14:kx="0" w14:ky="0" w14:algn="ctr">
            <w14:srgbClr w14:val="000000">
              <w14:alpha w14:val="1000"/>
            </w14:srgbClr>
          </w14:shadow>
        </w:rPr>
      </w:pPr>
      <w:r>
        <w:rPr>
          <w14:shadow w14:blurRad="50800" w14:dist="50800" w14:dir="5400000" w14:sx="2000" w14:sy="2000" w14:kx="0" w14:ky="0" w14:algn="ctr">
            <w14:srgbClr w14:val="000000">
              <w14:alpha w14:val="1000"/>
            </w14:srgbClr>
          </w14:shadow>
        </w:rPr>
        <w:br w:type="page"/>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tbl>
      <w:tblPr>
        <w:tblStyle w:val="TableGrid"/>
        <w:tblW w:w="11057" w:type="dxa"/>
        <w:tblInd w:w="-289" w:type="dxa"/>
        <w:tblLayout w:type="fixed"/>
        <w:tblLook w:val="04A0" w:firstRow="1" w:lastRow="0" w:firstColumn="1" w:lastColumn="0" w:noHBand="0" w:noVBand="1"/>
      </w:tblPr>
      <w:tblGrid>
        <w:gridCol w:w="1844"/>
        <w:gridCol w:w="850"/>
        <w:gridCol w:w="851"/>
        <w:gridCol w:w="1275"/>
        <w:gridCol w:w="851"/>
        <w:gridCol w:w="1276"/>
        <w:gridCol w:w="1417"/>
        <w:gridCol w:w="1418"/>
        <w:gridCol w:w="1275"/>
      </w:tblGrid>
      <w:tr w:rsidR="006D0B02" w:rsidRPr="00F338B4" w:rsidTr="00AF4C5C">
        <w:tc>
          <w:tcPr>
            <w:tcW w:w="1844"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Programme</w:t>
            </w:r>
          </w:p>
        </w:tc>
        <w:tc>
          <w:tcPr>
            <w:tcW w:w="3827" w:type="dxa"/>
            <w:gridSpan w:val="4"/>
            <w:shd w:val="clear" w:color="auto" w:fill="C4BC96" w:themeFill="background2" w:themeFillShade="BF"/>
          </w:tcPr>
          <w:p w:rsidR="00877A99" w:rsidRPr="00F338B4" w:rsidRDefault="00877A99" w:rsidP="00F338B4">
            <w:pPr>
              <w:spacing w:before="120" w:after="120"/>
              <w:jc w:val="center"/>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Budget</w:t>
            </w:r>
          </w:p>
        </w:tc>
        <w:tc>
          <w:tcPr>
            <w:tcW w:w="1276"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Nominal Increase/Decrease  </w:t>
            </w:r>
          </w:p>
        </w:tc>
        <w:tc>
          <w:tcPr>
            <w:tcW w:w="1417"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Real Increase/ Decrease </w:t>
            </w:r>
          </w:p>
        </w:tc>
        <w:tc>
          <w:tcPr>
            <w:tcW w:w="1418"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Nominal Percent change </w:t>
            </w:r>
          </w:p>
        </w:tc>
        <w:tc>
          <w:tcPr>
            <w:tcW w:w="1275"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Real Percent change </w:t>
            </w:r>
          </w:p>
        </w:tc>
      </w:tr>
      <w:tr w:rsidR="006D0B02" w:rsidRPr="00F338B4" w:rsidTr="00AF4C5C">
        <w:tc>
          <w:tcPr>
            <w:tcW w:w="1844"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R Million</w:t>
            </w:r>
          </w:p>
        </w:tc>
        <w:tc>
          <w:tcPr>
            <w:tcW w:w="850"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2016/17</w:t>
            </w:r>
          </w:p>
        </w:tc>
        <w:tc>
          <w:tcPr>
            <w:tcW w:w="851"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2017/18</w:t>
            </w:r>
          </w:p>
        </w:tc>
        <w:tc>
          <w:tcPr>
            <w:tcW w:w="1275"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2018/19</w:t>
            </w:r>
          </w:p>
        </w:tc>
        <w:tc>
          <w:tcPr>
            <w:tcW w:w="851"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2019/20</w:t>
            </w:r>
          </w:p>
        </w:tc>
        <w:tc>
          <w:tcPr>
            <w:tcW w:w="1276"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2017/18</w:t>
            </w:r>
          </w:p>
        </w:tc>
        <w:tc>
          <w:tcPr>
            <w:tcW w:w="1417"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2017/17</w:t>
            </w:r>
          </w:p>
        </w:tc>
        <w:tc>
          <w:tcPr>
            <w:tcW w:w="1418"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2017/18</w:t>
            </w:r>
          </w:p>
        </w:tc>
        <w:tc>
          <w:tcPr>
            <w:tcW w:w="1275" w:type="dxa"/>
            <w:shd w:val="clear" w:color="auto" w:fill="C4BC96" w:themeFill="background2" w:themeFillShade="BF"/>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2017/18</w:t>
            </w:r>
          </w:p>
        </w:tc>
      </w:tr>
      <w:tr w:rsidR="006D0B02" w:rsidRPr="00F338B4" w:rsidTr="00AF4C5C">
        <w:tc>
          <w:tcPr>
            <w:tcW w:w="1844" w:type="dxa"/>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Administration</w:t>
            </w:r>
          </w:p>
        </w:tc>
        <w:tc>
          <w:tcPr>
            <w:tcW w:w="850"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460,1</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457,7</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450,2</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479,8</w:t>
            </w:r>
          </w:p>
        </w:tc>
        <w:tc>
          <w:tcPr>
            <w:tcW w:w="1276"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-2,4</w:t>
            </w:r>
          </w:p>
        </w:tc>
        <w:tc>
          <w:tcPr>
            <w:tcW w:w="1417"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-29,5%</w:t>
            </w:r>
          </w:p>
        </w:tc>
        <w:tc>
          <w:tcPr>
            <w:tcW w:w="1418"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-0,52%</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-6,42%</w:t>
            </w:r>
          </w:p>
        </w:tc>
      </w:tr>
      <w:tr w:rsidR="006D0B02" w:rsidRPr="00F338B4" w:rsidTr="00AF4C5C">
        <w:tc>
          <w:tcPr>
            <w:tcW w:w="1844" w:type="dxa"/>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Human Settlement Policy, Strategy and Planning</w:t>
            </w:r>
          </w:p>
        </w:tc>
        <w:tc>
          <w:tcPr>
            <w:tcW w:w="850"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88,1</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93,6</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89,8</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95,7</w:t>
            </w:r>
          </w:p>
        </w:tc>
        <w:tc>
          <w:tcPr>
            <w:tcW w:w="1276"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5,5</w:t>
            </w:r>
          </w:p>
        </w:tc>
        <w:tc>
          <w:tcPr>
            <w:tcW w:w="1417"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0,0%</w:t>
            </w:r>
          </w:p>
        </w:tc>
        <w:tc>
          <w:tcPr>
            <w:tcW w:w="1418"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6,42 %</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-0,05 %</w:t>
            </w:r>
          </w:p>
        </w:tc>
      </w:tr>
      <w:tr w:rsidR="006D0B02" w:rsidRPr="00F338B4" w:rsidTr="00AF4C5C">
        <w:tc>
          <w:tcPr>
            <w:tcW w:w="1844" w:type="dxa"/>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Human Settlement Delivery Support</w:t>
            </w:r>
          </w:p>
        </w:tc>
        <w:tc>
          <w:tcPr>
            <w:tcW w:w="850"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217,3</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217,3</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216,4</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229,7</w:t>
            </w:r>
          </w:p>
        </w:tc>
        <w:tc>
          <w:tcPr>
            <w:tcW w:w="1276"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0,0%</w:t>
            </w:r>
          </w:p>
        </w:tc>
        <w:tc>
          <w:tcPr>
            <w:tcW w:w="1417"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-12,9%</w:t>
            </w:r>
          </w:p>
        </w:tc>
        <w:tc>
          <w:tcPr>
            <w:tcW w:w="1418"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0,00%</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-5,93%</w:t>
            </w:r>
          </w:p>
        </w:tc>
      </w:tr>
      <w:tr w:rsidR="006D0B02" w:rsidRPr="00F338B4" w:rsidTr="00AF4C5C">
        <w:tc>
          <w:tcPr>
            <w:tcW w:w="1844" w:type="dxa"/>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Housing Development Finance</w:t>
            </w:r>
          </w:p>
        </w:tc>
        <w:tc>
          <w:tcPr>
            <w:tcW w:w="850"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29 930,09</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32 695,8</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34 658,3</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36 642,2</w:t>
            </w:r>
          </w:p>
        </w:tc>
        <w:tc>
          <w:tcPr>
            <w:tcW w:w="1276"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2 764,9 </w:t>
            </w:r>
          </w:p>
        </w:tc>
        <w:tc>
          <w:tcPr>
            <w:tcW w:w="1417"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827,1%</w:t>
            </w:r>
          </w:p>
        </w:tc>
        <w:tc>
          <w:tcPr>
            <w:tcW w:w="1418"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9,24%</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2,76%</w:t>
            </w:r>
          </w:p>
        </w:tc>
      </w:tr>
      <w:tr w:rsidR="006D0B02" w:rsidRPr="00F338B4" w:rsidTr="00AF4C5C">
        <w:trPr>
          <w:trHeight w:val="598"/>
        </w:trPr>
        <w:tc>
          <w:tcPr>
            <w:tcW w:w="1844" w:type="dxa"/>
          </w:tcPr>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Total </w:t>
            </w:r>
          </w:p>
        </w:tc>
        <w:tc>
          <w:tcPr>
            <w:tcW w:w="850"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30 696,4</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33 464,4</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35 414,7</w:t>
            </w:r>
          </w:p>
        </w:tc>
        <w:tc>
          <w:tcPr>
            <w:tcW w:w="851"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37 447,4</w:t>
            </w:r>
          </w:p>
        </w:tc>
        <w:tc>
          <w:tcPr>
            <w:tcW w:w="1276"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2 768,0</w:t>
            </w:r>
          </w:p>
        </w:tc>
        <w:tc>
          <w:tcPr>
            <w:tcW w:w="1417"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784,7 %</w:t>
            </w:r>
          </w:p>
        </w:tc>
        <w:tc>
          <w:tcPr>
            <w:tcW w:w="1418"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9,02 %</w:t>
            </w:r>
          </w:p>
        </w:tc>
        <w:tc>
          <w:tcPr>
            <w:tcW w:w="1275" w:type="dxa"/>
          </w:tcPr>
          <w:p w:rsidR="00877A99" w:rsidRPr="00F338B4" w:rsidRDefault="00877A99" w:rsidP="00F338B4">
            <w:pPr>
              <w:spacing w:before="120" w:after="120"/>
              <w:jc w:val="right"/>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2,56 %</w:t>
            </w:r>
          </w:p>
        </w:tc>
      </w:tr>
    </w:tbl>
    <w:p w:rsidR="00F16220" w:rsidRPr="00F338B4" w:rsidRDefault="00F16220"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Source: National </w:t>
      </w:r>
      <w:r w:rsidR="00B201F4" w:rsidRPr="00F338B4">
        <w:rPr>
          <w14:shadow w14:blurRad="50800" w14:dist="50800" w14:dir="5400000" w14:sx="2000" w14:sy="2000" w14:kx="0" w14:ky="0" w14:algn="ctr">
            <w14:srgbClr w14:val="000000">
              <w14:alpha w14:val="1000"/>
            </w14:srgbClr>
          </w14:shadow>
        </w:rPr>
        <w:t>Department of Human Settlements, 2017</w:t>
      </w:r>
    </w:p>
    <w:p w:rsidR="009A18D2" w:rsidRPr="00F338B4" w:rsidRDefault="009A18D2" w:rsidP="00F338B4">
      <w:pPr>
        <w:spacing w:before="120" w:after="120"/>
        <w:ind w:left="5040"/>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Department of Human Settlements’ budget allocation for 2017/18 is R33.4 billion. This reflects a nominal increase of 9.02 percent or an increase of 2.56 percent in real terms when compared to the allocation of R30.6 billion for the 2016/17 financial year.</w:t>
      </w:r>
    </w:p>
    <w:p w:rsidR="00877A99" w:rsidRPr="00F338B4" w:rsidRDefault="00877A99" w:rsidP="00F338B4">
      <w:pPr>
        <w:tabs>
          <w:tab w:val="left" w:pos="5825"/>
        </w:tabs>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b/>
        <w:t xml:space="preserve">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Real changes (calculating the effect of inflation) in expenditure of the four main programmes for 2016/17 is: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33"/>
        </w:numPr>
        <w:spacing w:before="120" w:after="120" w:line="240" w:lineRule="auto"/>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Administration: -6.42 percent</w:t>
      </w:r>
    </w:p>
    <w:p w:rsidR="00877A99" w:rsidRPr="00F338B4" w:rsidRDefault="00877A99" w:rsidP="00F338B4">
      <w:pPr>
        <w:pStyle w:val="ListParagraph"/>
        <w:numPr>
          <w:ilvl w:val="0"/>
          <w:numId w:val="33"/>
        </w:numPr>
        <w:spacing w:before="120" w:after="120" w:line="240" w:lineRule="auto"/>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Human Settlements Policy, Strategy and Planning: -0.05 percent</w:t>
      </w:r>
    </w:p>
    <w:p w:rsidR="00877A99" w:rsidRPr="00F338B4" w:rsidRDefault="00877A99" w:rsidP="00F338B4">
      <w:pPr>
        <w:pStyle w:val="ListParagraph"/>
        <w:numPr>
          <w:ilvl w:val="0"/>
          <w:numId w:val="33"/>
        </w:numPr>
        <w:spacing w:before="120" w:after="120" w:line="240" w:lineRule="auto"/>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Human Settlements Delivery Support: -5.93 percent</w:t>
      </w:r>
    </w:p>
    <w:p w:rsidR="00877A99" w:rsidRPr="00F338B4" w:rsidRDefault="00877A99" w:rsidP="00F338B4">
      <w:pPr>
        <w:pStyle w:val="ListParagraph"/>
        <w:numPr>
          <w:ilvl w:val="0"/>
          <w:numId w:val="33"/>
        </w:numPr>
        <w:spacing w:before="120" w:after="120" w:line="240" w:lineRule="auto"/>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Housing Development Finance: 2.76 percent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The Housing Development Finance programme receives the largest allocation of R32 695, 8 million, which constitutes 97.7 percent of the Department’s total budget.</w:t>
      </w:r>
    </w:p>
    <w:p w:rsidR="00877A99" w:rsidRPr="00F338B4" w:rsidRDefault="00877A99" w:rsidP="00F338B4">
      <w:pPr>
        <w:pStyle w:val="Heading2"/>
        <w:keepLines/>
        <w:numPr>
          <w:ilvl w:val="1"/>
          <w:numId w:val="22"/>
        </w:numPr>
        <w:spacing w:before="120" w:after="120"/>
        <w:rPr>
          <w:rFonts w:cs="Times New Roman"/>
          <w:b w:val="0"/>
          <w14:shadow w14:blurRad="50800" w14:dist="50800" w14:dir="5400000" w14:sx="2000" w14:sy="2000" w14:kx="0" w14:ky="0" w14:algn="ctr">
            <w14:srgbClr w14:val="000000">
              <w14:alpha w14:val="1000"/>
            </w14:srgbClr>
          </w14:shadow>
        </w:rPr>
      </w:pPr>
      <w:bookmarkStart w:id="1" w:name="_Toc477176693"/>
      <w:r w:rsidRPr="00F338B4">
        <w:rPr>
          <w:rFonts w:cs="Times New Roman"/>
          <w:b w:val="0"/>
          <w14:shadow w14:blurRad="50800" w14:dist="50800" w14:dir="5400000" w14:sx="2000" w14:sy="2000" w14:kx="0" w14:ky="0" w14:algn="ctr">
            <w14:srgbClr w14:val="000000">
              <w14:alpha w14:val="1000"/>
            </w14:srgbClr>
          </w14:shadow>
        </w:rPr>
        <w:t>Performance Analysis</w:t>
      </w:r>
      <w:bookmarkEnd w:id="1"/>
      <w:r w:rsidRPr="00F338B4">
        <w:rPr>
          <w:rFonts w:cs="Times New Roman"/>
          <w:b w:val="0"/>
          <w14:shadow w14:blurRad="50800" w14:dist="50800" w14:dir="5400000" w14:sx="2000" w14:sy="2000" w14:kx="0" w14:ky="0" w14:algn="ctr">
            <w14:srgbClr w14:val="000000">
              <w14:alpha w14:val="1000"/>
            </w14:srgbClr>
          </w14:shadow>
        </w:rPr>
        <w:t xml:space="preserve"> </w:t>
      </w:r>
    </w:p>
    <w:p w:rsidR="00877A99" w:rsidRPr="00F338B4" w:rsidRDefault="00877A99" w:rsidP="00F338B4">
      <w:pPr>
        <w:pStyle w:val="Heading2"/>
        <w:spacing w:before="120" w:after="120"/>
        <w:rPr>
          <w:rFonts w:cs="Times New Roman"/>
          <w:b w:val="0"/>
          <w14:shadow w14:blurRad="50800" w14:dist="50800" w14:dir="5400000" w14:sx="2000" w14:sy="2000" w14:kx="0" w14:ky="0" w14:algn="ctr">
            <w14:srgbClr w14:val="000000">
              <w14:alpha w14:val="1000"/>
            </w14:srgbClr>
          </w14:shadow>
        </w:rPr>
      </w:pPr>
      <w:r w:rsidRPr="00F338B4">
        <w:rPr>
          <w:rFonts w:cs="Times New Roman"/>
          <w:b w:val="0"/>
          <w14:shadow w14:blurRad="50800" w14:dist="50800" w14:dir="5400000" w14:sx="2000" w14:sy="2000" w14:kx="0" w14:ky="0" w14:algn="ctr">
            <w14:srgbClr w14:val="000000">
              <w14:alpha w14:val="1000"/>
            </w14:srgbClr>
          </w14:shadow>
        </w:rPr>
        <w:t xml:space="preserve"> </w:t>
      </w:r>
    </w:p>
    <w:p w:rsidR="00877A99" w:rsidRPr="00F338B4" w:rsidRDefault="00877A99" w:rsidP="00F338B4">
      <w:pPr>
        <w:pStyle w:val="Heading3"/>
        <w:spacing w:before="120" w:after="120"/>
        <w:jc w:val="both"/>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pPr>
      <w:bookmarkStart w:id="2" w:name="_Toc477176694"/>
      <w:r w:rsidRPr="00F338B4">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t>Programme 1(Administration)</w:t>
      </w:r>
      <w:bookmarkEnd w:id="2"/>
      <w:r w:rsidRPr="00F338B4">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t xml:space="preserve">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Programme 1: Administration aims to provide strategic leadership, administrative and management support services to the Department.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In the 2017/18 financial year this Programme receives an allocation of R 457,7million. This allocation reflects a -0, 52 percent decrease in nominal terms and -6, 42 percent decrease in real terms.</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Expenditure is dominated by both the Departmental Management and Corporate Services sub programmes, which jointly constitute more than 75 percent of the overall programme allocation. Property Management receives the smallest allocation of R 41.1 million, which constitutes 9.0 percent of the programme budget.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In terms of economic classification, the Administration programme budget includes current payments to the value of R454.1 million (99, 2 percent of the programme budget), of which R224.8 million is to be spent on compensation of employees.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Further, R3.5 million has been allocated for the payments for the capital assets, this includes:</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23"/>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Building and other fixed structures.</w:t>
      </w:r>
    </w:p>
    <w:p w:rsidR="00877A99" w:rsidRPr="00F338B4" w:rsidRDefault="00877A99" w:rsidP="00F338B4">
      <w:pPr>
        <w:pStyle w:val="ListParagraph"/>
        <w:numPr>
          <w:ilvl w:val="0"/>
          <w:numId w:val="23"/>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Machinery and equipment.</w:t>
      </w:r>
    </w:p>
    <w:p w:rsidR="00877A99" w:rsidRPr="00F338B4" w:rsidRDefault="00877A99" w:rsidP="00F338B4">
      <w:pPr>
        <w:pStyle w:val="ListParagraph"/>
        <w:numPr>
          <w:ilvl w:val="0"/>
          <w:numId w:val="23"/>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Software and other intangibles. </w:t>
      </w:r>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pStyle w:val="Heading3"/>
        <w:spacing w:before="120" w:after="120"/>
        <w:jc w:val="both"/>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pPr>
      <w:bookmarkStart w:id="3" w:name="_Toc477176695"/>
      <w:r w:rsidRPr="00F338B4">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t>Programme 2 (Human Settlements Policy, Strategy and Planning)</w:t>
      </w:r>
      <w:bookmarkEnd w:id="3"/>
    </w:p>
    <w:p w:rsidR="00877A99" w:rsidRPr="00F338B4" w:rsidRDefault="00877A99" w:rsidP="00F338B4">
      <w:pPr>
        <w:spacing w:before="120" w:after="120"/>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Programme 2:  Manages the development of policy, and compliance with human settlements sector delivery and intergovernmental relations frameworks, and oversee integrated human settlements strategic and planning services.</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Programme 2 receives an allocation of R93.6 million for the 2017/18 financial year, which is the smallest portion of the departmental budget. This allocation reflects an increase of 6.24 percent in nominal terms and a decrease of -0.05 percent real terms. </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Expenditure for Programme 2 for the 2017/18 financial year is now dominated by the following two sub-programmes:</w:t>
      </w:r>
    </w:p>
    <w:p w:rsidR="00877A99" w:rsidRPr="00F338B4" w:rsidRDefault="00877A99" w:rsidP="00F338B4">
      <w:pPr>
        <w:pStyle w:val="ListParagraph"/>
        <w:numPr>
          <w:ilvl w:val="0"/>
          <w:numId w:val="29"/>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Human Settlements Strategy and Planning received the highest allocation of R53.7 million (57 percent of the programme budget), and this constitutes a nominal increase of 8.05 percent (or real terms 1.64 percent).       </w:t>
      </w:r>
    </w:p>
    <w:p w:rsidR="00877A99" w:rsidRPr="00F338B4" w:rsidRDefault="00877A99" w:rsidP="00F338B4">
      <w:pPr>
        <w:pStyle w:val="ListParagraph"/>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w:t>
      </w:r>
    </w:p>
    <w:p w:rsidR="00877A99" w:rsidRPr="00F338B4" w:rsidRDefault="00877A99" w:rsidP="00F338B4">
      <w:pPr>
        <w:pStyle w:val="ListParagraph"/>
        <w:numPr>
          <w:ilvl w:val="0"/>
          <w:numId w:val="29"/>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Human Settlements Policy Frameworks received the second highest allocation within the programme, i.e.  R32.1 million (34 percent of the programme budget), resulting in a nominal increase of 3.55 percent or a real decline of -2.59 percent. </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In terms of economic classification, the Human Settlement Policy, Strategy and Planning programme budget includes current payments to the value of R89,9 million (96,0 percent of the programme budget), of which 63.9 million is to be spent on the compensation of employees.</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However, in the previous financial years this programme has been struggling to meet its targets and due to under spending. For example, in 2016/17 financial year, it was allocated R77.4 million with an actual expenditure of R75.7 million, which was lower than the expenditure for 2015/16 (R 78.7 million).</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Furthermore, the reasons for the under expenditure are as follows:</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2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Failure to implement the mine worker strategy. </w:t>
      </w:r>
    </w:p>
    <w:p w:rsidR="00877A99" w:rsidRPr="00F338B4" w:rsidRDefault="00877A99" w:rsidP="00F338B4">
      <w:pPr>
        <w:pStyle w:val="ListParagraph"/>
        <w:numPr>
          <w:ilvl w:val="0"/>
          <w:numId w:val="2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failure to develop a policy and administrative systems that support individual transactions in the affordable housing market.</w:t>
      </w:r>
    </w:p>
    <w:p w:rsidR="00877A99" w:rsidRPr="00F338B4" w:rsidRDefault="00877A99" w:rsidP="00F338B4">
      <w:pPr>
        <w:pStyle w:val="ListParagraph"/>
        <w:numPr>
          <w:ilvl w:val="0"/>
          <w:numId w:val="24"/>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delay in purchasing of computer equipment due to posts that were frozen.</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pStyle w:val="Heading3"/>
        <w:spacing w:before="120" w:after="120"/>
        <w:jc w:val="both"/>
        <w:rPr>
          <w:rFonts w:ascii="Times New Roman" w:hAnsi="Times New Roman" w:cs="Times New Roman"/>
          <w:color w:val="auto"/>
          <w14:shadow w14:blurRad="50800" w14:dist="50800" w14:dir="5400000" w14:sx="2000" w14:sy="2000" w14:kx="0" w14:ky="0" w14:algn="ctr">
            <w14:srgbClr w14:val="000000">
              <w14:alpha w14:val="1000"/>
            </w14:srgbClr>
          </w14:shadow>
        </w:rPr>
      </w:pPr>
      <w:bookmarkStart w:id="4" w:name="_Toc477176696"/>
      <w:r w:rsidRPr="00F338B4">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t>Programme 3 (Human Settlements Delivery Support</w:t>
      </w:r>
      <w:r w:rsidRPr="00F338B4">
        <w:rPr>
          <w:rFonts w:ascii="Times New Roman" w:hAnsi="Times New Roman" w:cs="Times New Roman"/>
          <w:color w:val="auto"/>
          <w14:shadow w14:blurRad="50800" w14:dist="50800" w14:dir="5400000" w14:sx="2000" w14:sy="2000" w14:kx="0" w14:ky="0" w14:algn="ctr">
            <w14:srgbClr w14:val="000000">
              <w14:alpha w14:val="1000"/>
            </w14:srgbClr>
          </w14:shadow>
        </w:rPr>
        <w:t>)</w:t>
      </w:r>
      <w:bookmarkEnd w:id="4"/>
    </w:p>
    <w:p w:rsidR="00877A99" w:rsidRPr="00F338B4" w:rsidRDefault="00877A99" w:rsidP="00F338B4">
      <w:pPr>
        <w:pStyle w:val="Heading3"/>
        <w:spacing w:before="120" w:after="120"/>
        <w:ind w:left="1224"/>
        <w:jc w:val="both"/>
        <w:rPr>
          <w:rFonts w:ascii="Times New Roman" w:hAnsi="Times New Roman" w:cs="Times New Roman"/>
          <w:color w:val="auto"/>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Programme 3:  aims to support the execution, monitoring and evaluation of the implementation   of human settlements programmes and projects as well as managing the building of capacity and skills in the sector and to provide oversight of public entities. This Programme consists of the following three sub-programmes: </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31"/>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Management for Human Settlements Delivery Support. </w:t>
      </w:r>
    </w:p>
    <w:p w:rsidR="00877A99" w:rsidRPr="00F338B4" w:rsidRDefault="00877A99" w:rsidP="00F338B4">
      <w:pPr>
        <w:pStyle w:val="ListParagraph"/>
        <w:numPr>
          <w:ilvl w:val="0"/>
          <w:numId w:val="31"/>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Programme Implementation Unit. </w:t>
      </w:r>
    </w:p>
    <w:p w:rsidR="00877A99" w:rsidRPr="00F338B4" w:rsidRDefault="00877A99" w:rsidP="00F338B4">
      <w:pPr>
        <w:pStyle w:val="ListParagraph"/>
        <w:numPr>
          <w:ilvl w:val="0"/>
          <w:numId w:val="31"/>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Chief of Operations.</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This programme receives an allocation of R217.3 million for the 2017/18 financial year, matches the allocation received in 2016/17. While there has been no nominal change in allocation from 2016/17, given the effects of inflation, Programme 3 in fact declines with -5.93 percent. </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D0618E" w:rsidRDefault="00D0618E">
      <w:pPr>
        <w:rPr>
          <w14:shadow w14:blurRad="50800" w14:dist="50800" w14:dir="5400000" w14:sx="2000" w14:sy="2000" w14:kx="0" w14:ky="0" w14:algn="ctr">
            <w14:srgbClr w14:val="000000">
              <w14:alpha w14:val="1000"/>
            </w14:srgbClr>
          </w14:shadow>
        </w:rPr>
      </w:pPr>
      <w:r>
        <w:rPr>
          <w14:shadow w14:blurRad="50800" w14:dist="50800" w14:dir="5400000" w14:sx="2000" w14:sy="2000" w14:kx="0" w14:ky="0" w14:algn="ctr">
            <w14:srgbClr w14:val="000000">
              <w14:alpha w14:val="1000"/>
            </w14:srgbClr>
          </w14:shadow>
        </w:rPr>
        <w:br w:type="page"/>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 xml:space="preserve">The allocation of this </w:t>
      </w:r>
      <w:proofErr w:type="gramStart"/>
      <w:r w:rsidRPr="00F338B4">
        <w:rPr>
          <w14:shadow w14:blurRad="50800" w14:dist="50800" w14:dir="5400000" w14:sx="2000" w14:sy="2000" w14:kx="0" w14:ky="0" w14:algn="ctr">
            <w14:srgbClr w14:val="000000">
              <w14:alpha w14:val="1000"/>
            </w14:srgbClr>
          </w14:shadow>
        </w:rPr>
        <w:t>programme,</w:t>
      </w:r>
      <w:proofErr w:type="gramEnd"/>
      <w:r w:rsidRPr="00F338B4">
        <w:rPr>
          <w14:shadow w14:blurRad="50800" w14:dist="50800" w14:dir="5400000" w14:sx="2000" w14:sy="2000" w14:kx="0" w14:ky="0" w14:algn="ctr">
            <w14:srgbClr w14:val="000000">
              <w14:alpha w14:val="1000"/>
            </w14:srgbClr>
          </w14:shadow>
        </w:rPr>
        <w:t xml:space="preserve"> is dominated by two sub-programmes, which are: </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30"/>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Programme Management Unit which receives the highest allocation in the programme of R159 million (or 73 percent of the programme budget), which constitutes a nominal increase of 4.38 percent (or a real decrease of -1.81 percent) from the previous year.</w:t>
      </w:r>
    </w:p>
    <w:p w:rsidR="00877A99" w:rsidRPr="00F338B4" w:rsidRDefault="00877A99" w:rsidP="00F338B4">
      <w:pPr>
        <w:pStyle w:val="ListParagraph"/>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30"/>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Chief Operations which receives an allocation of R48, 2 million (or 22 percent of the programme’s budget). This constitutes a nominal decrease of -12.36 percent (or real decrease of -17.56 percent) from the previous year.            </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In terms of economic classification, Programme 3’s budget includes current payments to the value of R206, 4 million (94 percent of the programme budget), of which R74, 7 million is to be spent on compensation of employees.</w:t>
      </w:r>
    </w:p>
    <w:p w:rsidR="00877A99" w:rsidRPr="00F338B4" w:rsidRDefault="00877A99" w:rsidP="00F338B4">
      <w:pPr>
        <w:spacing w:before="120" w:after="120"/>
        <w:ind w:left="36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However, this programme has been regarded as the worst performer in terms of spending in previous financial years. The 2015/16 Annual Report of the Department provides the following reasons for under-expenditure:</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25"/>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Delays in finalising the agreements around the Youth Brigade training with the Department of Rural Development and Land Reform meant that R7.5 million allocated to training was not transferred.</w:t>
      </w:r>
    </w:p>
    <w:p w:rsidR="00877A99" w:rsidRPr="00F338B4" w:rsidRDefault="00877A99" w:rsidP="00F338B4">
      <w:pPr>
        <w:pStyle w:val="ListParagraph"/>
        <w:numPr>
          <w:ilvl w:val="0"/>
          <w:numId w:val="25"/>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Underspending in the National Upgrading Support Programme was reported and reasons provided include:</w:t>
      </w:r>
    </w:p>
    <w:p w:rsidR="00877A99" w:rsidRPr="00F338B4" w:rsidRDefault="00877A99" w:rsidP="00F338B4">
      <w:pPr>
        <w:pStyle w:val="ListParagraph"/>
        <w:numPr>
          <w:ilvl w:val="0"/>
          <w:numId w:val="2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Some contracts running behind schedule due to slow responses from municipalities to approve work.</w:t>
      </w:r>
    </w:p>
    <w:p w:rsidR="00877A99" w:rsidRPr="00F338B4" w:rsidRDefault="00877A99" w:rsidP="00F338B4">
      <w:pPr>
        <w:pStyle w:val="ListParagraph"/>
        <w:numPr>
          <w:ilvl w:val="0"/>
          <w:numId w:val="2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Some service providers submitted invoices late. </w:t>
      </w:r>
    </w:p>
    <w:p w:rsidR="00877A99" w:rsidRPr="00F338B4" w:rsidRDefault="00877A99" w:rsidP="00F338B4">
      <w:pPr>
        <w:pStyle w:val="ListParagraph"/>
        <w:numPr>
          <w:ilvl w:val="0"/>
          <w:numId w:val="2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In a few cases the Department completed net draft RQFs but municipalities took long to </w:t>
      </w:r>
      <w:r w:rsidR="000A7CA4"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w:t>
      </w:r>
      <w:r w:rsidRPr="00F338B4">
        <w:rPr>
          <w:rFonts w:ascii="Times New Roman" w:hAnsi="Times New Roman"/>
          <w:sz w:val="24"/>
          <w:szCs w:val="24"/>
          <w14:shadow w14:blurRad="50800" w14:dist="50800" w14:dir="5400000" w14:sx="2000" w14:sy="2000" w14:kx="0" w14:ky="0" w14:algn="ctr">
            <w14:srgbClr w14:val="000000">
              <w14:alpha w14:val="1000"/>
            </w14:srgbClr>
          </w14:shadow>
        </w:rPr>
        <w:t>approve these.</w:t>
      </w:r>
    </w:p>
    <w:p w:rsidR="00877A99" w:rsidRPr="00F338B4" w:rsidRDefault="00877A99" w:rsidP="00F338B4">
      <w:pPr>
        <w:pStyle w:val="ListParagraph"/>
        <w:numPr>
          <w:ilvl w:val="0"/>
          <w:numId w:val="2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Due to capacity constraints the new capacity building programme could not be implemented.</w:t>
      </w:r>
    </w:p>
    <w:p w:rsidR="00877A99" w:rsidRPr="00F338B4" w:rsidRDefault="00877A99" w:rsidP="00F338B4">
      <w:pPr>
        <w:pStyle w:val="ListParagraph"/>
        <w:numPr>
          <w:ilvl w:val="0"/>
          <w:numId w:val="25"/>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proofErr w:type="gramStart"/>
      <w:r w:rsidRPr="00F338B4">
        <w:rPr>
          <w:rFonts w:ascii="Times New Roman" w:hAnsi="Times New Roman"/>
          <w:sz w:val="24"/>
          <w:szCs w:val="24"/>
          <w14:shadow w14:blurRad="50800" w14:dist="50800" w14:dir="5400000" w14:sx="2000" w14:sy="2000" w14:kx="0" w14:ky="0" w14:algn="ctr">
            <w14:srgbClr w14:val="000000">
              <w14:alpha w14:val="1000"/>
            </w14:srgbClr>
          </w14:shadow>
        </w:rPr>
        <w:t>Payments on the Bursary Scheme for non-employees was</w:t>
      </w:r>
      <w:proofErr w:type="gramEnd"/>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less than anticipated.</w:t>
      </w:r>
    </w:p>
    <w:p w:rsidR="00877A99" w:rsidRPr="00F338B4" w:rsidRDefault="00877A99" w:rsidP="00F338B4">
      <w:pPr>
        <w:pStyle w:val="ListParagraph"/>
        <w:numPr>
          <w:ilvl w:val="0"/>
          <w:numId w:val="25"/>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purchasing of computer equipment was delayed due to frozen positions.</w:t>
      </w:r>
    </w:p>
    <w:p w:rsidR="00877A99" w:rsidRPr="00F338B4" w:rsidRDefault="00877A99" w:rsidP="00F338B4">
      <w:pPr>
        <w:pStyle w:val="ListParagraph"/>
        <w:numPr>
          <w:ilvl w:val="0"/>
          <w:numId w:val="25"/>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Expenditure was less than anticipated due to over estimation.</w:t>
      </w:r>
    </w:p>
    <w:p w:rsidR="00877A99" w:rsidRPr="00F338B4" w:rsidRDefault="00877A99" w:rsidP="00F338B4">
      <w:pPr>
        <w:pStyle w:val="ListParagraph"/>
        <w:numPr>
          <w:ilvl w:val="0"/>
          <w:numId w:val="25"/>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Expenditure on financial assets relates to approved losses approved by the loss control committee.</w:t>
      </w:r>
    </w:p>
    <w:p w:rsidR="00877A99" w:rsidRPr="00F338B4" w:rsidRDefault="00877A99" w:rsidP="00F338B4">
      <w:pPr>
        <w:pStyle w:val="ListParagraph"/>
        <w:spacing w:before="120" w:after="120" w:line="240" w:lineRule="auto"/>
        <w:ind w:left="1224"/>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877A99" w:rsidRPr="00F338B4" w:rsidRDefault="00877A99" w:rsidP="00F338B4">
      <w:pPr>
        <w:pStyle w:val="Heading3"/>
        <w:numPr>
          <w:ilvl w:val="0"/>
          <w:numId w:val="25"/>
        </w:numPr>
        <w:spacing w:before="120" w:after="120"/>
        <w:jc w:val="both"/>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pPr>
      <w:bookmarkStart w:id="5" w:name="_Toc477176697"/>
      <w:r w:rsidRPr="00F338B4">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t>Programme 4 (Housing Development Finance)</w:t>
      </w:r>
      <w:bookmarkEnd w:id="5"/>
    </w:p>
    <w:p w:rsidR="00877A99" w:rsidRPr="00F338B4" w:rsidRDefault="00877A99" w:rsidP="00F338B4">
      <w:pPr>
        <w:pStyle w:val="Heading3"/>
        <w:spacing w:before="120" w:after="120"/>
        <w:ind w:left="1214"/>
        <w:jc w:val="both"/>
        <w:rPr>
          <w:rFonts w:ascii="Times New Roman" w:eastAsia="Times New Roman" w:hAnsi="Times New Roman" w:cs="Times New Roman"/>
          <w:color w:val="auto"/>
          <w14:shadow w14:blurRad="50800" w14:dist="50800" w14:dir="5400000" w14:sx="2000" w14:sy="2000" w14:kx="0" w14:ky="0" w14:algn="ctr">
            <w14:srgbClr w14:val="000000">
              <w14:alpha w14:val="1000"/>
            </w14:srgbClr>
          </w14:shadow>
        </w:rPr>
      </w:pPr>
    </w:p>
    <w:p w:rsidR="00877A99" w:rsidRPr="00F338B4" w:rsidRDefault="00877A99" w:rsidP="00F338B4">
      <w:pPr>
        <w:spacing w:before="120" w:after="120"/>
        <w:ind w:left="36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Programme 4 funds the delivery of all housing and human settlements programmes, and manages all matters related to improving access to housing finance and developing partnership with the financial sector.</w:t>
      </w:r>
    </w:p>
    <w:p w:rsidR="00877A99" w:rsidRPr="00F338B4" w:rsidRDefault="00877A99" w:rsidP="00F338B4">
      <w:pPr>
        <w:spacing w:before="120" w:after="120"/>
        <w:ind w:left="36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Programme 4 consists of six (5) sub-programmes, namely, Management for Housing Development Finance, Chief Investment Officer, Human Settlements Development Grant, Contributions and Urban Settlement Development Grant. </w:t>
      </w:r>
    </w:p>
    <w:p w:rsidR="00877A99" w:rsidRPr="00F338B4" w:rsidRDefault="00877A99" w:rsidP="00F338B4">
      <w:pPr>
        <w:spacing w:before="120" w:after="120"/>
        <w:ind w:left="36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 xml:space="preserve">For 2017/18, Programme 4 receives an allocation of R 32.69 billion, compared to R29.93 billion in the 2016/17 financial year. This reflects an increase of 9.2 percent in nominal terms and a 2.76 percent increase in real terms. The bulk of expenditure in Programme 4 is in the form of transfers, i.e. 97.8 percent of the budget is transferred to provinces and municipalities (in the form of four Conditional Grants), as well as to the departmental entities. </w:t>
      </w:r>
    </w:p>
    <w:p w:rsidR="00877A99" w:rsidRPr="00F338B4" w:rsidRDefault="00877A99" w:rsidP="00F338B4">
      <w:pPr>
        <w:pStyle w:val="ListParagraph"/>
        <w:numPr>
          <w:ilvl w:val="0"/>
          <w:numId w:val="32"/>
        </w:numPr>
        <w:spacing w:before="120" w:after="120" w:line="240" w:lineRule="auto"/>
        <w:ind w:left="108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Management for Housing Development Finance sub-</w:t>
      </w:r>
      <w:proofErr w:type="gramStart"/>
      <w:r w:rsidRPr="00F338B4">
        <w:rPr>
          <w:rFonts w:ascii="Times New Roman" w:hAnsi="Times New Roman"/>
          <w:sz w:val="24"/>
          <w:szCs w:val="24"/>
          <w14:shadow w14:blurRad="50800" w14:dist="50800" w14:dir="5400000" w14:sx="2000" w14:sy="2000" w14:kx="0" w14:ky="0" w14:algn="ctr">
            <w14:srgbClr w14:val="000000">
              <w14:alpha w14:val="1000"/>
            </w14:srgbClr>
          </w14:shadow>
        </w:rPr>
        <w:t>programme,</w:t>
      </w:r>
      <w:proofErr w:type="gramEnd"/>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receives an allocation of R4</w:t>
      </w:r>
      <w:r w:rsidR="00D2066C" w:rsidRPr="00F338B4">
        <w:rPr>
          <w:rFonts w:ascii="Times New Roman" w:hAnsi="Times New Roman"/>
          <w:sz w:val="24"/>
          <w:szCs w:val="24"/>
          <w14:shadow w14:blurRad="50800" w14:dist="50800" w14:dir="5400000" w14:sx="2000" w14:sy="2000" w14:kx="0" w14:ky="0" w14:algn="ctr">
            <w14:srgbClr w14:val="000000">
              <w14:alpha w14:val="1000"/>
            </w14:srgbClr>
          </w14:shadow>
        </w:rPr>
        <w:t>, 1</w:t>
      </w: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million, compared to R3</w:t>
      </w:r>
      <w:r w:rsidR="00D2066C" w:rsidRPr="00F338B4">
        <w:rPr>
          <w:rFonts w:ascii="Times New Roman" w:hAnsi="Times New Roman"/>
          <w:sz w:val="24"/>
          <w:szCs w:val="24"/>
          <w14:shadow w14:blurRad="50800" w14:dist="50800" w14:dir="5400000" w14:sx="2000" w14:sy="2000" w14:kx="0" w14:ky="0" w14:algn="ctr">
            <w14:srgbClr w14:val="000000">
              <w14:alpha w14:val="1000"/>
            </w14:srgbClr>
          </w14:shadow>
        </w:rPr>
        <w:t>, 7</w:t>
      </w: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million in the previous financial year, resulting in a 4.24 percent real increase. </w:t>
      </w:r>
    </w:p>
    <w:p w:rsidR="00877A99" w:rsidRPr="00F338B4" w:rsidRDefault="00877A99" w:rsidP="00F338B4">
      <w:pPr>
        <w:pStyle w:val="ListParagraph"/>
        <w:spacing w:before="120" w:after="120" w:line="240" w:lineRule="auto"/>
        <w:ind w:left="108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27"/>
        </w:numPr>
        <w:spacing w:before="120" w:after="120" w:line="240" w:lineRule="auto"/>
        <w:ind w:left="108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Contributions sub-programme, makes transfers to certain public entities reporting to the Department, such as the Social Housing Authority and the Housing Development Agency. This programme received R 782.4 million in the previous financial year, which increased to R1.3 billion for the current financial year (2017/18). Nominal increase is 68.3 percent, and 58.35 percent real increase.</w:t>
      </w:r>
    </w:p>
    <w:p w:rsidR="00877A99" w:rsidRPr="00F338B4" w:rsidRDefault="00877A99" w:rsidP="00F338B4">
      <w:pPr>
        <w:spacing w:before="120" w:after="120"/>
        <w:ind w:firstLine="36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following Conditional Grants are administered by the Department:</w:t>
      </w:r>
    </w:p>
    <w:p w:rsidR="00877A99" w:rsidRPr="00F338B4" w:rsidRDefault="00877A99" w:rsidP="00F338B4">
      <w:pPr>
        <w:pStyle w:val="ListParagraph"/>
        <w:numPr>
          <w:ilvl w:val="0"/>
          <w:numId w:val="27"/>
        </w:numPr>
        <w:spacing w:before="120" w:after="120" w:line="240" w:lineRule="auto"/>
        <w:ind w:left="144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Human Settlement Development Grant (HDSG</w:t>
      </w:r>
      <w:proofErr w:type="gramStart"/>
      <w:r w:rsidRPr="00F338B4">
        <w:rPr>
          <w:rFonts w:ascii="Times New Roman" w:hAnsi="Times New Roman"/>
          <w:sz w:val="24"/>
          <w:szCs w:val="24"/>
          <w14:shadow w14:blurRad="50800" w14:dist="50800" w14:dir="5400000" w14:sx="2000" w14:sy="2000" w14:kx="0" w14:ky="0" w14:algn="ctr">
            <w14:srgbClr w14:val="000000">
              <w14:alpha w14:val="1000"/>
            </w14:srgbClr>
          </w14:shadow>
        </w:rPr>
        <w:t>),</w:t>
      </w:r>
      <w:proofErr w:type="gramEnd"/>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receives an allocation of R19.96 billion compared to R 18.28 billion in 2016/17 financial year (2.74 percent real increase). The service delivery output for this Grant is in ensuring that houses are completed and sites serviced.</w:t>
      </w:r>
    </w:p>
    <w:p w:rsidR="00877A99" w:rsidRPr="00F338B4" w:rsidRDefault="00877A99" w:rsidP="00F338B4">
      <w:pPr>
        <w:pStyle w:val="ListParagraph"/>
        <w:spacing w:before="120" w:after="120" w:line="240" w:lineRule="auto"/>
        <w:ind w:left="144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27"/>
        </w:numPr>
        <w:spacing w:before="120" w:after="120" w:line="240" w:lineRule="auto"/>
        <w:ind w:left="144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Urban Settlements Development Grant (USDG</w:t>
      </w:r>
      <w:proofErr w:type="gramStart"/>
      <w:r w:rsidRPr="00F338B4">
        <w:rPr>
          <w:rFonts w:ascii="Times New Roman" w:hAnsi="Times New Roman"/>
          <w:sz w:val="24"/>
          <w:szCs w:val="24"/>
          <w14:shadow w14:blurRad="50800" w14:dist="50800" w14:dir="5400000" w14:sx="2000" w14:sy="2000" w14:kx="0" w14:ky="0" w14:algn="ctr">
            <w14:srgbClr w14:val="000000">
              <w14:alpha w14:val="1000"/>
            </w14:srgbClr>
          </w14:shadow>
        </w:rPr>
        <w:t>),</w:t>
      </w:r>
      <w:proofErr w:type="gramEnd"/>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 receives an allocation of R11.38 billion, compared to R10.83 billion in 2016/17. Despite its 5.01 percent nominal growth from the previous year, the effects of inflation results in -1.22 percent decline. </w:t>
      </w:r>
    </w:p>
    <w:p w:rsidR="00877A99" w:rsidRPr="00F338B4" w:rsidRDefault="00877A99" w:rsidP="00F338B4">
      <w:pPr>
        <w:spacing w:before="120" w:after="120"/>
        <w:ind w:left="36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In terms of economic classification, Programme 4’s budget includes current payments to the value of R26.9 million (8 percent of the programme budget), of which 19.9 million is to be spent on compensation of employees.</w:t>
      </w:r>
    </w:p>
    <w:p w:rsidR="00877A99" w:rsidRPr="00F338B4" w:rsidRDefault="00877A99" w:rsidP="00F338B4">
      <w:pPr>
        <w:spacing w:before="120" w:after="120"/>
        <w:ind w:left="36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Program 4 consistently shows good performance over the period with a spending of 98.5 percent in the   2015/16. However, there was underspending on the USDG in provinces such as Gauteng and Limpopo. This underspending is attributed to the following:</w:t>
      </w:r>
    </w:p>
    <w:p w:rsidR="00877A99" w:rsidRPr="00F338B4" w:rsidRDefault="00877A99" w:rsidP="00F338B4">
      <w:pPr>
        <w:spacing w:before="120" w:after="120"/>
        <w:jc w:val="both"/>
        <w:rPr>
          <w14:shadow w14:blurRad="50800" w14:dist="50800" w14:dir="5400000" w14:sx="2000" w14:sy="2000" w14:kx="0" w14:ky="0" w14:algn="ctr">
            <w14:srgbClr w14:val="000000">
              <w14:alpha w14:val="1000"/>
            </w14:srgbClr>
          </w14:shadow>
        </w:rPr>
      </w:pPr>
    </w:p>
    <w:p w:rsidR="00877A99" w:rsidRPr="00F338B4" w:rsidRDefault="00877A99" w:rsidP="00F338B4">
      <w:pPr>
        <w:pStyle w:val="ListParagraph"/>
        <w:numPr>
          <w:ilvl w:val="0"/>
          <w:numId w:val="28"/>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breakdown in the linkage between the funds -- the money that had gone to the metros, and the money from the national department to the provinces. That breakdown had interfered with getting good settlement functionality.</w:t>
      </w:r>
    </w:p>
    <w:p w:rsidR="00877A99" w:rsidRPr="00F338B4" w:rsidRDefault="00877A99" w:rsidP="00F338B4">
      <w:pPr>
        <w:pStyle w:val="ListParagraph"/>
        <w:numPr>
          <w:ilvl w:val="0"/>
          <w:numId w:val="28"/>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There was also a breakdown in the Inter-Governmental Relations (IGR) planning interface. </w:t>
      </w:r>
    </w:p>
    <w:p w:rsidR="00927E38" w:rsidRPr="00F338B4" w:rsidRDefault="00927E38" w:rsidP="00F338B4">
      <w:pPr>
        <w:spacing w:before="120" w:after="120"/>
        <w:rPr>
          <w14:shadow w14:blurRad="50800" w14:dist="50800" w14:dir="5400000" w14:sx="2000" w14:sy="2000" w14:kx="0" w14:ky="0" w14:algn="ctr">
            <w14:srgbClr w14:val="000000">
              <w14:alpha w14:val="1000"/>
            </w14:srgbClr>
          </w14:shadow>
        </w:rPr>
      </w:pPr>
    </w:p>
    <w:p w:rsidR="008C3BFF" w:rsidRPr="00F338B4" w:rsidRDefault="008C3BFF" w:rsidP="00F338B4">
      <w:pPr>
        <w:spacing w:before="120" w:after="120"/>
        <w:ind w:left="720" w:hanging="720"/>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4.</w:t>
      </w:r>
      <w:r w:rsidRPr="00F338B4">
        <w:rPr>
          <w:rFonts w:eastAsia="Calibri"/>
          <w:lang w:val="en-US" w:eastAsia="en-US"/>
          <w14:shadow w14:blurRad="50800" w14:dist="50800" w14:dir="5400000" w14:sx="2000" w14:sy="2000" w14:kx="0" w14:ky="0" w14:algn="ctr">
            <w14:srgbClr w14:val="000000">
              <w14:alpha w14:val="1000"/>
            </w14:srgbClr>
          </w14:shadow>
        </w:rPr>
        <w:tab/>
        <w:t>Briefing by the Department on the Strategic Plan, Annual Performance Plans and Budget 2017/18</w:t>
      </w:r>
    </w:p>
    <w:p w:rsidR="008C3BFF" w:rsidRPr="00F338B4" w:rsidRDefault="008C3BFF" w:rsidP="00F338B4">
      <w:pPr>
        <w:spacing w:before="120" w:after="120"/>
        <w:rPr>
          <w14:shadow w14:blurRad="50800" w14:dist="50800" w14:dir="5400000" w14:sx="2000" w14:sy="2000" w14:kx="0" w14:ky="0" w14:algn="ctr">
            <w14:srgbClr w14:val="000000">
              <w14:alpha w14:val="1000"/>
            </w14:srgbClr>
          </w14:shadow>
        </w:rPr>
      </w:pPr>
    </w:p>
    <w:p w:rsidR="008C3BFF" w:rsidRPr="00F338B4" w:rsidRDefault="008C3BFF" w:rsidP="00F338B4">
      <w:pPr>
        <w:spacing w:before="120" w:after="120"/>
        <w:ind w:left="7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During the meeting held, the Department presented to the Committee, the Director-General informed the Committee that to achieve the vision 2014-2019, Medium Term Strategic Framework focus on reforms aimed at achieving the following:</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Ensuring that poor households have adequate housing in better living environments  </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 xml:space="preserve">Supporting the development of a functionally and equitable residential property market </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Improving institutional capacity and coordination for better spatial targeting</w:t>
      </w:r>
    </w:p>
    <w:p w:rsidR="008C3BFF" w:rsidRPr="00F338B4" w:rsidRDefault="008C3BFF"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p>
    <w:p w:rsidR="008C3BFF" w:rsidRPr="00F338B4" w:rsidRDefault="008C3BFF"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priorities for 2017 – 2018 of the Department were to:</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Scaling up the delivery on Affordable/ Gap Housing</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Accelerate upgrading of informal Settlements</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Improved issuing of title deeds for new subsidy houses on occupation</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Eradication of the title deeds backlog by 2019</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Establishment of the Human Settlements Development  Bank</w:t>
      </w:r>
    </w:p>
    <w:p w:rsidR="008C3BFF" w:rsidRPr="00F338B4" w:rsidRDefault="008C3BFF" w:rsidP="00F338B4">
      <w:pPr>
        <w:suppressAutoHyphens/>
        <w:autoSpaceDN w:val="0"/>
        <w:spacing w:before="120" w:after="120"/>
        <w:ind w:left="1440"/>
        <w:jc w:val="both"/>
        <w:textAlignment w:val="baseline"/>
        <w:rPr>
          <w14:shadow w14:blurRad="50800" w14:dist="50800" w14:dir="5400000" w14:sx="2000" w14:sy="2000" w14:kx="0" w14:ky="0" w14:algn="ctr">
            <w14:srgbClr w14:val="000000">
              <w14:alpha w14:val="1000"/>
            </w14:srgbClr>
          </w14:shadow>
        </w:rPr>
      </w:pPr>
    </w:p>
    <w:p w:rsidR="008C3BFF" w:rsidRPr="00F338B4" w:rsidRDefault="004D1D78"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w:t>
      </w:r>
      <w:r w:rsidR="008C3BFF" w:rsidRPr="00F338B4">
        <w:rPr>
          <w14:shadow w14:blurRad="50800" w14:dist="50800" w14:dir="5400000" w14:sx="2000" w14:sy="2000" w14:kx="0" w14:ky="0" w14:algn="ctr">
            <w14:srgbClr w14:val="000000">
              <w14:alpha w14:val="1000"/>
            </w14:srgbClr>
          </w14:shadow>
        </w:rPr>
        <w:t xml:space="preserve"> Chief Operating Officer, reported on the Departmental Budget Proposals to National Treasury</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Proposal that the Social and Rental allocations, Institutional subsidies and the Restructuring Capital Grant (RCG),be consolidated and disbursed as one funding stream to Municipalities and Social Housing Institutions;</w:t>
      </w:r>
    </w:p>
    <w:p w:rsidR="008C3BFF" w:rsidRPr="00F338B4" w:rsidRDefault="008C3BFF" w:rsidP="00F338B4">
      <w:pPr>
        <w:numPr>
          <w:ilvl w:val="1"/>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This will enhance the integrated process between the planning, funding and implementation arrangements, thus expediting delivery outcomes;</w:t>
      </w:r>
    </w:p>
    <w:p w:rsidR="008C3BFF" w:rsidRPr="00F338B4" w:rsidRDefault="008C3BFF" w:rsidP="00F338B4">
      <w:pPr>
        <w:numPr>
          <w:ilvl w:val="1"/>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Crowding and leveraging of private sector funding and contributions</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The Medium Term Strategic Framework (MTEF) target for the delivery of social and rental housing is 30 000 units; </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Actual delivery of social and rental housing units, as facilitated through the Social Housing Regulatory Authority (SHRA), is 8 452 as at 31 March 2016;</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remaining number of units required to achieve the target is therefore 21 548.</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available data shows that the average cost of a one (1)-bedroom unit has increased by 47% over the seven years while the RCG has remained static;</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To address the challenge, the Department is currently considering a proposal to increase the RCG quantum to R155 000 per unit.</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To improve performance and accountability the Department is considering proposals to improve checks and balances in the sector and this includes separation of the regulatory, grant making and allocation and investment functions.</w:t>
      </w:r>
    </w:p>
    <w:p w:rsidR="008C3BFF" w:rsidRPr="00F338B4" w:rsidRDefault="008C3BFF"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p>
    <w:p w:rsidR="008C3BFF" w:rsidRPr="00F338B4" w:rsidRDefault="004D1D78"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The </w:t>
      </w:r>
      <w:r w:rsidR="008C3BFF" w:rsidRPr="00F338B4">
        <w:rPr>
          <w14:shadow w14:blurRad="50800" w14:dist="50800" w14:dir="5400000" w14:sx="2000" w14:sy="2000" w14:kx="0" w14:ky="0" w14:algn="ctr">
            <w14:srgbClr w14:val="000000">
              <w14:alpha w14:val="1000"/>
            </w14:srgbClr>
          </w14:shadow>
        </w:rPr>
        <w:t>Chief Financial Officer, reported on financial aspects of the department.  She reported on the Departmental budget and stated that it had been reduced as indicated below:</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The two grants (HSDG and USDG) were reduced by R3.7 billion over the Medium Term Expenditure Framework (MTEF). </w:t>
      </w:r>
    </w:p>
    <w:p w:rsidR="008C3BFF" w:rsidRPr="00F338B4" w:rsidRDefault="008C3BFF" w:rsidP="00F338B4">
      <w:pPr>
        <w:numPr>
          <w:ilvl w:val="1"/>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R3.4 billion on the Human Settlements Development Grant; </w:t>
      </w:r>
    </w:p>
    <w:p w:rsidR="008C3BFF" w:rsidRPr="00F338B4" w:rsidRDefault="008C3BFF" w:rsidP="00F338B4">
      <w:pPr>
        <w:numPr>
          <w:ilvl w:val="1"/>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R282.2 million on the Urban Settlements Development Grant as follows.</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Compensation of employees was further reduced by R20.6 mill over the MTEF.</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The goods and services net increase over the MTEF is R22.2 million. </w:t>
      </w:r>
    </w:p>
    <w:p w:rsidR="008C3BFF" w:rsidRPr="00F338B4" w:rsidRDefault="008C3BFF" w:rsidP="00F338B4">
      <w:pPr>
        <w:numPr>
          <w:ilvl w:val="0"/>
          <w:numId w:val="3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increase is attributed to the R31.7 million reallocated from the Institutional Investment managed by Social Housing Regulatory Authority to fund Department programme and project management activities as well as monitoring, evaluation and reporting.</w:t>
      </w:r>
    </w:p>
    <w:p w:rsidR="008C3BFF" w:rsidRPr="00F338B4" w:rsidRDefault="008C3BFF" w:rsidP="00F338B4">
      <w:pPr>
        <w:spacing w:before="120" w:after="120"/>
        <w:rPr>
          <w14:shadow w14:blurRad="50800" w14:dist="50800" w14:dir="5400000" w14:sx="2000" w14:sy="2000" w14:kx="0" w14:ky="0" w14:algn="ctr">
            <w14:srgbClr w14:val="000000">
              <w14:alpha w14:val="1000"/>
            </w14:srgbClr>
          </w14:shadow>
        </w:rPr>
      </w:pPr>
    </w:p>
    <w:p w:rsidR="00B201F4" w:rsidRPr="00F338B4" w:rsidRDefault="003074A9" w:rsidP="00F338B4">
      <w:pPr>
        <w:spacing w:before="120" w:after="120"/>
        <w:jc w:val="both"/>
        <w:rPr>
          <w:rFonts w:eastAsia="Calibri"/>
          <w:b/>
          <w:lang w:val="en-US" w:eastAsia="en-US"/>
          <w14:shadow w14:blurRad="50800" w14:dist="50800" w14:dir="5400000" w14:sx="2000" w14:sy="2000" w14:kx="0" w14:ky="0" w14:algn="ctr">
            <w14:srgbClr w14:val="000000">
              <w14:alpha w14:val="1000"/>
            </w14:srgbClr>
          </w14:shadow>
        </w:rPr>
      </w:pPr>
      <w:r w:rsidRPr="00F338B4">
        <w:rPr>
          <w:rFonts w:eastAsia="Calibri"/>
          <w:b/>
          <w:lang w:val="en-US" w:eastAsia="en-US"/>
          <w14:shadow w14:blurRad="50800" w14:dist="50800" w14:dir="5400000" w14:sx="2000" w14:sy="2000" w14:kx="0" w14:ky="0" w14:algn="ctr">
            <w14:srgbClr w14:val="000000">
              <w14:alpha w14:val="1000"/>
            </w14:srgbClr>
          </w14:shadow>
        </w:rPr>
        <w:t>4.</w:t>
      </w:r>
      <w:r w:rsidRPr="00F338B4">
        <w:rPr>
          <w:rFonts w:eastAsia="Calibri"/>
          <w:b/>
          <w:lang w:val="en-US" w:eastAsia="en-US"/>
          <w14:shadow w14:blurRad="50800" w14:dist="50800" w14:dir="5400000" w14:sx="2000" w14:sy="2000" w14:kx="0" w14:ky="0" w14:algn="ctr">
            <w14:srgbClr w14:val="000000">
              <w14:alpha w14:val="1000"/>
            </w14:srgbClr>
          </w14:shadow>
        </w:rPr>
        <w:tab/>
      </w:r>
      <w:r w:rsidR="00B201F4" w:rsidRPr="00F338B4">
        <w:rPr>
          <w:rFonts w:eastAsia="Calibri"/>
          <w:b/>
          <w:lang w:val="en-US" w:eastAsia="en-US"/>
          <w14:shadow w14:blurRad="50800" w14:dist="50800" w14:dir="5400000" w14:sx="2000" w14:sy="2000" w14:kx="0" w14:ky="0" w14:algn="ctr">
            <w14:srgbClr w14:val="000000">
              <w14:alpha w14:val="1000"/>
            </w14:srgbClr>
          </w14:shadow>
        </w:rPr>
        <w:t>Human Settlements Grants</w:t>
      </w:r>
    </w:p>
    <w:p w:rsidR="00B201F4" w:rsidRPr="00F338B4" w:rsidRDefault="00B201F4"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4.1</w:t>
      </w:r>
      <w:r w:rsidRPr="00F338B4">
        <w:rPr>
          <w:rFonts w:eastAsia="Calibri"/>
          <w:bCs w:val="0"/>
          <w:sz w:val="24"/>
          <w14:shadow w14:blurRad="50800" w14:dist="50800" w14:dir="5400000" w14:sx="2000" w14:sy="2000" w14:kx="0" w14:ky="0" w14:algn="ctr">
            <w14:srgbClr w14:val="000000">
              <w14:alpha w14:val="1000"/>
            </w14:srgbClr>
          </w14:shadow>
        </w:rPr>
        <w:tab/>
        <w:t>Human Settlements Development Grant</w:t>
      </w:r>
    </w:p>
    <w:tbl>
      <w:tblPr>
        <w:tblW w:w="11194" w:type="dxa"/>
        <w:tblInd w:w="-185" w:type="dxa"/>
        <w:tblCellMar>
          <w:left w:w="0" w:type="dxa"/>
          <w:right w:w="0" w:type="dxa"/>
        </w:tblCellMar>
        <w:tblLook w:val="0600" w:firstRow="0" w:lastRow="0" w:firstColumn="0" w:lastColumn="0" w:noHBand="1" w:noVBand="1"/>
      </w:tblPr>
      <w:tblGrid>
        <w:gridCol w:w="1838"/>
        <w:gridCol w:w="1274"/>
        <w:gridCol w:w="1411"/>
        <w:gridCol w:w="1274"/>
        <w:gridCol w:w="1834"/>
        <w:gridCol w:w="1133"/>
        <w:gridCol w:w="1017"/>
        <w:gridCol w:w="1413"/>
      </w:tblGrid>
      <w:tr w:rsidR="006D0B02" w:rsidRPr="00F338B4" w:rsidTr="00F338B4">
        <w:trPr>
          <w:trHeight w:val="478"/>
        </w:trPr>
        <w:tc>
          <w:tcPr>
            <w:tcW w:w="1838" w:type="dxa"/>
            <w:tcBorders>
              <w:top w:val="single" w:sz="4" w:space="0" w:color="000000"/>
              <w:left w:val="single" w:sz="4" w:space="0" w:color="000000"/>
              <w:bottom w:val="nil"/>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Provinces</w:t>
            </w:r>
          </w:p>
        </w:tc>
        <w:tc>
          <w:tcPr>
            <w:tcW w:w="3959" w:type="dxa"/>
            <w:gridSpan w:val="3"/>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 2017/18 </w:t>
            </w:r>
          </w:p>
        </w:tc>
        <w:tc>
          <w:tcPr>
            <w:tcW w:w="3984" w:type="dxa"/>
            <w:gridSpan w:val="3"/>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 2018/19 </w:t>
            </w:r>
          </w:p>
        </w:tc>
        <w:tc>
          <w:tcPr>
            <w:tcW w:w="1413"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 2019/20 </w:t>
            </w:r>
          </w:p>
        </w:tc>
      </w:tr>
      <w:tr w:rsidR="006D0B02" w:rsidRPr="00F338B4" w:rsidTr="00F338B4">
        <w:trPr>
          <w:trHeight w:val="451"/>
        </w:trPr>
        <w:tc>
          <w:tcPr>
            <w:tcW w:w="1838" w:type="dxa"/>
            <w:tcBorders>
              <w:top w:val="nil"/>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bottom"/>
            <w:hideMark/>
          </w:tcPr>
          <w:p w:rsidR="00B201F4" w:rsidRPr="00F338B4" w:rsidRDefault="00B201F4" w:rsidP="00F338B4">
            <w:pPr>
              <w:spacing w:before="120" w:after="120"/>
              <w:rPr>
                <w14:shadow w14:blurRad="50800" w14:dist="50800" w14:dir="5400000" w14:sx="2000" w14:sy="2000" w14:kx="0" w14:ky="0" w14:algn="ctr">
                  <w14:srgbClr w14:val="000000">
                    <w14:alpha w14:val="1000"/>
                  </w14:srgbClr>
                </w14:shadow>
              </w:rPr>
            </w:pPr>
          </w:p>
        </w:tc>
        <w:tc>
          <w:tcPr>
            <w:tcW w:w="1274"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DORA 2016 Published </w:t>
            </w:r>
          </w:p>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Allocation</w:t>
            </w:r>
          </w:p>
        </w:tc>
        <w:tc>
          <w:tcPr>
            <w:tcW w:w="1411"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Revised Allocation</w:t>
            </w:r>
          </w:p>
        </w:tc>
        <w:tc>
          <w:tcPr>
            <w:tcW w:w="1274"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Reduction</w:t>
            </w:r>
          </w:p>
        </w:tc>
        <w:tc>
          <w:tcPr>
            <w:tcW w:w="1834"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DORA 2016 Published Allocation</w:t>
            </w:r>
          </w:p>
        </w:tc>
        <w:tc>
          <w:tcPr>
            <w:tcW w:w="1133"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Revised Allocation</w:t>
            </w:r>
          </w:p>
        </w:tc>
        <w:tc>
          <w:tcPr>
            <w:tcW w:w="1017"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Reduction</w:t>
            </w:r>
          </w:p>
        </w:tc>
        <w:tc>
          <w:tcPr>
            <w:tcW w:w="1413"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201F4" w:rsidRPr="00F338B4" w:rsidRDefault="00B201F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Total Allocation by Province</w:t>
            </w:r>
          </w:p>
        </w:tc>
      </w:tr>
      <w:tr w:rsidR="006D0B02" w:rsidRPr="00F338B4" w:rsidTr="00F338B4">
        <w:trPr>
          <w:trHeight w:val="478"/>
        </w:trPr>
        <w:tc>
          <w:tcPr>
            <w:tcW w:w="1838"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A00486" w:rsidRPr="00F338B4" w:rsidRDefault="00B201F4" w:rsidP="00F338B4">
            <w:pPr>
              <w:spacing w:before="120" w:after="120"/>
              <w:jc w:val="center"/>
              <w:textAlignment w:val="bottom"/>
              <w:rPr>
                <w:kern w:val="24"/>
                <w:lang w:val="en-US"/>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EASTERN CA</w:t>
            </w:r>
          </w:p>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PE</w:t>
            </w:r>
          </w:p>
        </w:tc>
        <w:tc>
          <w:tcPr>
            <w:tcW w:w="1274"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2 460 660 </w:t>
            </w:r>
          </w:p>
        </w:tc>
        <w:tc>
          <w:tcPr>
            <w:tcW w:w="1411"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2 339 371 </w:t>
            </w:r>
          </w:p>
        </w:tc>
        <w:tc>
          <w:tcPr>
            <w:tcW w:w="1274"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-121 289 </w:t>
            </w:r>
          </w:p>
        </w:tc>
        <w:tc>
          <w:tcPr>
            <w:tcW w:w="1834"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2 477 121 </w:t>
            </w:r>
          </w:p>
        </w:tc>
        <w:tc>
          <w:tcPr>
            <w:tcW w:w="1133"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2 347 420 </w:t>
            </w:r>
          </w:p>
        </w:tc>
        <w:tc>
          <w:tcPr>
            <w:tcW w:w="1017"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-129 701 </w:t>
            </w:r>
          </w:p>
        </w:tc>
        <w:tc>
          <w:tcPr>
            <w:tcW w:w="1413"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2 483 385 </w:t>
            </w:r>
          </w:p>
        </w:tc>
      </w:tr>
      <w:tr w:rsidR="006D0B02" w:rsidRPr="00F338B4" w:rsidTr="00F338B4">
        <w:trPr>
          <w:trHeight w:val="478"/>
        </w:trPr>
        <w:tc>
          <w:tcPr>
            <w:tcW w:w="183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FREE STATE</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1 226 608 </w:t>
            </w:r>
          </w:p>
        </w:tc>
        <w:tc>
          <w:tcPr>
            <w:tcW w:w="1411"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1 162 658 </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-63 950 </w:t>
            </w:r>
          </w:p>
        </w:tc>
        <w:tc>
          <w:tcPr>
            <w:tcW w:w="18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1 306 077 </w:t>
            </w:r>
          </w:p>
        </w:tc>
        <w:tc>
          <w:tcPr>
            <w:tcW w:w="113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1 237 692 </w:t>
            </w:r>
          </w:p>
        </w:tc>
        <w:tc>
          <w:tcPr>
            <w:tcW w:w="1017"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-68 385 </w:t>
            </w:r>
          </w:p>
        </w:tc>
        <w:tc>
          <w:tcPr>
            <w:tcW w:w="141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1 309 380 </w:t>
            </w:r>
          </w:p>
        </w:tc>
      </w:tr>
      <w:tr w:rsidR="006D0B02" w:rsidRPr="00F338B4" w:rsidTr="00F338B4">
        <w:trPr>
          <w:trHeight w:val="478"/>
        </w:trPr>
        <w:tc>
          <w:tcPr>
            <w:tcW w:w="183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GAUTENG</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5 967 208 </w:t>
            </w:r>
          </w:p>
        </w:tc>
        <w:tc>
          <w:tcPr>
            <w:tcW w:w="1411"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5 656 103 </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-311 105 </w:t>
            </w:r>
          </w:p>
        </w:tc>
        <w:tc>
          <w:tcPr>
            <w:tcW w:w="18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6 353 813 </w:t>
            </w:r>
          </w:p>
        </w:tc>
        <w:tc>
          <w:tcPr>
            <w:tcW w:w="113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6 021 130 </w:t>
            </w:r>
          </w:p>
        </w:tc>
        <w:tc>
          <w:tcPr>
            <w:tcW w:w="1017"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-332 683 </w:t>
            </w:r>
          </w:p>
        </w:tc>
        <w:tc>
          <w:tcPr>
            <w:tcW w:w="141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6 369 878 </w:t>
            </w:r>
          </w:p>
        </w:tc>
      </w:tr>
      <w:tr w:rsidR="006D0B02" w:rsidRPr="00F338B4" w:rsidTr="00F338B4">
        <w:trPr>
          <w:trHeight w:val="478"/>
        </w:trPr>
        <w:tc>
          <w:tcPr>
            <w:tcW w:w="183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KWAZULU-NATAL</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3 843 228 </w:t>
            </w:r>
          </w:p>
        </w:tc>
        <w:tc>
          <w:tcPr>
            <w:tcW w:w="1411"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3 642 858 </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-200 370 </w:t>
            </w:r>
          </w:p>
        </w:tc>
        <w:tc>
          <w:tcPr>
            <w:tcW w:w="18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4 092 224 </w:t>
            </w:r>
          </w:p>
        </w:tc>
        <w:tc>
          <w:tcPr>
            <w:tcW w:w="113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3 877 957 </w:t>
            </w:r>
          </w:p>
        </w:tc>
        <w:tc>
          <w:tcPr>
            <w:tcW w:w="1017"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-214 267 </w:t>
            </w:r>
          </w:p>
        </w:tc>
        <w:tc>
          <w:tcPr>
            <w:tcW w:w="141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4 102 571 </w:t>
            </w:r>
          </w:p>
        </w:tc>
      </w:tr>
      <w:tr w:rsidR="006D0B02" w:rsidRPr="00F338B4" w:rsidTr="00F338B4">
        <w:trPr>
          <w:trHeight w:val="478"/>
        </w:trPr>
        <w:tc>
          <w:tcPr>
            <w:tcW w:w="183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LIMPOPO</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1 368 289 </w:t>
            </w:r>
          </w:p>
        </w:tc>
        <w:tc>
          <w:tcPr>
            <w:tcW w:w="1411"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1 296 952 </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-71 337 </w:t>
            </w:r>
          </w:p>
        </w:tc>
        <w:tc>
          <w:tcPr>
            <w:tcW w:w="18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1 456 938 </w:t>
            </w:r>
          </w:p>
        </w:tc>
        <w:tc>
          <w:tcPr>
            <w:tcW w:w="113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1 380 653 </w:t>
            </w:r>
          </w:p>
        </w:tc>
        <w:tc>
          <w:tcPr>
            <w:tcW w:w="1017"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-76 285 </w:t>
            </w:r>
          </w:p>
        </w:tc>
        <w:tc>
          <w:tcPr>
            <w:tcW w:w="141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1 460 622 </w:t>
            </w:r>
          </w:p>
        </w:tc>
      </w:tr>
      <w:tr w:rsidR="006D0B02" w:rsidRPr="00F338B4" w:rsidTr="00F338B4">
        <w:trPr>
          <w:trHeight w:val="478"/>
        </w:trPr>
        <w:tc>
          <w:tcPr>
            <w:tcW w:w="183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MPUMALANGA</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1 394 636 </w:t>
            </w:r>
          </w:p>
        </w:tc>
        <w:tc>
          <w:tcPr>
            <w:tcW w:w="1411"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1 321 925 </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-72 711 </w:t>
            </w:r>
          </w:p>
        </w:tc>
        <w:tc>
          <w:tcPr>
            <w:tcW w:w="18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1 484 992 </w:t>
            </w:r>
          </w:p>
        </w:tc>
        <w:tc>
          <w:tcPr>
            <w:tcW w:w="113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1 407 238 </w:t>
            </w:r>
          </w:p>
        </w:tc>
        <w:tc>
          <w:tcPr>
            <w:tcW w:w="1017"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-77 754 </w:t>
            </w:r>
          </w:p>
        </w:tc>
        <w:tc>
          <w:tcPr>
            <w:tcW w:w="141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1 488 746 </w:t>
            </w:r>
          </w:p>
        </w:tc>
      </w:tr>
      <w:tr w:rsidR="006D0B02" w:rsidRPr="00F338B4" w:rsidTr="00F338B4">
        <w:trPr>
          <w:trHeight w:val="478"/>
        </w:trPr>
        <w:tc>
          <w:tcPr>
            <w:tcW w:w="183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NORTHERN CAPE</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412 682 </w:t>
            </w:r>
          </w:p>
        </w:tc>
        <w:tc>
          <w:tcPr>
            <w:tcW w:w="1411"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391 167 </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-21 515 </w:t>
            </w:r>
          </w:p>
        </w:tc>
        <w:tc>
          <w:tcPr>
            <w:tcW w:w="18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439 419 </w:t>
            </w:r>
          </w:p>
        </w:tc>
        <w:tc>
          <w:tcPr>
            <w:tcW w:w="113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416 411 </w:t>
            </w:r>
          </w:p>
        </w:tc>
        <w:tc>
          <w:tcPr>
            <w:tcW w:w="1017"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-23 008 </w:t>
            </w:r>
          </w:p>
        </w:tc>
        <w:tc>
          <w:tcPr>
            <w:tcW w:w="141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440 530 </w:t>
            </w:r>
          </w:p>
        </w:tc>
      </w:tr>
      <w:tr w:rsidR="006D0B02" w:rsidRPr="00F338B4" w:rsidTr="00F338B4">
        <w:trPr>
          <w:trHeight w:val="478"/>
        </w:trPr>
        <w:tc>
          <w:tcPr>
            <w:tcW w:w="1838"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NORTH WEST</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1 926 133 </w:t>
            </w:r>
          </w:p>
        </w:tc>
        <w:tc>
          <w:tcPr>
            <w:tcW w:w="1411"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1 825 712 </w:t>
            </w:r>
          </w:p>
        </w:tc>
        <w:tc>
          <w:tcPr>
            <w:tcW w:w="127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-100 421 </w:t>
            </w:r>
          </w:p>
        </w:tc>
        <w:tc>
          <w:tcPr>
            <w:tcW w:w="1834"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2 050 923 </w:t>
            </w:r>
          </w:p>
        </w:tc>
        <w:tc>
          <w:tcPr>
            <w:tcW w:w="113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1 943 538 </w:t>
            </w:r>
          </w:p>
        </w:tc>
        <w:tc>
          <w:tcPr>
            <w:tcW w:w="1017"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-107 385 </w:t>
            </w:r>
          </w:p>
        </w:tc>
        <w:tc>
          <w:tcPr>
            <w:tcW w:w="1413"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2 056 109 </w:t>
            </w:r>
          </w:p>
        </w:tc>
      </w:tr>
      <w:tr w:rsidR="006D0B02" w:rsidRPr="00F338B4" w:rsidTr="00F338B4">
        <w:trPr>
          <w:trHeight w:val="478"/>
        </w:trPr>
        <w:tc>
          <w:tcPr>
            <w:tcW w:w="1838"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WESTERN CAPE</w:t>
            </w:r>
          </w:p>
        </w:tc>
        <w:tc>
          <w:tcPr>
            <w:tcW w:w="127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2 460 899 </w:t>
            </w:r>
          </w:p>
        </w:tc>
        <w:tc>
          <w:tcPr>
            <w:tcW w:w="1411"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2 332 597 </w:t>
            </w:r>
          </w:p>
        </w:tc>
        <w:tc>
          <w:tcPr>
            <w:tcW w:w="127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-128 302 </w:t>
            </w:r>
          </w:p>
        </w:tc>
        <w:tc>
          <w:tcPr>
            <w:tcW w:w="1834"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2 620 336 </w:t>
            </w:r>
          </w:p>
        </w:tc>
        <w:tc>
          <w:tcPr>
            <w:tcW w:w="113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2 483 136 </w:t>
            </w:r>
          </w:p>
        </w:tc>
        <w:tc>
          <w:tcPr>
            <w:tcW w:w="101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-137 200 </w:t>
            </w:r>
          </w:p>
        </w:tc>
        <w:tc>
          <w:tcPr>
            <w:tcW w:w="1413"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2 626 961 </w:t>
            </w:r>
          </w:p>
        </w:tc>
      </w:tr>
      <w:tr w:rsidR="006D0B02" w:rsidRPr="00F338B4" w:rsidTr="00F338B4">
        <w:trPr>
          <w:trHeight w:val="478"/>
        </w:trPr>
        <w:tc>
          <w:tcPr>
            <w:tcW w:w="1838"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Total</w:t>
            </w:r>
          </w:p>
        </w:tc>
        <w:tc>
          <w:tcPr>
            <w:tcW w:w="12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21 060 343 </w:t>
            </w:r>
          </w:p>
        </w:tc>
        <w:tc>
          <w:tcPr>
            <w:tcW w:w="1411"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19 969 343 </w:t>
            </w:r>
          </w:p>
        </w:tc>
        <w:tc>
          <w:tcPr>
            <w:tcW w:w="127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-1 091 000 </w:t>
            </w:r>
          </w:p>
        </w:tc>
        <w:tc>
          <w:tcPr>
            <w:tcW w:w="1834"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22 281 843 </w:t>
            </w:r>
          </w:p>
        </w:tc>
        <w:tc>
          <w:tcPr>
            <w:tcW w:w="1133"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21 115 175 </w:t>
            </w:r>
          </w:p>
        </w:tc>
        <w:tc>
          <w:tcPr>
            <w:tcW w:w="10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-1 166 668 </w:t>
            </w:r>
          </w:p>
        </w:tc>
        <w:tc>
          <w:tcPr>
            <w:tcW w:w="1413" w:type="dxa"/>
            <w:tcBorders>
              <w:top w:val="single" w:sz="4" w:space="0" w:color="000000"/>
              <w:left w:val="single" w:sz="4" w:space="0" w:color="000000"/>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201F4" w:rsidRPr="00F338B4" w:rsidRDefault="00B201F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22 338 182 </w:t>
            </w:r>
          </w:p>
        </w:tc>
      </w:tr>
    </w:tbl>
    <w:p w:rsidR="00B201F4" w:rsidRPr="00F338B4" w:rsidRDefault="00B201F4" w:rsidP="00F338B4">
      <w:pPr>
        <w:pStyle w:val="Char"/>
        <w:spacing w:before="120" w:after="120" w:line="240" w:lineRule="auto"/>
        <w:ind w:right="284"/>
        <w:jc w:val="both"/>
        <w:rPr>
          <w:rFonts w:eastAsia="Calibri"/>
          <w:bCs w:val="0"/>
          <w:sz w:val="24"/>
          <w14:shadow w14:blurRad="50800" w14:dist="50800" w14:dir="5400000" w14:sx="2000" w14:sy="2000" w14:kx="0" w14:ky="0" w14:algn="ctr">
            <w14:srgbClr w14:val="000000">
              <w14:alpha w14:val="1000"/>
            </w14:srgbClr>
          </w14:shadow>
        </w:rPr>
      </w:pPr>
    </w:p>
    <w:p w:rsidR="00D0618E" w:rsidRDefault="00D0618E">
      <w:pPr>
        <w:rPr>
          <w:rFonts w:eastAsia="Calibri"/>
          <w:lang w:val="en-US" w:eastAsia="en-US"/>
          <w14:shadow w14:blurRad="50800" w14:dist="50800" w14:dir="5400000" w14:sx="2000" w14:sy="2000" w14:kx="0" w14:ky="0" w14:algn="ctr">
            <w14:srgbClr w14:val="000000">
              <w14:alpha w14:val="1000"/>
            </w14:srgbClr>
          </w14:shadow>
        </w:rPr>
      </w:pPr>
      <w:r>
        <w:rPr>
          <w:rFonts w:eastAsia="Calibri"/>
          <w:bCs/>
          <w14:shadow w14:blurRad="50800" w14:dist="50800" w14:dir="5400000" w14:sx="2000" w14:sy="2000" w14:kx="0" w14:ky="0" w14:algn="ctr">
            <w14:srgbClr w14:val="000000">
              <w14:alpha w14:val="1000"/>
            </w14:srgbClr>
          </w14:shadow>
        </w:rPr>
        <w:br w:type="page"/>
      </w:r>
    </w:p>
    <w:p w:rsidR="00BD4CCA" w:rsidRPr="00F338B4" w:rsidRDefault="00BD4CCA"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lastRenderedPageBreak/>
        <w:t>4.2</w:t>
      </w:r>
      <w:r w:rsidRPr="00F338B4">
        <w:rPr>
          <w:rFonts w:eastAsia="Calibri"/>
          <w:bCs w:val="0"/>
          <w:sz w:val="24"/>
          <w14:shadow w14:blurRad="50800" w14:dist="50800" w14:dir="5400000" w14:sx="2000" w14:sy="2000" w14:kx="0" w14:ky="0" w14:algn="ctr">
            <w14:srgbClr w14:val="000000">
              <w14:alpha w14:val="1000"/>
            </w14:srgbClr>
          </w14:shadow>
        </w:rPr>
        <w:tab/>
        <w:t>Urban Settlements Development Grant</w:t>
      </w:r>
    </w:p>
    <w:tbl>
      <w:tblPr>
        <w:tblW w:w="11619" w:type="dxa"/>
        <w:tblInd w:w="-275" w:type="dxa"/>
        <w:tblCellMar>
          <w:left w:w="0" w:type="dxa"/>
          <w:right w:w="0" w:type="dxa"/>
        </w:tblCellMar>
        <w:tblLook w:val="0600" w:firstRow="0" w:lastRow="0" w:firstColumn="0" w:lastColumn="0" w:noHBand="1" w:noVBand="1"/>
      </w:tblPr>
      <w:tblGrid>
        <w:gridCol w:w="1667"/>
        <w:gridCol w:w="1545"/>
        <w:gridCol w:w="1390"/>
        <w:gridCol w:w="1259"/>
        <w:gridCol w:w="1017"/>
        <w:gridCol w:w="1391"/>
        <w:gridCol w:w="1128"/>
        <w:gridCol w:w="1017"/>
        <w:gridCol w:w="1205"/>
      </w:tblGrid>
      <w:tr w:rsidR="006D0B02" w:rsidRPr="00F338B4" w:rsidTr="00F338B4">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Provinces</w:t>
            </w:r>
          </w:p>
        </w:tc>
        <w:tc>
          <w:tcPr>
            <w:tcW w:w="1545"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Metros </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 2017/18 </w:t>
            </w:r>
          </w:p>
        </w:tc>
        <w:tc>
          <w:tcPr>
            <w:tcW w:w="3536" w:type="dxa"/>
            <w:gridSpan w:val="3"/>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 2018/19 </w:t>
            </w:r>
          </w:p>
        </w:tc>
        <w:tc>
          <w:tcPr>
            <w:tcW w:w="1205"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 2019/20 </w:t>
            </w:r>
          </w:p>
        </w:tc>
      </w:tr>
      <w:tr w:rsidR="006D0B02" w:rsidRPr="00F338B4" w:rsidTr="00F338B4">
        <w:trPr>
          <w:trHeight w:val="444"/>
        </w:trPr>
        <w:tc>
          <w:tcPr>
            <w:tcW w:w="3212" w:type="dxa"/>
            <w:gridSpan w:val="2"/>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rPr>
                <w14:shadow w14:blurRad="50800" w14:dist="50800" w14:dir="5400000" w14:sx="2000" w14:sy="2000" w14:kx="0" w14:ky="0" w14:algn="ctr">
                  <w14:srgbClr w14:val="000000">
                    <w14:alpha w14:val="1000"/>
                  </w14:srgbClr>
                </w14:shadow>
              </w:rPr>
            </w:pPr>
          </w:p>
        </w:tc>
        <w:tc>
          <w:tcPr>
            <w:tcW w:w="1390"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DORA 2016 Published Allocation</w:t>
            </w:r>
          </w:p>
        </w:tc>
        <w:tc>
          <w:tcPr>
            <w:tcW w:w="1259"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Revised Allocation</w:t>
            </w:r>
          </w:p>
        </w:tc>
        <w:tc>
          <w:tcPr>
            <w:tcW w:w="1017"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Reduction</w:t>
            </w:r>
          </w:p>
        </w:tc>
        <w:tc>
          <w:tcPr>
            <w:tcW w:w="1391"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DORA 2016 Published Allocation</w:t>
            </w:r>
          </w:p>
        </w:tc>
        <w:tc>
          <w:tcPr>
            <w:tcW w:w="1128"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Revised Allocation</w:t>
            </w:r>
          </w:p>
        </w:tc>
        <w:tc>
          <w:tcPr>
            <w:tcW w:w="1017"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Reduction</w:t>
            </w:r>
          </w:p>
        </w:tc>
        <w:tc>
          <w:tcPr>
            <w:tcW w:w="1205" w:type="dxa"/>
            <w:tcBorders>
              <w:top w:val="single" w:sz="4" w:space="0" w:color="000000"/>
              <w:left w:val="single" w:sz="4" w:space="0" w:color="000000"/>
              <w:bottom w:val="single" w:sz="4" w:space="0" w:color="000000"/>
              <w:right w:val="single" w:sz="4" w:space="0" w:color="000000"/>
            </w:tcBorders>
            <w:shd w:val="clear" w:color="auto" w:fill="C3D69B"/>
            <w:tcMar>
              <w:top w:w="15" w:type="dxa"/>
              <w:left w:w="15" w:type="dxa"/>
              <w:bottom w:w="0" w:type="dxa"/>
              <w:right w:w="15" w:type="dxa"/>
            </w:tcMar>
            <w:vAlign w:val="center"/>
            <w:hideMark/>
          </w:tcPr>
          <w:p w:rsidR="00BD4CCA" w:rsidRPr="00F338B4" w:rsidRDefault="00BD4CCA"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Total Allocation by Province</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EASTERN CAPE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Buffalo City</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774 202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768 128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-6 074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813 335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806 857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-6 478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852 385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Nelson Mandela</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918 970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911 761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-7 209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965 421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957 731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-7 690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1 011 773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FDE9D9"/>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Sub Total</w:t>
            </w:r>
          </w:p>
        </w:tc>
        <w:tc>
          <w:tcPr>
            <w:tcW w:w="1545" w:type="dxa"/>
            <w:tcBorders>
              <w:top w:val="single" w:sz="4" w:space="0" w:color="000000"/>
              <w:left w:val="nil"/>
              <w:bottom w:val="single" w:sz="4" w:space="0" w:color="000000"/>
              <w:right w:val="single" w:sz="4" w:space="0" w:color="000000"/>
            </w:tcBorders>
            <w:shd w:val="clear" w:color="auto" w:fill="FDE9D9"/>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w:t>
            </w:r>
          </w:p>
        </w:tc>
        <w:tc>
          <w:tcPr>
            <w:tcW w:w="1390"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1 693 172 </w:t>
            </w:r>
          </w:p>
        </w:tc>
        <w:tc>
          <w:tcPr>
            <w:tcW w:w="1259"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1 679 889 </w:t>
            </w:r>
          </w:p>
        </w:tc>
        <w:tc>
          <w:tcPr>
            <w:tcW w:w="1017"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-13 283 </w:t>
            </w:r>
          </w:p>
        </w:tc>
        <w:tc>
          <w:tcPr>
            <w:tcW w:w="1391"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1 778 756 </w:t>
            </w:r>
          </w:p>
        </w:tc>
        <w:tc>
          <w:tcPr>
            <w:tcW w:w="1128"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1 764 588 </w:t>
            </w:r>
          </w:p>
        </w:tc>
        <w:tc>
          <w:tcPr>
            <w:tcW w:w="1017"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-14 168 </w:t>
            </w:r>
          </w:p>
        </w:tc>
        <w:tc>
          <w:tcPr>
            <w:tcW w:w="1205"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1 864 158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rPr>
                <w14:shadow w14:blurRad="50800" w14:dist="50800" w14:dir="5400000" w14:sx="2000" w14:sy="2000" w14:kx="0" w14:ky="0" w14:algn="ctr">
                  <w14:srgbClr w14:val="000000">
                    <w14:alpha w14:val="1000"/>
                  </w14:srgbClr>
                </w14:shadow>
              </w:rPr>
            </w:pPr>
          </w:p>
        </w:tc>
        <w:tc>
          <w:tcPr>
            <w:tcW w:w="1390" w:type="dxa"/>
            <w:tcBorders>
              <w:top w:val="single" w:sz="4" w:space="0" w:color="000000"/>
              <w:left w:val="nil"/>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FREE STATE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Mangaung</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767 326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761 307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-6 019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806 113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799 692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-6 421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844 816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rPr>
                <w14:shadow w14:blurRad="50800" w14:dist="50800" w14:dir="5400000" w14:sx="2000" w14:sy="2000" w14:kx="0" w14:ky="0" w14:algn="ctr">
                  <w14:srgbClr w14:val="000000">
                    <w14:alpha w14:val="1000"/>
                  </w14:srgbClr>
                </w14:shadow>
              </w:rPr>
            </w:pPr>
          </w:p>
        </w:tc>
        <w:tc>
          <w:tcPr>
            <w:tcW w:w="1390" w:type="dxa"/>
            <w:tcBorders>
              <w:top w:val="single" w:sz="4" w:space="0" w:color="000000"/>
              <w:left w:val="nil"/>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GAUTENG</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Ekurhuleni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2 000 706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1 985 010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-15 696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2 101 836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2 085 094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-16 742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2 202 750 </w:t>
            </w:r>
          </w:p>
        </w:tc>
      </w:tr>
      <w:tr w:rsidR="006D0B02" w:rsidRPr="00F338B4" w:rsidTr="00F338B4">
        <w:trPr>
          <w:trHeight w:val="365"/>
        </w:trPr>
        <w:tc>
          <w:tcPr>
            <w:tcW w:w="1667"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Jo</w:t>
            </w:r>
            <w:r w:rsidR="00DE6961" w:rsidRPr="00F338B4">
              <w:rPr>
                <w:rFonts w:eastAsia="MS PGothic"/>
                <w:kern w:val="24"/>
                <w:lang w:val="en-US"/>
                <w14:shadow w14:blurRad="50800" w14:dist="50800" w14:dir="5400000" w14:sx="2000" w14:sy="2000" w14:kx="0" w14:ky="0" w14:algn="ctr">
                  <w14:srgbClr w14:val="000000">
                    <w14:alpha w14:val="1000"/>
                  </w14:srgbClr>
                </w14:shadow>
              </w:rPr>
              <w:t>hannes</w:t>
            </w:r>
            <w:r w:rsidRPr="00F338B4">
              <w:rPr>
                <w:rFonts w:eastAsia="MS PGothic"/>
                <w:kern w:val="24"/>
                <w:lang w:val="en-US"/>
                <w14:shadow w14:blurRad="50800" w14:dist="50800" w14:dir="5400000" w14:sx="2000" w14:sy="2000" w14:kx="0" w14:ky="0" w14:algn="ctr">
                  <w14:srgbClr w14:val="000000">
                    <w14:alpha w14:val="1000"/>
                  </w14:srgbClr>
                </w14:shadow>
              </w:rPr>
              <w:t>burg</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1 879 476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1 864 731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-14 745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1 974 478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1 958 751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-15 727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2 069 277 </w:t>
            </w:r>
          </w:p>
        </w:tc>
      </w:tr>
      <w:tr w:rsidR="006D0B02" w:rsidRPr="00F338B4" w:rsidTr="00F338B4">
        <w:trPr>
          <w:trHeight w:val="365"/>
        </w:trPr>
        <w:tc>
          <w:tcPr>
            <w:tcW w:w="1667"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Tshwane</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1 629 196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1 616 415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-12 781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1 711 548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1 697 914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-13 634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1 793 723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FDE9D9"/>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Sub Total</w:t>
            </w:r>
          </w:p>
        </w:tc>
        <w:tc>
          <w:tcPr>
            <w:tcW w:w="1545" w:type="dxa"/>
            <w:tcBorders>
              <w:top w:val="single" w:sz="4" w:space="0" w:color="000000"/>
              <w:left w:val="nil"/>
              <w:bottom w:val="single" w:sz="4" w:space="0" w:color="000000"/>
              <w:right w:val="single" w:sz="4" w:space="0" w:color="000000"/>
            </w:tcBorders>
            <w:shd w:val="clear" w:color="auto" w:fill="FDE9D9"/>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w:t>
            </w:r>
          </w:p>
        </w:tc>
        <w:tc>
          <w:tcPr>
            <w:tcW w:w="1390"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5 509 378 </w:t>
            </w:r>
          </w:p>
        </w:tc>
        <w:tc>
          <w:tcPr>
            <w:tcW w:w="1259"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5 466 156 </w:t>
            </w:r>
          </w:p>
        </w:tc>
        <w:tc>
          <w:tcPr>
            <w:tcW w:w="1017"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-43 222 </w:t>
            </w:r>
          </w:p>
        </w:tc>
        <w:tc>
          <w:tcPr>
            <w:tcW w:w="1391"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5 787 862 </w:t>
            </w:r>
          </w:p>
        </w:tc>
        <w:tc>
          <w:tcPr>
            <w:tcW w:w="1128"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5 741 759 </w:t>
            </w:r>
          </w:p>
        </w:tc>
        <w:tc>
          <w:tcPr>
            <w:tcW w:w="1017"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-46 103 </w:t>
            </w:r>
          </w:p>
        </w:tc>
        <w:tc>
          <w:tcPr>
            <w:tcW w:w="1205" w:type="dxa"/>
            <w:tcBorders>
              <w:top w:val="single" w:sz="4" w:space="0" w:color="000000"/>
              <w:left w:val="single" w:sz="4" w:space="0" w:color="000000"/>
              <w:bottom w:val="single" w:sz="4" w:space="0" w:color="000000"/>
              <w:right w:val="single" w:sz="4" w:space="0" w:color="000000"/>
            </w:tcBorders>
            <w:shd w:val="clear" w:color="auto" w:fill="FDE9D9"/>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iCs/>
                <w:kern w:val="24"/>
                <w:lang w:val="en-US"/>
                <w14:shadow w14:blurRad="50800" w14:dist="50800" w14:dir="5400000" w14:sx="2000" w14:sy="2000" w14:kx="0" w14:ky="0" w14:algn="ctr">
                  <w14:srgbClr w14:val="000000">
                    <w14:alpha w14:val="1000"/>
                  </w14:srgbClr>
                </w14:shadow>
              </w:rPr>
              <w:t xml:space="preserve">6 065 750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rPr>
                <w14:shadow w14:blurRad="50800" w14:dist="50800" w14:dir="5400000" w14:sx="2000" w14:sy="2000" w14:kx="0" w14:ky="0" w14:algn="ctr">
                  <w14:srgbClr w14:val="000000">
                    <w14:alpha w14:val="1000"/>
                  </w14:srgbClr>
                </w14:shadow>
              </w:rPr>
            </w:pPr>
          </w:p>
        </w:tc>
        <w:tc>
          <w:tcPr>
            <w:tcW w:w="1390" w:type="dxa"/>
            <w:tcBorders>
              <w:top w:val="single" w:sz="4" w:space="0" w:color="000000"/>
              <w:left w:val="nil"/>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KWAZULU-NATAL</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eThekwini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1 995 766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1 980 109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-15 657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2 096 646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2 079 946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-16 700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2 197 311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rPr>
                <w14:shadow w14:blurRad="50800" w14:dist="50800" w14:dir="5400000" w14:sx="2000" w14:sy="2000" w14:kx="0" w14:ky="0" w14:algn="ctr">
                  <w14:srgbClr w14:val="000000">
                    <w14:alpha w14:val="1000"/>
                  </w14:srgbClr>
                </w14:shadow>
              </w:rPr>
            </w:pPr>
          </w:p>
        </w:tc>
        <w:tc>
          <w:tcPr>
            <w:tcW w:w="1390" w:type="dxa"/>
            <w:tcBorders>
              <w:top w:val="single" w:sz="4" w:space="0" w:color="000000"/>
              <w:left w:val="nil"/>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WESTERN CAPE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Cape Town</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1 506 605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1 494 786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-11 819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1 582 760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1 570 152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-12 608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xml:space="preserve">1 658 751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54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kern w:val="24"/>
                <w:lang w:val="en-US"/>
                <w14:shadow w14:blurRad="50800" w14:dist="50800" w14:dir="5400000" w14:sx="2000" w14:sy="2000" w14:kx="0" w14:ky="0" w14:algn="ctr">
                  <w14:srgbClr w14:val="000000">
                    <w14:alpha w14:val="1000"/>
                  </w14:srgbClr>
                </w14:shadow>
              </w:rPr>
              <w:t> </w:t>
            </w:r>
          </w:p>
        </w:tc>
      </w:tr>
      <w:tr w:rsidR="006D0B02" w:rsidRPr="00F338B4" w:rsidTr="00F338B4">
        <w:trPr>
          <w:trHeight w:val="365"/>
        </w:trPr>
        <w:tc>
          <w:tcPr>
            <w:tcW w:w="1667" w:type="dxa"/>
            <w:tcBorders>
              <w:top w:val="single" w:sz="4" w:space="0" w:color="000000"/>
              <w:left w:val="single" w:sz="4" w:space="0" w:color="000000"/>
              <w:bottom w:val="single" w:sz="4" w:space="0" w:color="000000"/>
              <w:right w:val="nil"/>
            </w:tcBorders>
            <w:shd w:val="clear" w:color="auto" w:fill="92D050"/>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Grant Total</w:t>
            </w:r>
          </w:p>
        </w:tc>
        <w:tc>
          <w:tcPr>
            <w:tcW w:w="1545" w:type="dxa"/>
            <w:tcBorders>
              <w:top w:val="single" w:sz="4" w:space="0" w:color="000000"/>
              <w:left w:val="nil"/>
              <w:bottom w:val="single" w:sz="4" w:space="0" w:color="000000"/>
              <w:right w:val="single" w:sz="4" w:space="0" w:color="000000"/>
            </w:tcBorders>
            <w:shd w:val="clear" w:color="auto" w:fill="92D050"/>
            <w:tcMar>
              <w:top w:w="15" w:type="dxa"/>
              <w:left w:w="15" w:type="dxa"/>
              <w:bottom w:w="0" w:type="dxa"/>
              <w:right w:w="15" w:type="dxa"/>
            </w:tcMar>
            <w:vAlign w:val="bottom"/>
            <w:hideMark/>
          </w:tcPr>
          <w:p w:rsidR="00BD4CCA" w:rsidRPr="00F338B4" w:rsidRDefault="00BD4CCA"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w:t>
            </w:r>
          </w:p>
        </w:tc>
        <w:tc>
          <w:tcPr>
            <w:tcW w:w="1390" w:type="dxa"/>
            <w:tcBorders>
              <w:top w:val="single" w:sz="4" w:space="0" w:color="000000"/>
              <w:left w:val="single" w:sz="4" w:space="0" w:color="000000"/>
              <w:bottom w:val="single" w:sz="4" w:space="0" w:color="000000"/>
              <w:right w:val="single" w:sz="4" w:space="0" w:color="000000"/>
            </w:tcBorders>
            <w:shd w:val="clear" w:color="auto" w:fill="92D050"/>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11 472 247 </w:t>
            </w:r>
          </w:p>
        </w:tc>
        <w:tc>
          <w:tcPr>
            <w:tcW w:w="1259" w:type="dxa"/>
            <w:tcBorders>
              <w:top w:val="single" w:sz="4" w:space="0" w:color="000000"/>
              <w:left w:val="single" w:sz="4" w:space="0" w:color="000000"/>
              <w:bottom w:val="single" w:sz="4" w:space="0" w:color="000000"/>
              <w:right w:val="single" w:sz="4" w:space="0" w:color="000000"/>
            </w:tcBorders>
            <w:shd w:val="clear" w:color="auto" w:fill="92D050"/>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11 382 247 </w:t>
            </w:r>
          </w:p>
        </w:tc>
        <w:tc>
          <w:tcPr>
            <w:tcW w:w="10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-90 000 </w:t>
            </w:r>
          </w:p>
        </w:tc>
        <w:tc>
          <w:tcPr>
            <w:tcW w:w="1391" w:type="dxa"/>
            <w:tcBorders>
              <w:top w:val="single" w:sz="4" w:space="0" w:color="000000"/>
              <w:left w:val="single" w:sz="4" w:space="0" w:color="000000"/>
              <w:bottom w:val="single" w:sz="4" w:space="0" w:color="000000"/>
              <w:right w:val="single" w:sz="4" w:space="0" w:color="000000"/>
            </w:tcBorders>
            <w:shd w:val="clear" w:color="auto" w:fill="92D050"/>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12 052 137 </w:t>
            </w:r>
          </w:p>
        </w:tc>
        <w:tc>
          <w:tcPr>
            <w:tcW w:w="1128" w:type="dxa"/>
            <w:tcBorders>
              <w:top w:val="single" w:sz="4" w:space="0" w:color="000000"/>
              <w:left w:val="single" w:sz="4" w:space="0" w:color="000000"/>
              <w:bottom w:val="single" w:sz="4" w:space="0" w:color="000000"/>
              <w:right w:val="single" w:sz="4" w:space="0" w:color="000000"/>
            </w:tcBorders>
            <w:shd w:val="clear" w:color="auto" w:fill="92D050"/>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11 956 137 </w:t>
            </w:r>
          </w:p>
        </w:tc>
        <w:tc>
          <w:tcPr>
            <w:tcW w:w="1017" w:type="dxa"/>
            <w:tcBorders>
              <w:top w:val="single" w:sz="4" w:space="0" w:color="000000"/>
              <w:left w:val="single" w:sz="4" w:space="0" w:color="000000"/>
              <w:bottom w:val="single" w:sz="4" w:space="0" w:color="000000"/>
              <w:right w:val="single" w:sz="4" w:space="0" w:color="000000"/>
            </w:tcBorders>
            <w:shd w:val="clear" w:color="auto" w:fill="92D050"/>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-96 000 </w:t>
            </w:r>
          </w:p>
        </w:tc>
        <w:tc>
          <w:tcPr>
            <w:tcW w:w="1205" w:type="dxa"/>
            <w:tcBorders>
              <w:top w:val="single" w:sz="4" w:space="0" w:color="000000"/>
              <w:left w:val="single" w:sz="4" w:space="0" w:color="000000"/>
              <w:bottom w:val="single" w:sz="4" w:space="0" w:color="000000"/>
              <w:right w:val="single" w:sz="4" w:space="0" w:color="000000"/>
            </w:tcBorders>
            <w:shd w:val="clear" w:color="auto" w:fill="92D050"/>
            <w:tcMar>
              <w:top w:w="15" w:type="dxa"/>
              <w:left w:w="57" w:type="dxa"/>
              <w:bottom w:w="0" w:type="dxa"/>
              <w:right w:w="57" w:type="dxa"/>
            </w:tcMar>
            <w:vAlign w:val="center"/>
            <w:hideMark/>
          </w:tcPr>
          <w:p w:rsidR="00BD4CCA" w:rsidRPr="00F338B4" w:rsidRDefault="00BD4CCA"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rFonts w:eastAsia="MS PGothic"/>
                <w:bCs/>
                <w:kern w:val="24"/>
                <w:lang w:val="en-US"/>
                <w14:shadow w14:blurRad="50800" w14:dist="50800" w14:dir="5400000" w14:sx="2000" w14:sy="2000" w14:kx="0" w14:ky="0" w14:algn="ctr">
                  <w14:srgbClr w14:val="000000">
                    <w14:alpha w14:val="1000"/>
                  </w14:srgbClr>
                </w14:shadow>
              </w:rPr>
              <w:t xml:space="preserve">12 630 786 </w:t>
            </w:r>
          </w:p>
        </w:tc>
      </w:tr>
    </w:tbl>
    <w:p w:rsidR="00BD4CCA" w:rsidRPr="00F338B4" w:rsidRDefault="00BD4CCA"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p>
    <w:p w:rsidR="00CC591D" w:rsidRPr="00F338B4" w:rsidRDefault="00281D88"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4.3</w:t>
      </w:r>
      <w:r w:rsidRPr="00F338B4">
        <w:rPr>
          <w:rFonts w:eastAsia="Calibri"/>
          <w:bCs w:val="0"/>
          <w:sz w:val="24"/>
          <w14:shadow w14:blurRad="50800" w14:dist="50800" w14:dir="5400000" w14:sx="2000" w14:sy="2000" w14:kx="0" w14:ky="0" w14:algn="ctr">
            <w14:srgbClr w14:val="000000">
              <w14:alpha w14:val="1000"/>
            </w14:srgbClr>
          </w14:shadow>
        </w:rPr>
        <w:tab/>
      </w:r>
      <w:r w:rsidR="00CC591D" w:rsidRPr="00F338B4">
        <w:rPr>
          <w:rFonts w:eastAsia="Calibri"/>
          <w:bCs w:val="0"/>
          <w:sz w:val="24"/>
          <w14:shadow w14:blurRad="50800" w14:dist="50800" w14:dir="5400000" w14:sx="2000" w14:sy="2000" w14:kx="0" w14:ky="0" w14:algn="ctr">
            <w14:srgbClr w14:val="000000">
              <w14:alpha w14:val="1000"/>
            </w14:srgbClr>
          </w14:shadow>
        </w:rPr>
        <w:t xml:space="preserve">Human Settlements entities </w:t>
      </w:r>
      <w:r w:rsidRPr="00F338B4">
        <w:rPr>
          <w:rFonts w:eastAsia="Calibri"/>
          <w:bCs w:val="0"/>
          <w:sz w:val="24"/>
          <w14:shadow w14:blurRad="50800" w14:dist="50800" w14:dir="5400000" w14:sx="2000" w14:sy="2000" w14:kx="0" w14:ky="0" w14:algn="ctr">
            <w14:srgbClr w14:val="000000">
              <w14:alpha w14:val="1000"/>
            </w14:srgbClr>
          </w14:shadow>
        </w:rPr>
        <w:t xml:space="preserve">allocation </w:t>
      </w:r>
    </w:p>
    <w:tbl>
      <w:tblPr>
        <w:tblW w:w="10920" w:type="dxa"/>
        <w:tblInd w:w="-10" w:type="dxa"/>
        <w:tblCellMar>
          <w:left w:w="0" w:type="dxa"/>
          <w:right w:w="0" w:type="dxa"/>
        </w:tblCellMar>
        <w:tblLook w:val="0660" w:firstRow="1" w:lastRow="1" w:firstColumn="0" w:lastColumn="0" w:noHBand="1" w:noVBand="1"/>
      </w:tblPr>
      <w:tblGrid>
        <w:gridCol w:w="4080"/>
        <w:gridCol w:w="2160"/>
        <w:gridCol w:w="1920"/>
        <w:gridCol w:w="2760"/>
      </w:tblGrid>
      <w:tr w:rsidR="006D0B02" w:rsidRPr="00F338B4" w:rsidTr="00F338B4">
        <w:trPr>
          <w:trHeight w:val="185"/>
        </w:trPr>
        <w:tc>
          <w:tcPr>
            <w:tcW w:w="4080" w:type="dxa"/>
            <w:tcBorders>
              <w:top w:val="single" w:sz="8" w:space="0" w:color="FFFFFF"/>
              <w:left w:val="single" w:sz="8" w:space="0" w:color="FFFFFF"/>
              <w:bottom w:val="single" w:sz="24" w:space="0" w:color="FFFFFF"/>
              <w:right w:val="single" w:sz="8" w:space="0" w:color="FFFFFF"/>
            </w:tcBorders>
            <w:shd w:val="clear" w:color="auto" w:fill="92D050"/>
            <w:tcMar>
              <w:top w:w="15" w:type="dxa"/>
              <w:left w:w="15" w:type="dxa"/>
              <w:bottom w:w="0" w:type="dxa"/>
              <w:right w:w="15" w:type="dxa"/>
            </w:tcMar>
            <w:vAlign w:val="center"/>
            <w:hideMark/>
          </w:tcPr>
          <w:p w:rsidR="003C36D4" w:rsidRPr="00F338B4" w:rsidRDefault="003C36D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lastRenderedPageBreak/>
              <w:t>Entities</w:t>
            </w:r>
          </w:p>
          <w:p w:rsidR="003C36D4" w:rsidRPr="00F338B4" w:rsidRDefault="003C36D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R`000</w:t>
            </w:r>
          </w:p>
        </w:tc>
        <w:tc>
          <w:tcPr>
            <w:tcW w:w="2160" w:type="dxa"/>
            <w:tcBorders>
              <w:top w:val="single" w:sz="8" w:space="0" w:color="FFFFFF"/>
              <w:left w:val="single" w:sz="8" w:space="0" w:color="FFFFFF"/>
              <w:bottom w:val="single" w:sz="24" w:space="0" w:color="FFFFFF"/>
              <w:right w:val="single" w:sz="8" w:space="0" w:color="FFFFFF"/>
            </w:tcBorders>
            <w:shd w:val="clear" w:color="auto" w:fill="92D050"/>
            <w:tcMar>
              <w:top w:w="15" w:type="dxa"/>
              <w:left w:w="15" w:type="dxa"/>
              <w:bottom w:w="0" w:type="dxa"/>
              <w:right w:w="15" w:type="dxa"/>
            </w:tcMar>
            <w:vAlign w:val="center"/>
            <w:hideMark/>
          </w:tcPr>
          <w:p w:rsidR="003C36D4" w:rsidRPr="00F338B4" w:rsidRDefault="003C36D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MTEF Allocation</w:t>
            </w:r>
          </w:p>
        </w:tc>
        <w:tc>
          <w:tcPr>
            <w:tcW w:w="1920" w:type="dxa"/>
            <w:tcBorders>
              <w:top w:val="single" w:sz="8" w:space="0" w:color="FFFFFF"/>
              <w:left w:val="single" w:sz="8" w:space="0" w:color="FFFFFF"/>
              <w:bottom w:val="single" w:sz="24" w:space="0" w:color="FFFFFF"/>
              <w:right w:val="single" w:sz="8" w:space="0" w:color="FFFFFF"/>
            </w:tcBorders>
            <w:shd w:val="clear" w:color="auto" w:fill="92D050"/>
            <w:tcMar>
              <w:top w:w="15" w:type="dxa"/>
              <w:left w:w="15" w:type="dxa"/>
              <w:bottom w:w="0" w:type="dxa"/>
              <w:right w:w="15" w:type="dxa"/>
            </w:tcMar>
            <w:vAlign w:val="center"/>
            <w:hideMark/>
          </w:tcPr>
          <w:p w:rsidR="003C36D4" w:rsidRPr="00F338B4" w:rsidRDefault="003C36D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Reduction</w:t>
            </w:r>
          </w:p>
        </w:tc>
        <w:tc>
          <w:tcPr>
            <w:tcW w:w="2760" w:type="dxa"/>
            <w:tcBorders>
              <w:top w:val="single" w:sz="8" w:space="0" w:color="FFFFFF"/>
              <w:left w:val="single" w:sz="8" w:space="0" w:color="FFFFFF"/>
              <w:bottom w:val="single" w:sz="24" w:space="0" w:color="FFFFFF"/>
              <w:right w:val="single" w:sz="8" w:space="0" w:color="FFFFFF"/>
            </w:tcBorders>
            <w:shd w:val="clear" w:color="auto" w:fill="92D050"/>
            <w:tcMar>
              <w:top w:w="15" w:type="dxa"/>
              <w:left w:w="15" w:type="dxa"/>
              <w:bottom w:w="0" w:type="dxa"/>
              <w:right w:w="15" w:type="dxa"/>
            </w:tcMar>
            <w:vAlign w:val="center"/>
            <w:hideMark/>
          </w:tcPr>
          <w:p w:rsidR="003C36D4" w:rsidRPr="00F338B4" w:rsidRDefault="003C36D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Revised MTEF Allocation</w:t>
            </w:r>
          </w:p>
        </w:tc>
      </w:tr>
      <w:tr w:rsidR="006D0B02" w:rsidRPr="00F338B4" w:rsidTr="00F338B4">
        <w:trPr>
          <w:trHeight w:val="70"/>
        </w:trPr>
        <w:tc>
          <w:tcPr>
            <w:tcW w:w="408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Social Housing Regulatory Authority: Operational</w:t>
            </w:r>
          </w:p>
        </w:tc>
        <w:tc>
          <w:tcPr>
            <w:tcW w:w="216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121 332 </w:t>
            </w:r>
          </w:p>
        </w:tc>
        <w:tc>
          <w:tcPr>
            <w:tcW w:w="192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32 664 </w:t>
            </w:r>
          </w:p>
        </w:tc>
        <w:tc>
          <w:tcPr>
            <w:tcW w:w="276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153 996 </w:t>
            </w:r>
          </w:p>
        </w:tc>
      </w:tr>
      <w:tr w:rsidR="006D0B02" w:rsidRPr="00F338B4" w:rsidTr="00F338B4">
        <w:trPr>
          <w:trHeight w:val="486"/>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00486" w:rsidRPr="00F338B4" w:rsidRDefault="00A00486" w:rsidP="00F338B4">
            <w:pPr>
              <w:spacing w:before="120" w:after="120"/>
              <w:jc w:val="center"/>
              <w:textAlignment w:val="top"/>
              <w:rPr>
                <w:kern w:val="24"/>
                <w:lang w:val="en-US"/>
                <w14:shadow w14:blurRad="50800" w14:dist="50800" w14:dir="5400000" w14:sx="2000" w14:sy="2000" w14:kx="0" w14:ky="0" w14:algn="ctr">
                  <w14:srgbClr w14:val="000000">
                    <w14:alpha w14:val="1000"/>
                  </w14:srgbClr>
                </w14:shadow>
              </w:rPr>
            </w:pPr>
          </w:p>
          <w:p w:rsidR="003C36D4" w:rsidRPr="00F338B4" w:rsidRDefault="003C36D4" w:rsidP="00F338B4">
            <w:pPr>
              <w:spacing w:before="120" w:after="120"/>
              <w:jc w:val="center"/>
              <w:textAlignment w:val="top"/>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Social Housing Regulatory Authority: Institutional Investment</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93 654 </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(31 773)</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61 881 </w:t>
            </w:r>
          </w:p>
        </w:tc>
      </w:tr>
      <w:tr w:rsidR="006D0B02" w:rsidRPr="00F338B4" w:rsidTr="00F338B4">
        <w:trPr>
          <w:trHeight w:val="110"/>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00486" w:rsidRPr="00F338B4" w:rsidRDefault="00A00486" w:rsidP="00F338B4">
            <w:pPr>
              <w:spacing w:before="120" w:after="120"/>
              <w:jc w:val="center"/>
              <w:textAlignment w:val="top"/>
              <w:rPr>
                <w:kern w:val="24"/>
                <w:lang w:val="en-US"/>
                <w14:shadow w14:blurRad="50800" w14:dist="50800" w14:dir="5400000" w14:sx="2000" w14:sy="2000" w14:kx="0" w14:ky="0" w14:algn="ctr">
                  <w14:srgbClr w14:val="000000">
                    <w14:alpha w14:val="1000"/>
                  </w14:srgbClr>
                </w14:shadow>
              </w:rPr>
            </w:pPr>
          </w:p>
          <w:p w:rsidR="003C36D4" w:rsidRPr="00F338B4" w:rsidRDefault="003C36D4" w:rsidP="00F338B4">
            <w:pPr>
              <w:spacing w:before="120" w:after="120"/>
              <w:jc w:val="center"/>
              <w:textAlignment w:val="top"/>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Social Housing Regulatory Authority: Restructuring Capital Grant</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2 837 183 </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396 529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3 233 712 </w:t>
            </w:r>
          </w:p>
        </w:tc>
      </w:tr>
      <w:tr w:rsidR="006D0B02" w:rsidRPr="00F338B4" w:rsidTr="00F338B4">
        <w:trPr>
          <w:trHeight w:val="316"/>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00486" w:rsidRPr="00F338B4" w:rsidRDefault="00A00486" w:rsidP="00F338B4">
            <w:pPr>
              <w:spacing w:before="120" w:after="120"/>
              <w:jc w:val="center"/>
              <w:textAlignment w:val="top"/>
              <w:rPr>
                <w:kern w:val="24"/>
                <w:lang w:val="en-US"/>
                <w14:shadow w14:blurRad="50800" w14:dist="50800" w14:dir="5400000" w14:sx="2000" w14:sy="2000" w14:kx="0" w14:ky="0" w14:algn="ctr">
                  <w14:srgbClr w14:val="000000">
                    <w14:alpha w14:val="1000"/>
                  </w14:srgbClr>
                </w14:shadow>
              </w:rPr>
            </w:pPr>
          </w:p>
          <w:p w:rsidR="003C36D4" w:rsidRPr="00F338B4" w:rsidRDefault="003C36D4" w:rsidP="00F338B4">
            <w:pPr>
              <w:spacing w:before="120" w:after="120"/>
              <w:jc w:val="center"/>
              <w:textAlignment w:val="top"/>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Social Housing Regulatory Authority: Regulations</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28 560 </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28 560 </w:t>
            </w:r>
          </w:p>
        </w:tc>
      </w:tr>
      <w:tr w:rsidR="006D0B02" w:rsidRPr="00F338B4" w:rsidTr="00F338B4">
        <w:trPr>
          <w:trHeight w:val="305"/>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00486" w:rsidRPr="00F338B4" w:rsidRDefault="00A00486" w:rsidP="00F338B4">
            <w:pPr>
              <w:spacing w:before="120" w:after="120"/>
              <w:jc w:val="center"/>
              <w:textAlignment w:val="bottom"/>
              <w:rPr>
                <w:kern w:val="24"/>
                <w:lang w:val="en-US"/>
                <w14:shadow w14:blurRad="50800" w14:dist="50800" w14:dir="5400000" w14:sx="2000" w14:sy="2000" w14:kx="0" w14:ky="0" w14:algn="ctr">
                  <w14:srgbClr w14:val="000000">
                    <w14:alpha w14:val="1000"/>
                  </w14:srgbClr>
                </w14:shadow>
              </w:rPr>
            </w:pPr>
          </w:p>
          <w:p w:rsidR="003C36D4" w:rsidRPr="00F338B4" w:rsidRDefault="003C36D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Community Schemes Ombuds Services</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93 352 </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                              -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93 352 </w:t>
            </w:r>
          </w:p>
        </w:tc>
      </w:tr>
      <w:tr w:rsidR="006D0B02" w:rsidRPr="00F338B4" w:rsidTr="00F338B4">
        <w:trPr>
          <w:trHeight w:val="58"/>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00486" w:rsidRPr="00F338B4" w:rsidRDefault="00A00486" w:rsidP="00F338B4">
            <w:pPr>
              <w:spacing w:before="120" w:after="120"/>
              <w:jc w:val="center"/>
              <w:textAlignment w:val="bottom"/>
              <w:rPr>
                <w:kern w:val="24"/>
                <w:lang w:val="en-US"/>
                <w14:shadow w14:blurRad="50800" w14:dist="50800" w14:dir="5400000" w14:sx="2000" w14:sy="2000" w14:kx="0" w14:ky="0" w14:algn="ctr">
                  <w14:srgbClr w14:val="000000">
                    <w14:alpha w14:val="1000"/>
                  </w14:srgbClr>
                </w14:shadow>
              </w:rPr>
            </w:pPr>
          </w:p>
          <w:p w:rsidR="003C36D4" w:rsidRPr="00F338B4" w:rsidRDefault="003C36D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Housing Development Agency</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621 295 </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46 505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667 800 </w:t>
            </w:r>
          </w:p>
        </w:tc>
      </w:tr>
      <w:tr w:rsidR="006D0B02" w:rsidRPr="00F338B4" w:rsidTr="00F338B4">
        <w:trPr>
          <w:trHeight w:val="217"/>
        </w:trPr>
        <w:tc>
          <w:tcPr>
            <w:tcW w:w="40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A00486" w:rsidRPr="00F338B4" w:rsidRDefault="00A00486" w:rsidP="00F338B4">
            <w:pPr>
              <w:spacing w:before="120" w:after="120"/>
              <w:jc w:val="center"/>
              <w:textAlignment w:val="bottom"/>
              <w:rPr>
                <w:kern w:val="24"/>
                <w:lang w:val="en-US"/>
                <w14:shadow w14:blurRad="50800" w14:dist="50800" w14:dir="5400000" w14:sx="2000" w14:sy="2000" w14:kx="0" w14:ky="0" w14:algn="ctr">
                  <w14:srgbClr w14:val="000000">
                    <w14:alpha w14:val="1000"/>
                  </w14:srgbClr>
                </w14:shadow>
              </w:rPr>
            </w:pPr>
          </w:p>
          <w:p w:rsidR="003C36D4" w:rsidRPr="00F338B4" w:rsidRDefault="003C36D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National Housing Finance Corporation</w:t>
            </w:r>
          </w:p>
        </w:tc>
        <w:tc>
          <w:tcPr>
            <w:tcW w:w="21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317 525 </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(87 525)</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230 000 </w:t>
            </w:r>
          </w:p>
        </w:tc>
      </w:tr>
      <w:tr w:rsidR="006D0B02" w:rsidRPr="00F338B4" w:rsidTr="00F338B4">
        <w:trPr>
          <w:trHeight w:val="235"/>
        </w:trPr>
        <w:tc>
          <w:tcPr>
            <w:tcW w:w="408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center"/>
              <w:textAlignment w:val="center"/>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Rural Housing Loan Fund</w:t>
            </w:r>
          </w:p>
        </w:tc>
        <w:tc>
          <w:tcPr>
            <w:tcW w:w="216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158 762 </w:t>
            </w:r>
          </w:p>
        </w:tc>
        <w:tc>
          <w:tcPr>
            <w:tcW w:w="192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(108 762)</w:t>
            </w:r>
          </w:p>
        </w:tc>
        <w:tc>
          <w:tcPr>
            <w:tcW w:w="2760" w:type="dxa"/>
            <w:tcBorders>
              <w:top w:val="single" w:sz="8" w:space="0" w:color="FFFFFF"/>
              <w:left w:val="single" w:sz="8" w:space="0" w:color="FFFFFF"/>
              <w:bottom w:val="single" w:sz="24" w:space="0" w:color="FFFFFF"/>
              <w:right w:val="single" w:sz="8" w:space="0" w:color="FFFFFF"/>
            </w:tcBorders>
            <w:shd w:val="clear" w:color="auto" w:fill="E9EDF4"/>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kern w:val="24"/>
                <w:lang w:val="en-US"/>
                <w14:shadow w14:blurRad="50800" w14:dist="50800" w14:dir="5400000" w14:sx="2000" w14:sy="2000" w14:kx="0" w14:ky="0" w14:algn="ctr">
                  <w14:srgbClr w14:val="000000">
                    <w14:alpha w14:val="1000"/>
                  </w14:srgbClr>
                </w14:shadow>
              </w:rPr>
              <w:t xml:space="preserve">50 000 </w:t>
            </w:r>
          </w:p>
        </w:tc>
      </w:tr>
      <w:tr w:rsidR="006D0B02" w:rsidRPr="00F338B4" w:rsidTr="00F338B4">
        <w:trPr>
          <w:trHeight w:val="57"/>
        </w:trPr>
        <w:tc>
          <w:tcPr>
            <w:tcW w:w="4080" w:type="dxa"/>
            <w:tcBorders>
              <w:top w:val="single" w:sz="24"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A00486" w:rsidRPr="00F338B4" w:rsidRDefault="00A00486" w:rsidP="00F338B4">
            <w:pPr>
              <w:spacing w:before="120" w:after="120"/>
              <w:jc w:val="center"/>
              <w:textAlignment w:val="bottom"/>
              <w:rPr>
                <w:bCs/>
                <w:kern w:val="24"/>
                <w:lang w:val="en-US"/>
                <w14:shadow w14:blurRad="50800" w14:dist="50800" w14:dir="5400000" w14:sx="2000" w14:sy="2000" w14:kx="0" w14:ky="0" w14:algn="ctr">
                  <w14:srgbClr w14:val="000000">
                    <w14:alpha w14:val="1000"/>
                  </w14:srgbClr>
                </w14:shadow>
              </w:rPr>
            </w:pPr>
          </w:p>
          <w:p w:rsidR="003C36D4" w:rsidRPr="00F338B4" w:rsidRDefault="003C36D4" w:rsidP="00F338B4">
            <w:pPr>
              <w:spacing w:before="120" w:after="120"/>
              <w:jc w:val="center"/>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Total</w:t>
            </w:r>
          </w:p>
        </w:tc>
        <w:tc>
          <w:tcPr>
            <w:tcW w:w="2160" w:type="dxa"/>
            <w:tcBorders>
              <w:top w:val="single" w:sz="24"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4 271 663 </w:t>
            </w:r>
          </w:p>
        </w:tc>
        <w:tc>
          <w:tcPr>
            <w:tcW w:w="1920" w:type="dxa"/>
            <w:tcBorders>
              <w:top w:val="single" w:sz="24"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247 638 </w:t>
            </w:r>
          </w:p>
        </w:tc>
        <w:tc>
          <w:tcPr>
            <w:tcW w:w="2760" w:type="dxa"/>
            <w:tcBorders>
              <w:top w:val="single" w:sz="24"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center"/>
            <w:hideMark/>
          </w:tcPr>
          <w:p w:rsidR="003C36D4" w:rsidRPr="00F338B4" w:rsidRDefault="003C36D4" w:rsidP="00F338B4">
            <w:pPr>
              <w:spacing w:before="120" w:after="120"/>
              <w:jc w:val="right"/>
              <w:textAlignment w:val="bottom"/>
              <w:rPr>
                <w14:shadow w14:blurRad="50800" w14:dist="50800" w14:dir="5400000" w14:sx="2000" w14:sy="2000" w14:kx="0" w14:ky="0" w14:algn="ctr">
                  <w14:srgbClr w14:val="000000">
                    <w14:alpha w14:val="1000"/>
                  </w14:srgbClr>
                </w14:shadow>
              </w:rPr>
            </w:pPr>
            <w:r w:rsidRPr="00F338B4">
              <w:rPr>
                <w:bCs/>
                <w:kern w:val="24"/>
                <w:lang w:val="en-US"/>
                <w14:shadow w14:blurRad="50800" w14:dist="50800" w14:dir="5400000" w14:sx="2000" w14:sy="2000" w14:kx="0" w14:ky="0" w14:algn="ctr">
                  <w14:srgbClr w14:val="000000">
                    <w14:alpha w14:val="1000"/>
                  </w14:srgbClr>
                </w14:shadow>
              </w:rPr>
              <w:t xml:space="preserve">4 519 301 </w:t>
            </w:r>
          </w:p>
        </w:tc>
      </w:tr>
    </w:tbl>
    <w:p w:rsidR="00CC591D" w:rsidRPr="00F338B4" w:rsidRDefault="00281D88"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4.</w:t>
      </w:r>
      <w:r w:rsidR="004D1D78" w:rsidRPr="00F338B4">
        <w:rPr>
          <w:rFonts w:eastAsia="Calibri"/>
          <w:bCs w:val="0"/>
          <w:sz w:val="24"/>
          <w14:shadow w14:blurRad="50800" w14:dist="50800" w14:dir="5400000" w14:sx="2000" w14:sy="2000" w14:kx="0" w14:ky="0" w14:algn="ctr">
            <w14:srgbClr w14:val="000000">
              <w14:alpha w14:val="1000"/>
            </w14:srgbClr>
          </w14:shadow>
        </w:rPr>
        <w:t>3.1</w:t>
      </w:r>
      <w:r w:rsidR="003074A9" w:rsidRPr="00F338B4">
        <w:rPr>
          <w:rFonts w:eastAsia="Calibri"/>
          <w:bCs w:val="0"/>
          <w:sz w:val="24"/>
          <w14:shadow w14:blurRad="50800" w14:dist="50800" w14:dir="5400000" w14:sx="2000" w14:sy="2000" w14:kx="0" w14:ky="0" w14:algn="ctr">
            <w14:srgbClr w14:val="000000">
              <w14:alpha w14:val="1000"/>
            </w14:srgbClr>
          </w14:shadow>
        </w:rPr>
        <w:tab/>
      </w:r>
      <w:r w:rsidR="00CC591D" w:rsidRPr="00F338B4">
        <w:rPr>
          <w:rFonts w:eastAsia="Calibri"/>
          <w:bCs w:val="0"/>
          <w:sz w:val="24"/>
          <w14:shadow w14:blurRad="50800" w14:dist="50800" w14:dir="5400000" w14:sx="2000" w14:sy="2000" w14:kx="0" w14:ky="0" w14:algn="ctr">
            <w14:srgbClr w14:val="000000">
              <w14:alpha w14:val="1000"/>
            </w14:srgbClr>
          </w14:shadow>
        </w:rPr>
        <w:t>Housing Development Agency (HDA)</w:t>
      </w:r>
    </w:p>
    <w:p w:rsidR="000E447D" w:rsidRPr="00F338B4" w:rsidRDefault="000E447D" w:rsidP="00F338B4">
      <w:pPr>
        <w:suppressAutoHyphens/>
        <w:autoSpaceDN w:val="0"/>
        <w:spacing w:before="120" w:after="120"/>
        <w:ind w:left="720"/>
        <w:jc w:val="both"/>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xml:space="preserve">Mr P Moloi, Chief Executive Officer, presented on behalf of the entity.  </w:t>
      </w:r>
      <w:r w:rsidR="00C1091C" w:rsidRPr="00F338B4">
        <w:rPr>
          <w:rFonts w:eastAsia="Calibri"/>
          <w:lang w:val="en-US" w:eastAsia="en-US"/>
          <w14:shadow w14:blurRad="50800" w14:dist="50800" w14:dir="5400000" w14:sx="2000" w14:sy="2000" w14:kx="0" w14:ky="0" w14:algn="ctr">
            <w14:srgbClr w14:val="000000">
              <w14:alpha w14:val="1000"/>
            </w14:srgbClr>
          </w14:shadow>
        </w:rPr>
        <w:t xml:space="preserve">He reported that the entity has </w:t>
      </w:r>
      <w:r w:rsidRPr="00F338B4">
        <w:rPr>
          <w:rFonts w:eastAsia="Calibri"/>
          <w:lang w:val="en-US" w:eastAsia="en-US"/>
          <w14:shadow w14:blurRad="50800" w14:dist="50800" w14:dir="5400000" w14:sx="2000" w14:sy="2000" w14:kx="0" w14:ky="0" w14:algn="ctr">
            <w14:srgbClr w14:val="000000">
              <w14:alpha w14:val="1000"/>
            </w14:srgbClr>
          </w14:shadow>
        </w:rPr>
        <w:t>requested to be a developer as stated in the Act.  The mandate of the HDA has been amended as indicated below.  The Housing Agency is the Ministries, the Departments and Governments Human Settlements Developer of Choice.  It carries this mandate by being:</w:t>
      </w:r>
    </w:p>
    <w:p w:rsidR="000E447D" w:rsidRPr="00F338B4" w:rsidRDefault="000E447D" w:rsidP="00F338B4">
      <w:pPr>
        <w:numPr>
          <w:ilvl w:val="0"/>
          <w:numId w:val="11"/>
        </w:numPr>
        <w:suppressAutoHyphens/>
        <w:autoSpaceDN w:val="0"/>
        <w:spacing w:before="120" w:after="120"/>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 fully fledged Developer;</w:t>
      </w:r>
    </w:p>
    <w:p w:rsidR="000E447D" w:rsidRPr="00F338B4" w:rsidRDefault="000E447D" w:rsidP="00F338B4">
      <w:pPr>
        <w:numPr>
          <w:ilvl w:val="0"/>
          <w:numId w:val="11"/>
        </w:numPr>
        <w:suppressAutoHyphens/>
        <w:autoSpaceDN w:val="0"/>
        <w:spacing w:before="120" w:after="120"/>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An implementing agent; and</w:t>
      </w:r>
    </w:p>
    <w:p w:rsidR="000E447D" w:rsidRPr="00F338B4" w:rsidRDefault="000E447D" w:rsidP="00F338B4">
      <w:pPr>
        <w:numPr>
          <w:ilvl w:val="0"/>
          <w:numId w:val="11"/>
        </w:numPr>
        <w:suppressAutoHyphens/>
        <w:autoSpaceDN w:val="0"/>
        <w:spacing w:before="120" w:after="120"/>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 project manager</w:t>
      </w:r>
    </w:p>
    <w:p w:rsidR="000E447D" w:rsidRPr="00F338B4" w:rsidRDefault="000E447D"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It was further stated that the entity had a proposed transformation and empowerment framework which was going to deal with</w:t>
      </w:r>
      <w:r w:rsidR="00C1091C" w:rsidRPr="00F338B4">
        <w:rPr>
          <w14:shadow w14:blurRad="50800" w14:dist="50800" w14:dir="5400000" w14:sx="2000" w14:sy="2000" w14:kx="0" w14:ky="0" w14:algn="ctr">
            <w14:srgbClr w14:val="000000">
              <w14:alpha w14:val="1000"/>
            </w14:srgbClr>
          </w14:shadow>
        </w:rPr>
        <w:t>:</w:t>
      </w:r>
      <w:r w:rsidRPr="00F338B4">
        <w:rPr>
          <w14:shadow w14:blurRad="50800" w14:dist="50800" w14:dir="5400000" w14:sx="2000" w14:sy="2000" w14:kx="0" w14:ky="0" w14:algn="ctr">
            <w14:srgbClr w14:val="000000">
              <w14:alpha w14:val="1000"/>
            </w14:srgbClr>
          </w14:shadow>
        </w:rPr>
        <w:t xml:space="preserve"> </w:t>
      </w:r>
    </w:p>
    <w:p w:rsidR="000E447D" w:rsidRPr="00F338B4" w:rsidRDefault="000E447D" w:rsidP="00F338B4">
      <w:pPr>
        <w:numPr>
          <w:ilvl w:val="0"/>
          <w:numId w:val="1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Radical response on catalytic transf</w:t>
      </w:r>
      <w:r w:rsidR="00C1091C" w:rsidRPr="00F338B4">
        <w:rPr>
          <w14:shadow w14:blurRad="50800" w14:dist="50800" w14:dir="5400000" w14:sx="2000" w14:sy="2000" w14:kx="0" w14:ky="0" w14:algn="ctr">
            <w14:srgbClr w14:val="000000">
              <w14:alpha w14:val="1000"/>
            </w14:srgbClr>
          </w14:shadow>
        </w:rPr>
        <w:t>ormation and or ownership agenda;</w:t>
      </w:r>
    </w:p>
    <w:p w:rsidR="000E447D" w:rsidRPr="00F338B4" w:rsidRDefault="000E447D" w:rsidP="00F338B4">
      <w:pPr>
        <w:numPr>
          <w:ilvl w:val="0"/>
          <w:numId w:val="1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Women empowerment (from material supply to construction)</w:t>
      </w:r>
      <w:r w:rsidR="00C1091C" w:rsidRPr="00F338B4">
        <w:rPr>
          <w14:shadow w14:blurRad="50800" w14:dist="50800" w14:dir="5400000" w14:sx="2000" w14:sy="2000" w14:kx="0" w14:ky="0" w14:algn="ctr">
            <w14:srgbClr w14:val="000000">
              <w14:alpha w14:val="1000"/>
            </w14:srgbClr>
          </w14:shadow>
        </w:rPr>
        <w:t>;</w:t>
      </w:r>
    </w:p>
    <w:p w:rsidR="000E447D" w:rsidRPr="00F338B4" w:rsidRDefault="000E447D" w:rsidP="00F338B4">
      <w:pPr>
        <w:numPr>
          <w:ilvl w:val="0"/>
          <w:numId w:val="1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Structured youth programme</w:t>
      </w:r>
      <w:r w:rsidR="00C1091C" w:rsidRPr="00F338B4">
        <w:rPr>
          <w14:shadow w14:blurRad="50800" w14:dist="50800" w14:dir="5400000" w14:sx="2000" w14:sy="2000" w14:kx="0" w14:ky="0" w14:algn="ctr">
            <w14:srgbClr w14:val="000000">
              <w14:alpha w14:val="1000"/>
            </w14:srgbClr>
          </w14:shadow>
        </w:rPr>
        <w:t>;</w:t>
      </w:r>
    </w:p>
    <w:p w:rsidR="000E447D" w:rsidRPr="00F338B4" w:rsidRDefault="000E447D" w:rsidP="00F338B4">
      <w:pPr>
        <w:numPr>
          <w:ilvl w:val="0"/>
          <w:numId w:val="1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Preferred panel of material suppliers for catalytic project</w:t>
      </w:r>
      <w:r w:rsidR="00C1091C" w:rsidRPr="00F338B4">
        <w:rPr>
          <w14:shadow w14:blurRad="50800" w14:dist="50800" w14:dir="5400000" w14:sx="2000" w14:sy="2000" w14:kx="0" w14:ky="0" w14:algn="ctr">
            <w14:srgbClr w14:val="000000">
              <w14:alpha w14:val="1000"/>
            </w14:srgbClr>
          </w14:shadow>
        </w:rPr>
        <w:t>;</w:t>
      </w:r>
    </w:p>
    <w:p w:rsidR="000E447D" w:rsidRPr="00F338B4" w:rsidRDefault="000E447D" w:rsidP="00F338B4">
      <w:pPr>
        <w:numPr>
          <w:ilvl w:val="0"/>
          <w:numId w:val="1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Preferred panel of contractors and sub-contractors for catalytic projects</w:t>
      </w:r>
      <w:r w:rsidR="00C1091C" w:rsidRPr="00F338B4">
        <w:rPr>
          <w14:shadow w14:blurRad="50800" w14:dist="50800" w14:dir="5400000" w14:sx="2000" w14:sy="2000" w14:kx="0" w14:ky="0" w14:algn="ctr">
            <w14:srgbClr w14:val="000000">
              <w14:alpha w14:val="1000"/>
            </w14:srgbClr>
          </w14:shadow>
        </w:rPr>
        <w:t>.</w:t>
      </w:r>
    </w:p>
    <w:p w:rsidR="000E447D" w:rsidRPr="00F338B4" w:rsidRDefault="000E447D" w:rsidP="00F338B4">
      <w:pPr>
        <w:suppressAutoHyphens/>
        <w:autoSpaceDN w:val="0"/>
        <w:spacing w:before="120" w:after="120"/>
        <w:ind w:left="1440" w:hanging="720"/>
        <w:jc w:val="both"/>
        <w:textAlignment w:val="baseline"/>
        <w:rPr>
          <w14:shadow w14:blurRad="50800" w14:dist="50800" w14:dir="5400000" w14:sx="2000" w14:sy="2000" w14:kx="0" w14:ky="0" w14:algn="ctr">
            <w14:srgbClr w14:val="000000">
              <w14:alpha w14:val="1000"/>
            </w14:srgbClr>
          </w14:shadow>
        </w:rPr>
      </w:pPr>
    </w:p>
    <w:p w:rsidR="000E447D" w:rsidRPr="00F338B4" w:rsidRDefault="000E447D"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He also presented the business </w:t>
      </w:r>
      <w:proofErr w:type="gramStart"/>
      <w:r w:rsidRPr="00F338B4">
        <w:rPr>
          <w14:shadow w14:blurRad="50800" w14:dist="50800" w14:dir="5400000" w14:sx="2000" w14:sy="2000" w14:kx="0" w14:ky="0" w14:algn="ctr">
            <w14:srgbClr w14:val="000000">
              <w14:alpha w14:val="1000"/>
            </w14:srgbClr>
          </w14:shadow>
        </w:rPr>
        <w:t>model which illustrate</w:t>
      </w:r>
      <w:proofErr w:type="gramEnd"/>
      <w:r w:rsidRPr="00F338B4">
        <w:rPr>
          <w14:shadow w14:blurRad="50800" w14:dist="50800" w14:dir="5400000" w14:sx="2000" w14:sy="2000" w14:kx="0" w14:ky="0" w14:algn="ctr">
            <w14:srgbClr w14:val="000000">
              <w14:alpha w14:val="1000"/>
            </w14:srgbClr>
          </w14:shadow>
        </w:rPr>
        <w:t xml:space="preserve"> the project identification; project selection; project packaging; delivery support (implementation) and closure and or handover.  </w:t>
      </w:r>
    </w:p>
    <w:p w:rsidR="000E447D" w:rsidRPr="00F338B4" w:rsidRDefault="000E447D"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p>
    <w:p w:rsidR="00EB6A6A" w:rsidRPr="00F338B4" w:rsidRDefault="00EB6A6A"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The Committee welcomed the presentation and was of the view that HDA was a critical entity that was also promising.  The Committee was pleased that the business case completed.  In addition, that the entity was visible in the province the Committee has already visited, however, there was </w:t>
      </w:r>
      <w:proofErr w:type="gramStart"/>
      <w:r w:rsidRPr="00F338B4">
        <w:rPr>
          <w14:shadow w14:blurRad="50800" w14:dist="50800" w14:dir="5400000" w14:sx="2000" w14:sy="2000" w14:kx="0" w14:ky="0" w14:algn="ctr">
            <w14:srgbClr w14:val="000000">
              <w14:alpha w14:val="1000"/>
            </w14:srgbClr>
          </w14:shadow>
        </w:rPr>
        <w:t>a confusion</w:t>
      </w:r>
      <w:proofErr w:type="gramEnd"/>
      <w:r w:rsidRPr="00F338B4">
        <w:rPr>
          <w14:shadow w14:blurRad="50800" w14:dist="50800" w14:dir="5400000" w14:sx="2000" w14:sy="2000" w14:kx="0" w14:ky="0" w14:algn="ctr">
            <w14:srgbClr w14:val="000000">
              <w14:alpha w14:val="1000"/>
            </w14:srgbClr>
          </w14:shadow>
        </w:rPr>
        <w:t xml:space="preserve"> in some parts of Free State about the role of the entity in the mining towns programme.  It was suggested that the entity should concretised and its role to be taken care of. The Committee appreciated the new model on transformation, however, needed to see the implementation on the ground.  </w:t>
      </w:r>
    </w:p>
    <w:p w:rsidR="0005347C" w:rsidRPr="00F338B4" w:rsidRDefault="0005347C"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BA2098" w:rsidRPr="00F338B4" w:rsidRDefault="004D1D78"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4.3.2</w:t>
      </w:r>
      <w:r w:rsidR="003074A9" w:rsidRPr="00F338B4">
        <w:rPr>
          <w:rFonts w:ascii="Times New Roman" w:hAnsi="Times New Roman"/>
          <w:sz w:val="24"/>
          <w:szCs w:val="24"/>
          <w14:shadow w14:blurRad="50800" w14:dist="50800" w14:dir="5400000" w14:sx="2000" w14:sy="2000" w14:kx="0" w14:ky="0" w14:algn="ctr">
            <w14:srgbClr w14:val="000000">
              <w14:alpha w14:val="1000"/>
            </w14:srgbClr>
          </w14:shadow>
        </w:rPr>
        <w:tab/>
      </w:r>
      <w:r w:rsidR="00BA2098" w:rsidRPr="00F338B4">
        <w:rPr>
          <w:rFonts w:ascii="Times New Roman" w:hAnsi="Times New Roman"/>
          <w:sz w:val="24"/>
          <w:szCs w:val="24"/>
          <w14:shadow w14:blurRad="50800" w14:dist="50800" w14:dir="5400000" w14:sx="2000" w14:sy="2000" w14:kx="0" w14:ky="0" w14:algn="ctr">
            <w14:srgbClr w14:val="000000">
              <w14:alpha w14:val="1000"/>
            </w14:srgbClr>
          </w14:shadow>
        </w:rPr>
        <w:t>Community Schemes Ombud Services (CSOS)</w:t>
      </w:r>
    </w:p>
    <w:p w:rsidR="00C1091C" w:rsidRPr="00F338B4" w:rsidRDefault="00BA2098"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Mr T Mthethwa, Chief Ombud tendered an apology on behalf of the Chairperson of the Board, Rev Mehana who could not attend the meeting due to prior arrangement.  He then presented on behalf of the entity.  The presentation was outlined as indicated below:</w:t>
      </w:r>
    </w:p>
    <w:p w:rsidR="00BA2098" w:rsidRPr="00F338B4" w:rsidRDefault="00BA2098" w:rsidP="00F338B4">
      <w:pPr>
        <w:numPr>
          <w:ilvl w:val="0"/>
          <w:numId w:val="13"/>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Opening remarks and Situational Analysis;</w:t>
      </w:r>
    </w:p>
    <w:p w:rsidR="00BA2098" w:rsidRPr="00F338B4" w:rsidRDefault="00BA2098" w:rsidP="00F338B4">
      <w:pPr>
        <w:numPr>
          <w:ilvl w:val="0"/>
          <w:numId w:val="13"/>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Strategic objectives and Programme Regulation;</w:t>
      </w:r>
    </w:p>
    <w:p w:rsidR="00BA2098" w:rsidRPr="00F338B4" w:rsidRDefault="00BA2098" w:rsidP="00F338B4">
      <w:pPr>
        <w:numPr>
          <w:ilvl w:val="0"/>
          <w:numId w:val="13"/>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Focus area and programme indictors;</w:t>
      </w:r>
    </w:p>
    <w:p w:rsidR="00BA2098" w:rsidRPr="00F338B4" w:rsidRDefault="000E20AE" w:rsidP="00F338B4">
      <w:pPr>
        <w:numPr>
          <w:ilvl w:val="0"/>
          <w:numId w:val="13"/>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Budget;</w:t>
      </w:r>
    </w:p>
    <w:p w:rsidR="00BA2098" w:rsidRPr="00F338B4" w:rsidRDefault="00BA2098" w:rsidP="00F338B4">
      <w:pPr>
        <w:numPr>
          <w:ilvl w:val="0"/>
          <w:numId w:val="13"/>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Closing remarks</w:t>
      </w:r>
      <w:r w:rsidR="000E20AE" w:rsidRPr="00F338B4">
        <w:rPr>
          <w14:shadow w14:blurRad="50800" w14:dist="50800" w14:dir="5400000" w14:sx="2000" w14:sy="2000" w14:kx="0" w14:ky="0" w14:algn="ctr">
            <w14:srgbClr w14:val="000000">
              <w14:alpha w14:val="1000"/>
            </w14:srgbClr>
          </w14:shadow>
        </w:rPr>
        <w:t>.</w:t>
      </w:r>
    </w:p>
    <w:p w:rsidR="00BA2098" w:rsidRPr="00F338B4" w:rsidRDefault="00BA2098" w:rsidP="00F338B4">
      <w:pPr>
        <w:suppressAutoHyphens/>
        <w:autoSpaceDN w:val="0"/>
        <w:spacing w:before="120" w:after="120"/>
        <w:ind w:firstLine="720"/>
        <w:jc w:val="both"/>
        <w:textAlignment w:val="baseline"/>
        <w:rPr>
          <w14:shadow w14:blurRad="50800" w14:dist="50800" w14:dir="5400000" w14:sx="2000" w14:sy="2000" w14:kx="0" w14:ky="0" w14:algn="ctr">
            <w14:srgbClr w14:val="000000">
              <w14:alpha w14:val="1000"/>
            </w14:srgbClr>
          </w14:shadow>
        </w:rPr>
      </w:pPr>
    </w:p>
    <w:p w:rsidR="00BA2098" w:rsidRPr="00F338B4" w:rsidRDefault="00BA2098" w:rsidP="00F338B4">
      <w:pPr>
        <w:suppressAutoHyphens/>
        <w:autoSpaceDN w:val="0"/>
        <w:spacing w:before="120" w:after="120"/>
        <w:ind w:firstLine="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strategic objectives of the entity were to:</w:t>
      </w:r>
    </w:p>
    <w:p w:rsidR="00BA2098" w:rsidRPr="00F338B4" w:rsidRDefault="00BA2098" w:rsidP="00F338B4">
      <w:pPr>
        <w:numPr>
          <w:ilvl w:val="0"/>
          <w:numId w:val="1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Provide dispute resolution services to Community Scheme in South Africa;</w:t>
      </w:r>
    </w:p>
    <w:p w:rsidR="00BA2098" w:rsidRPr="00F338B4" w:rsidRDefault="00BA2098" w:rsidP="00F338B4">
      <w:pPr>
        <w:numPr>
          <w:ilvl w:val="0"/>
          <w:numId w:val="1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Take custody and control of Community Scheme’s governance documentation;</w:t>
      </w:r>
    </w:p>
    <w:p w:rsidR="00BA2098" w:rsidRPr="00F338B4" w:rsidRDefault="00BA2098" w:rsidP="00F338B4">
      <w:pPr>
        <w:numPr>
          <w:ilvl w:val="0"/>
          <w:numId w:val="1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Ensure that the CSOS is effective, efficient and sustainable organisation;</w:t>
      </w:r>
    </w:p>
    <w:p w:rsidR="00BA2098" w:rsidRPr="00F338B4" w:rsidRDefault="00BA2098" w:rsidP="00F338B4">
      <w:pPr>
        <w:numPr>
          <w:ilvl w:val="0"/>
          <w:numId w:val="1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Promote good governance in Sectional Title and other Community Schemes;</w:t>
      </w:r>
    </w:p>
    <w:p w:rsidR="00BA2098" w:rsidRPr="00F338B4" w:rsidRDefault="00BA2098" w:rsidP="00F338B4">
      <w:pPr>
        <w:numPr>
          <w:ilvl w:val="0"/>
          <w:numId w:val="14"/>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Provide stakeholder training, consumer education and public outreach programmes on Community Schemes in South Africa.</w:t>
      </w:r>
    </w:p>
    <w:p w:rsidR="00BA2098" w:rsidRPr="00F338B4" w:rsidRDefault="00BA2098" w:rsidP="00F338B4">
      <w:pPr>
        <w:suppressAutoHyphens/>
        <w:autoSpaceDN w:val="0"/>
        <w:spacing w:before="120" w:after="120"/>
        <w:ind w:firstLine="720"/>
        <w:jc w:val="both"/>
        <w:textAlignment w:val="baseline"/>
        <w:rPr>
          <w14:shadow w14:blurRad="50800" w14:dist="50800" w14:dir="5400000" w14:sx="2000" w14:sy="2000" w14:kx="0" w14:ky="0" w14:algn="ctr">
            <w14:srgbClr w14:val="000000">
              <w14:alpha w14:val="1000"/>
            </w14:srgbClr>
          </w14:shadow>
        </w:rPr>
      </w:pPr>
    </w:p>
    <w:p w:rsidR="00BA2098" w:rsidRPr="00F338B4" w:rsidRDefault="00BA2098" w:rsidP="00F338B4">
      <w:pPr>
        <w:suppressAutoHyphens/>
        <w:autoSpaceDN w:val="0"/>
        <w:spacing w:before="120" w:after="120"/>
        <w:ind w:firstLine="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budget of the entity was presented as indicated below:</w:t>
      </w:r>
    </w:p>
    <w:tbl>
      <w:tblPr>
        <w:tblW w:w="10741" w:type="dxa"/>
        <w:tblInd w:w="-100" w:type="dxa"/>
        <w:tblCellMar>
          <w:left w:w="0" w:type="dxa"/>
          <w:right w:w="0" w:type="dxa"/>
        </w:tblCellMar>
        <w:tblLook w:val="04A0" w:firstRow="1" w:lastRow="0" w:firstColumn="1" w:lastColumn="0" w:noHBand="0" w:noVBand="1"/>
      </w:tblPr>
      <w:tblGrid>
        <w:gridCol w:w="1696"/>
        <w:gridCol w:w="276"/>
        <w:gridCol w:w="276"/>
        <w:gridCol w:w="1296"/>
        <w:gridCol w:w="1296"/>
        <w:gridCol w:w="276"/>
        <w:gridCol w:w="1550"/>
        <w:gridCol w:w="1483"/>
        <w:gridCol w:w="1296"/>
        <w:gridCol w:w="1296"/>
      </w:tblGrid>
      <w:tr w:rsidR="006D0B02" w:rsidRPr="00F338B4" w:rsidTr="00F338B4">
        <w:trPr>
          <w:trHeight w:val="620"/>
        </w:trPr>
        <w:tc>
          <w:tcPr>
            <w:tcW w:w="1696"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Income Streams</w:t>
            </w:r>
          </w:p>
        </w:tc>
        <w:tc>
          <w:tcPr>
            <w:tcW w:w="276"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Audited Actuals</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Latest Estimates</w:t>
            </w:r>
          </w:p>
        </w:tc>
        <w:tc>
          <w:tcPr>
            <w:tcW w:w="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ESTIMATED BUDGET</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APPROVED BUDGET</w:t>
            </w:r>
          </w:p>
        </w:tc>
        <w:tc>
          <w:tcPr>
            <w:tcW w:w="2592" w:type="dxa"/>
            <w:gridSpan w:val="2"/>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MTEF ESTIMATES</w:t>
            </w:r>
          </w:p>
        </w:tc>
      </w:tr>
      <w:tr w:rsidR="006D0B02" w:rsidRPr="00F338B4" w:rsidTr="00F338B4">
        <w:trPr>
          <w:trHeight w:val="90"/>
        </w:trPr>
        <w:tc>
          <w:tcPr>
            <w:tcW w:w="1696"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2015/16</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2016/17</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2017/18</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2017/18</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2018/19</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2019/20</w:t>
            </w:r>
          </w:p>
        </w:tc>
      </w:tr>
      <w:tr w:rsidR="006D0B02" w:rsidRPr="00F338B4" w:rsidTr="00F338B4">
        <w:trPr>
          <w:trHeight w:val="505"/>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(R’)</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(R’)</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(R’)</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(R’)</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(R’)</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(R’)</w:t>
            </w:r>
          </w:p>
        </w:tc>
      </w:tr>
      <w:tr w:rsidR="006D0B02" w:rsidRPr="00F338B4" w:rsidTr="00F338B4">
        <w:trPr>
          <w:trHeight w:val="505"/>
        </w:trPr>
        <w:tc>
          <w:tcPr>
            <w:tcW w:w="1696"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 </w:t>
            </w:r>
          </w:p>
        </w:tc>
        <w:tc>
          <w:tcPr>
            <w:tcW w:w="276"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single" w:sz="8" w:space="0" w:color="000000"/>
              <w:left w:val="single" w:sz="8" w:space="0" w:color="000000"/>
              <w:bottom w:val="nil"/>
              <w:right w:val="nil"/>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40,835,000</w:t>
            </w:r>
          </w:p>
        </w:tc>
        <w:tc>
          <w:tcPr>
            <w:tcW w:w="1296"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25,468,000</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57,348,000</w:t>
            </w:r>
          </w:p>
        </w:tc>
        <w:tc>
          <w:tcPr>
            <w:tcW w:w="1483" w:type="dxa"/>
            <w:tcBorders>
              <w:top w:val="single" w:sz="8" w:space="0" w:color="000000"/>
              <w:left w:val="single" w:sz="8" w:space="0" w:color="000000"/>
              <w:bottom w:val="nil"/>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39,603,000</w:t>
            </w:r>
          </w:p>
        </w:tc>
        <w:tc>
          <w:tcPr>
            <w:tcW w:w="1296" w:type="dxa"/>
            <w:tcBorders>
              <w:top w:val="single" w:sz="8" w:space="0" w:color="000000"/>
              <w:left w:val="single" w:sz="8" w:space="0" w:color="000000"/>
              <w:bottom w:val="nil"/>
              <w:right w:val="nil"/>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42,328,000</w:t>
            </w:r>
          </w:p>
        </w:tc>
        <w:tc>
          <w:tcPr>
            <w:tcW w:w="1296" w:type="dxa"/>
            <w:tcBorders>
              <w:top w:val="single" w:sz="8" w:space="0" w:color="000000"/>
              <w:left w:val="nil"/>
              <w:bottom w:val="nil"/>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right"/>
              <w:rPr>
                <w14:shadow w14:blurRad="50800" w14:dist="50800" w14:dir="5400000" w14:sx="2000" w14:sy="2000" w14:kx="0" w14:ky="0" w14:algn="ctr">
                  <w14:srgbClr w14:val="000000">
                    <w14:alpha w14:val="1000"/>
                  </w14:srgbClr>
                </w14:shadow>
              </w:rPr>
            </w:pPr>
            <w:r w:rsidRPr="00F338B4">
              <w:rPr>
                <w:bCs/>
                <w:kern w:val="24"/>
                <w14:shadow w14:blurRad="50800" w14:dist="50800" w14:dir="5400000" w14:sx="2000" w14:sy="2000" w14:kx="0" w14:ky="0" w14:algn="ctr">
                  <w14:srgbClr w14:val="000000">
                    <w14:alpha w14:val="1000"/>
                  </w14:srgbClr>
                </w14:shadow>
              </w:rPr>
              <w:t>45,110,000</w:t>
            </w:r>
          </w:p>
        </w:tc>
      </w:tr>
      <w:tr w:rsidR="006D0B02" w:rsidRPr="00F338B4" w:rsidTr="00F338B4">
        <w:trPr>
          <w:trHeight w:val="41"/>
        </w:trPr>
        <w:tc>
          <w:tcPr>
            <w:tcW w:w="1696" w:type="dxa"/>
            <w:tcBorders>
              <w:top w:val="nil"/>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nil"/>
              <w:left w:val="single" w:sz="8" w:space="0" w:color="000000"/>
              <w:bottom w:val="single" w:sz="8" w:space="0" w:color="000000"/>
              <w:right w:val="nil"/>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nil"/>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483" w:type="dxa"/>
            <w:tcBorders>
              <w:top w:val="nil"/>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nil"/>
              <w:left w:val="single" w:sz="8" w:space="0" w:color="000000"/>
              <w:bottom w:val="single" w:sz="8" w:space="0" w:color="000000"/>
              <w:right w:val="nil"/>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nil"/>
              <w:left w:val="nil"/>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r>
      <w:tr w:rsidR="006D0B02" w:rsidRPr="00F338B4" w:rsidTr="00F338B4">
        <w:trPr>
          <w:trHeight w:val="108"/>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xml:space="preserve">Government Grant </w:t>
            </w:r>
          </w:p>
        </w:tc>
        <w:tc>
          <w:tcPr>
            <w:tcW w:w="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39,521,000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23,920,000</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29,400,000</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29,400,000</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31,105,000</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32,847,000</w:t>
            </w:r>
          </w:p>
        </w:tc>
      </w:tr>
      <w:tr w:rsidR="006D0B02" w:rsidRPr="00F338B4" w:rsidTr="00F338B4">
        <w:trPr>
          <w:trHeight w:val="200"/>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xml:space="preserve">CSOS Levy Income </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25,000,000</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8,500,000</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9,350,000</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10,285,000</w:t>
            </w:r>
          </w:p>
        </w:tc>
      </w:tr>
      <w:tr w:rsidR="006D0B02" w:rsidRPr="00F338B4" w:rsidTr="00F338B4">
        <w:trPr>
          <w:trHeight w:val="150"/>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CSOS Documentation Fees</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r>
      <w:tr w:rsidR="006D0B02" w:rsidRPr="00F338B4" w:rsidTr="00F338B4">
        <w:trPr>
          <w:trHeight w:val="26"/>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CSOS Service Fees</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r>
      <w:tr w:rsidR="006D0B02" w:rsidRPr="00F338B4" w:rsidTr="00F338B4">
        <w:trPr>
          <w:trHeight w:val="26"/>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Interest Income</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1,141,000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1,548,000</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2,448,000</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1,703,000</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1,873,000</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1,978,000</w:t>
            </w:r>
          </w:p>
        </w:tc>
      </w:tr>
      <w:tr w:rsidR="006D0B02" w:rsidRPr="00F338B4" w:rsidTr="00F338B4">
        <w:trPr>
          <w:trHeight w:val="244"/>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Budget Commitments from Prior Year</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r>
      <w:tr w:rsidR="006D0B02" w:rsidRPr="00F338B4" w:rsidTr="00F338B4">
        <w:trPr>
          <w:trHeight w:val="505"/>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Other Income</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173,000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6 100 000</w:t>
            </w:r>
          </w:p>
        </w:tc>
        <w:tc>
          <w:tcPr>
            <w:tcW w:w="276" w:type="dxa"/>
            <w:vMerge/>
            <w:tcBorders>
              <w:top w:val="single" w:sz="8" w:space="0" w:color="000000"/>
              <w:left w:val="single" w:sz="8" w:space="0" w:color="000000"/>
              <w:bottom w:val="single" w:sz="8" w:space="0" w:color="000000"/>
              <w:right w:val="single" w:sz="8" w:space="0" w:color="000000"/>
            </w:tcBorders>
            <w:vAlign w:val="center"/>
            <w:hideMark/>
          </w:tcPr>
          <w:p w:rsidR="00BA2098" w:rsidRPr="00F338B4" w:rsidRDefault="00BA2098" w:rsidP="00F338B4">
            <w:pPr>
              <w:spacing w:before="120" w:after="120"/>
              <w:rPr>
                <w14:shadow w14:blurRad="50800" w14:dist="50800" w14:dir="5400000" w14:sx="2000" w14:sy="2000" w14:kx="0" w14:ky="0" w14:algn="ctr">
                  <w14:srgbClr w14:val="000000">
                    <w14:alpha w14:val="1000"/>
                  </w14:srgbClr>
                </w14:shadow>
              </w:rPr>
            </w:pP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kern w:val="24"/>
                <w14:shadow w14:blurRad="50800" w14:dist="50800" w14:dir="5400000" w14:sx="2000" w14:sy="2000" w14:kx="0" w14:ky="0" w14:algn="ctr">
                  <w14:srgbClr w14:val="000000">
                    <w14:alpha w14:val="1000"/>
                  </w14:srgbClr>
                </w14:shadow>
              </w:rPr>
              <w:t>500,000</w:t>
            </w:r>
          </w:p>
        </w:tc>
        <w:tc>
          <w:tcPr>
            <w:tcW w:w="1483" w:type="dxa"/>
            <w:tcBorders>
              <w:top w:val="single" w:sz="8" w:space="0" w:color="000000"/>
              <w:left w:val="single" w:sz="8" w:space="0" w:color="000000"/>
              <w:bottom w:val="single" w:sz="8" w:space="0" w:color="000000"/>
              <w:right w:val="single" w:sz="8" w:space="0" w:color="000000"/>
            </w:tcBorders>
            <w:shd w:val="clear" w:color="auto" w:fill="92D050"/>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c>
          <w:tcPr>
            <w:tcW w:w="1296" w:type="dxa"/>
            <w:tcBorders>
              <w:top w:val="single" w:sz="8" w:space="0" w:color="000000"/>
              <w:left w:val="single" w:sz="8" w:space="0" w:color="000000"/>
              <w:bottom w:val="single" w:sz="8" w:space="0" w:color="000000"/>
              <w:right w:val="single" w:sz="8" w:space="0" w:color="000000"/>
            </w:tcBorders>
            <w:shd w:val="clear" w:color="auto" w:fill="FCE4D6"/>
            <w:tcMar>
              <w:top w:w="15" w:type="dxa"/>
              <w:left w:w="108" w:type="dxa"/>
              <w:bottom w:w="0" w:type="dxa"/>
              <w:right w:w="108" w:type="dxa"/>
            </w:tcMar>
            <w:vAlign w:val="bottom"/>
            <w:hideMark/>
          </w:tcPr>
          <w:p w:rsidR="00BA2098" w:rsidRPr="00F338B4" w:rsidRDefault="00BA2098" w:rsidP="00F338B4">
            <w:pPr>
              <w:spacing w:before="120" w:after="120"/>
              <w:jc w:val="center"/>
              <w:rPr>
                <w14:shadow w14:blurRad="50800" w14:dist="50800" w14:dir="5400000" w14:sx="2000" w14:sy="2000" w14:kx="0" w14:ky="0" w14:algn="ctr">
                  <w14:srgbClr w14:val="000000">
                    <w14:alpha w14:val="1000"/>
                  </w14:srgbClr>
                </w14:shadow>
              </w:rPr>
            </w:pPr>
            <w:r w:rsidRPr="00F338B4">
              <w:rPr>
                <w:rFonts w:eastAsia="Calibri"/>
                <w:kern w:val="24"/>
                <w14:shadow w14:blurRad="50800" w14:dist="50800" w14:dir="5400000" w14:sx="2000" w14:sy="2000" w14:kx="0" w14:ky="0" w14:algn="ctr">
                  <w14:srgbClr w14:val="000000">
                    <w14:alpha w14:val="1000"/>
                  </w14:srgbClr>
                </w14:shadow>
              </w:rPr>
              <w:t>-</w:t>
            </w:r>
          </w:p>
        </w:tc>
      </w:tr>
    </w:tbl>
    <w:p w:rsidR="00C1091C" w:rsidRPr="00F338B4" w:rsidRDefault="00543559"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    </w:t>
      </w:r>
      <w:r w:rsidR="00C1091C" w:rsidRPr="00F338B4">
        <w:rPr>
          <w14:shadow w14:blurRad="50800" w14:dist="50800" w14:dir="5400000" w14:sx="2000" w14:sy="2000" w14:kx="0" w14:ky="0" w14:algn="ctr">
            <w14:srgbClr w14:val="000000">
              <w14:alpha w14:val="1000"/>
            </w14:srgbClr>
          </w14:shadow>
        </w:rPr>
        <w:t>Source: Department of Human Settlements, 2017.</w:t>
      </w:r>
    </w:p>
    <w:p w:rsidR="00BA2098" w:rsidRPr="00F338B4" w:rsidRDefault="00BA2098" w:rsidP="00F338B4">
      <w:p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p>
    <w:p w:rsidR="00BA2098" w:rsidRPr="00F338B4" w:rsidRDefault="00BA2098" w:rsidP="00F338B4">
      <w:p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p>
    <w:p w:rsidR="00BA2098" w:rsidRPr="00F338B4" w:rsidRDefault="003074A9"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4.3</w:t>
      </w:r>
      <w:r w:rsidR="004D1D78" w:rsidRPr="00F338B4">
        <w:rPr>
          <w:rFonts w:eastAsia="Calibri"/>
          <w:bCs w:val="0"/>
          <w:sz w:val="24"/>
          <w14:shadow w14:blurRad="50800" w14:dist="50800" w14:dir="5400000" w14:sx="2000" w14:sy="2000" w14:kx="0" w14:ky="0" w14:algn="ctr">
            <w14:srgbClr w14:val="000000">
              <w14:alpha w14:val="1000"/>
            </w14:srgbClr>
          </w14:shadow>
        </w:rPr>
        <w:t>.4</w:t>
      </w:r>
      <w:r w:rsidRPr="00F338B4">
        <w:rPr>
          <w:rFonts w:eastAsia="Calibri"/>
          <w:bCs w:val="0"/>
          <w:sz w:val="24"/>
          <w14:shadow w14:blurRad="50800" w14:dist="50800" w14:dir="5400000" w14:sx="2000" w14:sy="2000" w14:kx="0" w14:ky="0" w14:algn="ctr">
            <w14:srgbClr w14:val="000000">
              <w14:alpha w14:val="1000"/>
            </w14:srgbClr>
          </w14:shadow>
        </w:rPr>
        <w:tab/>
      </w:r>
      <w:r w:rsidR="00BA2098" w:rsidRPr="00F338B4">
        <w:rPr>
          <w:rFonts w:eastAsia="Calibri"/>
          <w:bCs w:val="0"/>
          <w:sz w:val="24"/>
          <w14:shadow w14:blurRad="50800" w14:dist="50800" w14:dir="5400000" w14:sx="2000" w14:sy="2000" w14:kx="0" w14:ky="0" w14:algn="ctr">
            <w14:srgbClr w14:val="000000">
              <w14:alpha w14:val="1000"/>
            </w14:srgbClr>
          </w14:shadow>
        </w:rPr>
        <w:t>Estate Agency Affairs Board (EAAB)</w:t>
      </w:r>
    </w:p>
    <w:p w:rsidR="00C1091C" w:rsidRPr="00F338B4" w:rsidRDefault="00BA2098" w:rsidP="00F338B4">
      <w:pPr>
        <w:spacing w:before="120" w:after="120"/>
        <w:ind w:left="720"/>
        <w:jc w:val="both"/>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Mr N Biko, Chairperson of the Board led the delegation.  Mr B Chaplog, the Chief Executive Officer presented on behalf of the entity.  The presentation was outlined as indicated below: </w:t>
      </w:r>
    </w:p>
    <w:p w:rsidR="00BA2098" w:rsidRPr="00F338B4" w:rsidRDefault="00C1091C" w:rsidP="00F338B4">
      <w:pPr>
        <w:numPr>
          <w:ilvl w:val="0"/>
          <w:numId w:val="15"/>
        </w:numPr>
        <w:suppressAutoHyphens/>
        <w:autoSpaceDN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Strategic Overview;</w:t>
      </w:r>
    </w:p>
    <w:p w:rsidR="00BA2098" w:rsidRPr="00F338B4" w:rsidRDefault="00BA2098" w:rsidP="00F338B4">
      <w:pPr>
        <w:numPr>
          <w:ilvl w:val="0"/>
          <w:numId w:val="15"/>
        </w:numPr>
        <w:suppressAutoHyphens/>
        <w:autoSpaceDN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lastRenderedPageBreak/>
        <w:t>Strategic Out</w:t>
      </w:r>
      <w:r w:rsidR="00C1091C" w:rsidRPr="00F338B4">
        <w:rPr>
          <w:lang w:val="en-US"/>
          <w14:shadow w14:blurRad="50800" w14:dist="50800" w14:dir="5400000" w14:sx="2000" w14:sy="2000" w14:kx="0" w14:ky="0" w14:algn="ctr">
            <w14:srgbClr w14:val="000000">
              <w14:alpha w14:val="1000"/>
            </w14:srgbClr>
          </w14:shadow>
        </w:rPr>
        <w:t>come Goals and 17/18 priorities;</w:t>
      </w:r>
    </w:p>
    <w:p w:rsidR="00BA2098" w:rsidRPr="00F338B4" w:rsidRDefault="00C1091C" w:rsidP="00F338B4">
      <w:pPr>
        <w:numPr>
          <w:ilvl w:val="0"/>
          <w:numId w:val="15"/>
        </w:numPr>
        <w:suppressAutoHyphens/>
        <w:autoSpaceDN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Title deeds restoration Project;</w:t>
      </w:r>
    </w:p>
    <w:p w:rsidR="00BA2098" w:rsidRPr="00F338B4" w:rsidRDefault="00BA2098" w:rsidP="00F338B4">
      <w:pPr>
        <w:numPr>
          <w:ilvl w:val="0"/>
          <w:numId w:val="15"/>
        </w:numPr>
        <w:suppressAutoHyphens/>
        <w:autoSpaceDN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Transformation initiatives</w:t>
      </w:r>
      <w:r w:rsidR="00C1091C" w:rsidRPr="00F338B4">
        <w:rPr>
          <w:lang w:val="en-US"/>
          <w14:shadow w14:blurRad="50800" w14:dist="50800" w14:dir="5400000" w14:sx="2000" w14:sy="2000" w14:kx="0" w14:ky="0" w14:algn="ctr">
            <w14:srgbClr w14:val="000000">
              <w14:alpha w14:val="1000"/>
            </w14:srgbClr>
          </w14:shadow>
        </w:rPr>
        <w:t>;</w:t>
      </w:r>
    </w:p>
    <w:p w:rsidR="00BA2098" w:rsidRPr="00F338B4" w:rsidRDefault="00BA2098" w:rsidP="00F338B4">
      <w:pPr>
        <w:numPr>
          <w:ilvl w:val="0"/>
          <w:numId w:val="15"/>
        </w:numPr>
        <w:suppressAutoHyphens/>
        <w:autoSpaceDN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Key Per</w:t>
      </w:r>
      <w:r w:rsidR="00C1091C" w:rsidRPr="00F338B4">
        <w:rPr>
          <w:lang w:val="en-US"/>
          <w14:shadow w14:blurRad="50800" w14:dist="50800" w14:dir="5400000" w14:sx="2000" w14:sy="2000" w14:kx="0" w14:ky="0" w14:algn="ctr">
            <w14:srgbClr w14:val="000000">
              <w14:alpha w14:val="1000"/>
            </w14:srgbClr>
          </w14:shadow>
        </w:rPr>
        <w:t>formance Annual Targets;</w:t>
      </w:r>
    </w:p>
    <w:p w:rsidR="00BA2098" w:rsidRPr="00F338B4" w:rsidRDefault="00BA2098" w:rsidP="00F338B4">
      <w:pPr>
        <w:numPr>
          <w:ilvl w:val="0"/>
          <w:numId w:val="15"/>
        </w:numPr>
        <w:suppressAutoHyphens/>
        <w:autoSpaceDN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EAAB Budget</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numPr>
          <w:ilvl w:val="0"/>
          <w:numId w:val="15"/>
        </w:numPr>
        <w:suppressAutoHyphens/>
        <w:autoSpaceDN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EAFF Budget</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spacing w:before="120" w:after="120"/>
        <w:jc w:val="both"/>
        <w:rPr>
          <w:lang w:val="en-US"/>
          <w14:shadow w14:blurRad="50800" w14:dist="50800" w14:dir="5400000" w14:sx="2000" w14:sy="2000" w14:kx="0" w14:ky="0" w14:algn="ctr">
            <w14:srgbClr w14:val="000000">
              <w14:alpha w14:val="1000"/>
            </w14:srgbClr>
          </w14:shadow>
        </w:rPr>
      </w:pPr>
    </w:p>
    <w:p w:rsidR="00BA2098" w:rsidRPr="00F338B4" w:rsidRDefault="00BA2098" w:rsidP="00F338B4">
      <w:pPr>
        <w:spacing w:before="120" w:after="120"/>
        <w:ind w:left="720"/>
        <w:jc w:val="both"/>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The entity reported that it had five strategic oriented outcomes goals which were as indicated below:</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Compliant Estate Agency Sector</w:t>
      </w:r>
      <w:r w:rsidR="00C1091C" w:rsidRPr="00F338B4">
        <w:rPr>
          <w14:shadow w14:blurRad="50800" w14:dist="50800" w14:dir="5400000" w14:sx="2000" w14:sy="2000" w14:kx="0" w14:ky="0" w14:algn="ctr">
            <w14:srgbClr w14:val="000000">
              <w14:alpha w14:val="1000"/>
            </w14:srgbClr>
          </w14:shadow>
        </w:rPr>
        <w:t>;</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Consumers are aware and understand all</w:t>
      </w:r>
      <w:r w:rsidR="00C1091C" w:rsidRPr="00F338B4">
        <w:rPr>
          <w14:shadow w14:blurRad="50800" w14:dist="50800" w14:dir="5400000" w14:sx="2000" w14:sy="2000" w14:kx="0" w14:ky="0" w14:algn="ctr">
            <w14:srgbClr w14:val="000000">
              <w14:alpha w14:val="1000"/>
            </w14:srgbClr>
          </w14:shadow>
        </w:rPr>
        <w:t xml:space="preserve"> forms of property transactions;</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Sustainable Fidelity Fund for property consumer claims</w:t>
      </w:r>
      <w:r w:rsidR="00C1091C" w:rsidRPr="00F338B4">
        <w:rPr>
          <w14:shadow w14:blurRad="50800" w14:dist="50800" w14:dir="5400000" w14:sx="2000" w14:sy="2000" w14:kx="0" w14:ky="0" w14:algn="ctr">
            <w14:srgbClr w14:val="000000">
              <w14:alpha w14:val="1000"/>
            </w14:srgbClr>
          </w14:shadow>
        </w:rPr>
        <w:t>;</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Professional and c</w:t>
      </w:r>
      <w:r w:rsidR="00C1091C" w:rsidRPr="00F338B4">
        <w:rPr>
          <w14:shadow w14:blurRad="50800" w14:dist="50800" w14:dir="5400000" w14:sx="2000" w14:sy="2000" w14:kx="0" w14:ky="0" w14:algn="ctr">
            <w14:srgbClr w14:val="000000">
              <w14:alpha w14:val="1000"/>
            </w14:srgbClr>
          </w14:shadow>
        </w:rPr>
        <w:t>apacitated estate agency sector;</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Transformed estate agency sector.</w:t>
      </w:r>
    </w:p>
    <w:p w:rsidR="00BA2098" w:rsidRPr="00F338B4" w:rsidRDefault="00BA2098" w:rsidP="00F338B4">
      <w:pPr>
        <w:suppressAutoHyphens/>
        <w:autoSpaceDN w:val="0"/>
        <w:spacing w:before="120" w:after="120"/>
        <w:ind w:left="1440"/>
        <w:jc w:val="both"/>
        <w:textAlignment w:val="baseline"/>
        <w:rPr>
          <w14:shadow w14:blurRad="50800" w14:dist="50800" w14:dir="5400000" w14:sx="2000" w14:sy="2000" w14:kx="0" w14:ky="0" w14:algn="ctr">
            <w14:srgbClr w14:val="000000">
              <w14:alpha w14:val="1000"/>
            </w14:srgbClr>
          </w14:shadow>
        </w:rPr>
      </w:pPr>
    </w:p>
    <w:p w:rsidR="00BA2098" w:rsidRPr="00F338B4" w:rsidRDefault="00BA2098" w:rsidP="00F338B4">
      <w:pPr>
        <w:spacing w:before="120" w:after="120"/>
        <w:ind w:firstLine="720"/>
        <w:jc w:val="both"/>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The entity also presented its priorities for the financial year which were to:</w:t>
      </w:r>
    </w:p>
    <w:p w:rsidR="00BA2098" w:rsidRPr="00F338B4" w:rsidRDefault="00BA2098" w:rsidP="00F338B4">
      <w:pPr>
        <w:numPr>
          <w:ilvl w:val="0"/>
          <w:numId w:val="17"/>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Assist the Department of Human Settlements in the eradication</w:t>
      </w:r>
      <w:r w:rsidR="00C1091C" w:rsidRPr="00F338B4">
        <w:rPr>
          <w:lang w:val="en-US"/>
          <w14:shadow w14:blurRad="50800" w14:dist="50800" w14:dir="5400000" w14:sx="2000" w14:sy="2000" w14:kx="0" w14:ky="0" w14:algn="ctr">
            <w14:srgbClr w14:val="000000">
              <w14:alpha w14:val="1000"/>
            </w14:srgbClr>
          </w14:shadow>
        </w:rPr>
        <w:t xml:space="preserve"> of title deeds backlog by 2019;</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Implementation of a Research unit within the EAAB to support transactional support function and gain an understanding o</w:t>
      </w:r>
      <w:r w:rsidR="00C1091C" w:rsidRPr="00F338B4">
        <w:rPr>
          <w:lang w:val="en-US"/>
          <w14:shadow w14:blurRad="50800" w14:dist="50800" w14:dir="5400000" w14:sx="2000" w14:sy="2000" w14:kx="0" w14:ky="0" w14:algn="ctr">
            <w14:srgbClr w14:val="000000">
              <w14:alpha w14:val="1000"/>
            </w14:srgbClr>
          </w14:shadow>
        </w:rPr>
        <w:t>f illegal trading estate agents;</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Implementation of the new Transformation funct</w:t>
      </w:r>
      <w:r w:rsidR="00C1091C" w:rsidRPr="00F338B4">
        <w:rPr>
          <w:lang w:val="en-US"/>
          <w14:shadow w14:blurRad="50800" w14:dist="50800" w14:dir="5400000" w14:sx="2000" w14:sy="2000" w14:kx="0" w14:ky="0" w14:algn="ctr">
            <w14:srgbClr w14:val="000000">
              <w14:alpha w14:val="1000"/>
            </w14:srgbClr>
          </w14:shadow>
        </w:rPr>
        <w:t>ion activities and outputs;</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Ensuring that MTSF targets rel</w:t>
      </w:r>
      <w:r w:rsidR="00C1091C" w:rsidRPr="00F338B4">
        <w:rPr>
          <w:lang w:val="en-US"/>
          <w14:shadow w14:blurRad="50800" w14:dist="50800" w14:dir="5400000" w14:sx="2000" w14:sy="2000" w14:kx="0" w14:ky="0" w14:algn="ctr">
            <w14:srgbClr w14:val="000000">
              <w14:alpha w14:val="1000"/>
            </w14:srgbClr>
          </w14:shadow>
        </w:rPr>
        <w:t>ating to the EAAB are achieved;</w:t>
      </w:r>
    </w:p>
    <w:p w:rsidR="00BA2098" w:rsidRPr="00F338B4" w:rsidRDefault="00BA2098" w:rsidP="00F338B4">
      <w:pPr>
        <w:numPr>
          <w:ilvl w:val="0"/>
          <w:numId w:val="16"/>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Finalisation of the Property Practitioners Bill.</w:t>
      </w:r>
    </w:p>
    <w:p w:rsidR="00BA2098" w:rsidRPr="00F338B4" w:rsidRDefault="00BA2098" w:rsidP="00F338B4">
      <w:pPr>
        <w:spacing w:before="120" w:after="120"/>
        <w:ind w:left="7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With regards to the title deeds restoration programme, the entity reported that the Title Deeds </w:t>
      </w:r>
      <w:r w:rsidR="003074A9" w:rsidRPr="00F338B4">
        <w:rPr>
          <w14:shadow w14:blurRad="50800" w14:dist="50800" w14:dir="5400000" w14:sx="2000" w14:sy="2000" w14:kx="0" w14:ky="0" w14:algn="ctr">
            <w14:srgbClr w14:val="000000">
              <w14:alpha w14:val="1000"/>
            </w14:srgbClr>
          </w14:shadow>
        </w:rPr>
        <w:t xml:space="preserve">Restoration </w:t>
      </w:r>
      <w:r w:rsidRPr="00F338B4">
        <w:rPr>
          <w14:shadow w14:blurRad="50800" w14:dist="50800" w14:dir="5400000" w14:sx="2000" w14:sy="2000" w14:kx="0" w14:ky="0" w14:algn="ctr">
            <w14:srgbClr w14:val="000000">
              <w14:alpha w14:val="1000"/>
            </w14:srgbClr>
          </w14:shadow>
        </w:rPr>
        <w:t xml:space="preserve">Task Team was appointed and the main </w:t>
      </w:r>
      <w:proofErr w:type="gramStart"/>
      <w:r w:rsidRPr="00F338B4">
        <w:rPr>
          <w14:shadow w14:blurRad="50800" w14:dist="50800" w14:dir="5400000" w14:sx="2000" w14:sy="2000" w14:kx="0" w14:ky="0" w14:algn="ctr">
            <w14:srgbClr w14:val="000000">
              <w14:alpha w14:val="1000"/>
            </w14:srgbClr>
          </w14:shadow>
        </w:rPr>
        <w:t>task were</w:t>
      </w:r>
      <w:proofErr w:type="gramEnd"/>
      <w:r w:rsidRPr="00F338B4">
        <w:rPr>
          <w14:shadow w14:blurRad="50800" w14:dist="50800" w14:dir="5400000" w14:sx="2000" w14:sy="2000" w14:kx="0" w14:ky="0" w14:algn="ctr">
            <w14:srgbClr w14:val="000000">
              <w14:alpha w14:val="1000"/>
            </w14:srgbClr>
          </w14:shadow>
        </w:rPr>
        <w:t xml:space="preserve"> as indicated below:</w:t>
      </w:r>
    </w:p>
    <w:p w:rsidR="00BA2098" w:rsidRPr="00F338B4" w:rsidRDefault="00BA2098" w:rsidP="00F338B4">
      <w:pPr>
        <w:numPr>
          <w:ilvl w:val="0"/>
          <w:numId w:val="18"/>
        </w:numPr>
        <w:suppressAutoHyphens/>
        <w:autoSpaceDN w:val="0"/>
        <w:spacing w:before="120" w:after="120"/>
        <w:contextualSpacing/>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Access to ALL records related to registration bac</w:t>
      </w:r>
      <w:r w:rsidR="00C1091C" w:rsidRPr="00F338B4">
        <w:rPr>
          <w14:shadow w14:blurRad="50800" w14:dist="50800" w14:dir="5400000" w14:sx="2000" w14:sy="2000" w14:kx="0" w14:ky="0" w14:algn="ctr">
            <w14:srgbClr w14:val="000000">
              <w14:alpha w14:val="1000"/>
            </w14:srgbClr>
          </w14:shadow>
        </w:rPr>
        <w:t>klog within Province and Metros;</w:t>
      </w:r>
    </w:p>
    <w:p w:rsidR="00BA2098" w:rsidRPr="00F338B4" w:rsidRDefault="00BA2098" w:rsidP="00F338B4">
      <w:pPr>
        <w:numPr>
          <w:ilvl w:val="0"/>
          <w:numId w:val="18"/>
        </w:numPr>
        <w:suppressAutoHyphens/>
        <w:autoSpaceDN w:val="0"/>
        <w:spacing w:before="120" w:after="120"/>
        <w:contextualSpacing/>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Delivery Targets: Offer view and recommendati</w:t>
      </w:r>
      <w:r w:rsidR="00C1091C" w:rsidRPr="00F338B4">
        <w:rPr>
          <w14:shadow w14:blurRad="50800" w14:dist="50800" w14:dir="5400000" w14:sx="2000" w14:sy="2000" w14:kx="0" w14:ky="0" w14:algn="ctr">
            <w14:srgbClr w14:val="000000">
              <w14:alpha w14:val="1000"/>
            </w14:srgbClr>
          </w14:shadow>
        </w:rPr>
        <w:t>ons regarding expected delivery;</w:t>
      </w:r>
    </w:p>
    <w:p w:rsidR="00BA2098" w:rsidRPr="00F338B4" w:rsidRDefault="00BA2098" w:rsidP="00F338B4">
      <w:pPr>
        <w:numPr>
          <w:ilvl w:val="0"/>
          <w:numId w:val="18"/>
        </w:numPr>
        <w:suppressAutoHyphens/>
        <w:autoSpaceDN w:val="0"/>
        <w:spacing w:before="120" w:after="120"/>
        <w:contextualSpacing/>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Party to all new appointments of Service Providers (SPs), and assessment of performan</w:t>
      </w:r>
      <w:r w:rsidR="00C1091C" w:rsidRPr="00F338B4">
        <w:rPr>
          <w14:shadow w14:blurRad="50800" w14:dist="50800" w14:dir="5400000" w14:sx="2000" w14:sy="2000" w14:kx="0" w14:ky="0" w14:algn="ctr">
            <w14:srgbClr w14:val="000000">
              <w14:alpha w14:val="1000"/>
            </w14:srgbClr>
          </w14:shadow>
        </w:rPr>
        <w:t>ce of current Service Providers;</w:t>
      </w:r>
    </w:p>
    <w:p w:rsidR="00BA2098" w:rsidRPr="00F338B4" w:rsidRDefault="00BA2098" w:rsidP="00F338B4">
      <w:pPr>
        <w:numPr>
          <w:ilvl w:val="0"/>
          <w:numId w:val="18"/>
        </w:numPr>
        <w:suppressAutoHyphens/>
        <w:autoSpaceDN w:val="0"/>
        <w:spacing w:before="120" w:after="120"/>
        <w:contextualSpacing/>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Assume overall r</w:t>
      </w:r>
      <w:r w:rsidR="00C1091C" w:rsidRPr="00F338B4">
        <w:rPr>
          <w14:shadow w14:blurRad="50800" w14:dist="50800" w14:dir="5400000" w14:sx="2000" w14:sy="2000" w14:kx="0" w14:ky="0" w14:algn="ctr">
            <w14:srgbClr w14:val="000000">
              <w14:alpha w14:val="1000"/>
            </w14:srgbClr>
          </w14:shadow>
        </w:rPr>
        <w:t>esponsibility for TRP Dashboard;</w:t>
      </w:r>
    </w:p>
    <w:p w:rsidR="00BA2098" w:rsidRPr="00F338B4" w:rsidRDefault="00BA2098" w:rsidP="00F338B4">
      <w:pPr>
        <w:numPr>
          <w:ilvl w:val="0"/>
          <w:numId w:val="18"/>
        </w:numPr>
        <w:suppressAutoHyphens/>
        <w:autoSpaceDN w:val="0"/>
        <w:spacing w:before="120" w:after="120"/>
        <w:contextualSpacing/>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Annual targets to be included in Performance Agreements</w:t>
      </w:r>
      <w:r w:rsidR="00C1091C" w:rsidRPr="00F338B4">
        <w:rPr>
          <w14:shadow w14:blurRad="50800" w14:dist="50800" w14:dir="5400000" w14:sx="2000" w14:sy="2000" w14:kx="0" w14:ky="0" w14:algn="ctr">
            <w14:srgbClr w14:val="000000">
              <w14:alpha w14:val="1000"/>
            </w14:srgbClr>
          </w14:shadow>
        </w:rPr>
        <w:t>.</w:t>
      </w:r>
    </w:p>
    <w:p w:rsidR="00C1091C" w:rsidRPr="00F338B4" w:rsidRDefault="00C1091C" w:rsidP="00F338B4">
      <w:pPr>
        <w:spacing w:before="120" w:after="120"/>
        <w:ind w:firstLine="720"/>
        <w:contextualSpacing/>
        <w:jc w:val="both"/>
        <w:rPr>
          <w14:shadow w14:blurRad="50800" w14:dist="50800" w14:dir="5400000" w14:sx="2000" w14:sy="2000" w14:kx="0" w14:ky="0" w14:algn="ctr">
            <w14:srgbClr w14:val="000000">
              <w14:alpha w14:val="1000"/>
            </w14:srgbClr>
          </w14:shadow>
        </w:rPr>
      </w:pPr>
    </w:p>
    <w:p w:rsidR="00BA2098" w:rsidRPr="00F338B4" w:rsidRDefault="00BA2098" w:rsidP="00F338B4">
      <w:pPr>
        <w:spacing w:before="120" w:after="120"/>
        <w:ind w:firstLine="720"/>
        <w:contextualSpacing/>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Mr Mmatong, Chief Financial Officer, presented the budget of the entity:</w:t>
      </w:r>
    </w:p>
    <w:p w:rsidR="00C1091C" w:rsidRPr="00F338B4" w:rsidRDefault="00C1091C" w:rsidP="00F338B4">
      <w:pPr>
        <w:spacing w:before="120" w:after="120"/>
        <w:contextualSpacing/>
        <w:jc w:val="both"/>
        <w:rPr>
          <w:rFonts w:eastAsia="Calibri"/>
          <w:bCs/>
          <w14:shadow w14:blurRad="50800" w14:dist="50800" w14:dir="5400000" w14:sx="2000" w14:sy="2000" w14:kx="0" w14:ky="0" w14:algn="ctr">
            <w14:srgbClr w14:val="000000">
              <w14:alpha w14:val="1000"/>
            </w14:srgbClr>
          </w14:shadow>
        </w:rPr>
      </w:pPr>
    </w:p>
    <w:p w:rsidR="00BA2098" w:rsidRPr="00F338B4" w:rsidRDefault="00BA2098"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noProof/>
          <w:sz w:val="24"/>
          <w:lang w:val="en-ZA" w:eastAsia="en-ZA"/>
          <w14:shadow w14:blurRad="50800" w14:dist="50800" w14:dir="5400000" w14:sx="2000" w14:sy="2000" w14:kx="0" w14:ky="0" w14:algn="ctr">
            <w14:srgbClr w14:val="000000">
              <w14:alpha w14:val="1000"/>
            </w14:srgbClr>
          </w14:shadow>
        </w:rPr>
        <w:lastRenderedPageBreak/>
        <w:drawing>
          <wp:inline distT="0" distB="0" distL="0" distR="0" wp14:anchorId="784A7E23" wp14:editId="5CD60C55">
            <wp:extent cx="5561965" cy="3771900"/>
            <wp:effectExtent l="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582" cy="3777744"/>
                    </a:xfrm>
                    <a:prstGeom prst="rect">
                      <a:avLst/>
                    </a:prstGeom>
                    <a:noFill/>
                    <a:ln>
                      <a:noFill/>
                    </a:ln>
                    <a:effectLst/>
                    <a:extLst/>
                  </pic:spPr>
                </pic:pic>
              </a:graphicData>
            </a:graphic>
          </wp:inline>
        </w:drawing>
      </w:r>
    </w:p>
    <w:p w:rsidR="00BA2098" w:rsidRPr="00F338B4" w:rsidRDefault="00BA2098" w:rsidP="00F338B4">
      <w:p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p>
    <w:p w:rsidR="00BA2098" w:rsidRPr="00F338B4" w:rsidRDefault="004D1D78" w:rsidP="00F338B4">
      <w:pPr>
        <w:pStyle w:val="Char"/>
        <w:spacing w:before="120" w:after="120" w:line="240" w:lineRule="auto"/>
        <w:jc w:val="both"/>
        <w:rPr>
          <w:rFonts w:eastAsia="Calibri"/>
          <w:bCs w:val="0"/>
          <w:sz w:val="24"/>
          <w14:shadow w14:blurRad="50800" w14:dist="50800" w14:dir="5400000" w14:sx="2000" w14:sy="2000" w14:kx="0" w14:ky="0" w14:algn="ctr">
            <w14:srgbClr w14:val="000000">
              <w14:alpha w14:val="1000"/>
            </w14:srgbClr>
          </w14:shadow>
        </w:rPr>
      </w:pPr>
      <w:r w:rsidRPr="00F338B4">
        <w:rPr>
          <w:rFonts w:eastAsia="Calibri"/>
          <w:bCs w:val="0"/>
          <w:sz w:val="24"/>
          <w14:shadow w14:blurRad="50800" w14:dist="50800" w14:dir="5400000" w14:sx="2000" w14:sy="2000" w14:kx="0" w14:ky="0" w14:algn="ctr">
            <w14:srgbClr w14:val="000000">
              <w14:alpha w14:val="1000"/>
            </w14:srgbClr>
          </w14:shadow>
        </w:rPr>
        <w:t>4.3.5</w:t>
      </w:r>
      <w:r w:rsidR="003074A9" w:rsidRPr="00F338B4">
        <w:rPr>
          <w:rFonts w:eastAsia="Calibri"/>
          <w:bCs w:val="0"/>
          <w:sz w:val="24"/>
          <w14:shadow w14:blurRad="50800" w14:dist="50800" w14:dir="5400000" w14:sx="2000" w14:sy="2000" w14:kx="0" w14:ky="0" w14:algn="ctr">
            <w14:srgbClr w14:val="000000">
              <w14:alpha w14:val="1000"/>
            </w14:srgbClr>
          </w14:shadow>
        </w:rPr>
        <w:tab/>
      </w:r>
      <w:r w:rsidR="00BA2098" w:rsidRPr="00F338B4">
        <w:rPr>
          <w:rFonts w:eastAsia="Calibri"/>
          <w:bCs w:val="0"/>
          <w:sz w:val="24"/>
          <w14:shadow w14:blurRad="50800" w14:dist="50800" w14:dir="5400000" w14:sx="2000" w14:sy="2000" w14:kx="0" w14:ky="0" w14:algn="ctr">
            <w14:srgbClr w14:val="000000">
              <w14:alpha w14:val="1000"/>
            </w14:srgbClr>
          </w14:shadow>
        </w:rPr>
        <w:t>National Home Builders Registration Council (NHBRC)</w:t>
      </w:r>
    </w:p>
    <w:p w:rsidR="00BA2098" w:rsidRPr="00F338B4" w:rsidRDefault="00BA2098" w:rsidP="00F338B4">
      <w:pPr>
        <w:spacing w:before="120" w:after="120"/>
        <w:ind w:left="720"/>
        <w:jc w:val="both"/>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Ms J Bayat, Acting Chairperson of the Board led the delegation.  Ms T Ngqobe, Acting Chief Executive Officer presented on behalf of the entity.  The presentation was outlined as indicated below:</w:t>
      </w:r>
    </w:p>
    <w:p w:rsidR="00BA2098" w:rsidRPr="00F338B4" w:rsidRDefault="00C1091C"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Core business;</w:t>
      </w:r>
    </w:p>
    <w:p w:rsidR="00BA2098" w:rsidRPr="00F338B4" w:rsidRDefault="00C1091C"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Vision; Mission; Motto;</w:t>
      </w:r>
    </w:p>
    <w:p w:rsidR="00BA2098" w:rsidRPr="00F338B4" w:rsidRDefault="00BA2098"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Strategic Objectives</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Programme 1: Key performance indicators</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Programm</w:t>
      </w:r>
      <w:r w:rsidR="00C1091C" w:rsidRPr="00F338B4">
        <w:rPr>
          <w:lang w:val="en-US"/>
          <w14:shadow w14:blurRad="50800" w14:dist="50800" w14:dir="5400000" w14:sx="2000" w14:sy="2000" w14:kx="0" w14:ky="0" w14:algn="ctr">
            <w14:srgbClr w14:val="000000">
              <w14:alpha w14:val="1000"/>
            </w14:srgbClr>
          </w14:shadow>
        </w:rPr>
        <w:t>e 2: Key performance indicators;</w:t>
      </w:r>
    </w:p>
    <w:p w:rsidR="00BA2098" w:rsidRPr="00F338B4" w:rsidRDefault="00BA2098"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Programme 3: Key performance indicators</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Programme 4: Key performance indicators</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Programme 5: Key performance indicators</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C1091C"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Risk Management Plan;</w:t>
      </w:r>
    </w:p>
    <w:p w:rsidR="00BA2098" w:rsidRPr="00F338B4" w:rsidRDefault="00C1091C" w:rsidP="00F338B4">
      <w:pPr>
        <w:numPr>
          <w:ilvl w:val="0"/>
          <w:numId w:val="19"/>
        </w:numPr>
        <w:suppressAutoHyphens/>
        <w:autoSpaceDE w:val="0"/>
        <w:autoSpaceDN w:val="0"/>
        <w:adjustRightInd w:val="0"/>
        <w:spacing w:before="120" w:after="120"/>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Finance or Budget.</w:t>
      </w:r>
    </w:p>
    <w:p w:rsidR="00C1091C" w:rsidRPr="00F338B4" w:rsidRDefault="00C1091C" w:rsidP="00F338B4">
      <w:pPr>
        <w:suppressAutoHyphens/>
        <w:autoSpaceDE w:val="0"/>
        <w:autoSpaceDN w:val="0"/>
        <w:adjustRightInd w:val="0"/>
        <w:spacing w:before="120" w:after="120"/>
        <w:ind w:left="1440"/>
        <w:textAlignment w:val="baseline"/>
        <w:rPr>
          <w:lang w:val="en-US"/>
          <w14:shadow w14:blurRad="50800" w14:dist="50800" w14:dir="5400000" w14:sx="2000" w14:sy="2000" w14:kx="0" w14:ky="0" w14:algn="ctr">
            <w14:srgbClr w14:val="000000">
              <w14:alpha w14:val="1000"/>
            </w14:srgbClr>
          </w14:shadow>
        </w:rPr>
      </w:pPr>
    </w:p>
    <w:p w:rsidR="00BA2098" w:rsidRPr="00F338B4" w:rsidRDefault="00BA2098" w:rsidP="00F338B4">
      <w:pPr>
        <w:spacing w:before="120" w:after="120"/>
        <w:ind w:firstLine="720"/>
        <w:jc w:val="both"/>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The CEO presented the strategic objectives of the entity as indicated below:</w:t>
      </w:r>
    </w:p>
    <w:p w:rsidR="00C1091C" w:rsidRPr="00F338B4" w:rsidRDefault="00C1091C" w:rsidP="00F338B4">
      <w:pPr>
        <w:spacing w:before="120" w:after="120"/>
        <w:jc w:val="both"/>
        <w:rPr>
          <w:lang w:val="en-US"/>
          <w14:shadow w14:blurRad="50800" w14:dist="50800" w14:dir="5400000" w14:sx="2000" w14:sy="2000" w14:kx="0" w14:ky="0" w14:algn="ctr">
            <w14:srgbClr w14:val="000000">
              <w14:alpha w14:val="1000"/>
            </w14:srgbClr>
          </w14:shadow>
        </w:rPr>
      </w:pPr>
    </w:p>
    <w:p w:rsidR="00BA2098" w:rsidRPr="00F338B4" w:rsidRDefault="00BA2098"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lastRenderedPageBreak/>
        <w:t>To improve cost effectiveness and inter</w:t>
      </w:r>
      <w:r w:rsidR="00C1091C" w:rsidRPr="00F338B4">
        <w:rPr>
          <w:lang w:val="en-US"/>
          <w14:shadow w14:blurRad="50800" w14:dist="50800" w14:dir="5400000" w14:sx="2000" w14:sy="2000" w14:kx="0" w14:ky="0" w14:algn="ctr">
            <w14:srgbClr w14:val="000000">
              <w14:alpha w14:val="1000"/>
            </w14:srgbClr>
          </w14:shadow>
        </w:rPr>
        <w:t>nal efficiencies of operations;</w:t>
      </w:r>
    </w:p>
    <w:p w:rsidR="00BA2098" w:rsidRPr="00F338B4" w:rsidRDefault="00BA2098"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To ensure an effective regulatory compliance</w:t>
      </w:r>
      <w:r w:rsidR="00C1091C"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Entrench a culture of compliance and ensure e</w:t>
      </w:r>
      <w:r w:rsidR="00C1091C" w:rsidRPr="00F338B4">
        <w:rPr>
          <w:lang w:val="en-US"/>
          <w14:shadow w14:blurRad="50800" w14:dist="50800" w14:dir="5400000" w14:sx="2000" w14:sy="2000" w14:kx="0" w14:ky="0" w14:algn="ctr">
            <w14:srgbClr w14:val="000000">
              <w14:alpha w14:val="1000"/>
            </w14:srgbClr>
          </w14:shadow>
        </w:rPr>
        <w:t>fficient enforcement mechanisms;</w:t>
      </w:r>
      <w:r w:rsidRPr="00F338B4">
        <w:rPr>
          <w:lang w:val="en-US"/>
          <w14:shadow w14:blurRad="50800" w14:dist="50800" w14:dir="5400000" w14:sx="2000" w14:sy="2000" w14:kx="0" w14:ky="0" w14:algn="ctr">
            <w14:srgbClr w14:val="000000">
              <w14:alpha w14:val="1000"/>
            </w14:srgbClr>
          </w14:shadow>
        </w:rPr>
        <w:t xml:space="preserve"> </w:t>
      </w:r>
    </w:p>
    <w:p w:rsidR="00BA2098" w:rsidRPr="00F338B4" w:rsidRDefault="00BA2098"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To research and introduce innovative products methods and technologies wi</w:t>
      </w:r>
      <w:r w:rsidR="00C1091C" w:rsidRPr="00F338B4">
        <w:rPr>
          <w:lang w:val="en-US"/>
          <w14:shadow w14:blurRad="50800" w14:dist="50800" w14:dir="5400000" w14:sx="2000" w14:sy="2000" w14:kx="0" w14:ky="0" w14:algn="ctr">
            <w14:srgbClr w14:val="000000">
              <w14:alpha w14:val="1000"/>
            </w14:srgbClr>
          </w14:shadow>
        </w:rPr>
        <w:t>thin the homebuilding industry;</w:t>
      </w:r>
    </w:p>
    <w:p w:rsidR="00BA2098" w:rsidRPr="00F338B4" w:rsidRDefault="00BA2098" w:rsidP="00F338B4">
      <w:pPr>
        <w:numPr>
          <w:ilvl w:val="0"/>
          <w:numId w:val="20"/>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To maintain a sustainable warranty fund</w:t>
      </w:r>
      <w:r w:rsidRPr="00F338B4">
        <w:rPr>
          <w14:shadow w14:blurRad="50800" w14:dist="50800" w14:dir="5400000" w14:sx="2000" w14:sy="2000" w14:kx="0" w14:ky="0" w14:algn="ctr">
            <w14:srgbClr w14:val="000000">
              <w14:alpha w14:val="1000"/>
            </w14:srgbClr>
          </w14:shadow>
        </w:rPr>
        <w:t xml:space="preserve">. </w:t>
      </w:r>
    </w:p>
    <w:p w:rsidR="007B7D1D" w:rsidRPr="00F338B4" w:rsidRDefault="007B7D1D" w:rsidP="00F338B4">
      <w:pPr>
        <w:spacing w:before="120" w:after="120"/>
        <w:jc w:val="both"/>
        <w:rPr>
          <w:lang w:val="en-US"/>
          <w14:shadow w14:blurRad="50800" w14:dist="50800" w14:dir="5400000" w14:sx="2000" w14:sy="2000" w14:kx="0" w14:ky="0" w14:algn="ctr">
            <w14:srgbClr w14:val="000000">
              <w14:alpha w14:val="1000"/>
            </w14:srgbClr>
          </w14:shadow>
        </w:rPr>
      </w:pPr>
    </w:p>
    <w:p w:rsidR="00BA2098" w:rsidRPr="00F338B4" w:rsidRDefault="007B7D1D" w:rsidP="00F338B4">
      <w:pPr>
        <w:spacing w:before="120" w:after="120"/>
        <w:ind w:left="720"/>
        <w:jc w:val="both"/>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The entity also presented the key business activities that have been factored into the budget for the planning period.  Those were as indicated below:</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Commercial operation of SAP change request (R9m investment);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NHBRC online (R10m);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Unified communications (R60m for the next remaining 3 Years);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Consumer education and awareness (R25m over 3 years);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Outsourcing of inspectorate (R10m first year and R30 next 3 years);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Centre for Innovation and Research (R20 m per annum);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New inspectorate Mobile Devices R5m;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Training Academy as part of turn-around strategy (R91 m over 3 years);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Call Centre establishment (R 5m); </w:t>
      </w:r>
    </w:p>
    <w:p w:rsidR="007B7D1D" w:rsidRPr="00F338B4" w:rsidRDefault="007B7D1D" w:rsidP="00F338B4">
      <w:pPr>
        <w:numPr>
          <w:ilvl w:val="0"/>
          <w:numId w:val="20"/>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Upgrading of Reception areas across provinces (R5m for 3 years). </w:t>
      </w:r>
    </w:p>
    <w:p w:rsidR="007B7D1D" w:rsidRPr="00F338B4" w:rsidRDefault="007B7D1D" w:rsidP="00F338B4">
      <w:pPr>
        <w:spacing w:before="120" w:after="120"/>
        <w:jc w:val="both"/>
        <w:rPr>
          <w:lang w:val="en-US"/>
          <w14:shadow w14:blurRad="50800" w14:dist="50800" w14:dir="5400000" w14:sx="2000" w14:sy="2000" w14:kx="0" w14:ky="0" w14:algn="ctr">
            <w14:srgbClr w14:val="000000">
              <w14:alpha w14:val="1000"/>
            </w14:srgbClr>
          </w14:shadow>
        </w:rPr>
      </w:pPr>
    </w:p>
    <w:p w:rsidR="00BA2098" w:rsidRPr="00F338B4" w:rsidRDefault="00BA2098" w:rsidP="00F338B4">
      <w:pPr>
        <w:spacing w:before="120" w:after="120"/>
        <w:ind w:left="720"/>
        <w:jc w:val="both"/>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The entity reported that it had ten Council priorities that were funded on the new budget.  The total budget available for Top 10 Priorities of Council was R 74.8 million.</w:t>
      </w:r>
    </w:p>
    <w:p w:rsidR="00BA2098" w:rsidRPr="00F338B4" w:rsidRDefault="00BA2098"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BA2098" w:rsidRPr="00F338B4" w:rsidRDefault="004D1D78"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4.3.6</w:t>
      </w:r>
      <w:r w:rsidR="003074A9" w:rsidRPr="00F338B4">
        <w:rPr>
          <w:rFonts w:ascii="Times New Roman" w:hAnsi="Times New Roman"/>
          <w:sz w:val="24"/>
          <w:szCs w:val="24"/>
          <w14:shadow w14:blurRad="50800" w14:dist="50800" w14:dir="5400000" w14:sx="2000" w14:sy="2000" w14:kx="0" w14:ky="0" w14:algn="ctr">
            <w14:srgbClr w14:val="000000">
              <w14:alpha w14:val="1000"/>
            </w14:srgbClr>
          </w14:shadow>
        </w:rPr>
        <w:tab/>
      </w:r>
      <w:r w:rsidR="00BA2098" w:rsidRPr="00F338B4">
        <w:rPr>
          <w:rFonts w:ascii="Times New Roman" w:hAnsi="Times New Roman"/>
          <w:sz w:val="24"/>
          <w:szCs w:val="24"/>
          <w14:shadow w14:blurRad="50800" w14:dist="50800" w14:dir="5400000" w14:sx="2000" w14:sy="2000" w14:kx="0" w14:ky="0" w14:algn="ctr">
            <w14:srgbClr w14:val="000000">
              <w14:alpha w14:val="1000"/>
            </w14:srgbClr>
          </w14:shadow>
        </w:rPr>
        <w:t>Consolidation of Development Finance Institutions</w:t>
      </w:r>
    </w:p>
    <w:p w:rsidR="00AB431E" w:rsidRPr="00F338B4" w:rsidRDefault="00EB6A6A" w:rsidP="00F338B4">
      <w:pPr>
        <w:spacing w:before="120" w:after="120"/>
        <w:ind w:left="7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 joint presentation for Rural Housing Loan Fund, National Housing Finance Corporation as well as National Urban Reconstruction and Housing Agency was presented.  The three entities were forming part of the consolidation of Development Finance Institutions.  The presentation was as indicated below:</w:t>
      </w:r>
    </w:p>
    <w:p w:rsidR="000E447D" w:rsidRPr="00F338B4" w:rsidRDefault="000E447D" w:rsidP="00F338B4">
      <w:pPr>
        <w:spacing w:before="120" w:after="120"/>
        <w:jc w:val="both"/>
        <w:rPr>
          <w14:shadow w14:blurRad="50800" w14:dist="50800" w14:dir="5400000" w14:sx="2000" w14:sy="2000" w14:kx="0" w14:ky="0" w14:algn="ctr">
            <w14:srgbClr w14:val="000000">
              <w14:alpha w14:val="1000"/>
            </w14:srgbClr>
          </w14:shadow>
        </w:rPr>
      </w:pPr>
    </w:p>
    <w:p w:rsidR="00EB6A6A" w:rsidRPr="00F338B4" w:rsidRDefault="00EB6A6A"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Mr N Chainee, Acting Director-General for that day, tendered an apology for Mr M Tshangana, Director-General who could not attend the meeting.  He requested Mr S Moraba, Chief Executive Officer: NHFC to present plans for the envisaged entity.</w:t>
      </w:r>
    </w:p>
    <w:p w:rsidR="00EB6A6A" w:rsidRPr="00F338B4" w:rsidRDefault="00EB6A6A" w:rsidP="00F338B4">
      <w:p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p>
    <w:p w:rsidR="00EB6A6A" w:rsidRPr="00F338B4" w:rsidRDefault="00EB6A6A"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Mr Moraba, Chief Executive Officer: NHFC presented the consolidated strategic plans, budget and the annual performance plans for the envisaged entity.  The presentation was outlined as indicated below:</w:t>
      </w:r>
    </w:p>
    <w:p w:rsidR="00EB6A6A" w:rsidRPr="00F338B4" w:rsidRDefault="00EB6A6A" w:rsidP="00F338B4">
      <w:pPr>
        <w:numPr>
          <w:ilvl w:val="0"/>
          <w:numId w:val="12"/>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Summary of Capital Allocations over the MTEF</w:t>
      </w:r>
      <w:r w:rsidR="00426332" w:rsidRPr="00F338B4">
        <w:rPr>
          <w14:shadow w14:blurRad="50800" w14:dist="50800" w14:dir="5400000" w14:sx="2000" w14:sy="2000" w14:kx="0" w14:ky="0" w14:algn="ctr">
            <w14:srgbClr w14:val="000000">
              <w14:alpha w14:val="1000"/>
            </w14:srgbClr>
          </w14:shadow>
        </w:rPr>
        <w:t>;</w:t>
      </w:r>
      <w:r w:rsidRPr="00F338B4">
        <w:rPr>
          <w14:shadow w14:blurRad="50800" w14:dist="50800" w14:dir="5400000" w14:sx="2000" w14:sy="2000" w14:kx="0" w14:ky="0" w14:algn="ctr">
            <w14:srgbClr w14:val="000000">
              <w14:alpha w14:val="1000"/>
            </w14:srgbClr>
          </w14:shadow>
        </w:rPr>
        <w:t xml:space="preserve"> </w:t>
      </w:r>
    </w:p>
    <w:p w:rsidR="00EB6A6A" w:rsidRPr="00F338B4" w:rsidRDefault="00EB6A6A" w:rsidP="00F338B4">
      <w:pPr>
        <w:numPr>
          <w:ilvl w:val="0"/>
          <w:numId w:val="12"/>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Draft Group Summary Statement of Financial Position</w:t>
      </w:r>
      <w:r w:rsidR="00426332" w:rsidRPr="00F338B4">
        <w:rPr>
          <w14:shadow w14:blurRad="50800" w14:dist="50800" w14:dir="5400000" w14:sx="2000" w14:sy="2000" w14:kx="0" w14:ky="0" w14:algn="ctr">
            <w14:srgbClr w14:val="000000">
              <w14:alpha w14:val="1000"/>
            </w14:srgbClr>
          </w14:shadow>
        </w:rPr>
        <w:t>;</w:t>
      </w:r>
    </w:p>
    <w:p w:rsidR="00EB6A6A" w:rsidRPr="00F338B4" w:rsidRDefault="00EB6A6A" w:rsidP="00F338B4">
      <w:pPr>
        <w:numPr>
          <w:ilvl w:val="0"/>
          <w:numId w:val="12"/>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Overview and analysis of Draft Consolidated DFI</w:t>
      </w:r>
      <w:r w:rsidR="00426332" w:rsidRPr="00F338B4">
        <w:rPr>
          <w14:shadow w14:blurRad="50800" w14:dist="50800" w14:dir="5400000" w14:sx="2000" w14:sy="2000" w14:kx="0" w14:ky="0" w14:algn="ctr">
            <w14:srgbClr w14:val="000000">
              <w14:alpha w14:val="1000"/>
            </w14:srgbClr>
          </w14:shadow>
        </w:rPr>
        <w:t>.</w:t>
      </w:r>
    </w:p>
    <w:p w:rsidR="00EB6A6A" w:rsidRPr="00F338B4" w:rsidRDefault="00EB6A6A" w:rsidP="00F338B4">
      <w:p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p>
    <w:p w:rsidR="00EB6A6A" w:rsidRPr="00F338B4" w:rsidRDefault="00EB6A6A" w:rsidP="00F338B4">
      <w:pPr>
        <w:spacing w:before="120" w:after="120"/>
        <w:ind w:left="7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The summary capital allocation would be R541 million that would be inclusive of NHFC, Nurcha and RHLF portions for 2015/16 to 2019/20. The Committee was also informed that both NURCHA and the RHLF were both not-for-profit entities and that were subsumed under the NHFC for which a tax exemption had been obtained, signed by the President. </w:t>
      </w:r>
    </w:p>
    <w:p w:rsidR="00EB6A6A" w:rsidRPr="00F338B4" w:rsidRDefault="00EB6A6A" w:rsidP="00F338B4">
      <w:pPr>
        <w:spacing w:before="120" w:after="120"/>
        <w:jc w:val="both"/>
        <w:rPr>
          <w14:shadow w14:blurRad="50800" w14:dist="50800" w14:dir="5400000" w14:sx="2000" w14:sy="2000" w14:kx="0" w14:ky="0" w14:algn="ctr">
            <w14:srgbClr w14:val="000000">
              <w14:alpha w14:val="1000"/>
            </w14:srgbClr>
          </w14:shadow>
        </w:rPr>
      </w:pPr>
    </w:p>
    <w:p w:rsidR="00EB6A6A" w:rsidRPr="00F338B4" w:rsidRDefault="00EB6A6A" w:rsidP="00F338B4">
      <w:pPr>
        <w:spacing w:before="120" w:after="120"/>
        <w:ind w:firstLine="7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The draft group financial position was as indicated below:</w:t>
      </w:r>
    </w:p>
    <w:p w:rsidR="00EB6A6A" w:rsidRPr="00F338B4" w:rsidRDefault="00EB6A6A" w:rsidP="00F338B4">
      <w:pPr>
        <w:spacing w:before="120" w:after="120"/>
        <w:jc w:val="both"/>
        <w:rPr>
          <w14:shadow w14:blurRad="50800" w14:dist="50800" w14:dir="5400000" w14:sx="2000" w14:sy="2000" w14:kx="0" w14:ky="0" w14:algn="ctr">
            <w14:srgbClr w14:val="000000">
              <w14:alpha w14:val="1000"/>
            </w14:srgbClr>
          </w14:shadow>
        </w:rPr>
      </w:pPr>
    </w:p>
    <w:p w:rsidR="00EB6A6A" w:rsidRPr="00F338B4" w:rsidRDefault="00EB6A6A" w:rsidP="00F338B4">
      <w:p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noProof/>
          <w14:shadow w14:blurRad="50800" w14:dist="50800" w14:dir="5400000" w14:sx="2000" w14:sy="2000" w14:kx="0" w14:ky="0" w14:algn="ctr">
            <w14:srgbClr w14:val="000000">
              <w14:alpha w14:val="1000"/>
            </w14:srgbClr>
          </w14:shadow>
        </w:rPr>
        <w:drawing>
          <wp:inline distT="0" distB="0" distL="0" distR="0" wp14:anchorId="1AA41064" wp14:editId="23159B4E">
            <wp:extent cx="7058025" cy="374318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9304" cy="377037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B6A6A" w:rsidRPr="00F338B4" w:rsidRDefault="00EB6A6A" w:rsidP="00F338B4">
      <w:p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p>
    <w:p w:rsidR="00EB6A6A" w:rsidRPr="00F338B4" w:rsidRDefault="00EB6A6A" w:rsidP="00F338B4">
      <w:pPr>
        <w:suppressAutoHyphens/>
        <w:autoSpaceDN w:val="0"/>
        <w:spacing w:before="120" w:after="120"/>
        <w:ind w:left="7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Mr Moraba stated that the Department and the envisaged entity would need to present and defined to the Committee the capitalisation requirements as well as the Business Case.</w:t>
      </w:r>
    </w:p>
    <w:p w:rsidR="008F09D8" w:rsidRPr="00F338B4" w:rsidRDefault="008F09D8" w:rsidP="00F338B4">
      <w:pPr>
        <w:spacing w:before="120" w:after="120"/>
        <w:jc w:val="both"/>
        <w:rPr>
          <w:lang w:val="en-US"/>
          <w14:shadow w14:blurRad="50800" w14:dist="50800" w14:dir="5400000" w14:sx="2000" w14:sy="2000" w14:kx="0" w14:ky="0" w14:algn="ctr">
            <w14:srgbClr w14:val="000000">
              <w14:alpha w14:val="1000"/>
            </w14:srgbClr>
          </w14:shadow>
        </w:rPr>
      </w:pPr>
    </w:p>
    <w:p w:rsidR="008F09D8" w:rsidRPr="00F338B4" w:rsidRDefault="008F09D8"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4.3.7</w:t>
      </w:r>
      <w:r w:rsidRPr="00F338B4">
        <w:rPr>
          <w14:shadow w14:blurRad="50800" w14:dist="50800" w14:dir="5400000" w14:sx="2000" w14:sy="2000" w14:kx="0" w14:ky="0" w14:algn="ctr">
            <w14:srgbClr w14:val="000000">
              <w14:alpha w14:val="1000"/>
            </w14:srgbClr>
          </w14:shadow>
        </w:rPr>
        <w:tab/>
        <w:t>Social Housing Regularity Authority (SHRA)</w:t>
      </w:r>
    </w:p>
    <w:p w:rsidR="008F09D8" w:rsidRPr="00F338B4" w:rsidRDefault="008F09D8" w:rsidP="00F338B4">
      <w:pPr>
        <w:spacing w:before="120" w:after="120"/>
        <w:jc w:val="both"/>
        <w:rPr>
          <w:lang w:val="en-US"/>
          <w14:shadow w14:blurRad="50800" w14:dist="50800" w14:dir="5400000" w14:sx="2000" w14:sy="2000" w14:kx="0" w14:ky="0" w14:algn="ctr">
            <w14:srgbClr w14:val="000000">
              <w14:alpha w14:val="1000"/>
            </w14:srgbClr>
          </w14:shadow>
        </w:rPr>
      </w:pPr>
    </w:p>
    <w:p w:rsidR="008F09D8" w:rsidRPr="00F338B4" w:rsidRDefault="008F09D8" w:rsidP="00F338B4">
      <w:pPr>
        <w:spacing w:before="120" w:after="120"/>
        <w:jc w:val="both"/>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Mr R Galligher, Chief Executive Officer led the delegation and presented on behalf of the entity.  The presentation was outlined as indicated below:</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lastRenderedPageBreak/>
        <w:t>Strategic Planning Process</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Strategic Outcome Oriented Goals and Strategic Objectives</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SHRA’s Programmes</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Structure</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Annual Performance Indicators and targets:</w:t>
      </w:r>
    </w:p>
    <w:p w:rsidR="008F09D8" w:rsidRPr="00F338B4" w:rsidRDefault="008F09D8" w:rsidP="00F338B4">
      <w:pPr>
        <w:numPr>
          <w:ilvl w:val="1"/>
          <w:numId w:val="35"/>
        </w:numPr>
        <w:suppressAutoHyphens/>
        <w:autoSpaceDN w:val="0"/>
        <w:spacing w:before="120" w:after="120"/>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Administration Programme</w:t>
      </w:r>
      <w:r w:rsidR="00285AA5" w:rsidRPr="00F338B4">
        <w:rPr>
          <w:rFonts w:eastAsia="Calibri"/>
          <w:lang w:val="en-US" w:eastAsia="en-US"/>
          <w14:shadow w14:blurRad="50800" w14:dist="50800" w14:dir="5400000" w14:sx="2000" w14:sy="2000" w14:kx="0" w14:ky="0" w14:algn="ctr">
            <w14:srgbClr w14:val="000000">
              <w14:alpha w14:val="1000"/>
            </w14:srgbClr>
          </w14:shadow>
        </w:rPr>
        <w:t>;</w:t>
      </w:r>
    </w:p>
    <w:p w:rsidR="008F09D8" w:rsidRPr="00F338B4" w:rsidRDefault="008F09D8" w:rsidP="00F338B4">
      <w:pPr>
        <w:numPr>
          <w:ilvl w:val="1"/>
          <w:numId w:val="35"/>
        </w:numPr>
        <w:suppressAutoHyphens/>
        <w:autoSpaceDN w:val="0"/>
        <w:spacing w:before="120" w:after="120"/>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Compliance, Accreditation and Regulations Programme</w:t>
      </w:r>
      <w:r w:rsidR="00285AA5" w:rsidRPr="00F338B4">
        <w:rPr>
          <w:rFonts w:eastAsia="Calibri"/>
          <w:lang w:val="en-US" w:eastAsia="en-US"/>
          <w14:shadow w14:blurRad="50800" w14:dist="50800" w14:dir="5400000" w14:sx="2000" w14:sy="2000" w14:kx="0" w14:ky="0" w14:algn="ctr">
            <w14:srgbClr w14:val="000000">
              <w14:alpha w14:val="1000"/>
            </w14:srgbClr>
          </w14:shadow>
        </w:rPr>
        <w:t>;</w:t>
      </w:r>
    </w:p>
    <w:p w:rsidR="008F09D8" w:rsidRPr="00F338B4" w:rsidRDefault="008F09D8" w:rsidP="00F338B4">
      <w:pPr>
        <w:numPr>
          <w:ilvl w:val="1"/>
          <w:numId w:val="35"/>
        </w:numPr>
        <w:suppressAutoHyphens/>
        <w:autoSpaceDN w:val="0"/>
        <w:spacing w:before="120" w:after="120"/>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Sector Development Programme</w:t>
      </w:r>
      <w:r w:rsidR="00285AA5" w:rsidRPr="00F338B4">
        <w:rPr>
          <w:rFonts w:eastAsia="Calibri"/>
          <w:lang w:val="en-US" w:eastAsia="en-US"/>
          <w14:shadow w14:blurRad="50800" w14:dist="50800" w14:dir="5400000" w14:sx="2000" w14:sy="2000" w14:kx="0" w14:ky="0" w14:algn="ctr">
            <w14:srgbClr w14:val="000000">
              <w14:alpha w14:val="1000"/>
            </w14:srgbClr>
          </w14:shadow>
        </w:rPr>
        <w:t>;</w:t>
      </w:r>
    </w:p>
    <w:p w:rsidR="008F09D8" w:rsidRPr="00F338B4" w:rsidRDefault="008F09D8" w:rsidP="00F338B4">
      <w:pPr>
        <w:numPr>
          <w:ilvl w:val="1"/>
          <w:numId w:val="35"/>
        </w:numPr>
        <w:suppressAutoHyphens/>
        <w:autoSpaceDN w:val="0"/>
        <w:spacing w:before="120" w:after="120"/>
        <w:contextualSpacing/>
        <w:textAlignment w:val="baseline"/>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Project Development and Funding Programme</w:t>
      </w:r>
      <w:r w:rsidR="00285AA5" w:rsidRPr="00F338B4">
        <w:rPr>
          <w:rFonts w:eastAsia="Calibri"/>
          <w:lang w:val="en-US" w:eastAsia="en-US"/>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MTSF Target – Units delivered</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Social Housing Delivery</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Social Housing Pipeline of Projects</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Enabling Factors to Support Delivery</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Social Housing Projects to be tabled at TEC</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MTEF</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Expenditure Trends and Estimates</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He reported that the strategic oriented goals were to</w:t>
      </w:r>
      <w:r w:rsidR="00285AA5" w:rsidRPr="00F338B4">
        <w:rPr>
          <w:rFonts w:eastAsia="Calibri"/>
          <w:lang w:val="en-US" w:eastAsia="en-US"/>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To establish a well skilled, resourced and led organisation</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To support policy and sectoral leadership within the social housing sector</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To establish functioning and well managed delivery agents/entities delivering units that meet a landlords responsibilities to its tenants</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To effectively regulate the social housing sector through a risk based, automated system</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pStyle w:val="ListParagraph"/>
        <w:numPr>
          <w:ilvl w:val="0"/>
          <w:numId w:val="36"/>
        </w:numPr>
        <w:spacing w:before="120" w:after="120" w:line="240" w:lineRule="auto"/>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To deliver social housing units that result in the restructuring of cities and integrated communities</w:t>
      </w:r>
      <w:r w:rsidR="00285AA5" w:rsidRPr="00F338B4">
        <w:rPr>
          <w:rFonts w:ascii="Times New Roman" w:hAnsi="Times New Roman"/>
          <w:sz w:val="24"/>
          <w:szCs w:val="24"/>
          <w14:shadow w14:blurRad="50800" w14:dist="50800" w14:dir="5400000" w14:sx="2000" w14:sy="2000" w14:kx="0" w14:ky="0" w14:algn="ctr">
            <w14:srgbClr w14:val="000000">
              <w14:alpha w14:val="1000"/>
            </w14:srgbClr>
          </w14:shadow>
        </w:rPr>
        <w:t>.</w:t>
      </w:r>
    </w:p>
    <w:p w:rsidR="008F09D8" w:rsidRPr="00F338B4" w:rsidRDefault="008F09D8" w:rsidP="00F338B4">
      <w:pPr>
        <w:spacing w:before="120" w:after="120"/>
        <w:ind w:left="1080"/>
        <w:jc w:val="both"/>
        <w:rPr>
          <w14:shadow w14:blurRad="50800" w14:dist="50800" w14:dir="5400000" w14:sx="2000" w14:sy="2000" w14:kx="0" w14:ky="0" w14:algn="ctr">
            <w14:srgbClr w14:val="000000">
              <w14:alpha w14:val="1000"/>
            </w14:srgbClr>
          </w14:shadow>
        </w:rPr>
      </w:pPr>
    </w:p>
    <w:p w:rsidR="008F09D8" w:rsidRPr="00F338B4" w:rsidRDefault="008F09D8" w:rsidP="00F338B4">
      <w:pPr>
        <w:spacing w:before="120" w:after="120"/>
        <w:ind w:firstLine="644"/>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The entity reported on its funding allocation for the financial year as indicated below:</w:t>
      </w:r>
    </w:p>
    <w:tbl>
      <w:tblPr>
        <w:tblW w:w="7371" w:type="dxa"/>
        <w:tblInd w:w="1691" w:type="dxa"/>
        <w:tblCellMar>
          <w:left w:w="0" w:type="dxa"/>
          <w:right w:w="0" w:type="dxa"/>
        </w:tblCellMar>
        <w:tblLook w:val="04A0" w:firstRow="1" w:lastRow="0" w:firstColumn="1" w:lastColumn="0" w:noHBand="0" w:noVBand="1"/>
      </w:tblPr>
      <w:tblGrid>
        <w:gridCol w:w="2410"/>
        <w:gridCol w:w="1276"/>
        <w:gridCol w:w="1092"/>
        <w:gridCol w:w="1176"/>
        <w:gridCol w:w="1417"/>
      </w:tblGrid>
      <w:tr w:rsidR="006D0B02" w:rsidRPr="00F338B4" w:rsidTr="006D0B02">
        <w:trPr>
          <w:trHeight w:val="260"/>
        </w:trPr>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2016/17</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2017/18</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2018/19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2019/20</w:t>
            </w:r>
          </w:p>
        </w:tc>
      </w:tr>
      <w:tr w:rsidR="006D0B02" w:rsidRPr="00F338B4" w:rsidTr="006D0B02">
        <w:trPr>
          <w:trHeight w:val="194"/>
        </w:trPr>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F09D8" w:rsidRPr="00F338B4" w:rsidRDefault="008F09D8" w:rsidP="00F338B4">
            <w:pPr>
              <w:spacing w:before="120" w:after="120"/>
              <w:rPr>
                <w:rFonts w:eastAsia="Calibri"/>
                <w:lang w:val="en-US" w:eastAsia="en-US"/>
                <w14:shadow w14:blurRad="50800" w14:dist="50800" w14:dir="5400000" w14:sx="2000" w14:sy="2000" w14:kx="0" w14:ky="0" w14:algn="ctr">
                  <w14:srgbClr w14:val="000000">
                    <w14:alpha w14:val="1000"/>
                  </w14:srgbClr>
                </w14:shadow>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R’000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R’000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R’000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R’000</w:t>
            </w:r>
          </w:p>
        </w:tc>
      </w:tr>
      <w:tr w:rsidR="006D0B02" w:rsidRPr="00F338B4" w:rsidTr="006D0B02">
        <w:trPr>
          <w:trHeight w:val="801"/>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Consolidated Capital Grant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 xml:space="preserve">424,388 </w:t>
            </w:r>
          </w:p>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(RCG  only)</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851,658</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1,143,640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1,238,414</w:t>
            </w:r>
          </w:p>
        </w:tc>
      </w:tr>
      <w:tr w:rsidR="006D0B02" w:rsidRPr="00F338B4" w:rsidTr="006D0B02">
        <w:trPr>
          <w:trHeight w:val="234"/>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Operations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36,392</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46,815</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51,980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55,201</w:t>
            </w:r>
          </w:p>
        </w:tc>
      </w:tr>
      <w:tr w:rsidR="006D0B02" w:rsidRPr="00F338B4" w:rsidTr="006D0B02">
        <w:trPr>
          <w:trHeight w:val="16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Regulations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8,000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10,000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10,550</w:t>
            </w:r>
          </w:p>
        </w:tc>
      </w:tr>
      <w:tr w:rsidR="006D0B02" w:rsidRPr="00F338B4" w:rsidTr="006D0B02">
        <w:trPr>
          <w:trHeight w:val="527"/>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Institutional Investment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34,183</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20,490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20,132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21,259</w:t>
            </w:r>
          </w:p>
        </w:tc>
      </w:tr>
      <w:tr w:rsidR="006D0B02" w:rsidRPr="00F338B4" w:rsidTr="006D0B02">
        <w:trPr>
          <w:trHeight w:val="54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TOTAL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494,963</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926,963</w:t>
            </w: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1,225,752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9D8" w:rsidRPr="00F338B4" w:rsidRDefault="008F09D8" w:rsidP="00F338B4">
            <w:pPr>
              <w:spacing w:before="120" w:after="120"/>
              <w:jc w:val="both"/>
              <w:rPr>
                <w:rFonts w:eastAsia="Calibri"/>
                <w:lang w:val="en-US" w:eastAsia="en-US"/>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1,325,434</w:t>
            </w:r>
          </w:p>
        </w:tc>
      </w:tr>
    </w:tbl>
    <w:p w:rsidR="00BA2098" w:rsidRPr="00F338B4" w:rsidRDefault="00BA2098" w:rsidP="00F338B4">
      <w:pPr>
        <w:suppressAutoHyphens/>
        <w:autoSpaceDN w:val="0"/>
        <w:spacing w:before="120" w:after="120"/>
        <w:jc w:val="both"/>
        <w:textAlignment w:val="baseline"/>
        <w:rPr>
          <w:rFonts w:eastAsia="Calibri"/>
          <w:lang w:val="en-US" w:eastAsia="en-US"/>
          <w14:shadow w14:blurRad="50800" w14:dist="50800" w14:dir="5400000" w14:sx="2000" w14:sy="2000" w14:kx="0" w14:ky="0" w14:algn="ctr">
            <w14:srgbClr w14:val="000000">
              <w14:alpha w14:val="1000"/>
            </w14:srgbClr>
          </w14:shadow>
        </w:rPr>
      </w:pPr>
    </w:p>
    <w:p w:rsidR="00901240" w:rsidRPr="00F338B4" w:rsidRDefault="00901240" w:rsidP="00F338B4">
      <w:pPr>
        <w:suppressAutoHyphens/>
        <w:autoSpaceDN w:val="0"/>
        <w:spacing w:before="120" w:after="120"/>
        <w:ind w:left="720"/>
        <w:jc w:val="both"/>
        <w:textAlignment w:val="baseline"/>
        <w:rPr>
          <w:rFonts w:eastAsia="Calibri"/>
          <w14:shadow w14:blurRad="50800" w14:dist="50800" w14:dir="5400000" w14:sx="2000" w14:sy="2000" w14:kx="0" w14:ky="0" w14:algn="ctr">
            <w14:srgbClr w14:val="000000">
              <w14:alpha w14:val="1000"/>
            </w14:srgbClr>
          </w14:shadow>
        </w:rPr>
      </w:pPr>
      <w:r w:rsidRPr="00F338B4">
        <w:rPr>
          <w:rFonts w:eastAsia="Calibri"/>
          <w14:shadow w14:blurRad="50800" w14:dist="50800" w14:dir="5400000" w14:sx="2000" w14:sy="2000" w14:kx="0" w14:ky="0" w14:algn="ctr">
            <w14:srgbClr w14:val="000000">
              <w14:alpha w14:val="1000"/>
            </w14:srgbClr>
          </w14:shadow>
        </w:rPr>
        <w:t>The Committee felt that CSOS and the Department should present the detailed report on the R6.1 million which was a bail-out from SHRA.  It stressed that Need to formalise the relationship between CSOS and SHRA.  In addition, it was stated that there was need to ensure the financial stability of the CSOS using the same approach as was applied to the SHRA.</w:t>
      </w:r>
    </w:p>
    <w:p w:rsidR="00901240" w:rsidRPr="00F338B4" w:rsidRDefault="00901240" w:rsidP="00F338B4">
      <w:pPr>
        <w:suppressAutoHyphens/>
        <w:autoSpaceDN w:val="0"/>
        <w:spacing w:before="120" w:after="120"/>
        <w:jc w:val="both"/>
        <w:textAlignment w:val="baseline"/>
        <w:rPr>
          <w:rFonts w:eastAsia="Calibri"/>
          <w:lang w:val="en-US" w:eastAsia="en-US"/>
          <w14:shadow w14:blurRad="50800" w14:dist="50800" w14:dir="5400000" w14:sx="2000" w14:sy="2000" w14:kx="0" w14:ky="0" w14:algn="ctr">
            <w14:srgbClr w14:val="000000">
              <w14:alpha w14:val="1000"/>
            </w14:srgbClr>
          </w14:shadow>
        </w:rPr>
      </w:pPr>
    </w:p>
    <w:p w:rsidR="00D3587D" w:rsidRPr="00F338B4" w:rsidRDefault="00D503CB" w:rsidP="00F338B4">
      <w:pPr>
        <w:spacing w:before="120" w:after="120"/>
        <w:jc w:val="both"/>
        <w:rPr>
          <w:rFonts w:eastAsia="Calibri"/>
          <w:b/>
          <w:lang w:val="en-US" w:eastAsia="en-US"/>
          <w14:shadow w14:blurRad="50800" w14:dist="50800" w14:dir="5400000" w14:sx="2000" w14:sy="2000" w14:kx="0" w14:ky="0" w14:algn="ctr">
            <w14:srgbClr w14:val="000000">
              <w14:alpha w14:val="1000"/>
            </w14:srgbClr>
          </w14:shadow>
        </w:rPr>
      </w:pPr>
      <w:r w:rsidRPr="00F338B4">
        <w:rPr>
          <w:rFonts w:eastAsia="Calibri"/>
          <w:b/>
          <w:lang w:val="en-US" w:eastAsia="en-US"/>
          <w14:shadow w14:blurRad="50800" w14:dist="50800" w14:dir="5400000" w14:sx="2000" w14:sy="2000" w14:kx="0" w14:ky="0" w14:algn="ctr">
            <w14:srgbClr w14:val="000000">
              <w14:alpha w14:val="1000"/>
            </w14:srgbClr>
          </w14:shadow>
        </w:rPr>
        <w:t>5.</w:t>
      </w:r>
      <w:r w:rsidRPr="00F338B4">
        <w:rPr>
          <w:rFonts w:eastAsia="Calibri"/>
          <w:b/>
          <w:lang w:val="en-US" w:eastAsia="en-US"/>
          <w14:shadow w14:blurRad="50800" w14:dist="50800" w14:dir="5400000" w14:sx="2000" w14:sy="2000" w14:kx="0" w14:ky="0" w14:algn="ctr">
            <w14:srgbClr w14:val="000000">
              <w14:alpha w14:val="1000"/>
            </w14:srgbClr>
          </w14:shadow>
        </w:rPr>
        <w:tab/>
      </w:r>
      <w:r w:rsidR="00D3587D" w:rsidRPr="00F338B4">
        <w:rPr>
          <w:rFonts w:eastAsia="Calibri"/>
          <w:b/>
          <w:lang w:val="en-US" w:eastAsia="en-US"/>
          <w14:shadow w14:blurRad="50800" w14:dist="50800" w14:dir="5400000" w14:sx="2000" w14:sy="2000" w14:kx="0" w14:ky="0" w14:algn="ctr">
            <w14:srgbClr w14:val="000000">
              <w14:alpha w14:val="1000"/>
            </w14:srgbClr>
          </w14:shadow>
        </w:rPr>
        <w:t>Committee deliberations and observations</w:t>
      </w:r>
    </w:p>
    <w:p w:rsidR="00356CE1" w:rsidRPr="00F338B4" w:rsidRDefault="00356CE1"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D3587D" w:rsidRPr="00F338B4" w:rsidRDefault="00D3587D" w:rsidP="00F338B4">
      <w:pPr>
        <w:pStyle w:val="ListParagraph"/>
        <w:spacing w:before="120" w:after="120" w:line="240" w:lineRule="auto"/>
        <w:ind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Committee, having been briefed by the Depa</w:t>
      </w:r>
      <w:r w:rsidR="00664B15" w:rsidRPr="00F338B4">
        <w:rPr>
          <w:rFonts w:ascii="Times New Roman" w:hAnsi="Times New Roman"/>
          <w:sz w:val="24"/>
          <w:szCs w:val="24"/>
          <w14:shadow w14:blurRad="50800" w14:dist="50800" w14:dir="5400000" w14:sx="2000" w14:sy="2000" w14:kx="0" w14:ky="0" w14:algn="ctr">
            <w14:srgbClr w14:val="000000">
              <w14:alpha w14:val="1000"/>
            </w14:srgbClr>
          </w14:shadow>
        </w:rPr>
        <w:t>rtment and its entities on its Strategic Plans, Annual Performance P</w:t>
      </w:r>
      <w:r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lans and </w:t>
      </w:r>
      <w:r w:rsidR="00664B15" w:rsidRPr="00F338B4">
        <w:rPr>
          <w:rFonts w:ascii="Times New Roman" w:hAnsi="Times New Roman"/>
          <w:sz w:val="24"/>
          <w:szCs w:val="24"/>
          <w14:shadow w14:blurRad="50800" w14:dist="50800" w14:dir="5400000" w14:sx="2000" w14:sy="2000" w14:kx="0" w14:ky="0" w14:algn="ctr">
            <w14:srgbClr w14:val="000000">
              <w14:alpha w14:val="1000"/>
            </w14:srgbClr>
          </w14:shadow>
        </w:rPr>
        <w:t>B</w:t>
      </w:r>
      <w:r w:rsidRPr="00F338B4">
        <w:rPr>
          <w:rFonts w:ascii="Times New Roman" w:hAnsi="Times New Roman"/>
          <w:sz w:val="24"/>
          <w:szCs w:val="24"/>
          <w14:shadow w14:blurRad="50800" w14:dist="50800" w14:dir="5400000" w14:sx="2000" w14:sy="2000" w14:kx="0" w14:ky="0" w14:algn="ctr">
            <w14:srgbClr w14:val="000000">
              <w14:alpha w14:val="1000"/>
            </w14:srgbClr>
          </w14:shadow>
        </w:rPr>
        <w:t>udge</w:t>
      </w:r>
      <w:r w:rsidR="006A1BF5" w:rsidRPr="00F338B4">
        <w:rPr>
          <w:rFonts w:ascii="Times New Roman" w:hAnsi="Times New Roman"/>
          <w:sz w:val="24"/>
          <w:szCs w:val="24"/>
          <w14:shadow w14:blurRad="50800" w14:dist="50800" w14:dir="5400000" w14:sx="2000" w14:sy="2000" w14:kx="0" w14:ky="0" w14:algn="ctr">
            <w14:srgbClr w14:val="000000">
              <w14:alpha w14:val="1000"/>
            </w14:srgbClr>
          </w14:shadow>
        </w:rPr>
        <w:t>t</w:t>
      </w:r>
      <w:r w:rsidRPr="00F338B4">
        <w:rPr>
          <w:rFonts w:ascii="Times New Roman" w:hAnsi="Times New Roman"/>
          <w:sz w:val="24"/>
          <w:szCs w:val="24"/>
          <w14:shadow w14:blurRad="50800" w14:dist="50800" w14:dir="5400000" w14:sx="2000" w14:sy="2000" w14:kx="0" w14:ky="0" w14:algn="ctr">
            <w14:srgbClr w14:val="000000">
              <w14:alpha w14:val="1000"/>
            </w14:srgbClr>
          </w14:shadow>
        </w:rPr>
        <w:t>, deliberated and made the following observations:</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That the complexity of human settlements requires strong stakeholder engagement. Following this logic, there was a need for stronger integrated planning. That integration was not experienced in townships;</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Linked to that, all entities must be involved in planning to ensure smooth implementation of policy and programmes;</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That the Free State province builds state subsidy houses outside the prescribed 40m², and that was observed during the oversight to the Free State province;</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That the issuing of title deeds was at snail-pace, even though it was a government priority. This should be up-scaled to ensure dignity and respect to the previously disadvantaged people.  It was also observed that there were challenges of the lack of dedicated capacity or officials dealing with the backlog; </w:t>
      </w:r>
    </w:p>
    <w:p w:rsidR="00402812" w:rsidRPr="00F338B4" w:rsidRDefault="00115BF7"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The issue of under</w:t>
      </w:r>
      <w:r w:rsidR="002E1CFA"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spending</w:t>
      </w:r>
      <w:r w:rsidR="00B86D45" w:rsidRPr="00F338B4">
        <w:rPr>
          <w:lang w:val="en-US"/>
          <w14:shadow w14:blurRad="50800" w14:dist="50800" w14:dir="5400000" w14:sx="2000" w14:sy="2000" w14:kx="0" w14:ky="0" w14:algn="ctr">
            <w14:srgbClr w14:val="000000">
              <w14:alpha w14:val="1000"/>
            </w14:srgbClr>
          </w14:shadow>
        </w:rPr>
        <w:t xml:space="preserve"> of the Urban Settlements Development Grant (USDG) </w:t>
      </w:r>
      <w:r w:rsidR="00C949A6" w:rsidRPr="00F338B4">
        <w:rPr>
          <w:lang w:val="en-US"/>
          <w14:shadow w14:blurRad="50800" w14:dist="50800" w14:dir="5400000" w14:sx="2000" w14:sy="2000" w14:kx="0" w14:ky="0" w14:algn="ctr">
            <w14:srgbClr w14:val="000000">
              <w14:alpha w14:val="1000"/>
            </w14:srgbClr>
          </w14:shadow>
        </w:rPr>
        <w:t>by</w:t>
      </w:r>
      <w:r w:rsidR="00B86D45" w:rsidRPr="00F338B4">
        <w:rPr>
          <w:lang w:val="en-US"/>
          <w14:shadow w14:blurRad="50800" w14:dist="50800" w14:dir="5400000" w14:sx="2000" w14:sy="2000" w14:kx="0" w14:ky="0" w14:algn="ctr">
            <w14:srgbClr w14:val="000000">
              <w14:alpha w14:val="1000"/>
            </w14:srgbClr>
          </w14:shadow>
        </w:rPr>
        <w:t xml:space="preserve"> the three metros, namely, the City of Cape Town, Ekurhuleni, and E</w:t>
      </w:r>
      <w:r w:rsidRPr="00F338B4">
        <w:rPr>
          <w:lang w:val="en-US"/>
          <w14:shadow w14:blurRad="50800" w14:dist="50800" w14:dir="5400000" w14:sx="2000" w14:sy="2000" w14:kx="0" w14:ky="0" w14:algn="ctr">
            <w14:srgbClr w14:val="000000">
              <w14:alpha w14:val="1000"/>
            </w14:srgbClr>
          </w14:shadow>
        </w:rPr>
        <w:t>t</w:t>
      </w:r>
      <w:r w:rsidR="00B86D45" w:rsidRPr="00F338B4">
        <w:rPr>
          <w:lang w:val="en-US"/>
          <w14:shadow w14:blurRad="50800" w14:dist="50800" w14:dir="5400000" w14:sx="2000" w14:sy="2000" w14:kx="0" w14:ky="0" w14:algn="ctr">
            <w14:srgbClr w14:val="000000">
              <w14:alpha w14:val="1000"/>
            </w14:srgbClr>
          </w14:shadow>
        </w:rPr>
        <w:t>hekwini. The Committee was concerned about this because it results in the shifting of funds. It was stressed that this practice was linked to lack of proper p</w:t>
      </w:r>
      <w:r w:rsidR="00402812" w:rsidRPr="00F338B4">
        <w:rPr>
          <w:lang w:val="en-US"/>
          <w14:shadow w14:blurRad="50800" w14:dist="50800" w14:dir="5400000" w14:sx="2000" w14:sy="2000" w14:kx="0" w14:ky="0" w14:algn="ctr">
            <w14:srgbClr w14:val="000000">
              <w14:alpha w14:val="1000"/>
            </w14:srgbClr>
          </w14:shadow>
        </w:rPr>
        <w:t>lanning in relation to the USDG.  It was observed that protocol agreements were not signed with provinces and this wo</w:t>
      </w:r>
      <w:r w:rsidR="0082291C" w:rsidRPr="00F338B4">
        <w:rPr>
          <w:lang w:val="en-US"/>
          <w14:shadow w14:blurRad="50800" w14:dist="50800" w14:dir="5400000" w14:sx="2000" w14:sy="2000" w14:kx="0" w14:ky="0" w14:algn="ctr">
            <w14:srgbClr w14:val="000000">
              <w14:alpha w14:val="1000"/>
            </w14:srgbClr>
          </w14:shadow>
        </w:rPr>
        <w:t>uld require to be done urgently;</w:t>
      </w:r>
    </w:p>
    <w:p w:rsidR="0082291C" w:rsidRPr="00F338B4" w:rsidRDefault="0082291C"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Most municipalities were still requiring to be capacitated with rare and technical skills;</w:t>
      </w:r>
    </w:p>
    <w:p w:rsidR="00B86D45" w:rsidRPr="00F338B4" w:rsidRDefault="00C949A6"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There was a challenge with dealing with </w:t>
      </w:r>
      <w:r w:rsidR="00B86D45" w:rsidRPr="00F338B4">
        <w:rPr>
          <w:lang w:val="en-US"/>
          <w14:shadow w14:blurRad="50800" w14:dist="50800" w14:dir="5400000" w14:sx="2000" w14:sy="2000" w14:kx="0" w14:ky="0" w14:algn="ctr">
            <w14:srgbClr w14:val="000000">
              <w14:alpha w14:val="1000"/>
            </w14:srgbClr>
          </w14:shadow>
        </w:rPr>
        <w:t>student acco</w:t>
      </w:r>
      <w:r w:rsidRPr="00F338B4">
        <w:rPr>
          <w:lang w:val="en-US"/>
          <w14:shadow w14:blurRad="50800" w14:dist="50800" w14:dir="5400000" w14:sx="2000" w14:sy="2000" w14:kx="0" w14:ky="0" w14:algn="ctr">
            <w14:srgbClr w14:val="000000">
              <w14:alpha w14:val="1000"/>
            </w14:srgbClr>
          </w14:shadow>
        </w:rPr>
        <w:t xml:space="preserve">mmodation, the department should come with the policy to assist with this challenge; </w:t>
      </w:r>
    </w:p>
    <w:p w:rsidR="006B4B33"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That there was a pipeline planning for human settlements. The Committee stressed that </w:t>
      </w:r>
      <w:r w:rsidR="00C949A6" w:rsidRPr="00F338B4">
        <w:rPr>
          <w:lang w:val="en-US"/>
          <w14:shadow w14:blurRad="50800" w14:dist="50800" w14:dir="5400000" w14:sx="2000" w14:sy="2000" w14:kx="0" w14:ky="0" w14:algn="ctr">
            <w14:srgbClr w14:val="000000">
              <w14:alpha w14:val="1000"/>
            </w14:srgbClr>
          </w14:shadow>
        </w:rPr>
        <w:t>pipeline planning</w:t>
      </w:r>
      <w:r w:rsidRPr="00F338B4">
        <w:rPr>
          <w:lang w:val="en-US"/>
          <w14:shadow w14:blurRad="50800" w14:dist="50800" w14:dir="5400000" w14:sx="2000" w14:sy="2000" w14:kx="0" w14:ky="0" w14:algn="ctr">
            <w14:srgbClr w14:val="000000">
              <w14:alpha w14:val="1000"/>
            </w14:srgbClr>
          </w14:shadow>
        </w:rPr>
        <w:t xml:space="preserve"> was a key ingredient for the development of mega and catalytic projects. The complexity of these projects required planning that was synchronized while taking into account the Environmental Impact Assessments requirements, geo-technical analysis, land administration processes, and other approvals</w:t>
      </w:r>
      <w:r w:rsidR="006B4B33" w:rsidRPr="00F338B4">
        <w:rPr>
          <w:lang w:val="en-US"/>
          <w14:shadow w14:blurRad="50800" w14:dist="50800" w14:dir="5400000" w14:sx="2000" w14:sy="2000" w14:kx="0" w14:ky="0" w14:algn="ctr">
            <w14:srgbClr w14:val="000000">
              <w14:alpha w14:val="1000"/>
            </w14:srgbClr>
          </w14:shadow>
        </w:rPr>
        <w:t>.  That there was lack of relevant and technical capacity to implement mega and catalytic projects;</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That planning and implementation of Community Residential Units (CRUs) was slow;</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That the income </w:t>
      </w:r>
      <w:proofErr w:type="gramStart"/>
      <w:r w:rsidRPr="00F338B4">
        <w:rPr>
          <w:lang w:val="en-US"/>
          <w14:shadow w14:blurRad="50800" w14:dist="50800" w14:dir="5400000" w14:sx="2000" w14:sy="2000" w14:kx="0" w14:ky="0" w14:algn="ctr">
            <w14:srgbClr w14:val="000000">
              <w14:alpha w14:val="1000"/>
            </w14:srgbClr>
          </w14:shadow>
        </w:rPr>
        <w:t>categories of the qualification criteria does</w:t>
      </w:r>
      <w:proofErr w:type="gramEnd"/>
      <w:r w:rsidRPr="00F338B4">
        <w:rPr>
          <w:lang w:val="en-US"/>
          <w14:shadow w14:blurRad="50800" w14:dist="50800" w14:dir="5400000" w14:sx="2000" w14:sy="2000" w14:kx="0" w14:ky="0" w14:algn="ctr">
            <w14:srgbClr w14:val="000000">
              <w14:alpha w14:val="1000"/>
            </w14:srgbClr>
          </w14:shadow>
        </w:rPr>
        <w:t xml:space="preserve"> not reflect changes in economic or inflation. As a result, some people cannot afford houses;</w:t>
      </w:r>
    </w:p>
    <w:p w:rsidR="001D1F39"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lastRenderedPageBreak/>
        <w:t>That some provinces and municipalities do not adequately plan for Finance Linked Individual Subsidy Programme</w:t>
      </w:r>
      <w:r w:rsidR="00307CA6" w:rsidRPr="00F338B4">
        <w:rPr>
          <w:lang w:val="en-US"/>
          <w14:shadow w14:blurRad="50800" w14:dist="50800" w14:dir="5400000" w14:sx="2000" w14:sy="2000" w14:kx="0" w14:ky="0" w14:algn="ctr">
            <w14:srgbClr w14:val="000000">
              <w14:alpha w14:val="1000"/>
            </w14:srgbClr>
          </w14:shadow>
        </w:rPr>
        <w:t xml:space="preserve"> (FLISP)</w:t>
      </w:r>
      <w:r w:rsidRPr="00F338B4">
        <w:rPr>
          <w:lang w:val="en-US"/>
          <w14:shadow w14:blurRad="50800" w14:dist="50800" w14:dir="5400000" w14:sx="2000" w14:sy="2000" w14:kx="0" w14:ky="0" w14:algn="ctr">
            <w14:srgbClr w14:val="000000">
              <w14:alpha w14:val="1000"/>
            </w14:srgbClr>
          </w14:shadow>
        </w:rPr>
        <w:t>. This results in dissatisfaction by people in the “gap-market” – target</w:t>
      </w:r>
      <w:r w:rsidR="001D1F39" w:rsidRPr="00F338B4">
        <w:rPr>
          <w:lang w:val="en-US"/>
          <w14:shadow w14:blurRad="50800" w14:dist="50800" w14:dir="5400000" w14:sx="2000" w14:sy="2000" w14:kx="0" w14:ky="0" w14:algn="ctr">
            <w14:srgbClr w14:val="000000">
              <w14:alpha w14:val="1000"/>
            </w14:srgbClr>
          </w14:shadow>
        </w:rPr>
        <w:t xml:space="preserve"> population for the programme.  The centralisation of FLISP should be done carefully to ensure that rural areas have access to the programme;</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That military veteran’s assistance should be standardised. This emerged from the Free State approach; of providing 100m² while other provinces provide 52m². This could create conflicts;</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That there was a lack of visibility or marketing of human settlements entities. In addition the visibility is biased towards urban at the expense of rural areas;</w:t>
      </w:r>
    </w:p>
    <w:p w:rsidR="00B86D45" w:rsidRPr="00F338B4" w:rsidRDefault="006B4B33"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That</w:t>
      </w:r>
      <w:r w:rsidR="00B86D45" w:rsidRPr="00F338B4">
        <w:rPr>
          <w:lang w:val="en-US"/>
          <w14:shadow w14:blurRad="50800" w14:dist="50800" w14:dir="5400000" w14:sx="2000" w14:sy="2000" w14:kx="0" w14:ky="0" w14:algn="ctr">
            <w14:srgbClr w14:val="000000">
              <w14:alpha w14:val="1000"/>
            </w14:srgbClr>
          </w14:shadow>
        </w:rPr>
        <w:t xml:space="preserve"> the </w:t>
      </w:r>
      <w:r w:rsidRPr="00F338B4">
        <w:rPr>
          <w:lang w:val="en-US"/>
          <w14:shadow w14:blurRad="50800" w14:dist="50800" w14:dir="5400000" w14:sx="2000" w14:sy="2000" w14:kx="0" w14:ky="0" w14:algn="ctr">
            <w14:srgbClr w14:val="000000">
              <w14:alpha w14:val="1000"/>
            </w14:srgbClr>
          </w14:shadow>
        </w:rPr>
        <w:t>departmental budget was reduce</w:t>
      </w:r>
      <w:r w:rsidR="00402812" w:rsidRPr="00F338B4">
        <w:rPr>
          <w:lang w:val="en-US"/>
          <w14:shadow w14:blurRad="50800" w14:dist="50800" w14:dir="5400000" w14:sx="2000" w14:sy="2000" w14:kx="0" w14:ky="0" w14:algn="ctr">
            <w14:srgbClr w14:val="000000">
              <w14:alpha w14:val="1000"/>
            </w14:srgbClr>
          </w14:shadow>
        </w:rPr>
        <w:t>d, l</w:t>
      </w:r>
      <w:r w:rsidR="00B86D45" w:rsidRPr="00F338B4">
        <w:rPr>
          <w:lang w:val="en-US"/>
          <w14:shadow w14:blurRad="50800" w14:dist="50800" w14:dir="5400000" w14:sx="2000" w14:sy="2000" w14:kx="0" w14:ky="0" w14:algn="ctr">
            <w14:srgbClr w14:val="000000">
              <w14:alpha w14:val="1000"/>
            </w14:srgbClr>
          </w14:shadow>
        </w:rPr>
        <w:t>inked to that was an advise to optimally use the available capacity and ensure that “budget cuts” do not affect departmental operations and service delivery;</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Would the Department be able to achieve </w:t>
      </w:r>
      <w:r w:rsidR="000D66DA" w:rsidRPr="00F338B4">
        <w:rPr>
          <w:lang w:val="en-US"/>
          <w14:shadow w14:blurRad="50800" w14:dist="50800" w14:dir="5400000" w14:sx="2000" w14:sy="2000" w14:kx="0" w14:ky="0" w14:algn="ctr">
            <w14:srgbClr w14:val="000000">
              <w14:alpha w14:val="1000"/>
            </w14:srgbClr>
          </w14:shadow>
        </w:rPr>
        <w:t xml:space="preserve">or </w:t>
      </w:r>
      <w:r w:rsidRPr="00F338B4">
        <w:rPr>
          <w:lang w:val="en-US"/>
          <w14:shadow w14:blurRad="50800" w14:dist="50800" w14:dir="5400000" w14:sx="2000" w14:sy="2000" w14:kx="0" w14:ky="0" w14:algn="ctr">
            <w14:srgbClr w14:val="000000">
              <w14:alpha w14:val="1000"/>
            </w14:srgbClr>
          </w14:shadow>
        </w:rPr>
        <w:t>address informal settlements by 2030, as set out in the NDP;</w:t>
      </w:r>
    </w:p>
    <w:p w:rsidR="00B86D45" w:rsidRPr="00F338B4" w:rsidRDefault="001D1F39"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That the Department should claim the work done to </w:t>
      </w:r>
      <w:r w:rsidR="00B86D45" w:rsidRPr="00F338B4">
        <w:rPr>
          <w:lang w:val="en-US"/>
          <w14:shadow w14:blurRad="50800" w14:dist="50800" w14:dir="5400000" w14:sx="2000" w14:sy="2000" w14:kx="0" w14:ky="0" w14:algn="ctr">
            <w14:srgbClr w14:val="000000">
              <w14:alpha w14:val="1000"/>
            </w14:srgbClr>
          </w14:shadow>
        </w:rPr>
        <w:t>some existing mining town projects;</w:t>
      </w:r>
    </w:p>
    <w:p w:rsidR="00B86D45" w:rsidRPr="00F338B4" w:rsidRDefault="00A60736"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That </w:t>
      </w:r>
      <w:r w:rsidR="00B86D45" w:rsidRPr="00F338B4">
        <w:rPr>
          <w:lang w:val="en-US"/>
          <w14:shadow w14:blurRad="50800" w14:dist="50800" w14:dir="5400000" w14:sx="2000" w14:sy="2000" w14:kx="0" w14:ky="0" w14:algn="ctr">
            <w14:srgbClr w14:val="000000">
              <w14:alpha w14:val="1000"/>
            </w14:srgbClr>
          </w14:shadow>
        </w:rPr>
        <w:t xml:space="preserve">the Department </w:t>
      </w:r>
      <w:r w:rsidRPr="00F338B4">
        <w:rPr>
          <w:lang w:val="en-US"/>
          <w14:shadow w14:blurRad="50800" w14:dist="50800" w14:dir="5400000" w14:sx="2000" w14:sy="2000" w14:kx="0" w14:ky="0" w14:algn="ctr">
            <w14:srgbClr w14:val="000000">
              <w14:alpha w14:val="1000"/>
            </w14:srgbClr>
          </w14:shadow>
        </w:rPr>
        <w:t xml:space="preserve">should </w:t>
      </w:r>
      <w:r w:rsidR="00B86D45" w:rsidRPr="00F338B4">
        <w:rPr>
          <w:lang w:val="en-US"/>
          <w14:shadow w14:blurRad="50800" w14:dist="50800" w14:dir="5400000" w14:sx="2000" w14:sy="2000" w14:kx="0" w14:ky="0" w14:algn="ctr">
            <w14:srgbClr w14:val="000000">
              <w14:alpha w14:val="1000"/>
            </w14:srgbClr>
          </w14:shadow>
        </w:rPr>
        <w:t>report on job creation as a result of human settlements projects;</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That reporting on human settlements should be in milestones because human settlements projects take time;</w:t>
      </w:r>
    </w:p>
    <w:p w:rsidR="00B86D45"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proofErr w:type="gramStart"/>
      <w:r w:rsidRPr="00F338B4">
        <w:rPr>
          <w:lang w:val="en-US"/>
          <w14:shadow w14:blurRad="50800" w14:dist="50800" w14:dir="5400000" w14:sx="2000" w14:sy="2000" w14:kx="0" w14:ky="0" w14:algn="ctr">
            <w14:srgbClr w14:val="000000">
              <w14:alpha w14:val="1000"/>
            </w14:srgbClr>
          </w14:shadow>
        </w:rPr>
        <w:t>That secondary cities</w:t>
      </w:r>
      <w:proofErr w:type="gramEnd"/>
      <w:r w:rsidRPr="00F338B4">
        <w:rPr>
          <w:lang w:val="en-US"/>
          <w14:shadow w14:blurRad="50800" w14:dist="50800" w14:dir="5400000" w14:sx="2000" w14:sy="2000" w14:kx="0" w14:ky="0" w14:algn="ctr">
            <w14:srgbClr w14:val="000000">
              <w14:alpha w14:val="1000"/>
            </w14:srgbClr>
          </w14:shadow>
        </w:rPr>
        <w:t xml:space="preserve">, such as Welkom, be assisted with a fund similar to the USDG and </w:t>
      </w:r>
      <w:r w:rsidR="00402812" w:rsidRPr="00F338B4">
        <w:rPr>
          <w:lang w:val="en-US"/>
          <w14:shadow w14:blurRad="50800" w14:dist="50800" w14:dir="5400000" w14:sx="2000" w14:sy="2000" w14:kx="0" w14:ky="0" w14:algn="ctr">
            <w14:srgbClr w14:val="000000">
              <w14:alpha w14:val="1000"/>
            </w14:srgbClr>
          </w14:shadow>
        </w:rPr>
        <w:t>Human Settlements Development Grant (</w:t>
      </w:r>
      <w:r w:rsidRPr="00F338B4">
        <w:rPr>
          <w:lang w:val="en-US"/>
          <w14:shadow w14:blurRad="50800" w14:dist="50800" w14:dir="5400000" w14:sx="2000" w14:sy="2000" w14:kx="0" w14:ky="0" w14:algn="ctr">
            <w14:srgbClr w14:val="000000">
              <w14:alpha w14:val="1000"/>
            </w14:srgbClr>
          </w14:shadow>
        </w:rPr>
        <w:t>HSDG</w:t>
      </w:r>
      <w:r w:rsidR="00402812" w:rsidRPr="00F338B4">
        <w:rPr>
          <w:lang w:val="en-US"/>
          <w14:shadow w14:blurRad="50800" w14:dist="50800" w14:dir="5400000" w14:sx="2000" w14:sy="2000" w14:kx="0" w14:ky="0" w14:algn="ctr">
            <w14:srgbClr w14:val="000000">
              <w14:alpha w14:val="1000"/>
            </w14:srgbClr>
          </w14:shadow>
        </w:rPr>
        <w:t>)</w:t>
      </w:r>
      <w:r w:rsidRPr="00F338B4">
        <w:rPr>
          <w:lang w:val="en-US"/>
          <w14:shadow w14:blurRad="50800" w14:dist="50800" w14:dir="5400000" w14:sx="2000" w14:sy="2000" w14:kx="0" w14:ky="0" w14:algn="ctr">
            <w14:srgbClr w14:val="000000">
              <w14:alpha w14:val="1000"/>
            </w14:srgbClr>
          </w14:shadow>
        </w:rPr>
        <w:t xml:space="preserve">. </w:t>
      </w:r>
      <w:r w:rsidR="00402812" w:rsidRPr="00F338B4">
        <w:rPr>
          <w:lang w:val="en-US"/>
          <w14:shadow w14:blurRad="50800" w14:dist="50800" w14:dir="5400000" w14:sx="2000" w14:sy="2000" w14:kx="0" w14:ky="0" w14:algn="ctr">
            <w14:srgbClr w14:val="000000">
              <w14:alpha w14:val="1000"/>
            </w14:srgbClr>
          </w14:shadow>
        </w:rPr>
        <w:t xml:space="preserve"> T</w:t>
      </w:r>
      <w:r w:rsidRPr="00F338B4">
        <w:rPr>
          <w:lang w:val="en-US"/>
          <w14:shadow w14:blurRad="50800" w14:dist="50800" w14:dir="5400000" w14:sx="2000" w14:sy="2000" w14:kx="0" w14:ky="0" w14:algn="ctr">
            <w14:srgbClr w14:val="000000">
              <w14:alpha w14:val="1000"/>
            </w14:srgbClr>
          </w14:shadow>
        </w:rPr>
        <w:t xml:space="preserve">he department </w:t>
      </w:r>
      <w:r w:rsidR="00402812" w:rsidRPr="00F338B4">
        <w:rPr>
          <w:lang w:val="en-US"/>
          <w14:shadow w14:blurRad="50800" w14:dist="50800" w14:dir="5400000" w14:sx="2000" w14:sy="2000" w14:kx="0" w14:ky="0" w14:algn="ctr">
            <w14:srgbClr w14:val="000000">
              <w14:alpha w14:val="1000"/>
            </w14:srgbClr>
          </w14:shadow>
        </w:rPr>
        <w:t xml:space="preserve">should </w:t>
      </w:r>
      <w:r w:rsidRPr="00F338B4">
        <w:rPr>
          <w:lang w:val="en-US"/>
          <w14:shadow w14:blurRad="50800" w14:dist="50800" w14:dir="5400000" w14:sx="2000" w14:sy="2000" w14:kx="0" w14:ky="0" w14:algn="ctr">
            <w14:srgbClr w14:val="000000">
              <w14:alpha w14:val="1000"/>
            </w14:srgbClr>
          </w14:shadow>
        </w:rPr>
        <w:t>ensure that secondary cities were financially viable and able to implement complex human settlements projects;</w:t>
      </w:r>
    </w:p>
    <w:p w:rsidR="00B86D45" w:rsidRPr="00F338B4" w:rsidRDefault="00402812"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Th</w:t>
      </w:r>
      <w:r w:rsidR="00C129FF" w:rsidRPr="00F338B4">
        <w:rPr>
          <w:lang w:val="en-US"/>
          <w14:shadow w14:blurRad="50800" w14:dist="50800" w14:dir="5400000" w14:sx="2000" w14:sy="2000" w14:kx="0" w14:ky="0" w14:algn="ctr">
            <w14:srgbClr w14:val="000000">
              <w14:alpha w14:val="1000"/>
            </w14:srgbClr>
          </w14:shadow>
        </w:rPr>
        <w:t>at th</w:t>
      </w:r>
      <w:r w:rsidRPr="00F338B4">
        <w:rPr>
          <w:lang w:val="en-US"/>
          <w14:shadow w14:blurRad="50800" w14:dist="50800" w14:dir="5400000" w14:sx="2000" w14:sy="2000" w14:kx="0" w14:ky="0" w14:algn="ctr">
            <w14:srgbClr w14:val="000000">
              <w14:alpha w14:val="1000"/>
            </w14:srgbClr>
          </w14:shadow>
        </w:rPr>
        <w:t>ere were provinces that were no</w:t>
      </w:r>
      <w:r w:rsidR="00C129FF" w:rsidRPr="00F338B4">
        <w:rPr>
          <w:lang w:val="en-US"/>
          <w14:shadow w14:blurRad="50800" w14:dist="50800" w14:dir="5400000" w14:sx="2000" w14:sy="2000" w14:kx="0" w14:ky="0" w14:algn="ctr">
            <w14:srgbClr w14:val="000000">
              <w14:alpha w14:val="1000"/>
            </w14:srgbClr>
          </w14:shadow>
        </w:rPr>
        <w:t>t</w:t>
      </w:r>
      <w:r w:rsidRPr="00F338B4">
        <w:rPr>
          <w:lang w:val="en-US"/>
          <w14:shadow w14:blurRad="50800" w14:dist="50800" w14:dir="5400000" w14:sx="2000" w14:sy="2000" w14:kx="0" w14:ky="0" w14:algn="ctr">
            <w14:srgbClr w14:val="000000">
              <w14:alpha w14:val="1000"/>
            </w14:srgbClr>
          </w14:shadow>
        </w:rPr>
        <w:t xml:space="preserve"> adhering to the </w:t>
      </w:r>
      <w:r w:rsidR="00B86D45" w:rsidRPr="00F338B4">
        <w:rPr>
          <w:lang w:val="en-US"/>
          <w14:shadow w14:blurRad="50800" w14:dist="50800" w14:dir="5400000" w14:sx="2000" w14:sy="2000" w14:kx="0" w14:ky="0" w14:algn="ctr">
            <w14:srgbClr w14:val="000000">
              <w14:alpha w14:val="1000"/>
            </w14:srgbClr>
          </w14:shadow>
        </w:rPr>
        <w:t>30day payment</w:t>
      </w:r>
      <w:r w:rsidRPr="00F338B4">
        <w:rPr>
          <w:lang w:val="en-US"/>
          <w14:shadow w14:blurRad="50800" w14:dist="50800" w14:dir="5400000" w14:sx="2000" w14:sy="2000" w14:kx="0" w14:ky="0" w14:algn="ctr">
            <w14:srgbClr w14:val="000000">
              <w14:alpha w14:val="1000"/>
            </w14:srgbClr>
          </w14:shadow>
        </w:rPr>
        <w:t xml:space="preserve"> of invoices. </w:t>
      </w:r>
      <w:r w:rsidR="00B86D45" w:rsidRPr="00F338B4">
        <w:rPr>
          <w:lang w:val="en-US"/>
          <w14:shadow w14:blurRad="50800" w14:dist="50800" w14:dir="5400000" w14:sx="2000" w14:sy="2000" w14:kx="0" w14:ky="0" w14:algn="ctr">
            <w14:srgbClr w14:val="000000">
              <w14:alpha w14:val="1000"/>
            </w14:srgbClr>
          </w14:shadow>
        </w:rPr>
        <w:t xml:space="preserve"> This was important because lack of payment on time hampers the radical economic transformation trajectory;</w:t>
      </w:r>
    </w:p>
    <w:p w:rsidR="00402812" w:rsidRPr="00F338B4" w:rsidRDefault="00B86D45" w:rsidP="00F338B4">
      <w:pPr>
        <w:numPr>
          <w:ilvl w:val="0"/>
          <w:numId w:val="21"/>
        </w:numPr>
        <w:suppressAutoHyphens/>
        <w:autoSpaceDN w:val="0"/>
        <w:spacing w:before="120" w:after="120"/>
        <w:jc w:val="both"/>
        <w:textAlignment w:val="baseline"/>
        <w:rPr>
          <w:lang w:val="en-US"/>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Wanted to know whether the hectors of land received were from the sister departments such as Department of Public Works</w:t>
      </w:r>
      <w:r w:rsidR="00D13D7D" w:rsidRPr="00F338B4">
        <w:rPr>
          <w:lang w:val="en-US"/>
          <w14:shadow w14:blurRad="50800" w14:dist="50800" w14:dir="5400000" w14:sx="2000" w14:sy="2000" w14:kx="0" w14:ky="0" w14:algn="ctr">
            <w14:srgbClr w14:val="000000">
              <w14:alpha w14:val="1000"/>
            </w14:srgbClr>
          </w14:shadow>
        </w:rPr>
        <w:t xml:space="preserve">. </w:t>
      </w:r>
      <w:r w:rsidR="00402812" w:rsidRPr="00F338B4">
        <w:rPr>
          <w:lang w:val="en-US"/>
          <w14:shadow w14:blurRad="50800" w14:dist="50800" w14:dir="5400000" w14:sx="2000" w14:sy="2000" w14:kx="0" w14:ky="0" w14:algn="ctr">
            <w14:srgbClr w14:val="000000">
              <w14:alpha w14:val="1000"/>
            </w14:srgbClr>
          </w14:shadow>
        </w:rPr>
        <w:t xml:space="preserve"> Concerns were raised on whether the land bought was going to benefit the previously disadvantaged</w:t>
      </w:r>
      <w:r w:rsidR="00E03859" w:rsidRPr="00F338B4">
        <w:rPr>
          <w:lang w:val="en-US"/>
          <w14:shadow w14:blurRad="50800" w14:dist="50800" w14:dir="5400000" w14:sx="2000" w14:sy="2000" w14:kx="0" w14:ky="0" w14:algn="ctr">
            <w14:srgbClr w14:val="000000">
              <w14:alpha w14:val="1000"/>
            </w14:srgbClr>
          </w14:shadow>
        </w:rPr>
        <w:t>.</w:t>
      </w:r>
    </w:p>
    <w:p w:rsidR="004D1D78" w:rsidRPr="00F338B4" w:rsidRDefault="004D1D78" w:rsidP="00F338B4">
      <w:pPr>
        <w:suppressAutoHyphens/>
        <w:autoSpaceDN w:val="0"/>
        <w:spacing w:before="120" w:after="120"/>
        <w:ind w:left="720"/>
        <w:jc w:val="both"/>
        <w:textAlignment w:val="baseline"/>
        <w:rPr>
          <w:lang w:val="en-US"/>
          <w14:shadow w14:blurRad="50800" w14:dist="50800" w14:dir="5400000" w14:sx="2000" w14:sy="2000" w14:kx="0" w14:ky="0" w14:algn="ctr">
            <w14:srgbClr w14:val="000000">
              <w14:alpha w14:val="1000"/>
            </w14:srgbClr>
          </w14:shadow>
        </w:rPr>
      </w:pPr>
    </w:p>
    <w:p w:rsidR="00D3587D" w:rsidRPr="00F338B4" w:rsidRDefault="00D503CB" w:rsidP="00F338B4">
      <w:pPr>
        <w:spacing w:before="120" w:after="120"/>
        <w:rPr>
          <w:b/>
          <w14:shadow w14:blurRad="50800" w14:dist="50800" w14:dir="5400000" w14:sx="2000" w14:sy="2000" w14:kx="0" w14:ky="0" w14:algn="ctr">
            <w14:srgbClr w14:val="000000">
              <w14:alpha w14:val="1000"/>
            </w14:srgbClr>
          </w14:shadow>
        </w:rPr>
      </w:pPr>
      <w:r w:rsidRPr="00F338B4">
        <w:rPr>
          <w:b/>
          <w14:shadow w14:blurRad="50800" w14:dist="50800" w14:dir="5400000" w14:sx="2000" w14:sy="2000" w14:kx="0" w14:ky="0" w14:algn="ctr">
            <w14:srgbClr w14:val="000000">
              <w14:alpha w14:val="1000"/>
            </w14:srgbClr>
          </w14:shadow>
        </w:rPr>
        <w:t>6.</w:t>
      </w:r>
      <w:r w:rsidRPr="00F338B4">
        <w:rPr>
          <w:b/>
          <w14:shadow w14:blurRad="50800" w14:dist="50800" w14:dir="5400000" w14:sx="2000" w14:sy="2000" w14:kx="0" w14:ky="0" w14:algn="ctr">
            <w14:srgbClr w14:val="000000">
              <w14:alpha w14:val="1000"/>
            </w14:srgbClr>
          </w14:shadow>
        </w:rPr>
        <w:tab/>
      </w:r>
      <w:r w:rsidR="00D3587D" w:rsidRPr="00F338B4">
        <w:rPr>
          <w:b/>
          <w14:shadow w14:blurRad="50800" w14:dist="50800" w14:dir="5400000" w14:sx="2000" w14:sy="2000" w14:kx="0" w14:ky="0" w14:algn="ctr">
            <w14:srgbClr w14:val="000000">
              <w14:alpha w14:val="1000"/>
            </w14:srgbClr>
          </w14:shadow>
        </w:rPr>
        <w:t>Recommendations</w:t>
      </w:r>
    </w:p>
    <w:p w:rsidR="00493F03" w:rsidRPr="00F338B4" w:rsidRDefault="00493F03"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EF74A0" w:rsidRPr="00F338B4" w:rsidRDefault="00EF74A0" w:rsidP="00F338B4">
      <w:pPr>
        <w:pStyle w:val="ListParagraph"/>
        <w:spacing w:before="120" w:after="120" w:line="240" w:lineRule="auto"/>
        <w:ind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r w:rsidRPr="00F338B4">
        <w:rPr>
          <w:rFonts w:ascii="Times New Roman" w:hAnsi="Times New Roman"/>
          <w:sz w:val="24"/>
          <w:szCs w:val="24"/>
          <w14:shadow w14:blurRad="50800" w14:dist="50800" w14:dir="5400000" w14:sx="2000" w14:sy="2000" w14:kx="0" w14:ky="0" w14:algn="ctr">
            <w14:srgbClr w14:val="000000">
              <w14:alpha w14:val="1000"/>
            </w14:srgbClr>
          </w14:shadow>
        </w:rPr>
        <w:t>The Committee, having been briefed and observed the challenges that the Department and its entities experienced in its strategic plans, annua</w:t>
      </w:r>
      <w:r w:rsidR="00CE29DA" w:rsidRPr="00F338B4">
        <w:rPr>
          <w:rFonts w:ascii="Times New Roman" w:hAnsi="Times New Roman"/>
          <w:sz w:val="24"/>
          <w:szCs w:val="24"/>
          <w14:shadow w14:blurRad="50800" w14:dist="50800" w14:dir="5400000" w14:sx="2000" w14:sy="2000" w14:kx="0" w14:ky="0" w14:algn="ctr">
            <w14:srgbClr w14:val="000000">
              <w14:alpha w14:val="1000"/>
            </w14:srgbClr>
          </w14:shadow>
        </w:rPr>
        <w:t xml:space="preserve">l performance plans and budget </w:t>
      </w:r>
      <w:r w:rsidRPr="00F338B4">
        <w:rPr>
          <w:rFonts w:ascii="Times New Roman" w:hAnsi="Times New Roman"/>
          <w:sz w:val="24"/>
          <w:szCs w:val="24"/>
          <w14:shadow w14:blurRad="50800" w14:dist="50800" w14:dir="5400000" w14:sx="2000" w14:sy="2000" w14:kx="0" w14:ky="0" w14:algn="ctr">
            <w14:srgbClr w14:val="000000">
              <w14:alpha w14:val="1000"/>
            </w14:srgbClr>
          </w14:shadow>
        </w:rPr>
        <w:t>recommends that the Minister should:</w:t>
      </w:r>
    </w:p>
    <w:p w:rsidR="00233E71" w:rsidRPr="00F338B4" w:rsidRDefault="00CE29DA"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Up</w:t>
      </w:r>
      <w:r w:rsidR="005B2986" w:rsidRPr="00F338B4">
        <w:rPr>
          <w14:shadow w14:blurRad="50800" w14:dist="50800" w14:dir="5400000" w14:sx="2000" w14:sy="2000" w14:kx="0" w14:ky="0" w14:algn="ctr">
            <w14:srgbClr w14:val="000000">
              <w14:alpha w14:val="1000"/>
            </w14:srgbClr>
          </w14:shadow>
        </w:rPr>
        <w:t>-</w:t>
      </w:r>
      <w:r w:rsidRPr="00F338B4">
        <w:rPr>
          <w14:shadow w14:blurRad="50800" w14:dist="50800" w14:dir="5400000" w14:sx="2000" w14:sy="2000" w14:kx="0" w14:ky="0" w14:algn="ctr">
            <w14:srgbClr w14:val="000000">
              <w14:alpha w14:val="1000"/>
            </w14:srgbClr>
          </w14:shadow>
        </w:rPr>
        <w:t>scale the i</w:t>
      </w:r>
      <w:r w:rsidR="00233E71" w:rsidRPr="00F338B4">
        <w:rPr>
          <w14:shadow w14:blurRad="50800" w14:dist="50800" w14:dir="5400000" w14:sx="2000" w14:sy="2000" w14:kx="0" w14:ky="0" w14:algn="ctr">
            <w14:srgbClr w14:val="000000">
              <w14:alpha w14:val="1000"/>
            </w14:srgbClr>
          </w14:shadow>
        </w:rPr>
        <w:t xml:space="preserve">ssuing of Title Deeds – </w:t>
      </w:r>
      <w:r w:rsidRPr="00F338B4">
        <w:rPr>
          <w14:shadow w14:blurRad="50800" w14:dist="50800" w14:dir="5400000" w14:sx="2000" w14:sy="2000" w14:kx="0" w14:ky="0" w14:algn="ctr">
            <w14:srgbClr w14:val="000000">
              <w14:alpha w14:val="1000"/>
            </w14:srgbClr>
          </w14:shadow>
        </w:rPr>
        <w:t>Quarterly s</w:t>
      </w:r>
      <w:r w:rsidR="00233E71" w:rsidRPr="00F338B4">
        <w:rPr>
          <w14:shadow w14:blurRad="50800" w14:dist="50800" w14:dir="5400000" w14:sx="2000" w14:sy="2000" w14:kx="0" w14:ky="0" w14:algn="ctr">
            <w14:srgbClr w14:val="000000">
              <w14:alpha w14:val="1000"/>
            </w14:srgbClr>
          </w14:shadow>
        </w:rPr>
        <w:t xml:space="preserve">tatus report per municipality and per province as well as challenges that exist should be reported. </w:t>
      </w:r>
      <w:r w:rsidR="00E03859" w:rsidRPr="00F338B4">
        <w:rPr>
          <w14:shadow w14:blurRad="50800" w14:dist="50800" w14:dir="5400000" w14:sx="2000" w14:sy="2000" w14:kx="0" w14:ky="0" w14:algn="ctr">
            <w14:srgbClr w14:val="000000">
              <w14:alpha w14:val="1000"/>
            </w14:srgbClr>
          </w14:shadow>
        </w:rPr>
        <w:t xml:space="preserve"> </w:t>
      </w:r>
      <w:r w:rsidR="00233E71" w:rsidRPr="00F338B4">
        <w:rPr>
          <w14:shadow w14:blurRad="50800" w14:dist="50800" w14:dir="5400000" w14:sx="2000" w14:sy="2000" w14:kx="0" w14:ky="0" w14:algn="ctr">
            <w14:srgbClr w14:val="000000">
              <w14:alpha w14:val="1000"/>
            </w14:srgbClr>
          </w14:shadow>
        </w:rPr>
        <w:t>Report on progress on both the pre-and post-1994 categorie</w:t>
      </w:r>
      <w:r w:rsidR="001E6E9F" w:rsidRPr="00F338B4">
        <w:rPr>
          <w14:shadow w14:blurRad="50800" w14:dist="50800" w14:dir="5400000" w14:sx="2000" w14:sy="2000" w14:kx="0" w14:ky="0" w14:algn="ctr">
            <w14:srgbClr w14:val="000000">
              <w14:alpha w14:val="1000"/>
            </w14:srgbClr>
          </w14:shadow>
        </w:rPr>
        <w:t>s as well as on new title deeds;</w:t>
      </w:r>
    </w:p>
    <w:p w:rsidR="00233E71" w:rsidRPr="00F338B4" w:rsidRDefault="00CE29DA"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lastRenderedPageBreak/>
        <w:t>Finalise the plan to h</w:t>
      </w:r>
      <w:r w:rsidR="00233E71" w:rsidRPr="00F338B4">
        <w:rPr>
          <w14:shadow w14:blurRad="50800" w14:dist="50800" w14:dir="5400000" w14:sx="2000" w14:sy="2000" w14:kx="0" w14:ky="0" w14:algn="ctr">
            <w14:srgbClr w14:val="000000">
              <w14:alpha w14:val="1000"/>
            </w14:srgbClr>
          </w14:shadow>
        </w:rPr>
        <w:t>ous</w:t>
      </w:r>
      <w:r w:rsidRPr="00F338B4">
        <w:rPr>
          <w14:shadow w14:blurRad="50800" w14:dist="50800" w14:dir="5400000" w14:sx="2000" w14:sy="2000" w14:kx="0" w14:ky="0" w14:algn="ctr">
            <w14:srgbClr w14:val="000000">
              <w14:alpha w14:val="1000"/>
            </w14:srgbClr>
          </w14:shadow>
        </w:rPr>
        <w:t xml:space="preserve">e </w:t>
      </w:r>
      <w:r w:rsidR="00233E71" w:rsidRPr="00F338B4">
        <w:rPr>
          <w14:shadow w14:blurRad="50800" w14:dist="50800" w14:dir="5400000" w14:sx="2000" w14:sy="2000" w14:kx="0" w14:ky="0" w14:algn="ctr">
            <w14:srgbClr w14:val="000000">
              <w14:alpha w14:val="1000"/>
            </w14:srgbClr>
          </w14:shadow>
        </w:rPr>
        <w:t>non-statutory Military Veterans – Finalise the plan to house military veterans, as well as furnish an indication of figures broken dow</w:t>
      </w:r>
      <w:r w:rsidR="001E6E9F" w:rsidRPr="00F338B4">
        <w:rPr>
          <w14:shadow w14:blurRad="50800" w14:dist="50800" w14:dir="5400000" w14:sx="2000" w14:sy="2000" w14:kx="0" w14:ky="0" w14:algn="ctr">
            <w14:srgbClr w14:val="000000">
              <w14:alpha w14:val="1000"/>
            </w14:srgbClr>
          </w14:shadow>
        </w:rPr>
        <w:t xml:space="preserve">n per municipality </w:t>
      </w:r>
      <w:r w:rsidRPr="00F338B4">
        <w:rPr>
          <w14:shadow w14:blurRad="50800" w14:dist="50800" w14:dir="5400000" w14:sx="2000" w14:sy="2000" w14:kx="0" w14:ky="0" w14:algn="ctr">
            <w14:srgbClr w14:val="000000">
              <w14:alpha w14:val="1000"/>
            </w14:srgbClr>
          </w14:shadow>
        </w:rPr>
        <w:t xml:space="preserve">and </w:t>
      </w:r>
      <w:r w:rsidR="003033BF" w:rsidRPr="00F338B4">
        <w:rPr>
          <w14:shadow w14:blurRad="50800" w14:dist="50800" w14:dir="5400000" w14:sx="2000" w14:sy="2000" w14:kx="0" w14:ky="0" w14:algn="ctr">
            <w14:srgbClr w14:val="000000">
              <w14:alpha w14:val="1000"/>
            </w14:srgbClr>
          </w14:shadow>
        </w:rPr>
        <w:t>per province.</w:t>
      </w:r>
    </w:p>
    <w:p w:rsidR="00233E71" w:rsidRPr="00F338B4" w:rsidRDefault="00CE29DA"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Expedite </w:t>
      </w:r>
      <w:r w:rsidR="00233E71" w:rsidRPr="00F338B4">
        <w:rPr>
          <w14:shadow w14:blurRad="50800" w14:dist="50800" w14:dir="5400000" w14:sx="2000" w14:sy="2000" w14:kx="0" w14:ky="0" w14:algn="ctr">
            <w14:srgbClr w14:val="000000">
              <w14:alpha w14:val="1000"/>
            </w14:srgbClr>
          </w14:shadow>
        </w:rPr>
        <w:t xml:space="preserve">the upgrading of informal settlements – Consolidate the number of existing informal settlements that exist per province and per municipality. </w:t>
      </w:r>
      <w:r w:rsidRPr="00F338B4">
        <w:rPr>
          <w14:shadow w14:blurRad="50800" w14:dist="50800" w14:dir="5400000" w14:sx="2000" w14:sy="2000" w14:kx="0" w14:ky="0" w14:algn="ctr">
            <w14:srgbClr w14:val="000000">
              <w14:alpha w14:val="1000"/>
            </w14:srgbClr>
          </w14:shadow>
        </w:rPr>
        <w:t xml:space="preserve"> </w:t>
      </w:r>
      <w:r w:rsidR="00233E71" w:rsidRPr="00F338B4">
        <w:rPr>
          <w14:shadow w14:blurRad="50800" w14:dist="50800" w14:dir="5400000" w14:sx="2000" w14:sy="2000" w14:kx="0" w14:ky="0" w14:algn="ctr">
            <w14:srgbClr w14:val="000000">
              <w14:alpha w14:val="1000"/>
            </w14:srgbClr>
          </w14:shadow>
        </w:rPr>
        <w:t>Categorise informal settlements and rep</w:t>
      </w:r>
      <w:r w:rsidRPr="00F338B4">
        <w:rPr>
          <w14:shadow w14:blurRad="50800" w14:dist="50800" w14:dir="5400000" w14:sx="2000" w14:sy="2000" w14:kx="0" w14:ky="0" w14:algn="ctr">
            <w14:srgbClr w14:val="000000">
              <w14:alpha w14:val="1000"/>
            </w14:srgbClr>
          </w14:shadow>
        </w:rPr>
        <w:t>ort on the current state which wa</w:t>
      </w:r>
      <w:r w:rsidR="00233E71" w:rsidRPr="00F338B4">
        <w:rPr>
          <w14:shadow w14:blurRad="50800" w14:dist="50800" w14:dir="5400000" w14:sx="2000" w14:sy="2000" w14:kx="0" w14:ky="0" w14:algn="ctr">
            <w14:srgbClr w14:val="000000">
              <w14:alpha w14:val="1000"/>
            </w14:srgbClr>
          </w14:shadow>
        </w:rPr>
        <w:t xml:space="preserve">s to inform future plans. </w:t>
      </w:r>
      <w:r w:rsidRPr="00F338B4">
        <w:rPr>
          <w14:shadow w14:blurRad="50800" w14:dist="50800" w14:dir="5400000" w14:sx="2000" w14:sy="2000" w14:kx="0" w14:ky="0" w14:algn="ctr">
            <w14:srgbClr w14:val="000000">
              <w14:alpha w14:val="1000"/>
            </w14:srgbClr>
          </w14:shadow>
        </w:rPr>
        <w:t xml:space="preserve"> </w:t>
      </w:r>
      <w:r w:rsidR="00233E71" w:rsidRPr="00F338B4">
        <w:rPr>
          <w14:shadow w14:blurRad="50800" w14:dist="50800" w14:dir="5400000" w14:sx="2000" w14:sy="2000" w14:kx="0" w14:ky="0" w14:algn="ctr">
            <w14:srgbClr w14:val="000000">
              <w14:alpha w14:val="1000"/>
            </w14:srgbClr>
          </w14:shadow>
        </w:rPr>
        <w:t>Further, to report holistically on a quarterly basis on number of informal settlements</w:t>
      </w:r>
      <w:r w:rsidR="001E6E9F" w:rsidRPr="00F338B4">
        <w:rPr>
          <w14:shadow w14:blurRad="50800" w14:dist="50800" w14:dir="5400000" w14:sx="2000" w14:sy="2000" w14:kx="0" w14:ky="0" w14:algn="ctr">
            <w14:srgbClr w14:val="000000">
              <w14:alpha w14:val="1000"/>
            </w14:srgbClr>
          </w14:shadow>
        </w:rPr>
        <w:t xml:space="preserve"> upg</w:t>
      </w:r>
      <w:r w:rsidR="003033BF" w:rsidRPr="00F338B4">
        <w:rPr>
          <w14:shadow w14:blurRad="50800" w14:dist="50800" w14:dir="5400000" w14:sx="2000" w14:sy="2000" w14:kx="0" w14:ky="0" w14:algn="ctr">
            <w14:srgbClr w14:val="000000">
              <w14:alpha w14:val="1000"/>
            </w14:srgbClr>
          </w14:shadow>
        </w:rPr>
        <w:t>raded.</w:t>
      </w:r>
    </w:p>
    <w:p w:rsidR="00233E71" w:rsidRPr="00F338B4" w:rsidRDefault="00CE29DA"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Implement</w:t>
      </w:r>
      <w:r w:rsidR="00233E71" w:rsidRPr="00F338B4">
        <w:rPr>
          <w14:shadow w14:blurRad="50800" w14:dist="50800" w14:dir="5400000" w14:sx="2000" w14:sy="2000" w14:kx="0" w14:ky="0" w14:algn="ctr">
            <w14:srgbClr w14:val="000000">
              <w14:alpha w14:val="1000"/>
            </w14:srgbClr>
          </w14:shadow>
        </w:rPr>
        <w:t xml:space="preserve"> catalytic proj</w:t>
      </w:r>
      <w:r w:rsidRPr="00F338B4">
        <w:rPr>
          <w14:shadow w14:blurRad="50800" w14:dist="50800" w14:dir="5400000" w14:sx="2000" w14:sy="2000" w14:kx="0" w14:ky="0" w14:algn="ctr">
            <w14:srgbClr w14:val="000000">
              <w14:alpha w14:val="1000"/>
            </w14:srgbClr>
          </w14:shadow>
        </w:rPr>
        <w:t>ects – d</w:t>
      </w:r>
      <w:r w:rsidR="00233E71" w:rsidRPr="00F338B4">
        <w:rPr>
          <w14:shadow w14:blurRad="50800" w14:dist="50800" w14:dir="5400000" w14:sx="2000" w14:sy="2000" w14:kx="0" w14:ky="0" w14:algn="ctr">
            <w14:srgbClr w14:val="000000">
              <w14:alpha w14:val="1000"/>
            </w14:srgbClr>
          </w14:shadow>
        </w:rPr>
        <w:t>evelop a matrix for catalytic projects as well as furnish detail</w:t>
      </w:r>
      <w:r w:rsidR="003033BF" w:rsidRPr="00F338B4">
        <w:rPr>
          <w14:shadow w14:blurRad="50800" w14:dist="50800" w14:dir="5400000" w14:sx="2000" w14:sy="2000" w14:kx="0" w14:ky="0" w14:algn="ctr">
            <w14:srgbClr w14:val="000000">
              <w14:alpha w14:val="1000"/>
            </w14:srgbClr>
          </w14:shadow>
        </w:rPr>
        <w:t>s of the status of each project.</w:t>
      </w:r>
    </w:p>
    <w:p w:rsidR="00233E71" w:rsidRPr="00F338B4" w:rsidRDefault="00233E71"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Accelerate implementation of F</w:t>
      </w:r>
      <w:r w:rsidR="00CE29DA" w:rsidRPr="00F338B4">
        <w:rPr>
          <w14:shadow w14:blurRad="50800" w14:dist="50800" w14:dir="5400000" w14:sx="2000" w14:sy="2000" w14:kx="0" w14:ky="0" w14:algn="ctr">
            <w14:srgbClr w14:val="000000">
              <w14:alpha w14:val="1000"/>
            </w14:srgbClr>
          </w14:shadow>
        </w:rPr>
        <w:t>inance Linked Individual Subsidy Programme (F</w:t>
      </w:r>
      <w:r w:rsidRPr="00F338B4">
        <w:rPr>
          <w14:shadow w14:blurRad="50800" w14:dist="50800" w14:dir="5400000" w14:sx="2000" w14:sy="2000" w14:kx="0" w14:ky="0" w14:algn="ctr">
            <w14:srgbClr w14:val="000000">
              <w14:alpha w14:val="1000"/>
            </w14:srgbClr>
          </w14:shadow>
        </w:rPr>
        <w:t>LISP</w:t>
      </w:r>
      <w:r w:rsidR="00CE29DA" w:rsidRPr="00F338B4">
        <w:rPr>
          <w14:shadow w14:blurRad="50800" w14:dist="50800" w14:dir="5400000" w14:sx="2000" w14:sy="2000" w14:kx="0" w14:ky="0" w14:algn="ctr">
            <w14:srgbClr w14:val="000000">
              <w14:alpha w14:val="1000"/>
            </w14:srgbClr>
          </w14:shadow>
        </w:rPr>
        <w:t>)</w:t>
      </w:r>
      <w:r w:rsidRPr="00F338B4">
        <w:rPr>
          <w14:shadow w14:blurRad="50800" w14:dist="50800" w14:dir="5400000" w14:sx="2000" w14:sy="2000" w14:kx="0" w14:ky="0" w14:algn="ctr">
            <w14:srgbClr w14:val="000000">
              <w14:alpha w14:val="1000"/>
            </w14:srgbClr>
          </w14:shadow>
        </w:rPr>
        <w:t xml:space="preserve"> and of </w:t>
      </w:r>
      <w:r w:rsidR="00543559" w:rsidRPr="00F338B4">
        <w:rPr>
          <w14:shadow w14:blurRad="50800" w14:dist="50800" w14:dir="5400000" w14:sx="2000" w14:sy="2000" w14:kx="0" w14:ky="0" w14:algn="ctr">
            <w14:srgbClr w14:val="000000">
              <w14:alpha w14:val="1000"/>
            </w14:srgbClr>
          </w14:shadow>
        </w:rPr>
        <w:t>Government Employment Hous</w:t>
      </w:r>
      <w:r w:rsidR="00552720" w:rsidRPr="00F338B4">
        <w:rPr>
          <w14:shadow w14:blurRad="50800" w14:dist="50800" w14:dir="5400000" w14:sx="2000" w14:sy="2000" w14:kx="0" w14:ky="0" w14:algn="ctr">
            <w14:srgbClr w14:val="000000">
              <w14:alpha w14:val="1000"/>
            </w14:srgbClr>
          </w14:shadow>
        </w:rPr>
        <w:t>ing Scheme</w:t>
      </w:r>
      <w:r w:rsidR="00543559" w:rsidRPr="00F338B4">
        <w:rPr>
          <w14:shadow w14:blurRad="50800" w14:dist="50800" w14:dir="5400000" w14:sx="2000" w14:sy="2000" w14:kx="0" w14:ky="0" w14:algn="ctr">
            <w14:srgbClr w14:val="000000">
              <w14:alpha w14:val="1000"/>
            </w14:srgbClr>
          </w14:shadow>
        </w:rPr>
        <w:t xml:space="preserve"> </w:t>
      </w:r>
      <w:r w:rsidR="00552720" w:rsidRPr="00F338B4">
        <w:rPr>
          <w14:shadow w14:blurRad="50800" w14:dist="50800" w14:dir="5400000" w14:sx="2000" w14:sy="2000" w14:kx="0" w14:ky="0" w14:algn="ctr">
            <w14:srgbClr w14:val="000000">
              <w14:alpha w14:val="1000"/>
            </w14:srgbClr>
          </w14:shadow>
        </w:rPr>
        <w:t>(</w:t>
      </w:r>
      <w:r w:rsidRPr="00F338B4">
        <w:rPr>
          <w14:shadow w14:blurRad="50800" w14:dist="50800" w14:dir="5400000" w14:sx="2000" w14:sy="2000" w14:kx="0" w14:ky="0" w14:algn="ctr">
            <w14:srgbClr w14:val="000000">
              <w14:alpha w14:val="1000"/>
            </w14:srgbClr>
          </w14:shadow>
        </w:rPr>
        <w:t>GEHS</w:t>
      </w:r>
      <w:r w:rsidR="00552720" w:rsidRPr="00F338B4">
        <w:rPr>
          <w14:shadow w14:blurRad="50800" w14:dist="50800" w14:dir="5400000" w14:sx="2000" w14:sy="2000" w14:kx="0" w14:ky="0" w14:algn="ctr">
            <w14:srgbClr w14:val="000000">
              <w14:alpha w14:val="1000"/>
            </w14:srgbClr>
          </w14:shadow>
        </w:rPr>
        <w:t>)</w:t>
      </w:r>
      <w:r w:rsidRPr="00F338B4">
        <w:rPr>
          <w14:shadow w14:blurRad="50800" w14:dist="50800" w14:dir="5400000" w14:sx="2000" w14:sy="2000" w14:kx="0" w14:ky="0" w14:algn="ctr">
            <w14:srgbClr w14:val="000000">
              <w14:alpha w14:val="1000"/>
            </w14:srgbClr>
          </w14:shadow>
        </w:rPr>
        <w:t xml:space="preserve"> – Centralisation of FLISP and expedite implementation of GEHS as well as track progress </w:t>
      </w:r>
      <w:r w:rsidR="003033BF" w:rsidRPr="00F338B4">
        <w:rPr>
          <w14:shadow w14:blurRad="50800" w14:dist="50800" w14:dir="5400000" w14:sx="2000" w14:sy="2000" w14:kx="0" w14:ky="0" w14:algn="ctr">
            <w14:srgbClr w14:val="000000">
              <w14:alpha w14:val="1000"/>
            </w14:srgbClr>
          </w14:shadow>
        </w:rPr>
        <w:t>and report on the progress made.</w:t>
      </w:r>
    </w:p>
    <w:p w:rsidR="00233E71" w:rsidRPr="00F338B4" w:rsidRDefault="00A91F2F"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lang w:val="en-US"/>
          <w14:shadow w14:blurRad="50800" w14:dist="50800" w14:dir="5400000" w14:sx="2000" w14:sy="2000" w14:kx="0" w14:ky="0" w14:algn="ctr">
            <w14:srgbClr w14:val="000000">
              <w14:alpha w14:val="1000"/>
            </w14:srgbClr>
          </w14:shadow>
        </w:rPr>
        <w:t xml:space="preserve"> Claim the work done to some existing mining town projects</w:t>
      </w:r>
      <w:r w:rsidRPr="00F338B4">
        <w:rPr>
          <w14:shadow w14:blurRad="50800" w14:dist="50800" w14:dir="5400000" w14:sx="2000" w14:sy="2000" w14:kx="0" w14:ky="0" w14:algn="ctr">
            <w14:srgbClr w14:val="000000">
              <w14:alpha w14:val="1000"/>
            </w14:srgbClr>
          </w14:shadow>
        </w:rPr>
        <w:t xml:space="preserve"> and also e</w:t>
      </w:r>
      <w:r w:rsidR="00233E71" w:rsidRPr="00F338B4">
        <w:rPr>
          <w14:shadow w14:blurRad="50800" w14:dist="50800" w14:dir="5400000" w14:sx="2000" w14:sy="2000" w14:kx="0" w14:ky="0" w14:algn="ctr">
            <w14:srgbClr w14:val="000000">
              <w14:alpha w14:val="1000"/>
            </w14:srgbClr>
          </w14:shadow>
        </w:rPr>
        <w:t>xtend support to mining towns through implementation of human settlements interventions – Categorise transformation plans per programme and focus area as well as report on progress in line with transformation plans.</w:t>
      </w:r>
    </w:p>
    <w:p w:rsidR="00233E71" w:rsidRPr="00F338B4" w:rsidRDefault="00552720"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Verify assets </w:t>
      </w:r>
      <w:r w:rsidR="00233E71" w:rsidRPr="00F338B4">
        <w:rPr>
          <w14:shadow w14:blurRad="50800" w14:dist="50800" w14:dir="5400000" w14:sx="2000" w14:sy="2000" w14:kx="0" w14:ky="0" w14:algn="ctr">
            <w14:srgbClr w14:val="000000">
              <w14:alpha w14:val="1000"/>
            </w14:srgbClr>
          </w14:shadow>
        </w:rPr>
        <w:t xml:space="preserve">– The Department was going to conduct a survey on occupation of the human settlements stock since 1994.  Therefore, </w:t>
      </w:r>
      <w:r w:rsidR="003033BF" w:rsidRPr="00F338B4">
        <w:rPr>
          <w14:shadow w14:blurRad="50800" w14:dist="50800" w14:dir="5400000" w14:sx="2000" w14:sy="2000" w14:kx="0" w14:ky="0" w14:algn="ctr">
            <w14:srgbClr w14:val="000000">
              <w14:alpha w14:val="1000"/>
            </w14:srgbClr>
          </w14:shadow>
        </w:rPr>
        <w:t>quarterly reports were required</w:t>
      </w:r>
      <w:r w:rsidR="00233E71" w:rsidRPr="00F338B4">
        <w:rPr>
          <w14:shadow w14:blurRad="50800" w14:dist="50800" w14:dir="5400000" w14:sx="2000" w14:sy="2000" w14:kx="0" w14:ky="0" w14:algn="ctr">
            <w14:srgbClr w14:val="000000">
              <w14:alpha w14:val="1000"/>
            </w14:srgbClr>
          </w14:shadow>
        </w:rPr>
        <w:t>.</w:t>
      </w:r>
    </w:p>
    <w:p w:rsidR="00233E71" w:rsidRPr="00F338B4" w:rsidRDefault="003033BF"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Adhere to the allocation of</w:t>
      </w:r>
      <w:r w:rsidR="00233E71" w:rsidRPr="00F338B4">
        <w:rPr>
          <w14:shadow w14:blurRad="50800" w14:dist="50800" w14:dir="5400000" w14:sx="2000" w14:sy="2000" w14:kx="0" w14:ky="0" w14:algn="ctr">
            <w14:srgbClr w14:val="000000">
              <w14:alpha w14:val="1000"/>
            </w14:srgbClr>
          </w14:shadow>
        </w:rPr>
        <w:t xml:space="preserve"> 30% of HSDG and USDG</w:t>
      </w:r>
      <w:r w:rsidRPr="00F338B4">
        <w:rPr>
          <w14:shadow w14:blurRad="50800" w14:dist="50800" w14:dir="5400000" w14:sx="2000" w14:sy="2000" w14:kx="0" w14:ky="0" w14:algn="ctr">
            <w14:srgbClr w14:val="000000">
              <w14:alpha w14:val="1000"/>
            </w14:srgbClr>
          </w14:shadow>
        </w:rPr>
        <w:t xml:space="preserve"> to women and youth contractors and to across all human settlements projects.  </w:t>
      </w:r>
    </w:p>
    <w:p w:rsidR="00233E71" w:rsidRPr="00F338B4" w:rsidRDefault="00233E71"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Resolve </w:t>
      </w:r>
      <w:r w:rsidR="003033BF" w:rsidRPr="00F338B4">
        <w:rPr>
          <w14:shadow w14:blurRad="50800" w14:dist="50800" w14:dir="5400000" w14:sx="2000" w14:sy="2000" w14:kx="0" w14:ky="0" w14:algn="ctr">
            <w14:srgbClr w14:val="000000">
              <w14:alpha w14:val="1000"/>
            </w14:srgbClr>
          </w14:shadow>
        </w:rPr>
        <w:t>Intergovernmental Relations (</w:t>
      </w:r>
      <w:r w:rsidRPr="00F338B4">
        <w:rPr>
          <w14:shadow w14:blurRad="50800" w14:dist="50800" w14:dir="5400000" w14:sx="2000" w14:sy="2000" w14:kx="0" w14:ky="0" w14:algn="ctr">
            <w14:srgbClr w14:val="000000">
              <w14:alpha w14:val="1000"/>
            </w14:srgbClr>
          </w14:shadow>
        </w:rPr>
        <w:t>IGR</w:t>
      </w:r>
      <w:r w:rsidR="003033BF" w:rsidRPr="00F338B4">
        <w:rPr>
          <w14:shadow w14:blurRad="50800" w14:dist="50800" w14:dir="5400000" w14:sx="2000" w14:sy="2000" w14:kx="0" w14:ky="0" w14:algn="ctr">
            <w14:srgbClr w14:val="000000">
              <w14:alpha w14:val="1000"/>
            </w14:srgbClr>
          </w14:shadow>
        </w:rPr>
        <w:t>)</w:t>
      </w:r>
      <w:r w:rsidRPr="00F338B4">
        <w:rPr>
          <w14:shadow w14:blurRad="50800" w14:dist="50800" w14:dir="5400000" w14:sx="2000" w14:sy="2000" w14:kx="0" w14:ky="0" w14:algn="ctr">
            <w14:srgbClr w14:val="000000">
              <w14:alpha w14:val="1000"/>
            </w14:srgbClr>
          </w14:shadow>
        </w:rPr>
        <w:t xml:space="preserve"> issues in terms of planning, implementation and coordination – Report on progress made in coordinating detailed plans per province in accordance with signed Delivery Agreements and c</w:t>
      </w:r>
      <w:r w:rsidR="001E6E9F" w:rsidRPr="00F338B4">
        <w:rPr>
          <w14:shadow w14:blurRad="50800" w14:dist="50800" w14:dir="5400000" w14:sx="2000" w14:sy="2000" w14:kx="0" w14:ky="0" w14:algn="ctr">
            <w14:srgbClr w14:val="000000">
              <w14:alpha w14:val="1000"/>
            </w14:srgbClr>
          </w14:shadow>
        </w:rPr>
        <w:t>oncluded Memoranda of Agreement;</w:t>
      </w:r>
    </w:p>
    <w:p w:rsidR="00233E71" w:rsidRPr="00F338B4" w:rsidRDefault="00900833"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E</w:t>
      </w:r>
      <w:r w:rsidR="00233E71" w:rsidRPr="00F338B4">
        <w:rPr>
          <w14:shadow w14:blurRad="50800" w14:dist="50800" w14:dir="5400000" w14:sx="2000" w14:sy="2000" w14:kx="0" w14:ky="0" w14:algn="ctr">
            <w14:srgbClr w14:val="000000">
              <w14:alpha w14:val="1000"/>
            </w14:srgbClr>
          </w14:shadow>
        </w:rPr>
        <w:t>nsure the costing of plans as well as provide an indication of what can be achieved between 2017/18 and 2018/19</w:t>
      </w:r>
      <w:r w:rsidR="001E6E9F" w:rsidRPr="00F338B4">
        <w:rPr>
          <w14:shadow w14:blurRad="50800" w14:dist="50800" w14:dir="5400000" w14:sx="2000" w14:sy="2000" w14:kx="0" w14:ky="0" w14:algn="ctr">
            <w14:srgbClr w14:val="000000">
              <w14:alpha w14:val="1000"/>
            </w14:srgbClr>
          </w14:shadow>
        </w:rPr>
        <w:t>, over the MTSF period;</w:t>
      </w:r>
    </w:p>
    <w:p w:rsidR="00233E71" w:rsidRPr="00F338B4" w:rsidRDefault="00233E71" w:rsidP="00F338B4">
      <w:pPr>
        <w:numPr>
          <w:ilvl w:val="0"/>
          <w:numId w:val="21"/>
        </w:numPr>
        <w:suppressAutoHyphens/>
        <w:autoSpaceDN w:val="0"/>
        <w:spacing w:before="120" w:after="120"/>
        <w:jc w:val="both"/>
        <w:textAlignment w:val="baseline"/>
        <w:rPr>
          <w14:shadow w14:blurRad="50800" w14:dist="50800" w14:dir="5400000" w14:sx="2000" w14:sy="2000" w14:kx="0" w14:ky="0" w14:algn="ctr">
            <w14:srgbClr w14:val="000000">
              <w14:alpha w14:val="1000"/>
            </w14:srgbClr>
          </w14:shadow>
        </w:rPr>
      </w:pPr>
      <w:r w:rsidRPr="00F338B4">
        <w:rPr>
          <w14:shadow w14:blurRad="50800" w14:dist="50800" w14:dir="5400000" w14:sx="2000" w14:sy="2000" w14:kx="0" w14:ky="0" w14:algn="ctr">
            <w14:srgbClr w14:val="000000">
              <w14:alpha w14:val="1000"/>
            </w14:srgbClr>
          </w14:shadow>
        </w:rPr>
        <w:t xml:space="preserve">Report on jobs created per quarter </w:t>
      </w:r>
      <w:r w:rsidR="006535E3" w:rsidRPr="00F338B4">
        <w:rPr>
          <w14:shadow w14:blurRad="50800" w14:dist="50800" w14:dir="5400000" w14:sx="2000" w14:sy="2000" w14:kx="0" w14:ky="0" w14:algn="ctr">
            <w14:srgbClr w14:val="000000">
              <w14:alpha w14:val="1000"/>
            </w14:srgbClr>
          </w14:shadow>
        </w:rPr>
        <w:t xml:space="preserve">by </w:t>
      </w:r>
      <w:r w:rsidR="00A91F2F" w:rsidRPr="00F338B4">
        <w:rPr>
          <w14:shadow w14:blurRad="50800" w14:dist="50800" w14:dir="5400000" w14:sx="2000" w14:sy="2000" w14:kx="0" w14:ky="0" w14:algn="ctr">
            <w14:srgbClr w14:val="000000">
              <w14:alpha w14:val="1000"/>
            </w14:srgbClr>
          </w14:shadow>
        </w:rPr>
        <w:t xml:space="preserve">the </w:t>
      </w:r>
      <w:r w:rsidR="006535E3" w:rsidRPr="00F338B4">
        <w:rPr>
          <w14:shadow w14:blurRad="50800" w14:dist="50800" w14:dir="5400000" w14:sx="2000" w14:sy="2000" w14:kx="0" w14:ky="0" w14:algn="ctr">
            <w14:srgbClr w14:val="000000">
              <w14:alpha w14:val="1000"/>
            </w14:srgbClr>
          </w14:shadow>
        </w:rPr>
        <w:t>u</w:t>
      </w:r>
      <w:r w:rsidRPr="00F338B4">
        <w:rPr>
          <w14:shadow w14:blurRad="50800" w14:dist="50800" w14:dir="5400000" w14:sx="2000" w14:sy="2000" w14:kx="0" w14:ky="0" w14:algn="ctr">
            <w14:srgbClr w14:val="000000">
              <w14:alpha w14:val="1000"/>
            </w14:srgbClr>
          </w14:shadow>
        </w:rPr>
        <w:t>se of a social accounting matrix.</w:t>
      </w:r>
    </w:p>
    <w:p w:rsidR="00233E71" w:rsidRDefault="00233E71"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F338B4" w:rsidRPr="00F338B4" w:rsidRDefault="00F338B4" w:rsidP="00F338B4">
      <w:pPr>
        <w:pStyle w:val="ListParagraph"/>
        <w:spacing w:before="120" w:after="120" w:line="240" w:lineRule="auto"/>
        <w:ind w:left="0" w:firstLine="0"/>
        <w:jc w:val="both"/>
        <w:rPr>
          <w:rFonts w:ascii="Times New Roman" w:hAnsi="Times New Roman"/>
          <w:sz w:val="24"/>
          <w:szCs w:val="24"/>
          <w14:shadow w14:blurRad="50800" w14:dist="50800" w14:dir="5400000" w14:sx="2000" w14:sy="2000" w14:kx="0" w14:ky="0" w14:algn="ctr">
            <w14:srgbClr w14:val="000000">
              <w14:alpha w14:val="1000"/>
            </w14:srgbClr>
          </w14:shadow>
        </w:rPr>
      </w:pPr>
    </w:p>
    <w:p w:rsidR="00357F49" w:rsidRPr="00F338B4" w:rsidRDefault="00D3587D" w:rsidP="00F338B4">
      <w:pPr>
        <w:spacing w:before="120" w:after="120"/>
        <w:jc w:val="both"/>
        <w:rPr>
          <w14:shadow w14:blurRad="50800" w14:dist="50800" w14:dir="5400000" w14:sx="2000" w14:sy="2000" w14:kx="0" w14:ky="0" w14:algn="ctr">
            <w14:srgbClr w14:val="000000">
              <w14:alpha w14:val="1000"/>
            </w14:srgbClr>
          </w14:shadow>
        </w:rPr>
      </w:pPr>
      <w:r w:rsidRPr="00F338B4">
        <w:rPr>
          <w:rFonts w:eastAsia="Calibri"/>
          <w:lang w:val="en-US" w:eastAsia="en-US"/>
          <w14:shadow w14:blurRad="50800" w14:dist="50800" w14:dir="5400000" w14:sx="2000" w14:sy="2000" w14:kx="0" w14:ky="0" w14:algn="ctr">
            <w14:srgbClr w14:val="000000">
              <w14:alpha w14:val="1000"/>
            </w14:srgbClr>
          </w14:shadow>
        </w:rPr>
        <w:t>Report to be considered.</w:t>
      </w:r>
    </w:p>
    <w:sectPr w:rsidR="00357F49" w:rsidRPr="00F338B4" w:rsidSect="00D0618E">
      <w:headerReference w:type="even" r:id="rId12"/>
      <w:headerReference w:type="default" r:id="rId13"/>
      <w:footerReference w:type="default" r:id="rId14"/>
      <w:headerReference w:type="first" r:id="rId15"/>
      <w:pgSz w:w="12240" w:h="15840"/>
      <w:pgMar w:top="1381" w:right="1260" w:bottom="993"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02" w:rsidRDefault="006D0B02" w:rsidP="00F077A7">
      <w:r>
        <w:separator/>
      </w:r>
    </w:p>
  </w:endnote>
  <w:endnote w:type="continuationSeparator" w:id="0">
    <w:p w:rsidR="006D0B02" w:rsidRDefault="006D0B02" w:rsidP="00F0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2" w:rsidRDefault="006D0B02">
    <w:pPr>
      <w:pStyle w:val="Footer"/>
      <w:jc w:val="right"/>
    </w:pPr>
    <w:r>
      <w:fldChar w:fldCharType="begin"/>
    </w:r>
    <w:r>
      <w:instrText xml:space="preserve"> PAGE   \* MERGEFORMAT </w:instrText>
    </w:r>
    <w:r>
      <w:fldChar w:fldCharType="separate"/>
    </w:r>
    <w:r w:rsidR="002A0B67">
      <w:rPr>
        <w:noProof/>
      </w:rPr>
      <w:t>1</w:t>
    </w:r>
    <w:r>
      <w:rPr>
        <w:noProof/>
      </w:rPr>
      <w:fldChar w:fldCharType="end"/>
    </w:r>
  </w:p>
  <w:p w:rsidR="006D0B02" w:rsidRDefault="006D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02" w:rsidRDefault="006D0B02" w:rsidP="00F077A7">
      <w:r>
        <w:separator/>
      </w:r>
    </w:p>
  </w:footnote>
  <w:footnote w:type="continuationSeparator" w:id="0">
    <w:p w:rsidR="006D0B02" w:rsidRDefault="006D0B02" w:rsidP="00F0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2" w:rsidRDefault="006D0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2" w:rsidRDefault="006D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02" w:rsidRDefault="006D0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3D"/>
    <w:multiLevelType w:val="hybridMultilevel"/>
    <w:tmpl w:val="911097E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4916C31"/>
    <w:multiLevelType w:val="hybridMultilevel"/>
    <w:tmpl w:val="D71830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9852C6"/>
    <w:multiLevelType w:val="hybridMultilevel"/>
    <w:tmpl w:val="55E481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05644B"/>
    <w:multiLevelType w:val="hybridMultilevel"/>
    <w:tmpl w:val="A8ECE87E"/>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4">
    <w:nsid w:val="0DDF593C"/>
    <w:multiLevelType w:val="hybridMultilevel"/>
    <w:tmpl w:val="530EB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FB42A7"/>
    <w:multiLevelType w:val="hybridMultilevel"/>
    <w:tmpl w:val="711CA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6853D4"/>
    <w:multiLevelType w:val="hybridMultilevel"/>
    <w:tmpl w:val="7242BA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7054441"/>
    <w:multiLevelType w:val="hybridMultilevel"/>
    <w:tmpl w:val="027A766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7C63CC9"/>
    <w:multiLevelType w:val="hybridMultilevel"/>
    <w:tmpl w:val="08C82B80"/>
    <w:lvl w:ilvl="0" w:tplc="1C090001">
      <w:start w:val="1"/>
      <w:numFmt w:val="bullet"/>
      <w:lvlText w:val=""/>
      <w:lvlJc w:val="left"/>
      <w:pPr>
        <w:ind w:left="720" w:hanging="360"/>
      </w:pPr>
      <w:rPr>
        <w:rFonts w:ascii="Symbol" w:hAnsi="Symbol" w:hint="default"/>
      </w:rPr>
    </w:lvl>
    <w:lvl w:ilvl="1" w:tplc="1D084080">
      <w:numFmt w:val="bullet"/>
      <w:lvlText w:val="•"/>
      <w:lvlJc w:val="left"/>
      <w:pPr>
        <w:ind w:left="1800" w:hanging="72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222E0D"/>
    <w:multiLevelType w:val="hybridMultilevel"/>
    <w:tmpl w:val="4D62FC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547496A"/>
    <w:multiLevelType w:val="hybridMultilevel"/>
    <w:tmpl w:val="57C0BE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66111D6"/>
    <w:multiLevelType w:val="hybridMultilevel"/>
    <w:tmpl w:val="E0C45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286711"/>
    <w:multiLevelType w:val="hybridMultilevel"/>
    <w:tmpl w:val="A7749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2E344D"/>
    <w:multiLevelType w:val="hybridMultilevel"/>
    <w:tmpl w:val="3F701EA2"/>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4">
    <w:nsid w:val="2A831CA7"/>
    <w:multiLevelType w:val="hybridMultilevel"/>
    <w:tmpl w:val="B53C5B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B435B65"/>
    <w:multiLevelType w:val="hybridMultilevel"/>
    <w:tmpl w:val="F1E460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965580"/>
    <w:multiLevelType w:val="hybridMultilevel"/>
    <w:tmpl w:val="94749286"/>
    <w:lvl w:ilvl="0" w:tplc="AFA25938">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502491"/>
    <w:multiLevelType w:val="hybridMultilevel"/>
    <w:tmpl w:val="22F212EA"/>
    <w:lvl w:ilvl="0" w:tplc="100E68B8">
      <w:start w:val="1"/>
      <w:numFmt w:val="bullet"/>
      <w:lvlText w:val="•"/>
      <w:lvlJc w:val="left"/>
      <w:pPr>
        <w:tabs>
          <w:tab w:val="num" w:pos="720"/>
        </w:tabs>
        <w:ind w:left="720" w:hanging="360"/>
      </w:pPr>
      <w:rPr>
        <w:rFonts w:ascii="Arial" w:hAnsi="Arial" w:hint="default"/>
      </w:rPr>
    </w:lvl>
    <w:lvl w:ilvl="1" w:tplc="DCD8E72C" w:tentative="1">
      <w:start w:val="1"/>
      <w:numFmt w:val="bullet"/>
      <w:lvlText w:val="•"/>
      <w:lvlJc w:val="left"/>
      <w:pPr>
        <w:tabs>
          <w:tab w:val="num" w:pos="1440"/>
        </w:tabs>
        <w:ind w:left="1440" w:hanging="360"/>
      </w:pPr>
      <w:rPr>
        <w:rFonts w:ascii="Arial" w:hAnsi="Arial" w:hint="default"/>
      </w:rPr>
    </w:lvl>
    <w:lvl w:ilvl="2" w:tplc="235AB4AC" w:tentative="1">
      <w:start w:val="1"/>
      <w:numFmt w:val="bullet"/>
      <w:lvlText w:val="•"/>
      <w:lvlJc w:val="left"/>
      <w:pPr>
        <w:tabs>
          <w:tab w:val="num" w:pos="2160"/>
        </w:tabs>
        <w:ind w:left="2160" w:hanging="360"/>
      </w:pPr>
      <w:rPr>
        <w:rFonts w:ascii="Arial" w:hAnsi="Arial" w:hint="default"/>
      </w:rPr>
    </w:lvl>
    <w:lvl w:ilvl="3" w:tplc="E244CE04" w:tentative="1">
      <w:start w:val="1"/>
      <w:numFmt w:val="bullet"/>
      <w:lvlText w:val="•"/>
      <w:lvlJc w:val="left"/>
      <w:pPr>
        <w:tabs>
          <w:tab w:val="num" w:pos="2880"/>
        </w:tabs>
        <w:ind w:left="2880" w:hanging="360"/>
      </w:pPr>
      <w:rPr>
        <w:rFonts w:ascii="Arial" w:hAnsi="Arial" w:hint="default"/>
      </w:rPr>
    </w:lvl>
    <w:lvl w:ilvl="4" w:tplc="EECA3AAA" w:tentative="1">
      <w:start w:val="1"/>
      <w:numFmt w:val="bullet"/>
      <w:lvlText w:val="•"/>
      <w:lvlJc w:val="left"/>
      <w:pPr>
        <w:tabs>
          <w:tab w:val="num" w:pos="3600"/>
        </w:tabs>
        <w:ind w:left="3600" w:hanging="360"/>
      </w:pPr>
      <w:rPr>
        <w:rFonts w:ascii="Arial" w:hAnsi="Arial" w:hint="default"/>
      </w:rPr>
    </w:lvl>
    <w:lvl w:ilvl="5" w:tplc="0D8ACE28" w:tentative="1">
      <w:start w:val="1"/>
      <w:numFmt w:val="bullet"/>
      <w:lvlText w:val="•"/>
      <w:lvlJc w:val="left"/>
      <w:pPr>
        <w:tabs>
          <w:tab w:val="num" w:pos="4320"/>
        </w:tabs>
        <w:ind w:left="4320" w:hanging="360"/>
      </w:pPr>
      <w:rPr>
        <w:rFonts w:ascii="Arial" w:hAnsi="Arial" w:hint="default"/>
      </w:rPr>
    </w:lvl>
    <w:lvl w:ilvl="6" w:tplc="9462F312" w:tentative="1">
      <w:start w:val="1"/>
      <w:numFmt w:val="bullet"/>
      <w:lvlText w:val="•"/>
      <w:lvlJc w:val="left"/>
      <w:pPr>
        <w:tabs>
          <w:tab w:val="num" w:pos="5040"/>
        </w:tabs>
        <w:ind w:left="5040" w:hanging="360"/>
      </w:pPr>
      <w:rPr>
        <w:rFonts w:ascii="Arial" w:hAnsi="Arial" w:hint="default"/>
      </w:rPr>
    </w:lvl>
    <w:lvl w:ilvl="7" w:tplc="798419B8" w:tentative="1">
      <w:start w:val="1"/>
      <w:numFmt w:val="bullet"/>
      <w:lvlText w:val="•"/>
      <w:lvlJc w:val="left"/>
      <w:pPr>
        <w:tabs>
          <w:tab w:val="num" w:pos="5760"/>
        </w:tabs>
        <w:ind w:left="5760" w:hanging="360"/>
      </w:pPr>
      <w:rPr>
        <w:rFonts w:ascii="Arial" w:hAnsi="Arial" w:hint="default"/>
      </w:rPr>
    </w:lvl>
    <w:lvl w:ilvl="8" w:tplc="EFB6B00E" w:tentative="1">
      <w:start w:val="1"/>
      <w:numFmt w:val="bullet"/>
      <w:lvlText w:val="•"/>
      <w:lvlJc w:val="left"/>
      <w:pPr>
        <w:tabs>
          <w:tab w:val="num" w:pos="6480"/>
        </w:tabs>
        <w:ind w:left="6480" w:hanging="360"/>
      </w:pPr>
      <w:rPr>
        <w:rFonts w:ascii="Arial" w:hAnsi="Arial" w:hint="default"/>
      </w:rPr>
    </w:lvl>
  </w:abstractNum>
  <w:abstractNum w:abstractNumId="18">
    <w:nsid w:val="3F7E7F39"/>
    <w:multiLevelType w:val="hybridMultilevel"/>
    <w:tmpl w:val="EFDAFC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0036B84"/>
    <w:multiLevelType w:val="hybridMultilevel"/>
    <w:tmpl w:val="0E1EDFCE"/>
    <w:lvl w:ilvl="0" w:tplc="5B08B3B0">
      <w:start w:val="1"/>
      <w:numFmt w:val="bullet"/>
      <w:lvlText w:val="•"/>
      <w:lvlJc w:val="left"/>
      <w:pPr>
        <w:tabs>
          <w:tab w:val="num" w:pos="720"/>
        </w:tabs>
        <w:ind w:left="720" w:hanging="360"/>
      </w:pPr>
      <w:rPr>
        <w:rFonts w:ascii="Arial" w:hAnsi="Arial" w:hint="default"/>
      </w:rPr>
    </w:lvl>
    <w:lvl w:ilvl="1" w:tplc="ED70852E">
      <w:start w:val="1"/>
      <w:numFmt w:val="bullet"/>
      <w:lvlText w:val="•"/>
      <w:lvlJc w:val="left"/>
      <w:pPr>
        <w:tabs>
          <w:tab w:val="num" w:pos="1440"/>
        </w:tabs>
        <w:ind w:left="1440" w:hanging="360"/>
      </w:pPr>
      <w:rPr>
        <w:rFonts w:ascii="Arial" w:hAnsi="Arial" w:hint="default"/>
      </w:rPr>
    </w:lvl>
    <w:lvl w:ilvl="2" w:tplc="BD10C368" w:tentative="1">
      <w:start w:val="1"/>
      <w:numFmt w:val="bullet"/>
      <w:lvlText w:val="•"/>
      <w:lvlJc w:val="left"/>
      <w:pPr>
        <w:tabs>
          <w:tab w:val="num" w:pos="2160"/>
        </w:tabs>
        <w:ind w:left="2160" w:hanging="360"/>
      </w:pPr>
      <w:rPr>
        <w:rFonts w:ascii="Arial" w:hAnsi="Arial" w:hint="default"/>
      </w:rPr>
    </w:lvl>
    <w:lvl w:ilvl="3" w:tplc="FC54C2E8" w:tentative="1">
      <w:start w:val="1"/>
      <w:numFmt w:val="bullet"/>
      <w:lvlText w:val="•"/>
      <w:lvlJc w:val="left"/>
      <w:pPr>
        <w:tabs>
          <w:tab w:val="num" w:pos="2880"/>
        </w:tabs>
        <w:ind w:left="2880" w:hanging="360"/>
      </w:pPr>
      <w:rPr>
        <w:rFonts w:ascii="Arial" w:hAnsi="Arial" w:hint="default"/>
      </w:rPr>
    </w:lvl>
    <w:lvl w:ilvl="4" w:tplc="B1DCD63E" w:tentative="1">
      <w:start w:val="1"/>
      <w:numFmt w:val="bullet"/>
      <w:lvlText w:val="•"/>
      <w:lvlJc w:val="left"/>
      <w:pPr>
        <w:tabs>
          <w:tab w:val="num" w:pos="3600"/>
        </w:tabs>
        <w:ind w:left="3600" w:hanging="360"/>
      </w:pPr>
      <w:rPr>
        <w:rFonts w:ascii="Arial" w:hAnsi="Arial" w:hint="default"/>
      </w:rPr>
    </w:lvl>
    <w:lvl w:ilvl="5" w:tplc="C150C91C" w:tentative="1">
      <w:start w:val="1"/>
      <w:numFmt w:val="bullet"/>
      <w:lvlText w:val="•"/>
      <w:lvlJc w:val="left"/>
      <w:pPr>
        <w:tabs>
          <w:tab w:val="num" w:pos="4320"/>
        </w:tabs>
        <w:ind w:left="4320" w:hanging="360"/>
      </w:pPr>
      <w:rPr>
        <w:rFonts w:ascii="Arial" w:hAnsi="Arial" w:hint="default"/>
      </w:rPr>
    </w:lvl>
    <w:lvl w:ilvl="6" w:tplc="C8C4BD80" w:tentative="1">
      <w:start w:val="1"/>
      <w:numFmt w:val="bullet"/>
      <w:lvlText w:val="•"/>
      <w:lvlJc w:val="left"/>
      <w:pPr>
        <w:tabs>
          <w:tab w:val="num" w:pos="5040"/>
        </w:tabs>
        <w:ind w:left="5040" w:hanging="360"/>
      </w:pPr>
      <w:rPr>
        <w:rFonts w:ascii="Arial" w:hAnsi="Arial" w:hint="default"/>
      </w:rPr>
    </w:lvl>
    <w:lvl w:ilvl="7" w:tplc="7E96D3B8" w:tentative="1">
      <w:start w:val="1"/>
      <w:numFmt w:val="bullet"/>
      <w:lvlText w:val="•"/>
      <w:lvlJc w:val="left"/>
      <w:pPr>
        <w:tabs>
          <w:tab w:val="num" w:pos="5760"/>
        </w:tabs>
        <w:ind w:left="5760" w:hanging="360"/>
      </w:pPr>
      <w:rPr>
        <w:rFonts w:ascii="Arial" w:hAnsi="Arial" w:hint="default"/>
      </w:rPr>
    </w:lvl>
    <w:lvl w:ilvl="8" w:tplc="F9EC73D6" w:tentative="1">
      <w:start w:val="1"/>
      <w:numFmt w:val="bullet"/>
      <w:lvlText w:val="•"/>
      <w:lvlJc w:val="left"/>
      <w:pPr>
        <w:tabs>
          <w:tab w:val="num" w:pos="6480"/>
        </w:tabs>
        <w:ind w:left="6480" w:hanging="360"/>
      </w:pPr>
      <w:rPr>
        <w:rFonts w:ascii="Arial" w:hAnsi="Arial" w:hint="default"/>
      </w:rPr>
    </w:lvl>
  </w:abstractNum>
  <w:abstractNum w:abstractNumId="20">
    <w:nsid w:val="428E0185"/>
    <w:multiLevelType w:val="hybridMultilevel"/>
    <w:tmpl w:val="0AB297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2D77069"/>
    <w:multiLevelType w:val="hybridMultilevel"/>
    <w:tmpl w:val="701A39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B329B6"/>
    <w:multiLevelType w:val="hybridMultilevel"/>
    <w:tmpl w:val="C76C0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BC74443"/>
    <w:multiLevelType w:val="hybridMultilevel"/>
    <w:tmpl w:val="1242CF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C3669B8"/>
    <w:multiLevelType w:val="hybridMultilevel"/>
    <w:tmpl w:val="BEB6EF4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4E821CEA"/>
    <w:multiLevelType w:val="hybridMultilevel"/>
    <w:tmpl w:val="18922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0F4345"/>
    <w:multiLevelType w:val="hybridMultilevel"/>
    <w:tmpl w:val="BAAABE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8C24556"/>
    <w:multiLevelType w:val="hybridMultilevel"/>
    <w:tmpl w:val="5A40AE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9612485"/>
    <w:multiLevelType w:val="hybridMultilevel"/>
    <w:tmpl w:val="6DDAD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FE5167D"/>
    <w:multiLevelType w:val="hybridMultilevel"/>
    <w:tmpl w:val="BB985E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9315681"/>
    <w:multiLevelType w:val="hybridMultilevel"/>
    <w:tmpl w:val="A5C4C6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9745CB6"/>
    <w:multiLevelType w:val="hybridMultilevel"/>
    <w:tmpl w:val="D71258D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C3875FE"/>
    <w:multiLevelType w:val="multilevel"/>
    <w:tmpl w:val="1C09001F"/>
    <w:lvl w:ilvl="0">
      <w:start w:val="1"/>
      <w:numFmt w:val="decimal"/>
      <w:lvlText w:val="%1."/>
      <w:lvlJc w:val="left"/>
      <w:pPr>
        <w:ind w:left="502" w:hanging="360"/>
      </w:pPr>
    </w:lvl>
    <w:lvl w:ilvl="1">
      <w:start w:val="1"/>
      <w:numFmt w:val="decimal"/>
      <w:lvlText w:val="%1.%2."/>
      <w:lvlJc w:val="left"/>
      <w:pPr>
        <w:ind w:left="57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26155D"/>
    <w:multiLevelType w:val="hybridMultilevel"/>
    <w:tmpl w:val="AF7EFD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71632562"/>
    <w:multiLevelType w:val="hybridMultilevel"/>
    <w:tmpl w:val="AAB09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6864785"/>
    <w:multiLevelType w:val="hybridMultilevel"/>
    <w:tmpl w:val="D7F44F2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6"/>
  </w:num>
  <w:num w:numId="2">
    <w:abstractNumId w:val="22"/>
  </w:num>
  <w:num w:numId="3">
    <w:abstractNumId w:val="29"/>
  </w:num>
  <w:num w:numId="4">
    <w:abstractNumId w:val="15"/>
  </w:num>
  <w:num w:numId="5">
    <w:abstractNumId w:val="11"/>
  </w:num>
  <w:num w:numId="6">
    <w:abstractNumId w:val="12"/>
  </w:num>
  <w:num w:numId="7">
    <w:abstractNumId w:val="17"/>
  </w:num>
  <w:num w:numId="8">
    <w:abstractNumId w:val="30"/>
  </w:num>
  <w:num w:numId="9">
    <w:abstractNumId w:val="4"/>
  </w:num>
  <w:num w:numId="10">
    <w:abstractNumId w:val="19"/>
  </w:num>
  <w:num w:numId="11">
    <w:abstractNumId w:val="9"/>
  </w:num>
  <w:num w:numId="12">
    <w:abstractNumId w:val="10"/>
  </w:num>
  <w:num w:numId="13">
    <w:abstractNumId w:val="20"/>
  </w:num>
  <w:num w:numId="14">
    <w:abstractNumId w:val="23"/>
  </w:num>
  <w:num w:numId="15">
    <w:abstractNumId w:val="14"/>
  </w:num>
  <w:num w:numId="16">
    <w:abstractNumId w:val="18"/>
  </w:num>
  <w:num w:numId="17">
    <w:abstractNumId w:val="33"/>
  </w:num>
  <w:num w:numId="18">
    <w:abstractNumId w:val="1"/>
  </w:num>
  <w:num w:numId="19">
    <w:abstractNumId w:val="6"/>
  </w:num>
  <w:num w:numId="20">
    <w:abstractNumId w:val="26"/>
  </w:num>
  <w:num w:numId="21">
    <w:abstractNumId w:val="35"/>
  </w:num>
  <w:num w:numId="22">
    <w:abstractNumId w:val="32"/>
  </w:num>
  <w:num w:numId="23">
    <w:abstractNumId w:val="3"/>
  </w:num>
  <w:num w:numId="24">
    <w:abstractNumId w:val="8"/>
  </w:num>
  <w:num w:numId="25">
    <w:abstractNumId w:val="24"/>
  </w:num>
  <w:num w:numId="26">
    <w:abstractNumId w:val="7"/>
  </w:num>
  <w:num w:numId="27">
    <w:abstractNumId w:val="25"/>
  </w:num>
  <w:num w:numId="28">
    <w:abstractNumId w:val="27"/>
  </w:num>
  <w:num w:numId="29">
    <w:abstractNumId w:val="34"/>
  </w:num>
  <w:num w:numId="30">
    <w:abstractNumId w:val="5"/>
  </w:num>
  <w:num w:numId="31">
    <w:abstractNumId w:val="28"/>
  </w:num>
  <w:num w:numId="32">
    <w:abstractNumId w:val="21"/>
  </w:num>
  <w:num w:numId="33">
    <w:abstractNumId w:val="2"/>
  </w:num>
  <w:num w:numId="34">
    <w:abstractNumId w:val="31"/>
  </w:num>
  <w:num w:numId="35">
    <w:abstractNumId w:val="0"/>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B9"/>
    <w:rsid w:val="00000375"/>
    <w:rsid w:val="000012E0"/>
    <w:rsid w:val="00002FA6"/>
    <w:rsid w:val="000035BB"/>
    <w:rsid w:val="00005CFB"/>
    <w:rsid w:val="000124BB"/>
    <w:rsid w:val="00014F9E"/>
    <w:rsid w:val="00017A26"/>
    <w:rsid w:val="00024449"/>
    <w:rsid w:val="000257F8"/>
    <w:rsid w:val="000267CD"/>
    <w:rsid w:val="00027DA3"/>
    <w:rsid w:val="00030AB0"/>
    <w:rsid w:val="0003112A"/>
    <w:rsid w:val="00031518"/>
    <w:rsid w:val="000324A1"/>
    <w:rsid w:val="00033859"/>
    <w:rsid w:val="00034F70"/>
    <w:rsid w:val="00037971"/>
    <w:rsid w:val="00040677"/>
    <w:rsid w:val="0004330F"/>
    <w:rsid w:val="0004393B"/>
    <w:rsid w:val="00045C32"/>
    <w:rsid w:val="000476EA"/>
    <w:rsid w:val="00050257"/>
    <w:rsid w:val="00050D94"/>
    <w:rsid w:val="00053216"/>
    <w:rsid w:val="000533CB"/>
    <w:rsid w:val="0005347C"/>
    <w:rsid w:val="00054565"/>
    <w:rsid w:val="000548F5"/>
    <w:rsid w:val="00054BBD"/>
    <w:rsid w:val="00055B48"/>
    <w:rsid w:val="000561DC"/>
    <w:rsid w:val="000566A8"/>
    <w:rsid w:val="00056C53"/>
    <w:rsid w:val="000573FA"/>
    <w:rsid w:val="00057A0D"/>
    <w:rsid w:val="000603AE"/>
    <w:rsid w:val="000605DE"/>
    <w:rsid w:val="000630F7"/>
    <w:rsid w:val="00063715"/>
    <w:rsid w:val="00063FA9"/>
    <w:rsid w:val="000643D9"/>
    <w:rsid w:val="000662DA"/>
    <w:rsid w:val="000701D9"/>
    <w:rsid w:val="0007118E"/>
    <w:rsid w:val="00073D79"/>
    <w:rsid w:val="00073EA9"/>
    <w:rsid w:val="0007689E"/>
    <w:rsid w:val="0007797D"/>
    <w:rsid w:val="00077D6A"/>
    <w:rsid w:val="0008318E"/>
    <w:rsid w:val="00086B81"/>
    <w:rsid w:val="00086FB0"/>
    <w:rsid w:val="000948D7"/>
    <w:rsid w:val="000965EB"/>
    <w:rsid w:val="00097297"/>
    <w:rsid w:val="0009738C"/>
    <w:rsid w:val="000974A7"/>
    <w:rsid w:val="000A203E"/>
    <w:rsid w:val="000A2233"/>
    <w:rsid w:val="000A5D4F"/>
    <w:rsid w:val="000A7618"/>
    <w:rsid w:val="000A7744"/>
    <w:rsid w:val="000A792F"/>
    <w:rsid w:val="000A7CA4"/>
    <w:rsid w:val="000B03A4"/>
    <w:rsid w:val="000B0E4B"/>
    <w:rsid w:val="000B1DE0"/>
    <w:rsid w:val="000B4621"/>
    <w:rsid w:val="000B4735"/>
    <w:rsid w:val="000B4F49"/>
    <w:rsid w:val="000B6D3B"/>
    <w:rsid w:val="000B707E"/>
    <w:rsid w:val="000B7105"/>
    <w:rsid w:val="000B7348"/>
    <w:rsid w:val="000B75CB"/>
    <w:rsid w:val="000B7C62"/>
    <w:rsid w:val="000C0608"/>
    <w:rsid w:val="000C0916"/>
    <w:rsid w:val="000C1A8F"/>
    <w:rsid w:val="000C2322"/>
    <w:rsid w:val="000C36BB"/>
    <w:rsid w:val="000C3E03"/>
    <w:rsid w:val="000C5ABA"/>
    <w:rsid w:val="000C6433"/>
    <w:rsid w:val="000C6A6A"/>
    <w:rsid w:val="000D0C82"/>
    <w:rsid w:val="000D0FEE"/>
    <w:rsid w:val="000D6145"/>
    <w:rsid w:val="000D66DA"/>
    <w:rsid w:val="000D7A43"/>
    <w:rsid w:val="000E1BF5"/>
    <w:rsid w:val="000E20AE"/>
    <w:rsid w:val="000E387F"/>
    <w:rsid w:val="000E447D"/>
    <w:rsid w:val="000E46AA"/>
    <w:rsid w:val="000E6E68"/>
    <w:rsid w:val="000E6EED"/>
    <w:rsid w:val="000E750C"/>
    <w:rsid w:val="000F00EE"/>
    <w:rsid w:val="000F016F"/>
    <w:rsid w:val="000F3E54"/>
    <w:rsid w:val="000F474B"/>
    <w:rsid w:val="000F4FE8"/>
    <w:rsid w:val="000F6927"/>
    <w:rsid w:val="000F6A7D"/>
    <w:rsid w:val="00100CDE"/>
    <w:rsid w:val="00100E44"/>
    <w:rsid w:val="00101120"/>
    <w:rsid w:val="0010147E"/>
    <w:rsid w:val="001037AD"/>
    <w:rsid w:val="00103E50"/>
    <w:rsid w:val="00104DE5"/>
    <w:rsid w:val="0010552D"/>
    <w:rsid w:val="00105AB3"/>
    <w:rsid w:val="00107ABA"/>
    <w:rsid w:val="00107B83"/>
    <w:rsid w:val="00112220"/>
    <w:rsid w:val="0011402F"/>
    <w:rsid w:val="001144E1"/>
    <w:rsid w:val="00115BF7"/>
    <w:rsid w:val="00115C38"/>
    <w:rsid w:val="00116ABE"/>
    <w:rsid w:val="00116BC6"/>
    <w:rsid w:val="001206CD"/>
    <w:rsid w:val="001215DA"/>
    <w:rsid w:val="00121A81"/>
    <w:rsid w:val="00122B0F"/>
    <w:rsid w:val="00122E8A"/>
    <w:rsid w:val="001235F2"/>
    <w:rsid w:val="00124770"/>
    <w:rsid w:val="00124809"/>
    <w:rsid w:val="00126D26"/>
    <w:rsid w:val="001271AB"/>
    <w:rsid w:val="001278D0"/>
    <w:rsid w:val="00127E84"/>
    <w:rsid w:val="001301D9"/>
    <w:rsid w:val="00131CAE"/>
    <w:rsid w:val="00131E47"/>
    <w:rsid w:val="00131FC5"/>
    <w:rsid w:val="001324B7"/>
    <w:rsid w:val="0013277E"/>
    <w:rsid w:val="001332D4"/>
    <w:rsid w:val="00133871"/>
    <w:rsid w:val="0013450E"/>
    <w:rsid w:val="0013462A"/>
    <w:rsid w:val="00134BC8"/>
    <w:rsid w:val="001366A1"/>
    <w:rsid w:val="0013752F"/>
    <w:rsid w:val="00142091"/>
    <w:rsid w:val="00142191"/>
    <w:rsid w:val="00142664"/>
    <w:rsid w:val="001428BF"/>
    <w:rsid w:val="00143937"/>
    <w:rsid w:val="00144BCC"/>
    <w:rsid w:val="00144CE5"/>
    <w:rsid w:val="00146B76"/>
    <w:rsid w:val="00147C84"/>
    <w:rsid w:val="00151358"/>
    <w:rsid w:val="001513CF"/>
    <w:rsid w:val="00151C0C"/>
    <w:rsid w:val="00153305"/>
    <w:rsid w:val="00153D12"/>
    <w:rsid w:val="00155294"/>
    <w:rsid w:val="0015620A"/>
    <w:rsid w:val="001566D9"/>
    <w:rsid w:val="00156816"/>
    <w:rsid w:val="0015761C"/>
    <w:rsid w:val="00157A7A"/>
    <w:rsid w:val="0016150F"/>
    <w:rsid w:val="001632C6"/>
    <w:rsid w:val="001636DE"/>
    <w:rsid w:val="001647D9"/>
    <w:rsid w:val="00165648"/>
    <w:rsid w:val="0016570C"/>
    <w:rsid w:val="00165EF9"/>
    <w:rsid w:val="00167124"/>
    <w:rsid w:val="001709D3"/>
    <w:rsid w:val="0017209B"/>
    <w:rsid w:val="001726C2"/>
    <w:rsid w:val="0017365A"/>
    <w:rsid w:val="00173775"/>
    <w:rsid w:val="0017399E"/>
    <w:rsid w:val="00174E51"/>
    <w:rsid w:val="00176827"/>
    <w:rsid w:val="00176D32"/>
    <w:rsid w:val="00177F35"/>
    <w:rsid w:val="001807A1"/>
    <w:rsid w:val="00180A83"/>
    <w:rsid w:val="00180C4A"/>
    <w:rsid w:val="0018170E"/>
    <w:rsid w:val="00181E93"/>
    <w:rsid w:val="001831F1"/>
    <w:rsid w:val="00183419"/>
    <w:rsid w:val="00184093"/>
    <w:rsid w:val="00184474"/>
    <w:rsid w:val="00184A0D"/>
    <w:rsid w:val="001866A7"/>
    <w:rsid w:val="00190DC7"/>
    <w:rsid w:val="00190E22"/>
    <w:rsid w:val="0019124C"/>
    <w:rsid w:val="00191E2D"/>
    <w:rsid w:val="00192063"/>
    <w:rsid w:val="00192B9C"/>
    <w:rsid w:val="001932C6"/>
    <w:rsid w:val="00193402"/>
    <w:rsid w:val="001941F0"/>
    <w:rsid w:val="00194798"/>
    <w:rsid w:val="00194A06"/>
    <w:rsid w:val="00194BF1"/>
    <w:rsid w:val="0019588B"/>
    <w:rsid w:val="00196FFA"/>
    <w:rsid w:val="00197E8F"/>
    <w:rsid w:val="001A0857"/>
    <w:rsid w:val="001A0895"/>
    <w:rsid w:val="001A0EEB"/>
    <w:rsid w:val="001A175B"/>
    <w:rsid w:val="001A1FD7"/>
    <w:rsid w:val="001A33C7"/>
    <w:rsid w:val="001A3815"/>
    <w:rsid w:val="001A3D9A"/>
    <w:rsid w:val="001A3FE3"/>
    <w:rsid w:val="001A524E"/>
    <w:rsid w:val="001B104F"/>
    <w:rsid w:val="001B1B1D"/>
    <w:rsid w:val="001B1DE3"/>
    <w:rsid w:val="001B2798"/>
    <w:rsid w:val="001B312F"/>
    <w:rsid w:val="001B547A"/>
    <w:rsid w:val="001B6E7A"/>
    <w:rsid w:val="001C091F"/>
    <w:rsid w:val="001C1274"/>
    <w:rsid w:val="001C15D0"/>
    <w:rsid w:val="001C1B08"/>
    <w:rsid w:val="001C2363"/>
    <w:rsid w:val="001C2AC2"/>
    <w:rsid w:val="001C38FB"/>
    <w:rsid w:val="001C39B1"/>
    <w:rsid w:val="001C4CDA"/>
    <w:rsid w:val="001C4D4A"/>
    <w:rsid w:val="001C52B5"/>
    <w:rsid w:val="001C66AA"/>
    <w:rsid w:val="001D0680"/>
    <w:rsid w:val="001D0910"/>
    <w:rsid w:val="001D0AF2"/>
    <w:rsid w:val="001D0D90"/>
    <w:rsid w:val="001D0F03"/>
    <w:rsid w:val="001D19A7"/>
    <w:rsid w:val="001D1F39"/>
    <w:rsid w:val="001D2B26"/>
    <w:rsid w:val="001D39AC"/>
    <w:rsid w:val="001D473D"/>
    <w:rsid w:val="001D4784"/>
    <w:rsid w:val="001D5EF9"/>
    <w:rsid w:val="001D635E"/>
    <w:rsid w:val="001D732B"/>
    <w:rsid w:val="001D7A06"/>
    <w:rsid w:val="001D7B4C"/>
    <w:rsid w:val="001E0BE4"/>
    <w:rsid w:val="001E0E9F"/>
    <w:rsid w:val="001E11EC"/>
    <w:rsid w:val="001E1BBD"/>
    <w:rsid w:val="001E3A27"/>
    <w:rsid w:val="001E4B77"/>
    <w:rsid w:val="001E535D"/>
    <w:rsid w:val="001E5FF1"/>
    <w:rsid w:val="001E6034"/>
    <w:rsid w:val="001E6D01"/>
    <w:rsid w:val="001E6E9F"/>
    <w:rsid w:val="001E7A56"/>
    <w:rsid w:val="001E7C70"/>
    <w:rsid w:val="001F2F82"/>
    <w:rsid w:val="001F478F"/>
    <w:rsid w:val="001F4DA8"/>
    <w:rsid w:val="001F4FF8"/>
    <w:rsid w:val="001F6A4E"/>
    <w:rsid w:val="001F713E"/>
    <w:rsid w:val="0020234B"/>
    <w:rsid w:val="0020456E"/>
    <w:rsid w:val="00206903"/>
    <w:rsid w:val="00206A84"/>
    <w:rsid w:val="00207B59"/>
    <w:rsid w:val="00207D93"/>
    <w:rsid w:val="00211C11"/>
    <w:rsid w:val="00211C16"/>
    <w:rsid w:val="00211C3E"/>
    <w:rsid w:val="0021374A"/>
    <w:rsid w:val="00213D85"/>
    <w:rsid w:val="002142AA"/>
    <w:rsid w:val="002149BE"/>
    <w:rsid w:val="0021544D"/>
    <w:rsid w:val="00216514"/>
    <w:rsid w:val="00220EE3"/>
    <w:rsid w:val="00221D19"/>
    <w:rsid w:val="00221F2D"/>
    <w:rsid w:val="0022392F"/>
    <w:rsid w:val="00223B79"/>
    <w:rsid w:val="00223E82"/>
    <w:rsid w:val="002252E3"/>
    <w:rsid w:val="00226602"/>
    <w:rsid w:val="00232947"/>
    <w:rsid w:val="00233904"/>
    <w:rsid w:val="00233CBC"/>
    <w:rsid w:val="00233E71"/>
    <w:rsid w:val="00234761"/>
    <w:rsid w:val="002348F6"/>
    <w:rsid w:val="002361F0"/>
    <w:rsid w:val="00236756"/>
    <w:rsid w:val="002378E4"/>
    <w:rsid w:val="00240E6B"/>
    <w:rsid w:val="00241E9C"/>
    <w:rsid w:val="00242134"/>
    <w:rsid w:val="0024295F"/>
    <w:rsid w:val="00245FAB"/>
    <w:rsid w:val="002500C1"/>
    <w:rsid w:val="00250461"/>
    <w:rsid w:val="00251EC8"/>
    <w:rsid w:val="002523BC"/>
    <w:rsid w:val="002547EA"/>
    <w:rsid w:val="00256977"/>
    <w:rsid w:val="00257F9D"/>
    <w:rsid w:val="002605A8"/>
    <w:rsid w:val="00260A1F"/>
    <w:rsid w:val="00260D88"/>
    <w:rsid w:val="0026132C"/>
    <w:rsid w:val="00261E15"/>
    <w:rsid w:val="00264154"/>
    <w:rsid w:val="002642D4"/>
    <w:rsid w:val="0026476D"/>
    <w:rsid w:val="002663CB"/>
    <w:rsid w:val="00270498"/>
    <w:rsid w:val="00271904"/>
    <w:rsid w:val="0027196F"/>
    <w:rsid w:val="00272DEC"/>
    <w:rsid w:val="00273F73"/>
    <w:rsid w:val="00274AC3"/>
    <w:rsid w:val="002752E1"/>
    <w:rsid w:val="002805CC"/>
    <w:rsid w:val="00280C8B"/>
    <w:rsid w:val="00280E48"/>
    <w:rsid w:val="00281D88"/>
    <w:rsid w:val="00282204"/>
    <w:rsid w:val="00283059"/>
    <w:rsid w:val="00284077"/>
    <w:rsid w:val="00284A52"/>
    <w:rsid w:val="00284A9F"/>
    <w:rsid w:val="00284BF1"/>
    <w:rsid w:val="00285AA5"/>
    <w:rsid w:val="002868CF"/>
    <w:rsid w:val="00290628"/>
    <w:rsid w:val="00290FC7"/>
    <w:rsid w:val="002913D2"/>
    <w:rsid w:val="00291B8F"/>
    <w:rsid w:val="00292003"/>
    <w:rsid w:val="00292587"/>
    <w:rsid w:val="002953A1"/>
    <w:rsid w:val="00297381"/>
    <w:rsid w:val="002A02D1"/>
    <w:rsid w:val="002A0A92"/>
    <w:rsid w:val="002A0B67"/>
    <w:rsid w:val="002A0F5D"/>
    <w:rsid w:val="002A378E"/>
    <w:rsid w:val="002A7389"/>
    <w:rsid w:val="002A75F8"/>
    <w:rsid w:val="002B2956"/>
    <w:rsid w:val="002B33DC"/>
    <w:rsid w:val="002B39D0"/>
    <w:rsid w:val="002B5D6C"/>
    <w:rsid w:val="002B68AF"/>
    <w:rsid w:val="002C07B8"/>
    <w:rsid w:val="002C3A54"/>
    <w:rsid w:val="002C41E9"/>
    <w:rsid w:val="002C55B4"/>
    <w:rsid w:val="002D1BE9"/>
    <w:rsid w:val="002D383A"/>
    <w:rsid w:val="002D3A72"/>
    <w:rsid w:val="002D3F4E"/>
    <w:rsid w:val="002D413C"/>
    <w:rsid w:val="002D41DD"/>
    <w:rsid w:val="002D5290"/>
    <w:rsid w:val="002D72A4"/>
    <w:rsid w:val="002D72C2"/>
    <w:rsid w:val="002E1CFA"/>
    <w:rsid w:val="002E27B0"/>
    <w:rsid w:val="002E2B15"/>
    <w:rsid w:val="002E4D41"/>
    <w:rsid w:val="002E5110"/>
    <w:rsid w:val="002E54E4"/>
    <w:rsid w:val="002E5C54"/>
    <w:rsid w:val="002E6ED9"/>
    <w:rsid w:val="002F05AC"/>
    <w:rsid w:val="002F1191"/>
    <w:rsid w:val="002F28A1"/>
    <w:rsid w:val="002F3F32"/>
    <w:rsid w:val="002F4B89"/>
    <w:rsid w:val="002F5D8C"/>
    <w:rsid w:val="002F6287"/>
    <w:rsid w:val="002F7B03"/>
    <w:rsid w:val="00301819"/>
    <w:rsid w:val="00302DAA"/>
    <w:rsid w:val="003032FD"/>
    <w:rsid w:val="003033BF"/>
    <w:rsid w:val="00304055"/>
    <w:rsid w:val="00305BDE"/>
    <w:rsid w:val="003074A9"/>
    <w:rsid w:val="00307CA6"/>
    <w:rsid w:val="00307E58"/>
    <w:rsid w:val="00307E91"/>
    <w:rsid w:val="00307F35"/>
    <w:rsid w:val="003104A7"/>
    <w:rsid w:val="0031116E"/>
    <w:rsid w:val="0031140A"/>
    <w:rsid w:val="00312C29"/>
    <w:rsid w:val="0031489E"/>
    <w:rsid w:val="0031522B"/>
    <w:rsid w:val="00320823"/>
    <w:rsid w:val="00320D68"/>
    <w:rsid w:val="00320E23"/>
    <w:rsid w:val="00322AE7"/>
    <w:rsid w:val="00322C2B"/>
    <w:rsid w:val="003247C3"/>
    <w:rsid w:val="003250A5"/>
    <w:rsid w:val="00325608"/>
    <w:rsid w:val="00327C72"/>
    <w:rsid w:val="00330E34"/>
    <w:rsid w:val="00331CF6"/>
    <w:rsid w:val="0033232B"/>
    <w:rsid w:val="003323FA"/>
    <w:rsid w:val="00335F59"/>
    <w:rsid w:val="0033793E"/>
    <w:rsid w:val="00337BA4"/>
    <w:rsid w:val="00341E41"/>
    <w:rsid w:val="003424A6"/>
    <w:rsid w:val="003434E3"/>
    <w:rsid w:val="00344667"/>
    <w:rsid w:val="00344933"/>
    <w:rsid w:val="003505A9"/>
    <w:rsid w:val="003517E8"/>
    <w:rsid w:val="00354EBD"/>
    <w:rsid w:val="003553D8"/>
    <w:rsid w:val="00356CE1"/>
    <w:rsid w:val="00357770"/>
    <w:rsid w:val="00357A0A"/>
    <w:rsid w:val="00357DD0"/>
    <w:rsid w:val="00357F49"/>
    <w:rsid w:val="00362BD7"/>
    <w:rsid w:val="00362BDE"/>
    <w:rsid w:val="00362E50"/>
    <w:rsid w:val="003631FC"/>
    <w:rsid w:val="003700D3"/>
    <w:rsid w:val="0037305F"/>
    <w:rsid w:val="00373C38"/>
    <w:rsid w:val="00374231"/>
    <w:rsid w:val="00374BBF"/>
    <w:rsid w:val="0037500E"/>
    <w:rsid w:val="00375331"/>
    <w:rsid w:val="00375B74"/>
    <w:rsid w:val="0037709B"/>
    <w:rsid w:val="003773D6"/>
    <w:rsid w:val="0038051A"/>
    <w:rsid w:val="0038177A"/>
    <w:rsid w:val="00382100"/>
    <w:rsid w:val="0038211F"/>
    <w:rsid w:val="0038280E"/>
    <w:rsid w:val="00382CA0"/>
    <w:rsid w:val="003834F1"/>
    <w:rsid w:val="00383DCD"/>
    <w:rsid w:val="00384510"/>
    <w:rsid w:val="00384B30"/>
    <w:rsid w:val="00384D88"/>
    <w:rsid w:val="00385FF4"/>
    <w:rsid w:val="00386DDD"/>
    <w:rsid w:val="0039003B"/>
    <w:rsid w:val="0039016F"/>
    <w:rsid w:val="003915FB"/>
    <w:rsid w:val="00392EED"/>
    <w:rsid w:val="00393394"/>
    <w:rsid w:val="0039464F"/>
    <w:rsid w:val="003963D0"/>
    <w:rsid w:val="003A1AAA"/>
    <w:rsid w:val="003A4CF2"/>
    <w:rsid w:val="003A549D"/>
    <w:rsid w:val="003A5A71"/>
    <w:rsid w:val="003A6B6A"/>
    <w:rsid w:val="003A7F42"/>
    <w:rsid w:val="003B09F9"/>
    <w:rsid w:val="003B0BFB"/>
    <w:rsid w:val="003B0F7E"/>
    <w:rsid w:val="003B35C5"/>
    <w:rsid w:val="003B563B"/>
    <w:rsid w:val="003B6567"/>
    <w:rsid w:val="003C0FA0"/>
    <w:rsid w:val="003C13BA"/>
    <w:rsid w:val="003C1E67"/>
    <w:rsid w:val="003C2CED"/>
    <w:rsid w:val="003C36D4"/>
    <w:rsid w:val="003C428A"/>
    <w:rsid w:val="003C479B"/>
    <w:rsid w:val="003C682D"/>
    <w:rsid w:val="003C71CF"/>
    <w:rsid w:val="003C75AB"/>
    <w:rsid w:val="003C7A3A"/>
    <w:rsid w:val="003C7CC7"/>
    <w:rsid w:val="003D1B2B"/>
    <w:rsid w:val="003D205B"/>
    <w:rsid w:val="003D3DFE"/>
    <w:rsid w:val="003D4517"/>
    <w:rsid w:val="003D5707"/>
    <w:rsid w:val="003D5AEE"/>
    <w:rsid w:val="003D602F"/>
    <w:rsid w:val="003D63E1"/>
    <w:rsid w:val="003D7D57"/>
    <w:rsid w:val="003E0792"/>
    <w:rsid w:val="003E0D87"/>
    <w:rsid w:val="003E36C2"/>
    <w:rsid w:val="003E3E25"/>
    <w:rsid w:val="003F140C"/>
    <w:rsid w:val="003F26A8"/>
    <w:rsid w:val="003F298A"/>
    <w:rsid w:val="003F2AD8"/>
    <w:rsid w:val="003F2CC8"/>
    <w:rsid w:val="003F5190"/>
    <w:rsid w:val="003F65FD"/>
    <w:rsid w:val="003F7350"/>
    <w:rsid w:val="003F7507"/>
    <w:rsid w:val="0040141D"/>
    <w:rsid w:val="00402107"/>
    <w:rsid w:val="00402812"/>
    <w:rsid w:val="004030F2"/>
    <w:rsid w:val="0040371B"/>
    <w:rsid w:val="00405347"/>
    <w:rsid w:val="00406785"/>
    <w:rsid w:val="00406E93"/>
    <w:rsid w:val="00407C32"/>
    <w:rsid w:val="00410485"/>
    <w:rsid w:val="00410D32"/>
    <w:rsid w:val="004116CA"/>
    <w:rsid w:val="004121CB"/>
    <w:rsid w:val="004227A2"/>
    <w:rsid w:val="004242ED"/>
    <w:rsid w:val="00424903"/>
    <w:rsid w:val="00425C66"/>
    <w:rsid w:val="00425F2F"/>
    <w:rsid w:val="00426289"/>
    <w:rsid w:val="00426332"/>
    <w:rsid w:val="00426B92"/>
    <w:rsid w:val="00426DAA"/>
    <w:rsid w:val="00427FEF"/>
    <w:rsid w:val="00430F21"/>
    <w:rsid w:val="00431B5E"/>
    <w:rsid w:val="00431E79"/>
    <w:rsid w:val="00431FA8"/>
    <w:rsid w:val="004325B7"/>
    <w:rsid w:val="0043320B"/>
    <w:rsid w:val="004354D6"/>
    <w:rsid w:val="0043554F"/>
    <w:rsid w:val="004355B1"/>
    <w:rsid w:val="004356FE"/>
    <w:rsid w:val="004359D2"/>
    <w:rsid w:val="00437B61"/>
    <w:rsid w:val="004402C7"/>
    <w:rsid w:val="00440F24"/>
    <w:rsid w:val="004417DA"/>
    <w:rsid w:val="004428AF"/>
    <w:rsid w:val="00445AAC"/>
    <w:rsid w:val="0044625B"/>
    <w:rsid w:val="00446308"/>
    <w:rsid w:val="00446333"/>
    <w:rsid w:val="00446CC9"/>
    <w:rsid w:val="0044795A"/>
    <w:rsid w:val="004509FA"/>
    <w:rsid w:val="004513F0"/>
    <w:rsid w:val="00451569"/>
    <w:rsid w:val="004520D4"/>
    <w:rsid w:val="004526FF"/>
    <w:rsid w:val="00453E50"/>
    <w:rsid w:val="00454418"/>
    <w:rsid w:val="00454917"/>
    <w:rsid w:val="00454AD4"/>
    <w:rsid w:val="00456306"/>
    <w:rsid w:val="00456B37"/>
    <w:rsid w:val="0046410B"/>
    <w:rsid w:val="0046588F"/>
    <w:rsid w:val="00465E76"/>
    <w:rsid w:val="00472105"/>
    <w:rsid w:val="00472EA9"/>
    <w:rsid w:val="0047482C"/>
    <w:rsid w:val="00474B2A"/>
    <w:rsid w:val="004774AD"/>
    <w:rsid w:val="0048010E"/>
    <w:rsid w:val="00480528"/>
    <w:rsid w:val="00482892"/>
    <w:rsid w:val="00483BF0"/>
    <w:rsid w:val="004858D9"/>
    <w:rsid w:val="00490179"/>
    <w:rsid w:val="00491E31"/>
    <w:rsid w:val="00492920"/>
    <w:rsid w:val="00493F03"/>
    <w:rsid w:val="00495A07"/>
    <w:rsid w:val="00495B5B"/>
    <w:rsid w:val="00496BBD"/>
    <w:rsid w:val="004A2F1A"/>
    <w:rsid w:val="004A3289"/>
    <w:rsid w:val="004A6565"/>
    <w:rsid w:val="004A7E8F"/>
    <w:rsid w:val="004B14B3"/>
    <w:rsid w:val="004B25B6"/>
    <w:rsid w:val="004B307F"/>
    <w:rsid w:val="004B3C43"/>
    <w:rsid w:val="004B4A1D"/>
    <w:rsid w:val="004B5A2F"/>
    <w:rsid w:val="004B662F"/>
    <w:rsid w:val="004B78CB"/>
    <w:rsid w:val="004C1F83"/>
    <w:rsid w:val="004C1F9B"/>
    <w:rsid w:val="004C3722"/>
    <w:rsid w:val="004C4665"/>
    <w:rsid w:val="004C478F"/>
    <w:rsid w:val="004C483F"/>
    <w:rsid w:val="004C4C4B"/>
    <w:rsid w:val="004C55B4"/>
    <w:rsid w:val="004C63B5"/>
    <w:rsid w:val="004D08BF"/>
    <w:rsid w:val="004D18E6"/>
    <w:rsid w:val="004D1D78"/>
    <w:rsid w:val="004D23B9"/>
    <w:rsid w:val="004D25FE"/>
    <w:rsid w:val="004D2725"/>
    <w:rsid w:val="004D2A1B"/>
    <w:rsid w:val="004D3C90"/>
    <w:rsid w:val="004D71D0"/>
    <w:rsid w:val="004E0B6C"/>
    <w:rsid w:val="004E139B"/>
    <w:rsid w:val="004E1DDC"/>
    <w:rsid w:val="004E1F2A"/>
    <w:rsid w:val="004E299B"/>
    <w:rsid w:val="004E2FCA"/>
    <w:rsid w:val="004E61F3"/>
    <w:rsid w:val="004E7B8B"/>
    <w:rsid w:val="004F1109"/>
    <w:rsid w:val="004F1D8C"/>
    <w:rsid w:val="004F55E0"/>
    <w:rsid w:val="004F56FB"/>
    <w:rsid w:val="004F616B"/>
    <w:rsid w:val="004F7B2B"/>
    <w:rsid w:val="0050007F"/>
    <w:rsid w:val="00500839"/>
    <w:rsid w:val="00500BF1"/>
    <w:rsid w:val="00501E91"/>
    <w:rsid w:val="00501F44"/>
    <w:rsid w:val="005038A9"/>
    <w:rsid w:val="00504B8A"/>
    <w:rsid w:val="00510F50"/>
    <w:rsid w:val="00513CE5"/>
    <w:rsid w:val="00514012"/>
    <w:rsid w:val="00514DF6"/>
    <w:rsid w:val="00517803"/>
    <w:rsid w:val="00520BB3"/>
    <w:rsid w:val="0052391A"/>
    <w:rsid w:val="005239C5"/>
    <w:rsid w:val="00524405"/>
    <w:rsid w:val="005246C5"/>
    <w:rsid w:val="00524E87"/>
    <w:rsid w:val="005269C9"/>
    <w:rsid w:val="00527420"/>
    <w:rsid w:val="005301BA"/>
    <w:rsid w:val="00530434"/>
    <w:rsid w:val="0053076F"/>
    <w:rsid w:val="00530C40"/>
    <w:rsid w:val="00531660"/>
    <w:rsid w:val="00531CA6"/>
    <w:rsid w:val="00531DB8"/>
    <w:rsid w:val="00531DCA"/>
    <w:rsid w:val="00532F57"/>
    <w:rsid w:val="005332A9"/>
    <w:rsid w:val="00533891"/>
    <w:rsid w:val="00534581"/>
    <w:rsid w:val="00535E31"/>
    <w:rsid w:val="00540C0A"/>
    <w:rsid w:val="00541830"/>
    <w:rsid w:val="00541981"/>
    <w:rsid w:val="00543127"/>
    <w:rsid w:val="00543559"/>
    <w:rsid w:val="005437FF"/>
    <w:rsid w:val="00544006"/>
    <w:rsid w:val="00546D1D"/>
    <w:rsid w:val="00547FAD"/>
    <w:rsid w:val="00550F43"/>
    <w:rsid w:val="00551332"/>
    <w:rsid w:val="005522DB"/>
    <w:rsid w:val="00552720"/>
    <w:rsid w:val="005537A8"/>
    <w:rsid w:val="0055389C"/>
    <w:rsid w:val="005539A2"/>
    <w:rsid w:val="00553E86"/>
    <w:rsid w:val="005555D3"/>
    <w:rsid w:val="0055626F"/>
    <w:rsid w:val="0055695B"/>
    <w:rsid w:val="00556CD7"/>
    <w:rsid w:val="00556DB7"/>
    <w:rsid w:val="005621B5"/>
    <w:rsid w:val="0056250E"/>
    <w:rsid w:val="00562CE2"/>
    <w:rsid w:val="0056360A"/>
    <w:rsid w:val="00564580"/>
    <w:rsid w:val="0056702E"/>
    <w:rsid w:val="00570F30"/>
    <w:rsid w:val="00571596"/>
    <w:rsid w:val="00573724"/>
    <w:rsid w:val="00574F4D"/>
    <w:rsid w:val="005758A3"/>
    <w:rsid w:val="00575BC5"/>
    <w:rsid w:val="00576499"/>
    <w:rsid w:val="005813D7"/>
    <w:rsid w:val="005815ED"/>
    <w:rsid w:val="00582C9A"/>
    <w:rsid w:val="00582D76"/>
    <w:rsid w:val="00583A20"/>
    <w:rsid w:val="0058583A"/>
    <w:rsid w:val="00586C7D"/>
    <w:rsid w:val="00587CA8"/>
    <w:rsid w:val="00590BB1"/>
    <w:rsid w:val="00592C02"/>
    <w:rsid w:val="00592E37"/>
    <w:rsid w:val="00593B1F"/>
    <w:rsid w:val="00594A89"/>
    <w:rsid w:val="00596344"/>
    <w:rsid w:val="00596BF7"/>
    <w:rsid w:val="00597DBF"/>
    <w:rsid w:val="00597F43"/>
    <w:rsid w:val="005A04D7"/>
    <w:rsid w:val="005A1957"/>
    <w:rsid w:val="005A2038"/>
    <w:rsid w:val="005A2214"/>
    <w:rsid w:val="005A25F6"/>
    <w:rsid w:val="005A26BF"/>
    <w:rsid w:val="005A3CB4"/>
    <w:rsid w:val="005A5C0B"/>
    <w:rsid w:val="005A5C7D"/>
    <w:rsid w:val="005A71B9"/>
    <w:rsid w:val="005A7EFF"/>
    <w:rsid w:val="005B0F61"/>
    <w:rsid w:val="005B2986"/>
    <w:rsid w:val="005B392A"/>
    <w:rsid w:val="005B4391"/>
    <w:rsid w:val="005B4CCA"/>
    <w:rsid w:val="005B5BBF"/>
    <w:rsid w:val="005B68D1"/>
    <w:rsid w:val="005C00F5"/>
    <w:rsid w:val="005C1E7C"/>
    <w:rsid w:val="005C5BD8"/>
    <w:rsid w:val="005C6147"/>
    <w:rsid w:val="005C736E"/>
    <w:rsid w:val="005C753C"/>
    <w:rsid w:val="005C76A6"/>
    <w:rsid w:val="005D2D47"/>
    <w:rsid w:val="005D3E29"/>
    <w:rsid w:val="005D575C"/>
    <w:rsid w:val="005E0EB1"/>
    <w:rsid w:val="005E1425"/>
    <w:rsid w:val="005E77E3"/>
    <w:rsid w:val="005F16F7"/>
    <w:rsid w:val="005F244C"/>
    <w:rsid w:val="005F2D89"/>
    <w:rsid w:val="005F375E"/>
    <w:rsid w:val="005F4AB5"/>
    <w:rsid w:val="005F5057"/>
    <w:rsid w:val="005F5979"/>
    <w:rsid w:val="005F5FA0"/>
    <w:rsid w:val="005F7B42"/>
    <w:rsid w:val="006002FD"/>
    <w:rsid w:val="00602807"/>
    <w:rsid w:val="00602A26"/>
    <w:rsid w:val="0060443E"/>
    <w:rsid w:val="006044BD"/>
    <w:rsid w:val="00606858"/>
    <w:rsid w:val="00606C32"/>
    <w:rsid w:val="00607286"/>
    <w:rsid w:val="006102FB"/>
    <w:rsid w:val="00611360"/>
    <w:rsid w:val="00611D5B"/>
    <w:rsid w:val="00612A02"/>
    <w:rsid w:val="00612A75"/>
    <w:rsid w:val="0061317F"/>
    <w:rsid w:val="00615DA6"/>
    <w:rsid w:val="00615FBD"/>
    <w:rsid w:val="00617BDC"/>
    <w:rsid w:val="00620AE6"/>
    <w:rsid w:val="006224E4"/>
    <w:rsid w:val="00623042"/>
    <w:rsid w:val="00624060"/>
    <w:rsid w:val="00624C7C"/>
    <w:rsid w:val="006257BC"/>
    <w:rsid w:val="00626C4D"/>
    <w:rsid w:val="00627B00"/>
    <w:rsid w:val="00630B93"/>
    <w:rsid w:val="00632259"/>
    <w:rsid w:val="0063377A"/>
    <w:rsid w:val="00634E35"/>
    <w:rsid w:val="00637354"/>
    <w:rsid w:val="00637AE8"/>
    <w:rsid w:val="00637C78"/>
    <w:rsid w:val="00640552"/>
    <w:rsid w:val="00642077"/>
    <w:rsid w:val="0064327C"/>
    <w:rsid w:val="00643AF8"/>
    <w:rsid w:val="00644445"/>
    <w:rsid w:val="006451AA"/>
    <w:rsid w:val="00645FB9"/>
    <w:rsid w:val="0064778C"/>
    <w:rsid w:val="00647C65"/>
    <w:rsid w:val="00650E12"/>
    <w:rsid w:val="006535E3"/>
    <w:rsid w:val="00653C18"/>
    <w:rsid w:val="00654B4A"/>
    <w:rsid w:val="00654CEC"/>
    <w:rsid w:val="0065541A"/>
    <w:rsid w:val="00656661"/>
    <w:rsid w:val="00656B3D"/>
    <w:rsid w:val="00656E30"/>
    <w:rsid w:val="00657EAD"/>
    <w:rsid w:val="006630FE"/>
    <w:rsid w:val="0066363B"/>
    <w:rsid w:val="00664B15"/>
    <w:rsid w:val="006711E5"/>
    <w:rsid w:val="006729DA"/>
    <w:rsid w:val="00673C3D"/>
    <w:rsid w:val="006764D3"/>
    <w:rsid w:val="00676CFD"/>
    <w:rsid w:val="0067706C"/>
    <w:rsid w:val="00677C2E"/>
    <w:rsid w:val="00680055"/>
    <w:rsid w:val="0068200C"/>
    <w:rsid w:val="00682B12"/>
    <w:rsid w:val="00682F48"/>
    <w:rsid w:val="00684A7D"/>
    <w:rsid w:val="00686F7F"/>
    <w:rsid w:val="00687675"/>
    <w:rsid w:val="00687FC0"/>
    <w:rsid w:val="006912B9"/>
    <w:rsid w:val="0069349B"/>
    <w:rsid w:val="0069399A"/>
    <w:rsid w:val="00695967"/>
    <w:rsid w:val="00695CB9"/>
    <w:rsid w:val="00696A8A"/>
    <w:rsid w:val="006A1BF5"/>
    <w:rsid w:val="006A2CCE"/>
    <w:rsid w:val="006A3A8A"/>
    <w:rsid w:val="006A4138"/>
    <w:rsid w:val="006A61D8"/>
    <w:rsid w:val="006A78D8"/>
    <w:rsid w:val="006B05DA"/>
    <w:rsid w:val="006B255D"/>
    <w:rsid w:val="006B3FC6"/>
    <w:rsid w:val="006B4B33"/>
    <w:rsid w:val="006B54D8"/>
    <w:rsid w:val="006B61D0"/>
    <w:rsid w:val="006B6AED"/>
    <w:rsid w:val="006C2D33"/>
    <w:rsid w:val="006C3746"/>
    <w:rsid w:val="006C62CF"/>
    <w:rsid w:val="006D0B02"/>
    <w:rsid w:val="006D1886"/>
    <w:rsid w:val="006D27D6"/>
    <w:rsid w:val="006D2C9A"/>
    <w:rsid w:val="006D395A"/>
    <w:rsid w:val="006D3EE9"/>
    <w:rsid w:val="006D44CA"/>
    <w:rsid w:val="006D4E8D"/>
    <w:rsid w:val="006D69A0"/>
    <w:rsid w:val="006D741B"/>
    <w:rsid w:val="006D76C6"/>
    <w:rsid w:val="006E06D1"/>
    <w:rsid w:val="006E1624"/>
    <w:rsid w:val="006E6605"/>
    <w:rsid w:val="006E71B3"/>
    <w:rsid w:val="006E7A91"/>
    <w:rsid w:val="006E7CB5"/>
    <w:rsid w:val="006F0008"/>
    <w:rsid w:val="006F110D"/>
    <w:rsid w:val="006F1491"/>
    <w:rsid w:val="006F1C78"/>
    <w:rsid w:val="006F253D"/>
    <w:rsid w:val="006F32B1"/>
    <w:rsid w:val="006F3883"/>
    <w:rsid w:val="006F3C58"/>
    <w:rsid w:val="006F3E5D"/>
    <w:rsid w:val="006F553C"/>
    <w:rsid w:val="006F7E12"/>
    <w:rsid w:val="007006BF"/>
    <w:rsid w:val="007017DA"/>
    <w:rsid w:val="007027AE"/>
    <w:rsid w:val="00702940"/>
    <w:rsid w:val="00702C81"/>
    <w:rsid w:val="007035A3"/>
    <w:rsid w:val="00703649"/>
    <w:rsid w:val="00703B62"/>
    <w:rsid w:val="00704376"/>
    <w:rsid w:val="00705525"/>
    <w:rsid w:val="007061CB"/>
    <w:rsid w:val="00706529"/>
    <w:rsid w:val="00707CCF"/>
    <w:rsid w:val="007106BA"/>
    <w:rsid w:val="00710CD4"/>
    <w:rsid w:val="0071197D"/>
    <w:rsid w:val="007122BD"/>
    <w:rsid w:val="00712C05"/>
    <w:rsid w:val="007131AE"/>
    <w:rsid w:val="00713847"/>
    <w:rsid w:val="0071407F"/>
    <w:rsid w:val="007154A4"/>
    <w:rsid w:val="00716CC1"/>
    <w:rsid w:val="00716D16"/>
    <w:rsid w:val="00717057"/>
    <w:rsid w:val="0072117C"/>
    <w:rsid w:val="00721F0E"/>
    <w:rsid w:val="00722477"/>
    <w:rsid w:val="00723415"/>
    <w:rsid w:val="00723623"/>
    <w:rsid w:val="00726AA2"/>
    <w:rsid w:val="007315C5"/>
    <w:rsid w:val="0073308A"/>
    <w:rsid w:val="00733CAA"/>
    <w:rsid w:val="00734FA0"/>
    <w:rsid w:val="007355A5"/>
    <w:rsid w:val="0073567C"/>
    <w:rsid w:val="00735CC0"/>
    <w:rsid w:val="00735F1B"/>
    <w:rsid w:val="00737718"/>
    <w:rsid w:val="007377CC"/>
    <w:rsid w:val="007402DE"/>
    <w:rsid w:val="00740ED4"/>
    <w:rsid w:val="00741062"/>
    <w:rsid w:val="00741090"/>
    <w:rsid w:val="00741777"/>
    <w:rsid w:val="00742C2E"/>
    <w:rsid w:val="00745E54"/>
    <w:rsid w:val="007478E9"/>
    <w:rsid w:val="007521C3"/>
    <w:rsid w:val="007526E9"/>
    <w:rsid w:val="007528CD"/>
    <w:rsid w:val="0075294D"/>
    <w:rsid w:val="00756BC7"/>
    <w:rsid w:val="00757A17"/>
    <w:rsid w:val="00757A86"/>
    <w:rsid w:val="00762991"/>
    <w:rsid w:val="0076602B"/>
    <w:rsid w:val="00766700"/>
    <w:rsid w:val="00767B37"/>
    <w:rsid w:val="00767BE5"/>
    <w:rsid w:val="00767D0A"/>
    <w:rsid w:val="00767EAB"/>
    <w:rsid w:val="0077106A"/>
    <w:rsid w:val="00771709"/>
    <w:rsid w:val="00771CAE"/>
    <w:rsid w:val="007724B1"/>
    <w:rsid w:val="00773606"/>
    <w:rsid w:val="00773CA3"/>
    <w:rsid w:val="00774EF7"/>
    <w:rsid w:val="007769FC"/>
    <w:rsid w:val="00776E02"/>
    <w:rsid w:val="007771CF"/>
    <w:rsid w:val="00780A61"/>
    <w:rsid w:val="007819C6"/>
    <w:rsid w:val="00781ADB"/>
    <w:rsid w:val="00783314"/>
    <w:rsid w:val="007839B5"/>
    <w:rsid w:val="007859FA"/>
    <w:rsid w:val="007862C6"/>
    <w:rsid w:val="00786EB2"/>
    <w:rsid w:val="00787837"/>
    <w:rsid w:val="007906FF"/>
    <w:rsid w:val="007910A6"/>
    <w:rsid w:val="00791A91"/>
    <w:rsid w:val="00791D98"/>
    <w:rsid w:val="00793A95"/>
    <w:rsid w:val="007949E1"/>
    <w:rsid w:val="007950F6"/>
    <w:rsid w:val="00796487"/>
    <w:rsid w:val="00796652"/>
    <w:rsid w:val="00796F21"/>
    <w:rsid w:val="00797B61"/>
    <w:rsid w:val="007A0BBE"/>
    <w:rsid w:val="007A2D1C"/>
    <w:rsid w:val="007A45CE"/>
    <w:rsid w:val="007A6ED9"/>
    <w:rsid w:val="007A701F"/>
    <w:rsid w:val="007B1E8C"/>
    <w:rsid w:val="007B3445"/>
    <w:rsid w:val="007B4A95"/>
    <w:rsid w:val="007B59F4"/>
    <w:rsid w:val="007B5A3B"/>
    <w:rsid w:val="007B6EF3"/>
    <w:rsid w:val="007B76F6"/>
    <w:rsid w:val="007B7D1D"/>
    <w:rsid w:val="007C08D8"/>
    <w:rsid w:val="007C0B1F"/>
    <w:rsid w:val="007C1154"/>
    <w:rsid w:val="007C3150"/>
    <w:rsid w:val="007C36C0"/>
    <w:rsid w:val="007C39C4"/>
    <w:rsid w:val="007C57A5"/>
    <w:rsid w:val="007C7BDC"/>
    <w:rsid w:val="007D18EA"/>
    <w:rsid w:val="007D199B"/>
    <w:rsid w:val="007D1D0E"/>
    <w:rsid w:val="007D23AA"/>
    <w:rsid w:val="007D297F"/>
    <w:rsid w:val="007D2AEF"/>
    <w:rsid w:val="007D3E32"/>
    <w:rsid w:val="007D51BB"/>
    <w:rsid w:val="007D7613"/>
    <w:rsid w:val="007D7F32"/>
    <w:rsid w:val="007E1F67"/>
    <w:rsid w:val="007E2FDD"/>
    <w:rsid w:val="007E46BD"/>
    <w:rsid w:val="007E542A"/>
    <w:rsid w:val="007E602C"/>
    <w:rsid w:val="007E6831"/>
    <w:rsid w:val="007E6D73"/>
    <w:rsid w:val="007F02E9"/>
    <w:rsid w:val="007F073B"/>
    <w:rsid w:val="007F199B"/>
    <w:rsid w:val="007F374A"/>
    <w:rsid w:val="007F501E"/>
    <w:rsid w:val="007F516A"/>
    <w:rsid w:val="007F5CFE"/>
    <w:rsid w:val="007F6E6C"/>
    <w:rsid w:val="00800DBC"/>
    <w:rsid w:val="0080141A"/>
    <w:rsid w:val="008021A3"/>
    <w:rsid w:val="008035E6"/>
    <w:rsid w:val="00803668"/>
    <w:rsid w:val="008036D4"/>
    <w:rsid w:val="008051C2"/>
    <w:rsid w:val="008057A0"/>
    <w:rsid w:val="00806249"/>
    <w:rsid w:val="00806CFD"/>
    <w:rsid w:val="00807AE8"/>
    <w:rsid w:val="00810A63"/>
    <w:rsid w:val="00813826"/>
    <w:rsid w:val="008141AA"/>
    <w:rsid w:val="008152A7"/>
    <w:rsid w:val="0081610E"/>
    <w:rsid w:val="0081775A"/>
    <w:rsid w:val="00820C10"/>
    <w:rsid w:val="00821033"/>
    <w:rsid w:val="00822068"/>
    <w:rsid w:val="0082291C"/>
    <w:rsid w:val="00822C0F"/>
    <w:rsid w:val="008232AE"/>
    <w:rsid w:val="008233E9"/>
    <w:rsid w:val="00826611"/>
    <w:rsid w:val="00826969"/>
    <w:rsid w:val="00831DDF"/>
    <w:rsid w:val="008324DE"/>
    <w:rsid w:val="0083288E"/>
    <w:rsid w:val="00832C66"/>
    <w:rsid w:val="00833035"/>
    <w:rsid w:val="00834158"/>
    <w:rsid w:val="0083530F"/>
    <w:rsid w:val="00836CF9"/>
    <w:rsid w:val="008376F6"/>
    <w:rsid w:val="00840306"/>
    <w:rsid w:val="008404B0"/>
    <w:rsid w:val="00841411"/>
    <w:rsid w:val="008425EB"/>
    <w:rsid w:val="00842F39"/>
    <w:rsid w:val="00843316"/>
    <w:rsid w:val="0084474B"/>
    <w:rsid w:val="008452BF"/>
    <w:rsid w:val="008462C7"/>
    <w:rsid w:val="008468C5"/>
    <w:rsid w:val="00846EF3"/>
    <w:rsid w:val="00847923"/>
    <w:rsid w:val="00847FFD"/>
    <w:rsid w:val="0085056D"/>
    <w:rsid w:val="00850E1D"/>
    <w:rsid w:val="00850F7D"/>
    <w:rsid w:val="008520F0"/>
    <w:rsid w:val="008529A1"/>
    <w:rsid w:val="0085301D"/>
    <w:rsid w:val="00853A56"/>
    <w:rsid w:val="0085418F"/>
    <w:rsid w:val="008546C8"/>
    <w:rsid w:val="008552CB"/>
    <w:rsid w:val="0085647C"/>
    <w:rsid w:val="00860153"/>
    <w:rsid w:val="0086102D"/>
    <w:rsid w:val="00861D59"/>
    <w:rsid w:val="00863369"/>
    <w:rsid w:val="00863535"/>
    <w:rsid w:val="00864533"/>
    <w:rsid w:val="00864E65"/>
    <w:rsid w:val="00864F4D"/>
    <w:rsid w:val="00864F65"/>
    <w:rsid w:val="00866DCA"/>
    <w:rsid w:val="00867B27"/>
    <w:rsid w:val="00867C36"/>
    <w:rsid w:val="008705AF"/>
    <w:rsid w:val="008705DB"/>
    <w:rsid w:val="0087067F"/>
    <w:rsid w:val="00871E86"/>
    <w:rsid w:val="00872408"/>
    <w:rsid w:val="0087298A"/>
    <w:rsid w:val="00872A2A"/>
    <w:rsid w:val="00873B7E"/>
    <w:rsid w:val="00874AE0"/>
    <w:rsid w:val="00876038"/>
    <w:rsid w:val="00876E76"/>
    <w:rsid w:val="00877A99"/>
    <w:rsid w:val="00877D15"/>
    <w:rsid w:val="00881125"/>
    <w:rsid w:val="0088214F"/>
    <w:rsid w:val="00882B08"/>
    <w:rsid w:val="00882DD7"/>
    <w:rsid w:val="00883BF4"/>
    <w:rsid w:val="00884168"/>
    <w:rsid w:val="0088470F"/>
    <w:rsid w:val="00884EBE"/>
    <w:rsid w:val="00884FEC"/>
    <w:rsid w:val="008859D6"/>
    <w:rsid w:val="00886E09"/>
    <w:rsid w:val="00890A1E"/>
    <w:rsid w:val="00891F02"/>
    <w:rsid w:val="0089264E"/>
    <w:rsid w:val="00893926"/>
    <w:rsid w:val="00893EBD"/>
    <w:rsid w:val="00894453"/>
    <w:rsid w:val="00894FBF"/>
    <w:rsid w:val="0089513E"/>
    <w:rsid w:val="00896F5A"/>
    <w:rsid w:val="00897016"/>
    <w:rsid w:val="00897BC0"/>
    <w:rsid w:val="008A0A02"/>
    <w:rsid w:val="008A0D9B"/>
    <w:rsid w:val="008A0DE2"/>
    <w:rsid w:val="008A0ECD"/>
    <w:rsid w:val="008A200A"/>
    <w:rsid w:val="008A25C4"/>
    <w:rsid w:val="008A3885"/>
    <w:rsid w:val="008A3BAD"/>
    <w:rsid w:val="008A4741"/>
    <w:rsid w:val="008A6E6A"/>
    <w:rsid w:val="008A7D78"/>
    <w:rsid w:val="008A7F5B"/>
    <w:rsid w:val="008B0516"/>
    <w:rsid w:val="008B1267"/>
    <w:rsid w:val="008B243B"/>
    <w:rsid w:val="008B2B06"/>
    <w:rsid w:val="008B54AC"/>
    <w:rsid w:val="008B5D81"/>
    <w:rsid w:val="008B6501"/>
    <w:rsid w:val="008B6AD9"/>
    <w:rsid w:val="008B6C70"/>
    <w:rsid w:val="008B6F91"/>
    <w:rsid w:val="008C3BFF"/>
    <w:rsid w:val="008C51C6"/>
    <w:rsid w:val="008C5B35"/>
    <w:rsid w:val="008C6B58"/>
    <w:rsid w:val="008D2690"/>
    <w:rsid w:val="008D2E8E"/>
    <w:rsid w:val="008D3486"/>
    <w:rsid w:val="008D3D38"/>
    <w:rsid w:val="008D443B"/>
    <w:rsid w:val="008D5E11"/>
    <w:rsid w:val="008D6FBB"/>
    <w:rsid w:val="008E106E"/>
    <w:rsid w:val="008E44ED"/>
    <w:rsid w:val="008E5F4E"/>
    <w:rsid w:val="008E6E8E"/>
    <w:rsid w:val="008E7AEA"/>
    <w:rsid w:val="008F09D8"/>
    <w:rsid w:val="008F09FE"/>
    <w:rsid w:val="008F1079"/>
    <w:rsid w:val="008F1D6D"/>
    <w:rsid w:val="008F2256"/>
    <w:rsid w:val="008F3362"/>
    <w:rsid w:val="008F39AD"/>
    <w:rsid w:val="008F3DC8"/>
    <w:rsid w:val="008F43C7"/>
    <w:rsid w:val="008F5011"/>
    <w:rsid w:val="008F5037"/>
    <w:rsid w:val="008F5AA2"/>
    <w:rsid w:val="008F6E01"/>
    <w:rsid w:val="00900833"/>
    <w:rsid w:val="0090114B"/>
    <w:rsid w:val="00901240"/>
    <w:rsid w:val="00901A31"/>
    <w:rsid w:val="00901BEB"/>
    <w:rsid w:val="00902095"/>
    <w:rsid w:val="00903ECE"/>
    <w:rsid w:val="0090492D"/>
    <w:rsid w:val="00904A52"/>
    <w:rsid w:val="00904E12"/>
    <w:rsid w:val="0090632F"/>
    <w:rsid w:val="00910145"/>
    <w:rsid w:val="009111DB"/>
    <w:rsid w:val="00911F21"/>
    <w:rsid w:val="009120DD"/>
    <w:rsid w:val="00912CD8"/>
    <w:rsid w:val="00913053"/>
    <w:rsid w:val="00914BF6"/>
    <w:rsid w:val="00914F54"/>
    <w:rsid w:val="00915A25"/>
    <w:rsid w:val="00916F92"/>
    <w:rsid w:val="0092031D"/>
    <w:rsid w:val="00922319"/>
    <w:rsid w:val="009252E4"/>
    <w:rsid w:val="00925E8B"/>
    <w:rsid w:val="00925F19"/>
    <w:rsid w:val="00925F95"/>
    <w:rsid w:val="009275B6"/>
    <w:rsid w:val="00927E38"/>
    <w:rsid w:val="009319E7"/>
    <w:rsid w:val="009322C5"/>
    <w:rsid w:val="00932620"/>
    <w:rsid w:val="00932C9C"/>
    <w:rsid w:val="0093306E"/>
    <w:rsid w:val="00934075"/>
    <w:rsid w:val="00934786"/>
    <w:rsid w:val="009348C0"/>
    <w:rsid w:val="0093505F"/>
    <w:rsid w:val="009350DF"/>
    <w:rsid w:val="009356EE"/>
    <w:rsid w:val="009359CF"/>
    <w:rsid w:val="00936AEB"/>
    <w:rsid w:val="00940EF9"/>
    <w:rsid w:val="00941DA5"/>
    <w:rsid w:val="009424E4"/>
    <w:rsid w:val="00944309"/>
    <w:rsid w:val="0094530B"/>
    <w:rsid w:val="00947754"/>
    <w:rsid w:val="009507BF"/>
    <w:rsid w:val="00952B35"/>
    <w:rsid w:val="00952C13"/>
    <w:rsid w:val="009557A0"/>
    <w:rsid w:val="00955C2E"/>
    <w:rsid w:val="009562BF"/>
    <w:rsid w:val="009563F3"/>
    <w:rsid w:val="00957129"/>
    <w:rsid w:val="00957D55"/>
    <w:rsid w:val="00960D73"/>
    <w:rsid w:val="00962832"/>
    <w:rsid w:val="00962D19"/>
    <w:rsid w:val="00964DC4"/>
    <w:rsid w:val="00965129"/>
    <w:rsid w:val="00965295"/>
    <w:rsid w:val="0096759F"/>
    <w:rsid w:val="00967A68"/>
    <w:rsid w:val="0097188E"/>
    <w:rsid w:val="00971AE0"/>
    <w:rsid w:val="00972A1B"/>
    <w:rsid w:val="00973257"/>
    <w:rsid w:val="00973401"/>
    <w:rsid w:val="0097657B"/>
    <w:rsid w:val="009768E4"/>
    <w:rsid w:val="00976E62"/>
    <w:rsid w:val="0097773D"/>
    <w:rsid w:val="00977A2A"/>
    <w:rsid w:val="00981A94"/>
    <w:rsid w:val="00982930"/>
    <w:rsid w:val="00983C67"/>
    <w:rsid w:val="009842D0"/>
    <w:rsid w:val="009846B4"/>
    <w:rsid w:val="00985D6C"/>
    <w:rsid w:val="00991551"/>
    <w:rsid w:val="009917E7"/>
    <w:rsid w:val="00991C1D"/>
    <w:rsid w:val="00992E62"/>
    <w:rsid w:val="00996C5D"/>
    <w:rsid w:val="00996DE5"/>
    <w:rsid w:val="009977A4"/>
    <w:rsid w:val="0099799D"/>
    <w:rsid w:val="00997C42"/>
    <w:rsid w:val="009A18D2"/>
    <w:rsid w:val="009A1C4A"/>
    <w:rsid w:val="009A23D7"/>
    <w:rsid w:val="009A3127"/>
    <w:rsid w:val="009A393E"/>
    <w:rsid w:val="009A3FCF"/>
    <w:rsid w:val="009A52BA"/>
    <w:rsid w:val="009A5729"/>
    <w:rsid w:val="009A58C3"/>
    <w:rsid w:val="009A5EEB"/>
    <w:rsid w:val="009A6F10"/>
    <w:rsid w:val="009A74A4"/>
    <w:rsid w:val="009A78A1"/>
    <w:rsid w:val="009B4007"/>
    <w:rsid w:val="009B43E5"/>
    <w:rsid w:val="009B5927"/>
    <w:rsid w:val="009B5A14"/>
    <w:rsid w:val="009B7604"/>
    <w:rsid w:val="009B7A51"/>
    <w:rsid w:val="009C0DA5"/>
    <w:rsid w:val="009C22E1"/>
    <w:rsid w:val="009C22F4"/>
    <w:rsid w:val="009C39DA"/>
    <w:rsid w:val="009C3C57"/>
    <w:rsid w:val="009C5B04"/>
    <w:rsid w:val="009C5C7C"/>
    <w:rsid w:val="009D2C04"/>
    <w:rsid w:val="009D4EF6"/>
    <w:rsid w:val="009D4FE8"/>
    <w:rsid w:val="009E1970"/>
    <w:rsid w:val="009E4F96"/>
    <w:rsid w:val="009E5762"/>
    <w:rsid w:val="009E57C6"/>
    <w:rsid w:val="009E5BE9"/>
    <w:rsid w:val="009E5F7C"/>
    <w:rsid w:val="009F2B5B"/>
    <w:rsid w:val="009F396C"/>
    <w:rsid w:val="009F4200"/>
    <w:rsid w:val="009F45A8"/>
    <w:rsid w:val="009F4804"/>
    <w:rsid w:val="009F4F78"/>
    <w:rsid w:val="009F513F"/>
    <w:rsid w:val="009F57E0"/>
    <w:rsid w:val="009F59D3"/>
    <w:rsid w:val="00A002D6"/>
    <w:rsid w:val="00A00486"/>
    <w:rsid w:val="00A037EC"/>
    <w:rsid w:val="00A04784"/>
    <w:rsid w:val="00A04FD5"/>
    <w:rsid w:val="00A05729"/>
    <w:rsid w:val="00A058BA"/>
    <w:rsid w:val="00A05DD6"/>
    <w:rsid w:val="00A06AEF"/>
    <w:rsid w:val="00A07E26"/>
    <w:rsid w:val="00A12E22"/>
    <w:rsid w:val="00A14300"/>
    <w:rsid w:val="00A14B28"/>
    <w:rsid w:val="00A15467"/>
    <w:rsid w:val="00A16EFC"/>
    <w:rsid w:val="00A20AE8"/>
    <w:rsid w:val="00A20C84"/>
    <w:rsid w:val="00A2112F"/>
    <w:rsid w:val="00A22E20"/>
    <w:rsid w:val="00A232C8"/>
    <w:rsid w:val="00A235BB"/>
    <w:rsid w:val="00A23610"/>
    <w:rsid w:val="00A23848"/>
    <w:rsid w:val="00A2682D"/>
    <w:rsid w:val="00A26FB4"/>
    <w:rsid w:val="00A2706F"/>
    <w:rsid w:val="00A27A1E"/>
    <w:rsid w:val="00A3089A"/>
    <w:rsid w:val="00A311C6"/>
    <w:rsid w:val="00A313C0"/>
    <w:rsid w:val="00A315A8"/>
    <w:rsid w:val="00A32C0D"/>
    <w:rsid w:val="00A3538B"/>
    <w:rsid w:val="00A355EB"/>
    <w:rsid w:val="00A373C0"/>
    <w:rsid w:val="00A3786B"/>
    <w:rsid w:val="00A420BD"/>
    <w:rsid w:val="00A42A2F"/>
    <w:rsid w:val="00A42DF9"/>
    <w:rsid w:val="00A44A0C"/>
    <w:rsid w:val="00A44BE8"/>
    <w:rsid w:val="00A44FA1"/>
    <w:rsid w:val="00A45AE9"/>
    <w:rsid w:val="00A46ECF"/>
    <w:rsid w:val="00A50C7E"/>
    <w:rsid w:val="00A5125F"/>
    <w:rsid w:val="00A51DC9"/>
    <w:rsid w:val="00A5245F"/>
    <w:rsid w:val="00A5440B"/>
    <w:rsid w:val="00A5486B"/>
    <w:rsid w:val="00A54906"/>
    <w:rsid w:val="00A54BD1"/>
    <w:rsid w:val="00A56679"/>
    <w:rsid w:val="00A57948"/>
    <w:rsid w:val="00A57D6D"/>
    <w:rsid w:val="00A602F2"/>
    <w:rsid w:val="00A60736"/>
    <w:rsid w:val="00A60B20"/>
    <w:rsid w:val="00A6230D"/>
    <w:rsid w:val="00A6246D"/>
    <w:rsid w:val="00A62A2B"/>
    <w:rsid w:val="00A62DF0"/>
    <w:rsid w:val="00A6353A"/>
    <w:rsid w:val="00A64C20"/>
    <w:rsid w:val="00A64C62"/>
    <w:rsid w:val="00A660CF"/>
    <w:rsid w:val="00A66702"/>
    <w:rsid w:val="00A679D0"/>
    <w:rsid w:val="00A67A65"/>
    <w:rsid w:val="00A70E9A"/>
    <w:rsid w:val="00A71AAC"/>
    <w:rsid w:val="00A72E0A"/>
    <w:rsid w:val="00A75803"/>
    <w:rsid w:val="00A76AD0"/>
    <w:rsid w:val="00A76F4F"/>
    <w:rsid w:val="00A77197"/>
    <w:rsid w:val="00A777EF"/>
    <w:rsid w:val="00A7780B"/>
    <w:rsid w:val="00A8000C"/>
    <w:rsid w:val="00A81339"/>
    <w:rsid w:val="00A82228"/>
    <w:rsid w:val="00A8276D"/>
    <w:rsid w:val="00A836F7"/>
    <w:rsid w:val="00A83F70"/>
    <w:rsid w:val="00A85823"/>
    <w:rsid w:val="00A87C29"/>
    <w:rsid w:val="00A919CB"/>
    <w:rsid w:val="00A91F2F"/>
    <w:rsid w:val="00A92EA5"/>
    <w:rsid w:val="00A9569E"/>
    <w:rsid w:val="00A9577B"/>
    <w:rsid w:val="00A963A7"/>
    <w:rsid w:val="00A96ACD"/>
    <w:rsid w:val="00A96B0A"/>
    <w:rsid w:val="00AA07C7"/>
    <w:rsid w:val="00AA18AC"/>
    <w:rsid w:val="00AA22A3"/>
    <w:rsid w:val="00AA2CA7"/>
    <w:rsid w:val="00AA31E3"/>
    <w:rsid w:val="00AA46D4"/>
    <w:rsid w:val="00AA57FE"/>
    <w:rsid w:val="00AA58AE"/>
    <w:rsid w:val="00AA7EF5"/>
    <w:rsid w:val="00AB0058"/>
    <w:rsid w:val="00AB121D"/>
    <w:rsid w:val="00AB2BB1"/>
    <w:rsid w:val="00AB3AAC"/>
    <w:rsid w:val="00AB3C7E"/>
    <w:rsid w:val="00AB431E"/>
    <w:rsid w:val="00AB4A80"/>
    <w:rsid w:val="00AB5CC0"/>
    <w:rsid w:val="00AB64EE"/>
    <w:rsid w:val="00AB6A01"/>
    <w:rsid w:val="00AB6DAE"/>
    <w:rsid w:val="00AC0112"/>
    <w:rsid w:val="00AC1DCF"/>
    <w:rsid w:val="00AC2D41"/>
    <w:rsid w:val="00AC2E05"/>
    <w:rsid w:val="00AC3E48"/>
    <w:rsid w:val="00AC5103"/>
    <w:rsid w:val="00AC5E40"/>
    <w:rsid w:val="00AC6620"/>
    <w:rsid w:val="00AC67E8"/>
    <w:rsid w:val="00AC6F5B"/>
    <w:rsid w:val="00AD26A3"/>
    <w:rsid w:val="00AD2AB4"/>
    <w:rsid w:val="00AD2D49"/>
    <w:rsid w:val="00AD3AB9"/>
    <w:rsid w:val="00AD4D5C"/>
    <w:rsid w:val="00AD5A0E"/>
    <w:rsid w:val="00AE0E31"/>
    <w:rsid w:val="00AE1028"/>
    <w:rsid w:val="00AE2D21"/>
    <w:rsid w:val="00AE42C9"/>
    <w:rsid w:val="00AE4ACE"/>
    <w:rsid w:val="00AE4BC2"/>
    <w:rsid w:val="00AE6092"/>
    <w:rsid w:val="00AE6A18"/>
    <w:rsid w:val="00AE6E26"/>
    <w:rsid w:val="00AE78B4"/>
    <w:rsid w:val="00AF2962"/>
    <w:rsid w:val="00AF3C2D"/>
    <w:rsid w:val="00AF44D1"/>
    <w:rsid w:val="00AF4C5C"/>
    <w:rsid w:val="00AF7637"/>
    <w:rsid w:val="00B015AC"/>
    <w:rsid w:val="00B033B1"/>
    <w:rsid w:val="00B04B51"/>
    <w:rsid w:val="00B04BAD"/>
    <w:rsid w:val="00B050A6"/>
    <w:rsid w:val="00B056A9"/>
    <w:rsid w:val="00B05B00"/>
    <w:rsid w:val="00B062F5"/>
    <w:rsid w:val="00B12D07"/>
    <w:rsid w:val="00B12D0A"/>
    <w:rsid w:val="00B1391A"/>
    <w:rsid w:val="00B15028"/>
    <w:rsid w:val="00B156F2"/>
    <w:rsid w:val="00B161F7"/>
    <w:rsid w:val="00B163C6"/>
    <w:rsid w:val="00B1709E"/>
    <w:rsid w:val="00B201F4"/>
    <w:rsid w:val="00B204D6"/>
    <w:rsid w:val="00B2101A"/>
    <w:rsid w:val="00B2162F"/>
    <w:rsid w:val="00B21ECB"/>
    <w:rsid w:val="00B22440"/>
    <w:rsid w:val="00B2366C"/>
    <w:rsid w:val="00B26C58"/>
    <w:rsid w:val="00B3712E"/>
    <w:rsid w:val="00B409D4"/>
    <w:rsid w:val="00B40C56"/>
    <w:rsid w:val="00B40E78"/>
    <w:rsid w:val="00B428F6"/>
    <w:rsid w:val="00B42D77"/>
    <w:rsid w:val="00B43648"/>
    <w:rsid w:val="00B43C5C"/>
    <w:rsid w:val="00B44CFC"/>
    <w:rsid w:val="00B463E6"/>
    <w:rsid w:val="00B510AC"/>
    <w:rsid w:val="00B51278"/>
    <w:rsid w:val="00B52A80"/>
    <w:rsid w:val="00B52DDE"/>
    <w:rsid w:val="00B533BB"/>
    <w:rsid w:val="00B53684"/>
    <w:rsid w:val="00B55A69"/>
    <w:rsid w:val="00B55FD4"/>
    <w:rsid w:val="00B57182"/>
    <w:rsid w:val="00B60414"/>
    <w:rsid w:val="00B60E76"/>
    <w:rsid w:val="00B612B6"/>
    <w:rsid w:val="00B6556E"/>
    <w:rsid w:val="00B66AD9"/>
    <w:rsid w:val="00B72210"/>
    <w:rsid w:val="00B72792"/>
    <w:rsid w:val="00B73544"/>
    <w:rsid w:val="00B7393C"/>
    <w:rsid w:val="00B73B3F"/>
    <w:rsid w:val="00B73FB1"/>
    <w:rsid w:val="00B7444B"/>
    <w:rsid w:val="00B74B14"/>
    <w:rsid w:val="00B7503C"/>
    <w:rsid w:val="00B75550"/>
    <w:rsid w:val="00B75A90"/>
    <w:rsid w:val="00B7660E"/>
    <w:rsid w:val="00B7729E"/>
    <w:rsid w:val="00B77358"/>
    <w:rsid w:val="00B80E86"/>
    <w:rsid w:val="00B81316"/>
    <w:rsid w:val="00B81571"/>
    <w:rsid w:val="00B81771"/>
    <w:rsid w:val="00B8244C"/>
    <w:rsid w:val="00B84443"/>
    <w:rsid w:val="00B861C8"/>
    <w:rsid w:val="00B86D23"/>
    <w:rsid w:val="00B86D45"/>
    <w:rsid w:val="00B87D50"/>
    <w:rsid w:val="00B87D62"/>
    <w:rsid w:val="00B908F2"/>
    <w:rsid w:val="00B9097A"/>
    <w:rsid w:val="00B95200"/>
    <w:rsid w:val="00B96066"/>
    <w:rsid w:val="00B9715A"/>
    <w:rsid w:val="00BA07C0"/>
    <w:rsid w:val="00BA1683"/>
    <w:rsid w:val="00BA2098"/>
    <w:rsid w:val="00BA36B2"/>
    <w:rsid w:val="00BA39BA"/>
    <w:rsid w:val="00BA5368"/>
    <w:rsid w:val="00BA6205"/>
    <w:rsid w:val="00BA6A51"/>
    <w:rsid w:val="00BA72DA"/>
    <w:rsid w:val="00BB02D9"/>
    <w:rsid w:val="00BB1970"/>
    <w:rsid w:val="00BB32E7"/>
    <w:rsid w:val="00BB5177"/>
    <w:rsid w:val="00BB5792"/>
    <w:rsid w:val="00BB5E81"/>
    <w:rsid w:val="00BB6A71"/>
    <w:rsid w:val="00BC08E4"/>
    <w:rsid w:val="00BC1537"/>
    <w:rsid w:val="00BC1D47"/>
    <w:rsid w:val="00BC1D8B"/>
    <w:rsid w:val="00BC277F"/>
    <w:rsid w:val="00BC2EDF"/>
    <w:rsid w:val="00BC3985"/>
    <w:rsid w:val="00BC4B58"/>
    <w:rsid w:val="00BC567F"/>
    <w:rsid w:val="00BC583A"/>
    <w:rsid w:val="00BC6E1C"/>
    <w:rsid w:val="00BD0B20"/>
    <w:rsid w:val="00BD1043"/>
    <w:rsid w:val="00BD484D"/>
    <w:rsid w:val="00BD4CCA"/>
    <w:rsid w:val="00BD5D82"/>
    <w:rsid w:val="00BD6312"/>
    <w:rsid w:val="00BD728C"/>
    <w:rsid w:val="00BE0708"/>
    <w:rsid w:val="00BE0D3A"/>
    <w:rsid w:val="00BE19B3"/>
    <w:rsid w:val="00BE2605"/>
    <w:rsid w:val="00BE4092"/>
    <w:rsid w:val="00BE4E9C"/>
    <w:rsid w:val="00BE56E9"/>
    <w:rsid w:val="00BE6CD1"/>
    <w:rsid w:val="00BE78A7"/>
    <w:rsid w:val="00BF3AE0"/>
    <w:rsid w:val="00BF3C9A"/>
    <w:rsid w:val="00BF4B9D"/>
    <w:rsid w:val="00BF5628"/>
    <w:rsid w:val="00BF5791"/>
    <w:rsid w:val="00BF64B6"/>
    <w:rsid w:val="00BF6923"/>
    <w:rsid w:val="00BF7588"/>
    <w:rsid w:val="00C004B4"/>
    <w:rsid w:val="00C008E4"/>
    <w:rsid w:val="00C02410"/>
    <w:rsid w:val="00C024E4"/>
    <w:rsid w:val="00C03B82"/>
    <w:rsid w:val="00C045D5"/>
    <w:rsid w:val="00C072B0"/>
    <w:rsid w:val="00C1030C"/>
    <w:rsid w:val="00C1091C"/>
    <w:rsid w:val="00C11350"/>
    <w:rsid w:val="00C12137"/>
    <w:rsid w:val="00C129FF"/>
    <w:rsid w:val="00C1629B"/>
    <w:rsid w:val="00C16376"/>
    <w:rsid w:val="00C2061E"/>
    <w:rsid w:val="00C20D51"/>
    <w:rsid w:val="00C215D6"/>
    <w:rsid w:val="00C235B5"/>
    <w:rsid w:val="00C244D7"/>
    <w:rsid w:val="00C246A6"/>
    <w:rsid w:val="00C2546F"/>
    <w:rsid w:val="00C25B35"/>
    <w:rsid w:val="00C264B9"/>
    <w:rsid w:val="00C26624"/>
    <w:rsid w:val="00C272CC"/>
    <w:rsid w:val="00C30CB5"/>
    <w:rsid w:val="00C326F4"/>
    <w:rsid w:val="00C32A06"/>
    <w:rsid w:val="00C34224"/>
    <w:rsid w:val="00C34B25"/>
    <w:rsid w:val="00C34D69"/>
    <w:rsid w:val="00C36D48"/>
    <w:rsid w:val="00C37278"/>
    <w:rsid w:val="00C37344"/>
    <w:rsid w:val="00C4079F"/>
    <w:rsid w:val="00C42910"/>
    <w:rsid w:val="00C44A59"/>
    <w:rsid w:val="00C47E57"/>
    <w:rsid w:val="00C51B48"/>
    <w:rsid w:val="00C52A44"/>
    <w:rsid w:val="00C53110"/>
    <w:rsid w:val="00C54A65"/>
    <w:rsid w:val="00C554F7"/>
    <w:rsid w:val="00C556EC"/>
    <w:rsid w:val="00C55CAF"/>
    <w:rsid w:val="00C5600F"/>
    <w:rsid w:val="00C60C7F"/>
    <w:rsid w:val="00C612E8"/>
    <w:rsid w:val="00C61D4A"/>
    <w:rsid w:val="00C63745"/>
    <w:rsid w:val="00C63E09"/>
    <w:rsid w:val="00C63EC5"/>
    <w:rsid w:val="00C6575A"/>
    <w:rsid w:val="00C67033"/>
    <w:rsid w:val="00C67AB2"/>
    <w:rsid w:val="00C67C9F"/>
    <w:rsid w:val="00C70200"/>
    <w:rsid w:val="00C71705"/>
    <w:rsid w:val="00C71FDB"/>
    <w:rsid w:val="00C72A84"/>
    <w:rsid w:val="00C72F98"/>
    <w:rsid w:val="00C754A1"/>
    <w:rsid w:val="00C77578"/>
    <w:rsid w:val="00C809E1"/>
    <w:rsid w:val="00C80D49"/>
    <w:rsid w:val="00C8116C"/>
    <w:rsid w:val="00C8132A"/>
    <w:rsid w:val="00C81DBC"/>
    <w:rsid w:val="00C82D34"/>
    <w:rsid w:val="00C83682"/>
    <w:rsid w:val="00C85258"/>
    <w:rsid w:val="00C855FD"/>
    <w:rsid w:val="00C85689"/>
    <w:rsid w:val="00C87367"/>
    <w:rsid w:val="00C87E53"/>
    <w:rsid w:val="00C90007"/>
    <w:rsid w:val="00C92464"/>
    <w:rsid w:val="00C92D81"/>
    <w:rsid w:val="00C949A6"/>
    <w:rsid w:val="00C961B2"/>
    <w:rsid w:val="00CA1BF0"/>
    <w:rsid w:val="00CA339C"/>
    <w:rsid w:val="00CA58CF"/>
    <w:rsid w:val="00CA5C04"/>
    <w:rsid w:val="00CA6FCF"/>
    <w:rsid w:val="00CA77CA"/>
    <w:rsid w:val="00CA7A9C"/>
    <w:rsid w:val="00CB0660"/>
    <w:rsid w:val="00CB068D"/>
    <w:rsid w:val="00CB0A12"/>
    <w:rsid w:val="00CB1925"/>
    <w:rsid w:val="00CB1D88"/>
    <w:rsid w:val="00CB327C"/>
    <w:rsid w:val="00CB3CB0"/>
    <w:rsid w:val="00CB6D6B"/>
    <w:rsid w:val="00CB70F6"/>
    <w:rsid w:val="00CC25B4"/>
    <w:rsid w:val="00CC33DA"/>
    <w:rsid w:val="00CC49A4"/>
    <w:rsid w:val="00CC591D"/>
    <w:rsid w:val="00CC5F39"/>
    <w:rsid w:val="00CD1D09"/>
    <w:rsid w:val="00CD25C4"/>
    <w:rsid w:val="00CD3D8B"/>
    <w:rsid w:val="00CD46AD"/>
    <w:rsid w:val="00CD55C9"/>
    <w:rsid w:val="00CD6178"/>
    <w:rsid w:val="00CD6D92"/>
    <w:rsid w:val="00CD6EF3"/>
    <w:rsid w:val="00CD7F41"/>
    <w:rsid w:val="00CE1DC1"/>
    <w:rsid w:val="00CE29DA"/>
    <w:rsid w:val="00CE3336"/>
    <w:rsid w:val="00CE3AAB"/>
    <w:rsid w:val="00CE4BE7"/>
    <w:rsid w:val="00CE5982"/>
    <w:rsid w:val="00CE64FA"/>
    <w:rsid w:val="00CE6E05"/>
    <w:rsid w:val="00CE7E90"/>
    <w:rsid w:val="00CF0198"/>
    <w:rsid w:val="00CF0AF2"/>
    <w:rsid w:val="00CF1AC4"/>
    <w:rsid w:val="00CF2B8D"/>
    <w:rsid w:val="00CF312A"/>
    <w:rsid w:val="00CF3224"/>
    <w:rsid w:val="00CF5FD4"/>
    <w:rsid w:val="00CF6D64"/>
    <w:rsid w:val="00CF75B1"/>
    <w:rsid w:val="00D01F58"/>
    <w:rsid w:val="00D0261A"/>
    <w:rsid w:val="00D02F18"/>
    <w:rsid w:val="00D049B3"/>
    <w:rsid w:val="00D04BDE"/>
    <w:rsid w:val="00D0618E"/>
    <w:rsid w:val="00D07D12"/>
    <w:rsid w:val="00D10062"/>
    <w:rsid w:val="00D1065E"/>
    <w:rsid w:val="00D11B2D"/>
    <w:rsid w:val="00D1239F"/>
    <w:rsid w:val="00D13D7D"/>
    <w:rsid w:val="00D14630"/>
    <w:rsid w:val="00D147B3"/>
    <w:rsid w:val="00D14BF1"/>
    <w:rsid w:val="00D14F82"/>
    <w:rsid w:val="00D16CD0"/>
    <w:rsid w:val="00D179DB"/>
    <w:rsid w:val="00D20386"/>
    <w:rsid w:val="00D2066C"/>
    <w:rsid w:val="00D21B35"/>
    <w:rsid w:val="00D2285C"/>
    <w:rsid w:val="00D230C9"/>
    <w:rsid w:val="00D23598"/>
    <w:rsid w:val="00D23BBB"/>
    <w:rsid w:val="00D25EF5"/>
    <w:rsid w:val="00D26A5F"/>
    <w:rsid w:val="00D26C00"/>
    <w:rsid w:val="00D27731"/>
    <w:rsid w:val="00D31102"/>
    <w:rsid w:val="00D31BB2"/>
    <w:rsid w:val="00D350C8"/>
    <w:rsid w:val="00D3587D"/>
    <w:rsid w:val="00D359FA"/>
    <w:rsid w:val="00D36261"/>
    <w:rsid w:val="00D414D4"/>
    <w:rsid w:val="00D417EF"/>
    <w:rsid w:val="00D42702"/>
    <w:rsid w:val="00D434DA"/>
    <w:rsid w:val="00D43C0A"/>
    <w:rsid w:val="00D45AA0"/>
    <w:rsid w:val="00D47F24"/>
    <w:rsid w:val="00D503CB"/>
    <w:rsid w:val="00D5102F"/>
    <w:rsid w:val="00D51D90"/>
    <w:rsid w:val="00D52854"/>
    <w:rsid w:val="00D52C25"/>
    <w:rsid w:val="00D53058"/>
    <w:rsid w:val="00D5655A"/>
    <w:rsid w:val="00D577E6"/>
    <w:rsid w:val="00D57EF9"/>
    <w:rsid w:val="00D60B7B"/>
    <w:rsid w:val="00D61A7D"/>
    <w:rsid w:val="00D64223"/>
    <w:rsid w:val="00D64231"/>
    <w:rsid w:val="00D64C9F"/>
    <w:rsid w:val="00D65857"/>
    <w:rsid w:val="00D677C8"/>
    <w:rsid w:val="00D700BB"/>
    <w:rsid w:val="00D7216F"/>
    <w:rsid w:val="00D729BC"/>
    <w:rsid w:val="00D7640F"/>
    <w:rsid w:val="00D776F8"/>
    <w:rsid w:val="00D77E79"/>
    <w:rsid w:val="00D80855"/>
    <w:rsid w:val="00D80ACB"/>
    <w:rsid w:val="00D80BED"/>
    <w:rsid w:val="00D81BB7"/>
    <w:rsid w:val="00D81F05"/>
    <w:rsid w:val="00D828BD"/>
    <w:rsid w:val="00D844F4"/>
    <w:rsid w:val="00D847B2"/>
    <w:rsid w:val="00D869E8"/>
    <w:rsid w:val="00D90C4B"/>
    <w:rsid w:val="00D953A5"/>
    <w:rsid w:val="00D957F1"/>
    <w:rsid w:val="00D96082"/>
    <w:rsid w:val="00D96A29"/>
    <w:rsid w:val="00D97603"/>
    <w:rsid w:val="00DA0517"/>
    <w:rsid w:val="00DA0A8C"/>
    <w:rsid w:val="00DA195C"/>
    <w:rsid w:val="00DA1A20"/>
    <w:rsid w:val="00DA1F2F"/>
    <w:rsid w:val="00DA36B4"/>
    <w:rsid w:val="00DA4785"/>
    <w:rsid w:val="00DA47EE"/>
    <w:rsid w:val="00DA4E48"/>
    <w:rsid w:val="00DA5794"/>
    <w:rsid w:val="00DA6375"/>
    <w:rsid w:val="00DA700B"/>
    <w:rsid w:val="00DB24A0"/>
    <w:rsid w:val="00DB2544"/>
    <w:rsid w:val="00DB2F6D"/>
    <w:rsid w:val="00DB30A2"/>
    <w:rsid w:val="00DB3392"/>
    <w:rsid w:val="00DB3471"/>
    <w:rsid w:val="00DB4015"/>
    <w:rsid w:val="00DB5753"/>
    <w:rsid w:val="00DB6F5A"/>
    <w:rsid w:val="00DC01F8"/>
    <w:rsid w:val="00DC340B"/>
    <w:rsid w:val="00DC4A9E"/>
    <w:rsid w:val="00DC628A"/>
    <w:rsid w:val="00DC6C40"/>
    <w:rsid w:val="00DC7788"/>
    <w:rsid w:val="00DD01B1"/>
    <w:rsid w:val="00DD04F4"/>
    <w:rsid w:val="00DD080B"/>
    <w:rsid w:val="00DD20AB"/>
    <w:rsid w:val="00DD2281"/>
    <w:rsid w:val="00DD3E79"/>
    <w:rsid w:val="00DD46BB"/>
    <w:rsid w:val="00DD4E34"/>
    <w:rsid w:val="00DD6C94"/>
    <w:rsid w:val="00DD6E96"/>
    <w:rsid w:val="00DD6FBF"/>
    <w:rsid w:val="00DE2853"/>
    <w:rsid w:val="00DE3DB7"/>
    <w:rsid w:val="00DE58C5"/>
    <w:rsid w:val="00DE5F7F"/>
    <w:rsid w:val="00DE6961"/>
    <w:rsid w:val="00DE6BCC"/>
    <w:rsid w:val="00DE71BE"/>
    <w:rsid w:val="00DE776F"/>
    <w:rsid w:val="00DF10DD"/>
    <w:rsid w:val="00DF1AC5"/>
    <w:rsid w:val="00DF3364"/>
    <w:rsid w:val="00DF47B3"/>
    <w:rsid w:val="00DF4917"/>
    <w:rsid w:val="00DF4F88"/>
    <w:rsid w:val="00DF5A3E"/>
    <w:rsid w:val="00DF78F8"/>
    <w:rsid w:val="00E000F6"/>
    <w:rsid w:val="00E00FB9"/>
    <w:rsid w:val="00E02971"/>
    <w:rsid w:val="00E03859"/>
    <w:rsid w:val="00E04F5B"/>
    <w:rsid w:val="00E06412"/>
    <w:rsid w:val="00E13664"/>
    <w:rsid w:val="00E13A5E"/>
    <w:rsid w:val="00E16DA5"/>
    <w:rsid w:val="00E171BC"/>
    <w:rsid w:val="00E174C2"/>
    <w:rsid w:val="00E219E7"/>
    <w:rsid w:val="00E22801"/>
    <w:rsid w:val="00E235D7"/>
    <w:rsid w:val="00E23C46"/>
    <w:rsid w:val="00E25280"/>
    <w:rsid w:val="00E26597"/>
    <w:rsid w:val="00E27A50"/>
    <w:rsid w:val="00E27E5B"/>
    <w:rsid w:val="00E30106"/>
    <w:rsid w:val="00E307AE"/>
    <w:rsid w:val="00E30997"/>
    <w:rsid w:val="00E31919"/>
    <w:rsid w:val="00E341E3"/>
    <w:rsid w:val="00E34419"/>
    <w:rsid w:val="00E34CBC"/>
    <w:rsid w:val="00E36F44"/>
    <w:rsid w:val="00E414DE"/>
    <w:rsid w:val="00E421D3"/>
    <w:rsid w:val="00E4510E"/>
    <w:rsid w:val="00E451D1"/>
    <w:rsid w:val="00E46466"/>
    <w:rsid w:val="00E47D57"/>
    <w:rsid w:val="00E47E89"/>
    <w:rsid w:val="00E52A77"/>
    <w:rsid w:val="00E52A95"/>
    <w:rsid w:val="00E54028"/>
    <w:rsid w:val="00E60A9A"/>
    <w:rsid w:val="00E636FB"/>
    <w:rsid w:val="00E647FC"/>
    <w:rsid w:val="00E65307"/>
    <w:rsid w:val="00E67D3C"/>
    <w:rsid w:val="00E7136A"/>
    <w:rsid w:val="00E71618"/>
    <w:rsid w:val="00E71D4C"/>
    <w:rsid w:val="00E72AB9"/>
    <w:rsid w:val="00E76DC7"/>
    <w:rsid w:val="00E76EAB"/>
    <w:rsid w:val="00E80013"/>
    <w:rsid w:val="00E800C9"/>
    <w:rsid w:val="00E8083D"/>
    <w:rsid w:val="00E8119E"/>
    <w:rsid w:val="00E81E3D"/>
    <w:rsid w:val="00E837FE"/>
    <w:rsid w:val="00E84C9A"/>
    <w:rsid w:val="00E85BCE"/>
    <w:rsid w:val="00E91331"/>
    <w:rsid w:val="00E924A4"/>
    <w:rsid w:val="00E92D11"/>
    <w:rsid w:val="00E93600"/>
    <w:rsid w:val="00E93ABD"/>
    <w:rsid w:val="00E95442"/>
    <w:rsid w:val="00E955D5"/>
    <w:rsid w:val="00E957A4"/>
    <w:rsid w:val="00E9594F"/>
    <w:rsid w:val="00E96EAC"/>
    <w:rsid w:val="00E975BF"/>
    <w:rsid w:val="00EA17F4"/>
    <w:rsid w:val="00EA3029"/>
    <w:rsid w:val="00EA6CB8"/>
    <w:rsid w:val="00EA7245"/>
    <w:rsid w:val="00EB10E4"/>
    <w:rsid w:val="00EB1D14"/>
    <w:rsid w:val="00EB5253"/>
    <w:rsid w:val="00EB5B75"/>
    <w:rsid w:val="00EB6829"/>
    <w:rsid w:val="00EB6A6A"/>
    <w:rsid w:val="00EB71C7"/>
    <w:rsid w:val="00EB726F"/>
    <w:rsid w:val="00EB755D"/>
    <w:rsid w:val="00EC1276"/>
    <w:rsid w:val="00EC1AA0"/>
    <w:rsid w:val="00EC2DC7"/>
    <w:rsid w:val="00EC4265"/>
    <w:rsid w:val="00EC4609"/>
    <w:rsid w:val="00EC58D2"/>
    <w:rsid w:val="00EC5DB7"/>
    <w:rsid w:val="00EC6B52"/>
    <w:rsid w:val="00EC6CB4"/>
    <w:rsid w:val="00EC71C8"/>
    <w:rsid w:val="00EC7403"/>
    <w:rsid w:val="00EC7E90"/>
    <w:rsid w:val="00ED1588"/>
    <w:rsid w:val="00ED3466"/>
    <w:rsid w:val="00ED6451"/>
    <w:rsid w:val="00ED6885"/>
    <w:rsid w:val="00ED7386"/>
    <w:rsid w:val="00EE1309"/>
    <w:rsid w:val="00EE18BF"/>
    <w:rsid w:val="00EE1AD7"/>
    <w:rsid w:val="00EE58B0"/>
    <w:rsid w:val="00EF135A"/>
    <w:rsid w:val="00EF24A0"/>
    <w:rsid w:val="00EF375A"/>
    <w:rsid w:val="00EF3F53"/>
    <w:rsid w:val="00EF5CD5"/>
    <w:rsid w:val="00EF601F"/>
    <w:rsid w:val="00EF7072"/>
    <w:rsid w:val="00EF74A0"/>
    <w:rsid w:val="00EF76B0"/>
    <w:rsid w:val="00EF7F0C"/>
    <w:rsid w:val="00F0047A"/>
    <w:rsid w:val="00F007AB"/>
    <w:rsid w:val="00F00C9A"/>
    <w:rsid w:val="00F0263A"/>
    <w:rsid w:val="00F034F6"/>
    <w:rsid w:val="00F04DEF"/>
    <w:rsid w:val="00F05A78"/>
    <w:rsid w:val="00F06C2A"/>
    <w:rsid w:val="00F06CAB"/>
    <w:rsid w:val="00F07401"/>
    <w:rsid w:val="00F077A7"/>
    <w:rsid w:val="00F07C2A"/>
    <w:rsid w:val="00F116F3"/>
    <w:rsid w:val="00F129AE"/>
    <w:rsid w:val="00F1477E"/>
    <w:rsid w:val="00F1481C"/>
    <w:rsid w:val="00F14B81"/>
    <w:rsid w:val="00F16220"/>
    <w:rsid w:val="00F17176"/>
    <w:rsid w:val="00F1742A"/>
    <w:rsid w:val="00F17664"/>
    <w:rsid w:val="00F20D8C"/>
    <w:rsid w:val="00F21379"/>
    <w:rsid w:val="00F2180B"/>
    <w:rsid w:val="00F218BD"/>
    <w:rsid w:val="00F21950"/>
    <w:rsid w:val="00F227CD"/>
    <w:rsid w:val="00F23143"/>
    <w:rsid w:val="00F24DFE"/>
    <w:rsid w:val="00F266B9"/>
    <w:rsid w:val="00F26C8E"/>
    <w:rsid w:val="00F27B5C"/>
    <w:rsid w:val="00F30114"/>
    <w:rsid w:val="00F338B4"/>
    <w:rsid w:val="00F3433E"/>
    <w:rsid w:val="00F365E6"/>
    <w:rsid w:val="00F37256"/>
    <w:rsid w:val="00F37F09"/>
    <w:rsid w:val="00F4175A"/>
    <w:rsid w:val="00F41D86"/>
    <w:rsid w:val="00F42CEB"/>
    <w:rsid w:val="00F43D9B"/>
    <w:rsid w:val="00F43FBE"/>
    <w:rsid w:val="00F440C7"/>
    <w:rsid w:val="00F44ED1"/>
    <w:rsid w:val="00F47871"/>
    <w:rsid w:val="00F51646"/>
    <w:rsid w:val="00F51B7C"/>
    <w:rsid w:val="00F51D33"/>
    <w:rsid w:val="00F529F1"/>
    <w:rsid w:val="00F52AB1"/>
    <w:rsid w:val="00F54FA8"/>
    <w:rsid w:val="00F55E91"/>
    <w:rsid w:val="00F56C43"/>
    <w:rsid w:val="00F57545"/>
    <w:rsid w:val="00F57D09"/>
    <w:rsid w:val="00F62268"/>
    <w:rsid w:val="00F622D9"/>
    <w:rsid w:val="00F62DFF"/>
    <w:rsid w:val="00F64554"/>
    <w:rsid w:val="00F649B7"/>
    <w:rsid w:val="00F64B90"/>
    <w:rsid w:val="00F64CCD"/>
    <w:rsid w:val="00F661FA"/>
    <w:rsid w:val="00F70D5F"/>
    <w:rsid w:val="00F7107B"/>
    <w:rsid w:val="00F711DE"/>
    <w:rsid w:val="00F71EDF"/>
    <w:rsid w:val="00F72C30"/>
    <w:rsid w:val="00F72E13"/>
    <w:rsid w:val="00F73DE4"/>
    <w:rsid w:val="00F73FA1"/>
    <w:rsid w:val="00F75D32"/>
    <w:rsid w:val="00F75E9F"/>
    <w:rsid w:val="00F774B8"/>
    <w:rsid w:val="00F776FE"/>
    <w:rsid w:val="00F80076"/>
    <w:rsid w:val="00F805F6"/>
    <w:rsid w:val="00F80984"/>
    <w:rsid w:val="00F80BCA"/>
    <w:rsid w:val="00F81C9D"/>
    <w:rsid w:val="00F823CB"/>
    <w:rsid w:val="00F8269C"/>
    <w:rsid w:val="00F82702"/>
    <w:rsid w:val="00F8354E"/>
    <w:rsid w:val="00F86AF4"/>
    <w:rsid w:val="00F87ED8"/>
    <w:rsid w:val="00F90444"/>
    <w:rsid w:val="00F91B68"/>
    <w:rsid w:val="00F91D8D"/>
    <w:rsid w:val="00F958ED"/>
    <w:rsid w:val="00F9596E"/>
    <w:rsid w:val="00F9628C"/>
    <w:rsid w:val="00F96C77"/>
    <w:rsid w:val="00FA0C28"/>
    <w:rsid w:val="00FA0D4E"/>
    <w:rsid w:val="00FA3445"/>
    <w:rsid w:val="00FA3AE8"/>
    <w:rsid w:val="00FA4BD2"/>
    <w:rsid w:val="00FA5119"/>
    <w:rsid w:val="00FB6DDE"/>
    <w:rsid w:val="00FB7F9F"/>
    <w:rsid w:val="00FC2067"/>
    <w:rsid w:val="00FC3B87"/>
    <w:rsid w:val="00FC3D3C"/>
    <w:rsid w:val="00FC551E"/>
    <w:rsid w:val="00FC6399"/>
    <w:rsid w:val="00FC63AD"/>
    <w:rsid w:val="00FC6B5A"/>
    <w:rsid w:val="00FC6E2B"/>
    <w:rsid w:val="00FD14E8"/>
    <w:rsid w:val="00FD1D88"/>
    <w:rsid w:val="00FD2F6D"/>
    <w:rsid w:val="00FD5BBB"/>
    <w:rsid w:val="00FD6868"/>
    <w:rsid w:val="00FD6B50"/>
    <w:rsid w:val="00FD76F9"/>
    <w:rsid w:val="00FE0A0A"/>
    <w:rsid w:val="00FE16FB"/>
    <w:rsid w:val="00FE211F"/>
    <w:rsid w:val="00FE30C5"/>
    <w:rsid w:val="00FE36A7"/>
    <w:rsid w:val="00FE38D1"/>
    <w:rsid w:val="00FE4D70"/>
    <w:rsid w:val="00FE56D9"/>
    <w:rsid w:val="00FE596A"/>
    <w:rsid w:val="00FE5994"/>
    <w:rsid w:val="00FE5F30"/>
    <w:rsid w:val="00FE60FA"/>
    <w:rsid w:val="00FE796B"/>
    <w:rsid w:val="00FF0322"/>
    <w:rsid w:val="00FF13DE"/>
    <w:rsid w:val="00FF185F"/>
    <w:rsid w:val="00FF19E9"/>
    <w:rsid w:val="00FF1C24"/>
    <w:rsid w:val="00FF4692"/>
    <w:rsid w:val="00FF4B96"/>
    <w:rsid w:val="00FF4C61"/>
    <w:rsid w:val="00FF4FF0"/>
    <w:rsid w:val="00FF7217"/>
    <w:rsid w:val="00FF75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B9"/>
  </w:style>
  <w:style w:type="paragraph" w:styleId="Heading2">
    <w:name w:val="heading 2"/>
    <w:basedOn w:val="Normal"/>
    <w:next w:val="Normal"/>
    <w:qFormat/>
    <w:rsid w:val="00AD3AB9"/>
    <w:pPr>
      <w:keepNext/>
      <w:outlineLvl w:val="1"/>
    </w:pPr>
    <w:rPr>
      <w:rFonts w:cs="Arial"/>
      <w:b/>
      <w:bCs/>
      <w:iCs/>
    </w:rPr>
  </w:style>
  <w:style w:type="paragraph" w:styleId="Heading3">
    <w:name w:val="heading 3"/>
    <w:basedOn w:val="Normal"/>
    <w:next w:val="Normal"/>
    <w:link w:val="Heading3Char"/>
    <w:semiHidden/>
    <w:unhideWhenUsed/>
    <w:qFormat/>
    <w:rsid w:val="009A6F1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AB9"/>
    <w:pPr>
      <w:tabs>
        <w:tab w:val="center" w:pos="4153"/>
        <w:tab w:val="right" w:pos="8306"/>
      </w:tabs>
    </w:pPr>
  </w:style>
  <w:style w:type="paragraph" w:styleId="BodyText">
    <w:name w:val="Body Text"/>
    <w:basedOn w:val="Normal"/>
    <w:rsid w:val="00AD3AB9"/>
    <w:rPr>
      <w:rFonts w:cs="Arial"/>
      <w:color w:val="000000"/>
      <w:sz w:val="20"/>
    </w:rPr>
  </w:style>
  <w:style w:type="paragraph" w:styleId="BalloonText">
    <w:name w:val="Balloon Text"/>
    <w:basedOn w:val="Normal"/>
    <w:semiHidden/>
    <w:rsid w:val="00CB1D88"/>
    <w:rPr>
      <w:rFonts w:ascii="Tahoma" w:hAnsi="Tahoma" w:cs="Tahoma"/>
      <w:sz w:val="16"/>
      <w:szCs w:val="16"/>
    </w:rPr>
  </w:style>
  <w:style w:type="paragraph" w:styleId="Footer">
    <w:name w:val="footer"/>
    <w:basedOn w:val="Normal"/>
    <w:link w:val="FooterChar"/>
    <w:uiPriority w:val="99"/>
    <w:rsid w:val="00F077A7"/>
    <w:pPr>
      <w:tabs>
        <w:tab w:val="center" w:pos="4680"/>
        <w:tab w:val="right" w:pos="9360"/>
      </w:tabs>
    </w:pPr>
  </w:style>
  <w:style w:type="character" w:customStyle="1" w:styleId="FooterChar">
    <w:name w:val="Footer Char"/>
    <w:link w:val="Footer"/>
    <w:uiPriority w:val="99"/>
    <w:rsid w:val="00F077A7"/>
    <w:rPr>
      <w:rFonts w:ascii="Arial" w:eastAsia="Times New Roman" w:hAnsi="Arial"/>
      <w:color w:val="001F00"/>
      <w:spacing w:val="6"/>
      <w:sz w:val="18"/>
      <w:szCs w:val="18"/>
      <w:lang w:val="en-GB" w:eastAsia="en-GB"/>
    </w:rPr>
  </w:style>
  <w:style w:type="character" w:styleId="CommentReference">
    <w:name w:val="annotation reference"/>
    <w:semiHidden/>
    <w:rsid w:val="004513F0"/>
    <w:rPr>
      <w:sz w:val="16"/>
      <w:szCs w:val="16"/>
    </w:rPr>
  </w:style>
  <w:style w:type="paragraph" w:styleId="CommentText">
    <w:name w:val="annotation text"/>
    <w:basedOn w:val="Normal"/>
    <w:semiHidden/>
    <w:rsid w:val="004513F0"/>
    <w:rPr>
      <w:sz w:val="20"/>
      <w:szCs w:val="20"/>
    </w:rPr>
  </w:style>
  <w:style w:type="paragraph" w:styleId="CommentSubject">
    <w:name w:val="annotation subject"/>
    <w:basedOn w:val="CommentText"/>
    <w:next w:val="CommentText"/>
    <w:link w:val="CommentSubjectChar"/>
    <w:uiPriority w:val="99"/>
    <w:rsid w:val="004513F0"/>
    <w:rPr>
      <w:b/>
      <w:bCs/>
    </w:rPr>
  </w:style>
  <w:style w:type="character" w:customStyle="1" w:styleId="FootnoteTextChar">
    <w:name w:val="Footnote Text Char"/>
    <w:aliases w:val="Footnote Text Char Char Char,fn Char Char"/>
    <w:link w:val="FootnoteText"/>
    <w:locked/>
    <w:rsid w:val="00EF76B0"/>
    <w:rPr>
      <w:lang w:val="en-GB"/>
    </w:rPr>
  </w:style>
  <w:style w:type="paragraph" w:styleId="FootnoteText">
    <w:name w:val="footnote text"/>
    <w:aliases w:val="Footnote Text Char Char,fn Char"/>
    <w:basedOn w:val="Normal"/>
    <w:link w:val="FootnoteTextChar"/>
    <w:unhideWhenUsed/>
    <w:qFormat/>
    <w:rsid w:val="00EF76B0"/>
    <w:rPr>
      <w:sz w:val="20"/>
      <w:szCs w:val="20"/>
    </w:rPr>
  </w:style>
  <w:style w:type="character" w:customStyle="1" w:styleId="FootnoteTextChar1">
    <w:name w:val="Footnote Text Char1"/>
    <w:rsid w:val="00EF76B0"/>
    <w:rPr>
      <w:rFonts w:ascii="Arial" w:eastAsia="Times New Roman" w:hAnsi="Arial"/>
      <w:color w:val="001F00"/>
      <w:spacing w:val="6"/>
      <w:lang w:val="en-GB" w:eastAsia="en-GB"/>
    </w:rPr>
  </w:style>
  <w:style w:type="paragraph" w:customStyle="1" w:styleId="Normalbold">
    <w:name w:val="Normal bold"/>
    <w:basedOn w:val="Normal"/>
    <w:rsid w:val="00EF76B0"/>
    <w:pPr>
      <w:spacing w:line="280" w:lineRule="exact"/>
    </w:pPr>
    <w:rPr>
      <w:rFonts w:eastAsia="MS Mincho"/>
      <w:b/>
      <w:color w:val="000000"/>
    </w:rPr>
  </w:style>
  <w:style w:type="paragraph" w:customStyle="1" w:styleId="Char">
    <w:name w:val="Char"/>
    <w:basedOn w:val="Normal"/>
    <w:uiPriority w:val="99"/>
    <w:rsid w:val="00EF76B0"/>
    <w:pPr>
      <w:spacing w:after="160" w:line="240" w:lineRule="exact"/>
    </w:pPr>
    <w:rPr>
      <w:rFonts w:eastAsia="MS Mincho"/>
      <w:bCs/>
      <w:sz w:val="22"/>
      <w:lang w:val="en-US" w:eastAsia="en-US"/>
    </w:rPr>
  </w:style>
  <w:style w:type="character" w:styleId="FootnoteReference">
    <w:name w:val="footnote reference"/>
    <w:unhideWhenUsed/>
    <w:qFormat/>
    <w:rsid w:val="00EF76B0"/>
    <w:rPr>
      <w:rFonts w:ascii="Times New Roman" w:hAnsi="Times New Roman" w:cs="Times New Roman" w:hint="default"/>
      <w:vertAlign w:val="superscript"/>
    </w:rPr>
  </w:style>
  <w:style w:type="paragraph" w:styleId="NormalWeb">
    <w:name w:val="Normal (Web)"/>
    <w:basedOn w:val="Normal"/>
    <w:uiPriority w:val="99"/>
    <w:unhideWhenUsed/>
    <w:rsid w:val="00C072B0"/>
    <w:pPr>
      <w:spacing w:before="100" w:beforeAutospacing="1" w:after="100" w:afterAutospacing="1"/>
    </w:pPr>
    <w:rPr>
      <w:lang w:val="en-US" w:eastAsia="en-US"/>
    </w:rPr>
  </w:style>
  <w:style w:type="table" w:styleId="TableGrid">
    <w:name w:val="Table Grid"/>
    <w:basedOn w:val="TableNormal"/>
    <w:uiPriority w:val="39"/>
    <w:rsid w:val="005513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167124"/>
    <w:pPr>
      <w:spacing w:after="60"/>
      <w:jc w:val="center"/>
      <w:outlineLvl w:val="1"/>
    </w:pPr>
    <w:rPr>
      <w:rFonts w:ascii="Cambria" w:hAnsi="Cambria"/>
    </w:rPr>
  </w:style>
  <w:style w:type="character" w:customStyle="1" w:styleId="SubtitleChar">
    <w:name w:val="Subtitle Char"/>
    <w:link w:val="Subtitle"/>
    <w:rsid w:val="00167124"/>
    <w:rPr>
      <w:rFonts w:ascii="Cambria" w:eastAsia="Times New Roman" w:hAnsi="Cambria" w:cs="Times New Roman"/>
      <w:color w:val="001F00"/>
      <w:spacing w:val="6"/>
      <w:sz w:val="24"/>
      <w:szCs w:val="24"/>
      <w:lang w:val="en-GB" w:eastAsia="en-GB"/>
    </w:rPr>
  </w:style>
  <w:style w:type="paragraph" w:customStyle="1" w:styleId="ColorfulList-Accent11">
    <w:name w:val="Colorful List - Accent 11"/>
    <w:basedOn w:val="Normal"/>
    <w:uiPriority w:val="34"/>
    <w:qFormat/>
    <w:rsid w:val="00223E82"/>
    <w:pPr>
      <w:ind w:left="720"/>
    </w:pPr>
  </w:style>
  <w:style w:type="paragraph" w:styleId="ListParagraph">
    <w:name w:val="List Paragraph"/>
    <w:basedOn w:val="Normal"/>
    <w:link w:val="ListParagraphChar"/>
    <w:uiPriority w:val="34"/>
    <w:qFormat/>
    <w:rsid w:val="008E7AEA"/>
    <w:pPr>
      <w:spacing w:after="200" w:line="276" w:lineRule="auto"/>
      <w:ind w:left="720" w:hanging="567"/>
      <w:contextualSpacing/>
    </w:pPr>
    <w:rPr>
      <w:rFonts w:ascii="Calibri" w:eastAsia="Calibri" w:hAnsi="Calibri"/>
      <w:sz w:val="22"/>
      <w:szCs w:val="22"/>
      <w:lang w:val="en-US" w:eastAsia="en-US"/>
    </w:rPr>
  </w:style>
  <w:style w:type="character" w:customStyle="1" w:styleId="ListParagraphChar">
    <w:name w:val="List Paragraph Char"/>
    <w:basedOn w:val="DefaultParagraphFont"/>
    <w:link w:val="ListParagraph"/>
    <w:uiPriority w:val="34"/>
    <w:locked/>
    <w:rsid w:val="008F3DC8"/>
    <w:rPr>
      <w:rFonts w:ascii="Calibri" w:eastAsia="Calibri" w:hAnsi="Calibri"/>
      <w:sz w:val="22"/>
      <w:szCs w:val="22"/>
      <w:lang w:val="en-US" w:eastAsia="en-US"/>
    </w:rPr>
  </w:style>
  <w:style w:type="paragraph" w:customStyle="1" w:styleId="Default">
    <w:name w:val="Default"/>
    <w:rsid w:val="000948D7"/>
    <w:pPr>
      <w:autoSpaceDE w:val="0"/>
      <w:autoSpaceDN w:val="0"/>
      <w:adjustRightInd w:val="0"/>
    </w:pPr>
    <w:rPr>
      <w:rFonts w:ascii="Arial" w:hAnsi="Arial" w:cs="Arial"/>
      <w:color w:val="000000"/>
    </w:rPr>
  </w:style>
  <w:style w:type="character" w:styleId="Hyperlink">
    <w:name w:val="Hyperlink"/>
    <w:rsid w:val="0046410B"/>
    <w:rPr>
      <w:color w:val="0000FF"/>
      <w:u w:val="single"/>
    </w:rPr>
  </w:style>
  <w:style w:type="character" w:customStyle="1" w:styleId="apple-style-span">
    <w:name w:val="apple-style-span"/>
    <w:basedOn w:val="DefaultParagraphFont"/>
    <w:rsid w:val="0046410B"/>
  </w:style>
  <w:style w:type="character" w:customStyle="1" w:styleId="apple-converted-space">
    <w:name w:val="apple-converted-space"/>
    <w:basedOn w:val="DefaultParagraphFont"/>
    <w:rsid w:val="0046410B"/>
  </w:style>
  <w:style w:type="paragraph" w:styleId="Title">
    <w:name w:val="Title"/>
    <w:basedOn w:val="Normal"/>
    <w:next w:val="Normal"/>
    <w:link w:val="TitleChar"/>
    <w:qFormat/>
    <w:rsid w:val="005538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389C"/>
    <w:rPr>
      <w:rFonts w:asciiTheme="majorHAnsi" w:eastAsiaTheme="majorEastAsia" w:hAnsiTheme="majorHAnsi" w:cstheme="majorBidi"/>
      <w:spacing w:val="-10"/>
      <w:kern w:val="28"/>
      <w:sz w:val="56"/>
      <w:szCs w:val="56"/>
      <w:lang w:val="en-GB" w:eastAsia="en-GB"/>
    </w:rPr>
  </w:style>
  <w:style w:type="character" w:customStyle="1" w:styleId="CommentSubjectChar">
    <w:name w:val="Comment Subject Char"/>
    <w:link w:val="CommentSubject"/>
    <w:uiPriority w:val="99"/>
    <w:rsid w:val="00E235D7"/>
    <w:rPr>
      <w:rFonts w:ascii="Arial" w:eastAsia="Times New Roman" w:hAnsi="Arial"/>
      <w:b/>
      <w:bCs/>
      <w:color w:val="001F00"/>
      <w:spacing w:val="6"/>
      <w:lang w:val="en-GB" w:eastAsia="en-GB"/>
    </w:rPr>
  </w:style>
  <w:style w:type="character" w:customStyle="1" w:styleId="Heading3Char">
    <w:name w:val="Heading 3 Char"/>
    <w:basedOn w:val="DefaultParagraphFont"/>
    <w:link w:val="Heading3"/>
    <w:semiHidden/>
    <w:rsid w:val="009A6F10"/>
    <w:rPr>
      <w:rFonts w:asciiTheme="majorHAnsi" w:eastAsiaTheme="majorEastAsia" w:hAnsiTheme="majorHAnsi" w:cstheme="majorBidi"/>
      <w:color w:val="243F60" w:themeColor="accent1" w:themeShade="7F"/>
      <w:spacing w:val="6"/>
      <w:sz w:val="24"/>
      <w:szCs w:val="24"/>
      <w:lang w:val="en-GB" w:eastAsia="en-GB"/>
    </w:rPr>
  </w:style>
  <w:style w:type="paragraph" w:styleId="TOC1">
    <w:name w:val="toc 1"/>
    <w:basedOn w:val="Normal"/>
    <w:next w:val="Normal"/>
    <w:autoRedefine/>
    <w:uiPriority w:val="39"/>
    <w:unhideWhenUsed/>
    <w:qFormat/>
    <w:rsid w:val="009A6F10"/>
    <w:pPr>
      <w:spacing w:after="100" w:line="280" w:lineRule="exact"/>
      <w:jc w:val="both"/>
    </w:pPr>
    <w:rPr>
      <w:rFonts w:eastAsiaTheme="minorHAnsi" w:cstheme="minorBidi"/>
      <w:b/>
      <w:caps/>
      <w:color w:val="000000" w:themeColor="text1"/>
      <w:szCs w:val="22"/>
      <w:lang w:eastAsia="en-US"/>
    </w:rPr>
  </w:style>
  <w:style w:type="paragraph" w:styleId="BodyText2">
    <w:name w:val="Body Text 2"/>
    <w:basedOn w:val="Normal"/>
    <w:link w:val="BodyText2Char"/>
    <w:rsid w:val="004A3289"/>
    <w:pPr>
      <w:spacing w:after="120" w:line="480" w:lineRule="auto"/>
    </w:pPr>
    <w:rPr>
      <w:sz w:val="22"/>
    </w:rPr>
  </w:style>
  <w:style w:type="character" w:customStyle="1" w:styleId="BodyText2Char">
    <w:name w:val="Body Text 2 Char"/>
    <w:basedOn w:val="DefaultParagraphFont"/>
    <w:link w:val="BodyText2"/>
    <w:rsid w:val="004A3289"/>
    <w:rPr>
      <w:rFonts w:ascii="Arial" w:eastAsia="Times New Roman"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B9"/>
  </w:style>
  <w:style w:type="paragraph" w:styleId="Heading2">
    <w:name w:val="heading 2"/>
    <w:basedOn w:val="Normal"/>
    <w:next w:val="Normal"/>
    <w:qFormat/>
    <w:rsid w:val="00AD3AB9"/>
    <w:pPr>
      <w:keepNext/>
      <w:outlineLvl w:val="1"/>
    </w:pPr>
    <w:rPr>
      <w:rFonts w:cs="Arial"/>
      <w:b/>
      <w:bCs/>
      <w:iCs/>
    </w:rPr>
  </w:style>
  <w:style w:type="paragraph" w:styleId="Heading3">
    <w:name w:val="heading 3"/>
    <w:basedOn w:val="Normal"/>
    <w:next w:val="Normal"/>
    <w:link w:val="Heading3Char"/>
    <w:semiHidden/>
    <w:unhideWhenUsed/>
    <w:qFormat/>
    <w:rsid w:val="009A6F1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AB9"/>
    <w:pPr>
      <w:tabs>
        <w:tab w:val="center" w:pos="4153"/>
        <w:tab w:val="right" w:pos="8306"/>
      </w:tabs>
    </w:pPr>
  </w:style>
  <w:style w:type="paragraph" w:styleId="BodyText">
    <w:name w:val="Body Text"/>
    <w:basedOn w:val="Normal"/>
    <w:rsid w:val="00AD3AB9"/>
    <w:rPr>
      <w:rFonts w:cs="Arial"/>
      <w:color w:val="000000"/>
      <w:sz w:val="20"/>
    </w:rPr>
  </w:style>
  <w:style w:type="paragraph" w:styleId="BalloonText">
    <w:name w:val="Balloon Text"/>
    <w:basedOn w:val="Normal"/>
    <w:semiHidden/>
    <w:rsid w:val="00CB1D88"/>
    <w:rPr>
      <w:rFonts w:ascii="Tahoma" w:hAnsi="Tahoma" w:cs="Tahoma"/>
      <w:sz w:val="16"/>
      <w:szCs w:val="16"/>
    </w:rPr>
  </w:style>
  <w:style w:type="paragraph" w:styleId="Footer">
    <w:name w:val="footer"/>
    <w:basedOn w:val="Normal"/>
    <w:link w:val="FooterChar"/>
    <w:uiPriority w:val="99"/>
    <w:rsid w:val="00F077A7"/>
    <w:pPr>
      <w:tabs>
        <w:tab w:val="center" w:pos="4680"/>
        <w:tab w:val="right" w:pos="9360"/>
      </w:tabs>
    </w:pPr>
  </w:style>
  <w:style w:type="character" w:customStyle="1" w:styleId="FooterChar">
    <w:name w:val="Footer Char"/>
    <w:link w:val="Footer"/>
    <w:uiPriority w:val="99"/>
    <w:rsid w:val="00F077A7"/>
    <w:rPr>
      <w:rFonts w:ascii="Arial" w:eastAsia="Times New Roman" w:hAnsi="Arial"/>
      <w:color w:val="001F00"/>
      <w:spacing w:val="6"/>
      <w:sz w:val="18"/>
      <w:szCs w:val="18"/>
      <w:lang w:val="en-GB" w:eastAsia="en-GB"/>
    </w:rPr>
  </w:style>
  <w:style w:type="character" w:styleId="CommentReference">
    <w:name w:val="annotation reference"/>
    <w:semiHidden/>
    <w:rsid w:val="004513F0"/>
    <w:rPr>
      <w:sz w:val="16"/>
      <w:szCs w:val="16"/>
    </w:rPr>
  </w:style>
  <w:style w:type="paragraph" w:styleId="CommentText">
    <w:name w:val="annotation text"/>
    <w:basedOn w:val="Normal"/>
    <w:semiHidden/>
    <w:rsid w:val="004513F0"/>
    <w:rPr>
      <w:sz w:val="20"/>
      <w:szCs w:val="20"/>
    </w:rPr>
  </w:style>
  <w:style w:type="paragraph" w:styleId="CommentSubject">
    <w:name w:val="annotation subject"/>
    <w:basedOn w:val="CommentText"/>
    <w:next w:val="CommentText"/>
    <w:link w:val="CommentSubjectChar"/>
    <w:uiPriority w:val="99"/>
    <w:rsid w:val="004513F0"/>
    <w:rPr>
      <w:b/>
      <w:bCs/>
    </w:rPr>
  </w:style>
  <w:style w:type="character" w:customStyle="1" w:styleId="FootnoteTextChar">
    <w:name w:val="Footnote Text Char"/>
    <w:aliases w:val="Footnote Text Char Char Char,fn Char Char"/>
    <w:link w:val="FootnoteText"/>
    <w:locked/>
    <w:rsid w:val="00EF76B0"/>
    <w:rPr>
      <w:lang w:val="en-GB"/>
    </w:rPr>
  </w:style>
  <w:style w:type="paragraph" w:styleId="FootnoteText">
    <w:name w:val="footnote text"/>
    <w:aliases w:val="Footnote Text Char Char,fn Char"/>
    <w:basedOn w:val="Normal"/>
    <w:link w:val="FootnoteTextChar"/>
    <w:unhideWhenUsed/>
    <w:qFormat/>
    <w:rsid w:val="00EF76B0"/>
    <w:rPr>
      <w:sz w:val="20"/>
      <w:szCs w:val="20"/>
    </w:rPr>
  </w:style>
  <w:style w:type="character" w:customStyle="1" w:styleId="FootnoteTextChar1">
    <w:name w:val="Footnote Text Char1"/>
    <w:rsid w:val="00EF76B0"/>
    <w:rPr>
      <w:rFonts w:ascii="Arial" w:eastAsia="Times New Roman" w:hAnsi="Arial"/>
      <w:color w:val="001F00"/>
      <w:spacing w:val="6"/>
      <w:lang w:val="en-GB" w:eastAsia="en-GB"/>
    </w:rPr>
  </w:style>
  <w:style w:type="paragraph" w:customStyle="1" w:styleId="Normalbold">
    <w:name w:val="Normal bold"/>
    <w:basedOn w:val="Normal"/>
    <w:rsid w:val="00EF76B0"/>
    <w:pPr>
      <w:spacing w:line="280" w:lineRule="exact"/>
    </w:pPr>
    <w:rPr>
      <w:rFonts w:eastAsia="MS Mincho"/>
      <w:b/>
      <w:color w:val="000000"/>
    </w:rPr>
  </w:style>
  <w:style w:type="paragraph" w:customStyle="1" w:styleId="Char">
    <w:name w:val="Char"/>
    <w:basedOn w:val="Normal"/>
    <w:uiPriority w:val="99"/>
    <w:rsid w:val="00EF76B0"/>
    <w:pPr>
      <w:spacing w:after="160" w:line="240" w:lineRule="exact"/>
    </w:pPr>
    <w:rPr>
      <w:rFonts w:eastAsia="MS Mincho"/>
      <w:bCs/>
      <w:sz w:val="22"/>
      <w:lang w:val="en-US" w:eastAsia="en-US"/>
    </w:rPr>
  </w:style>
  <w:style w:type="character" w:styleId="FootnoteReference">
    <w:name w:val="footnote reference"/>
    <w:unhideWhenUsed/>
    <w:qFormat/>
    <w:rsid w:val="00EF76B0"/>
    <w:rPr>
      <w:rFonts w:ascii="Times New Roman" w:hAnsi="Times New Roman" w:cs="Times New Roman" w:hint="default"/>
      <w:vertAlign w:val="superscript"/>
    </w:rPr>
  </w:style>
  <w:style w:type="paragraph" w:styleId="NormalWeb">
    <w:name w:val="Normal (Web)"/>
    <w:basedOn w:val="Normal"/>
    <w:uiPriority w:val="99"/>
    <w:unhideWhenUsed/>
    <w:rsid w:val="00C072B0"/>
    <w:pPr>
      <w:spacing w:before="100" w:beforeAutospacing="1" w:after="100" w:afterAutospacing="1"/>
    </w:pPr>
    <w:rPr>
      <w:lang w:val="en-US" w:eastAsia="en-US"/>
    </w:rPr>
  </w:style>
  <w:style w:type="table" w:styleId="TableGrid">
    <w:name w:val="Table Grid"/>
    <w:basedOn w:val="TableNormal"/>
    <w:uiPriority w:val="39"/>
    <w:rsid w:val="005513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167124"/>
    <w:pPr>
      <w:spacing w:after="60"/>
      <w:jc w:val="center"/>
      <w:outlineLvl w:val="1"/>
    </w:pPr>
    <w:rPr>
      <w:rFonts w:ascii="Cambria" w:hAnsi="Cambria"/>
    </w:rPr>
  </w:style>
  <w:style w:type="character" w:customStyle="1" w:styleId="SubtitleChar">
    <w:name w:val="Subtitle Char"/>
    <w:link w:val="Subtitle"/>
    <w:rsid w:val="00167124"/>
    <w:rPr>
      <w:rFonts w:ascii="Cambria" w:eastAsia="Times New Roman" w:hAnsi="Cambria" w:cs="Times New Roman"/>
      <w:color w:val="001F00"/>
      <w:spacing w:val="6"/>
      <w:sz w:val="24"/>
      <w:szCs w:val="24"/>
      <w:lang w:val="en-GB" w:eastAsia="en-GB"/>
    </w:rPr>
  </w:style>
  <w:style w:type="paragraph" w:customStyle="1" w:styleId="ColorfulList-Accent11">
    <w:name w:val="Colorful List - Accent 11"/>
    <w:basedOn w:val="Normal"/>
    <w:uiPriority w:val="34"/>
    <w:qFormat/>
    <w:rsid w:val="00223E82"/>
    <w:pPr>
      <w:ind w:left="720"/>
    </w:pPr>
  </w:style>
  <w:style w:type="paragraph" w:styleId="ListParagraph">
    <w:name w:val="List Paragraph"/>
    <w:basedOn w:val="Normal"/>
    <w:link w:val="ListParagraphChar"/>
    <w:uiPriority w:val="34"/>
    <w:qFormat/>
    <w:rsid w:val="008E7AEA"/>
    <w:pPr>
      <w:spacing w:after="200" w:line="276" w:lineRule="auto"/>
      <w:ind w:left="720" w:hanging="567"/>
      <w:contextualSpacing/>
    </w:pPr>
    <w:rPr>
      <w:rFonts w:ascii="Calibri" w:eastAsia="Calibri" w:hAnsi="Calibri"/>
      <w:sz w:val="22"/>
      <w:szCs w:val="22"/>
      <w:lang w:val="en-US" w:eastAsia="en-US"/>
    </w:rPr>
  </w:style>
  <w:style w:type="character" w:customStyle="1" w:styleId="ListParagraphChar">
    <w:name w:val="List Paragraph Char"/>
    <w:basedOn w:val="DefaultParagraphFont"/>
    <w:link w:val="ListParagraph"/>
    <w:uiPriority w:val="34"/>
    <w:locked/>
    <w:rsid w:val="008F3DC8"/>
    <w:rPr>
      <w:rFonts w:ascii="Calibri" w:eastAsia="Calibri" w:hAnsi="Calibri"/>
      <w:sz w:val="22"/>
      <w:szCs w:val="22"/>
      <w:lang w:val="en-US" w:eastAsia="en-US"/>
    </w:rPr>
  </w:style>
  <w:style w:type="paragraph" w:customStyle="1" w:styleId="Default">
    <w:name w:val="Default"/>
    <w:rsid w:val="000948D7"/>
    <w:pPr>
      <w:autoSpaceDE w:val="0"/>
      <w:autoSpaceDN w:val="0"/>
      <w:adjustRightInd w:val="0"/>
    </w:pPr>
    <w:rPr>
      <w:rFonts w:ascii="Arial" w:hAnsi="Arial" w:cs="Arial"/>
      <w:color w:val="000000"/>
    </w:rPr>
  </w:style>
  <w:style w:type="character" w:styleId="Hyperlink">
    <w:name w:val="Hyperlink"/>
    <w:rsid w:val="0046410B"/>
    <w:rPr>
      <w:color w:val="0000FF"/>
      <w:u w:val="single"/>
    </w:rPr>
  </w:style>
  <w:style w:type="character" w:customStyle="1" w:styleId="apple-style-span">
    <w:name w:val="apple-style-span"/>
    <w:basedOn w:val="DefaultParagraphFont"/>
    <w:rsid w:val="0046410B"/>
  </w:style>
  <w:style w:type="character" w:customStyle="1" w:styleId="apple-converted-space">
    <w:name w:val="apple-converted-space"/>
    <w:basedOn w:val="DefaultParagraphFont"/>
    <w:rsid w:val="0046410B"/>
  </w:style>
  <w:style w:type="paragraph" w:styleId="Title">
    <w:name w:val="Title"/>
    <w:basedOn w:val="Normal"/>
    <w:next w:val="Normal"/>
    <w:link w:val="TitleChar"/>
    <w:qFormat/>
    <w:rsid w:val="005538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389C"/>
    <w:rPr>
      <w:rFonts w:asciiTheme="majorHAnsi" w:eastAsiaTheme="majorEastAsia" w:hAnsiTheme="majorHAnsi" w:cstheme="majorBidi"/>
      <w:spacing w:val="-10"/>
      <w:kern w:val="28"/>
      <w:sz w:val="56"/>
      <w:szCs w:val="56"/>
      <w:lang w:val="en-GB" w:eastAsia="en-GB"/>
    </w:rPr>
  </w:style>
  <w:style w:type="character" w:customStyle="1" w:styleId="CommentSubjectChar">
    <w:name w:val="Comment Subject Char"/>
    <w:link w:val="CommentSubject"/>
    <w:uiPriority w:val="99"/>
    <w:rsid w:val="00E235D7"/>
    <w:rPr>
      <w:rFonts w:ascii="Arial" w:eastAsia="Times New Roman" w:hAnsi="Arial"/>
      <w:b/>
      <w:bCs/>
      <w:color w:val="001F00"/>
      <w:spacing w:val="6"/>
      <w:lang w:val="en-GB" w:eastAsia="en-GB"/>
    </w:rPr>
  </w:style>
  <w:style w:type="character" w:customStyle="1" w:styleId="Heading3Char">
    <w:name w:val="Heading 3 Char"/>
    <w:basedOn w:val="DefaultParagraphFont"/>
    <w:link w:val="Heading3"/>
    <w:semiHidden/>
    <w:rsid w:val="009A6F10"/>
    <w:rPr>
      <w:rFonts w:asciiTheme="majorHAnsi" w:eastAsiaTheme="majorEastAsia" w:hAnsiTheme="majorHAnsi" w:cstheme="majorBidi"/>
      <w:color w:val="243F60" w:themeColor="accent1" w:themeShade="7F"/>
      <w:spacing w:val="6"/>
      <w:sz w:val="24"/>
      <w:szCs w:val="24"/>
      <w:lang w:val="en-GB" w:eastAsia="en-GB"/>
    </w:rPr>
  </w:style>
  <w:style w:type="paragraph" w:styleId="TOC1">
    <w:name w:val="toc 1"/>
    <w:basedOn w:val="Normal"/>
    <w:next w:val="Normal"/>
    <w:autoRedefine/>
    <w:uiPriority w:val="39"/>
    <w:unhideWhenUsed/>
    <w:qFormat/>
    <w:rsid w:val="009A6F10"/>
    <w:pPr>
      <w:spacing w:after="100" w:line="280" w:lineRule="exact"/>
      <w:jc w:val="both"/>
    </w:pPr>
    <w:rPr>
      <w:rFonts w:eastAsiaTheme="minorHAnsi" w:cstheme="minorBidi"/>
      <w:b/>
      <w:caps/>
      <w:color w:val="000000" w:themeColor="text1"/>
      <w:szCs w:val="22"/>
      <w:lang w:eastAsia="en-US"/>
    </w:rPr>
  </w:style>
  <w:style w:type="paragraph" w:styleId="BodyText2">
    <w:name w:val="Body Text 2"/>
    <w:basedOn w:val="Normal"/>
    <w:link w:val="BodyText2Char"/>
    <w:rsid w:val="004A3289"/>
    <w:pPr>
      <w:spacing w:after="120" w:line="480" w:lineRule="auto"/>
    </w:pPr>
    <w:rPr>
      <w:sz w:val="22"/>
    </w:rPr>
  </w:style>
  <w:style w:type="character" w:customStyle="1" w:styleId="BodyText2Char">
    <w:name w:val="Body Text 2 Char"/>
    <w:basedOn w:val="DefaultParagraphFont"/>
    <w:link w:val="BodyText2"/>
    <w:rsid w:val="004A3289"/>
    <w:rPr>
      <w:rFonts w:ascii="Arial" w:eastAsia="Times New Roman"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366">
      <w:bodyDiv w:val="1"/>
      <w:marLeft w:val="0"/>
      <w:marRight w:val="0"/>
      <w:marTop w:val="0"/>
      <w:marBottom w:val="0"/>
      <w:divBdr>
        <w:top w:val="none" w:sz="0" w:space="0" w:color="auto"/>
        <w:left w:val="none" w:sz="0" w:space="0" w:color="auto"/>
        <w:bottom w:val="none" w:sz="0" w:space="0" w:color="auto"/>
        <w:right w:val="none" w:sz="0" w:space="0" w:color="auto"/>
      </w:divBdr>
      <w:divsChild>
        <w:div w:id="28771810">
          <w:marLeft w:val="547"/>
          <w:marRight w:val="0"/>
          <w:marTop w:val="58"/>
          <w:marBottom w:val="0"/>
          <w:divBdr>
            <w:top w:val="none" w:sz="0" w:space="0" w:color="auto"/>
            <w:left w:val="none" w:sz="0" w:space="0" w:color="auto"/>
            <w:bottom w:val="none" w:sz="0" w:space="0" w:color="auto"/>
            <w:right w:val="none" w:sz="0" w:space="0" w:color="auto"/>
          </w:divBdr>
        </w:div>
        <w:div w:id="2022275292">
          <w:marLeft w:val="547"/>
          <w:marRight w:val="0"/>
          <w:marTop w:val="58"/>
          <w:marBottom w:val="0"/>
          <w:divBdr>
            <w:top w:val="none" w:sz="0" w:space="0" w:color="auto"/>
            <w:left w:val="none" w:sz="0" w:space="0" w:color="auto"/>
            <w:bottom w:val="none" w:sz="0" w:space="0" w:color="auto"/>
            <w:right w:val="none" w:sz="0" w:space="0" w:color="auto"/>
          </w:divBdr>
        </w:div>
        <w:div w:id="1435904075">
          <w:marLeft w:val="547"/>
          <w:marRight w:val="0"/>
          <w:marTop w:val="58"/>
          <w:marBottom w:val="0"/>
          <w:divBdr>
            <w:top w:val="none" w:sz="0" w:space="0" w:color="auto"/>
            <w:left w:val="none" w:sz="0" w:space="0" w:color="auto"/>
            <w:bottom w:val="none" w:sz="0" w:space="0" w:color="auto"/>
            <w:right w:val="none" w:sz="0" w:space="0" w:color="auto"/>
          </w:divBdr>
        </w:div>
        <w:div w:id="657802331">
          <w:marLeft w:val="547"/>
          <w:marRight w:val="0"/>
          <w:marTop w:val="58"/>
          <w:marBottom w:val="0"/>
          <w:divBdr>
            <w:top w:val="none" w:sz="0" w:space="0" w:color="auto"/>
            <w:left w:val="none" w:sz="0" w:space="0" w:color="auto"/>
            <w:bottom w:val="none" w:sz="0" w:space="0" w:color="auto"/>
            <w:right w:val="none" w:sz="0" w:space="0" w:color="auto"/>
          </w:divBdr>
        </w:div>
        <w:div w:id="557086365">
          <w:marLeft w:val="547"/>
          <w:marRight w:val="0"/>
          <w:marTop w:val="58"/>
          <w:marBottom w:val="0"/>
          <w:divBdr>
            <w:top w:val="none" w:sz="0" w:space="0" w:color="auto"/>
            <w:left w:val="none" w:sz="0" w:space="0" w:color="auto"/>
            <w:bottom w:val="none" w:sz="0" w:space="0" w:color="auto"/>
            <w:right w:val="none" w:sz="0" w:space="0" w:color="auto"/>
          </w:divBdr>
        </w:div>
        <w:div w:id="1613172346">
          <w:marLeft w:val="547"/>
          <w:marRight w:val="0"/>
          <w:marTop w:val="58"/>
          <w:marBottom w:val="0"/>
          <w:divBdr>
            <w:top w:val="none" w:sz="0" w:space="0" w:color="auto"/>
            <w:left w:val="none" w:sz="0" w:space="0" w:color="auto"/>
            <w:bottom w:val="none" w:sz="0" w:space="0" w:color="auto"/>
            <w:right w:val="none" w:sz="0" w:space="0" w:color="auto"/>
          </w:divBdr>
        </w:div>
        <w:div w:id="1732192586">
          <w:marLeft w:val="547"/>
          <w:marRight w:val="0"/>
          <w:marTop w:val="58"/>
          <w:marBottom w:val="0"/>
          <w:divBdr>
            <w:top w:val="none" w:sz="0" w:space="0" w:color="auto"/>
            <w:left w:val="none" w:sz="0" w:space="0" w:color="auto"/>
            <w:bottom w:val="none" w:sz="0" w:space="0" w:color="auto"/>
            <w:right w:val="none" w:sz="0" w:space="0" w:color="auto"/>
          </w:divBdr>
        </w:div>
      </w:divsChild>
    </w:div>
    <w:div w:id="34280887">
      <w:bodyDiv w:val="1"/>
      <w:marLeft w:val="0"/>
      <w:marRight w:val="0"/>
      <w:marTop w:val="0"/>
      <w:marBottom w:val="0"/>
      <w:divBdr>
        <w:top w:val="none" w:sz="0" w:space="0" w:color="auto"/>
        <w:left w:val="none" w:sz="0" w:space="0" w:color="auto"/>
        <w:bottom w:val="none" w:sz="0" w:space="0" w:color="auto"/>
        <w:right w:val="none" w:sz="0" w:space="0" w:color="auto"/>
      </w:divBdr>
      <w:divsChild>
        <w:div w:id="34812353">
          <w:marLeft w:val="1253"/>
          <w:marRight w:val="0"/>
          <w:marTop w:val="160"/>
          <w:marBottom w:val="0"/>
          <w:divBdr>
            <w:top w:val="none" w:sz="0" w:space="0" w:color="auto"/>
            <w:left w:val="none" w:sz="0" w:space="0" w:color="auto"/>
            <w:bottom w:val="none" w:sz="0" w:space="0" w:color="auto"/>
            <w:right w:val="none" w:sz="0" w:space="0" w:color="auto"/>
          </w:divBdr>
        </w:div>
        <w:div w:id="1065102342">
          <w:marLeft w:val="1253"/>
          <w:marRight w:val="0"/>
          <w:marTop w:val="160"/>
          <w:marBottom w:val="0"/>
          <w:divBdr>
            <w:top w:val="none" w:sz="0" w:space="0" w:color="auto"/>
            <w:left w:val="none" w:sz="0" w:space="0" w:color="auto"/>
            <w:bottom w:val="none" w:sz="0" w:space="0" w:color="auto"/>
            <w:right w:val="none" w:sz="0" w:space="0" w:color="auto"/>
          </w:divBdr>
        </w:div>
        <w:div w:id="1210875069">
          <w:marLeft w:val="1253"/>
          <w:marRight w:val="0"/>
          <w:marTop w:val="160"/>
          <w:marBottom w:val="0"/>
          <w:divBdr>
            <w:top w:val="none" w:sz="0" w:space="0" w:color="auto"/>
            <w:left w:val="none" w:sz="0" w:space="0" w:color="auto"/>
            <w:bottom w:val="none" w:sz="0" w:space="0" w:color="auto"/>
            <w:right w:val="none" w:sz="0" w:space="0" w:color="auto"/>
          </w:divBdr>
        </w:div>
      </w:divsChild>
    </w:div>
    <w:div w:id="46220804">
      <w:bodyDiv w:val="1"/>
      <w:marLeft w:val="0"/>
      <w:marRight w:val="0"/>
      <w:marTop w:val="0"/>
      <w:marBottom w:val="0"/>
      <w:divBdr>
        <w:top w:val="none" w:sz="0" w:space="0" w:color="auto"/>
        <w:left w:val="none" w:sz="0" w:space="0" w:color="auto"/>
        <w:bottom w:val="none" w:sz="0" w:space="0" w:color="auto"/>
        <w:right w:val="none" w:sz="0" w:space="0" w:color="auto"/>
      </w:divBdr>
    </w:div>
    <w:div w:id="48038071">
      <w:bodyDiv w:val="1"/>
      <w:marLeft w:val="0"/>
      <w:marRight w:val="0"/>
      <w:marTop w:val="0"/>
      <w:marBottom w:val="0"/>
      <w:divBdr>
        <w:top w:val="none" w:sz="0" w:space="0" w:color="auto"/>
        <w:left w:val="none" w:sz="0" w:space="0" w:color="auto"/>
        <w:bottom w:val="none" w:sz="0" w:space="0" w:color="auto"/>
        <w:right w:val="none" w:sz="0" w:space="0" w:color="auto"/>
      </w:divBdr>
    </w:div>
    <w:div w:id="58600792">
      <w:bodyDiv w:val="1"/>
      <w:marLeft w:val="0"/>
      <w:marRight w:val="0"/>
      <w:marTop w:val="0"/>
      <w:marBottom w:val="0"/>
      <w:divBdr>
        <w:top w:val="none" w:sz="0" w:space="0" w:color="auto"/>
        <w:left w:val="none" w:sz="0" w:space="0" w:color="auto"/>
        <w:bottom w:val="none" w:sz="0" w:space="0" w:color="auto"/>
        <w:right w:val="none" w:sz="0" w:space="0" w:color="auto"/>
      </w:divBdr>
      <w:divsChild>
        <w:div w:id="121584069">
          <w:marLeft w:val="547"/>
          <w:marRight w:val="0"/>
          <w:marTop w:val="0"/>
          <w:marBottom w:val="0"/>
          <w:divBdr>
            <w:top w:val="none" w:sz="0" w:space="0" w:color="auto"/>
            <w:left w:val="none" w:sz="0" w:space="0" w:color="auto"/>
            <w:bottom w:val="none" w:sz="0" w:space="0" w:color="auto"/>
            <w:right w:val="none" w:sz="0" w:space="0" w:color="auto"/>
          </w:divBdr>
        </w:div>
        <w:div w:id="174078623">
          <w:marLeft w:val="547"/>
          <w:marRight w:val="0"/>
          <w:marTop w:val="0"/>
          <w:marBottom w:val="0"/>
          <w:divBdr>
            <w:top w:val="none" w:sz="0" w:space="0" w:color="auto"/>
            <w:left w:val="none" w:sz="0" w:space="0" w:color="auto"/>
            <w:bottom w:val="none" w:sz="0" w:space="0" w:color="auto"/>
            <w:right w:val="none" w:sz="0" w:space="0" w:color="auto"/>
          </w:divBdr>
        </w:div>
        <w:div w:id="346905422">
          <w:marLeft w:val="547"/>
          <w:marRight w:val="0"/>
          <w:marTop w:val="0"/>
          <w:marBottom w:val="0"/>
          <w:divBdr>
            <w:top w:val="none" w:sz="0" w:space="0" w:color="auto"/>
            <w:left w:val="none" w:sz="0" w:space="0" w:color="auto"/>
            <w:bottom w:val="none" w:sz="0" w:space="0" w:color="auto"/>
            <w:right w:val="none" w:sz="0" w:space="0" w:color="auto"/>
          </w:divBdr>
        </w:div>
        <w:div w:id="707218905">
          <w:marLeft w:val="547"/>
          <w:marRight w:val="0"/>
          <w:marTop w:val="0"/>
          <w:marBottom w:val="0"/>
          <w:divBdr>
            <w:top w:val="none" w:sz="0" w:space="0" w:color="auto"/>
            <w:left w:val="none" w:sz="0" w:space="0" w:color="auto"/>
            <w:bottom w:val="none" w:sz="0" w:space="0" w:color="auto"/>
            <w:right w:val="none" w:sz="0" w:space="0" w:color="auto"/>
          </w:divBdr>
        </w:div>
        <w:div w:id="781068284">
          <w:marLeft w:val="547"/>
          <w:marRight w:val="0"/>
          <w:marTop w:val="0"/>
          <w:marBottom w:val="0"/>
          <w:divBdr>
            <w:top w:val="none" w:sz="0" w:space="0" w:color="auto"/>
            <w:left w:val="none" w:sz="0" w:space="0" w:color="auto"/>
            <w:bottom w:val="none" w:sz="0" w:space="0" w:color="auto"/>
            <w:right w:val="none" w:sz="0" w:space="0" w:color="auto"/>
          </w:divBdr>
        </w:div>
        <w:div w:id="869684341">
          <w:marLeft w:val="547"/>
          <w:marRight w:val="0"/>
          <w:marTop w:val="0"/>
          <w:marBottom w:val="0"/>
          <w:divBdr>
            <w:top w:val="none" w:sz="0" w:space="0" w:color="auto"/>
            <w:left w:val="none" w:sz="0" w:space="0" w:color="auto"/>
            <w:bottom w:val="none" w:sz="0" w:space="0" w:color="auto"/>
            <w:right w:val="none" w:sz="0" w:space="0" w:color="auto"/>
          </w:divBdr>
        </w:div>
        <w:div w:id="1309898279">
          <w:marLeft w:val="547"/>
          <w:marRight w:val="0"/>
          <w:marTop w:val="0"/>
          <w:marBottom w:val="0"/>
          <w:divBdr>
            <w:top w:val="none" w:sz="0" w:space="0" w:color="auto"/>
            <w:left w:val="none" w:sz="0" w:space="0" w:color="auto"/>
            <w:bottom w:val="none" w:sz="0" w:space="0" w:color="auto"/>
            <w:right w:val="none" w:sz="0" w:space="0" w:color="auto"/>
          </w:divBdr>
        </w:div>
        <w:div w:id="1336542073">
          <w:marLeft w:val="547"/>
          <w:marRight w:val="0"/>
          <w:marTop w:val="0"/>
          <w:marBottom w:val="0"/>
          <w:divBdr>
            <w:top w:val="none" w:sz="0" w:space="0" w:color="auto"/>
            <w:left w:val="none" w:sz="0" w:space="0" w:color="auto"/>
            <w:bottom w:val="none" w:sz="0" w:space="0" w:color="auto"/>
            <w:right w:val="none" w:sz="0" w:space="0" w:color="auto"/>
          </w:divBdr>
        </w:div>
        <w:div w:id="1678732810">
          <w:marLeft w:val="547"/>
          <w:marRight w:val="0"/>
          <w:marTop w:val="0"/>
          <w:marBottom w:val="0"/>
          <w:divBdr>
            <w:top w:val="none" w:sz="0" w:space="0" w:color="auto"/>
            <w:left w:val="none" w:sz="0" w:space="0" w:color="auto"/>
            <w:bottom w:val="none" w:sz="0" w:space="0" w:color="auto"/>
            <w:right w:val="none" w:sz="0" w:space="0" w:color="auto"/>
          </w:divBdr>
        </w:div>
        <w:div w:id="1800608543">
          <w:marLeft w:val="547"/>
          <w:marRight w:val="0"/>
          <w:marTop w:val="0"/>
          <w:marBottom w:val="0"/>
          <w:divBdr>
            <w:top w:val="none" w:sz="0" w:space="0" w:color="auto"/>
            <w:left w:val="none" w:sz="0" w:space="0" w:color="auto"/>
            <w:bottom w:val="none" w:sz="0" w:space="0" w:color="auto"/>
            <w:right w:val="none" w:sz="0" w:space="0" w:color="auto"/>
          </w:divBdr>
        </w:div>
        <w:div w:id="2141192732">
          <w:marLeft w:val="547"/>
          <w:marRight w:val="0"/>
          <w:marTop w:val="0"/>
          <w:marBottom w:val="0"/>
          <w:divBdr>
            <w:top w:val="none" w:sz="0" w:space="0" w:color="auto"/>
            <w:left w:val="none" w:sz="0" w:space="0" w:color="auto"/>
            <w:bottom w:val="none" w:sz="0" w:space="0" w:color="auto"/>
            <w:right w:val="none" w:sz="0" w:space="0" w:color="auto"/>
          </w:divBdr>
        </w:div>
      </w:divsChild>
    </w:div>
    <w:div w:id="82923503">
      <w:bodyDiv w:val="1"/>
      <w:marLeft w:val="0"/>
      <w:marRight w:val="0"/>
      <w:marTop w:val="0"/>
      <w:marBottom w:val="0"/>
      <w:divBdr>
        <w:top w:val="none" w:sz="0" w:space="0" w:color="auto"/>
        <w:left w:val="none" w:sz="0" w:space="0" w:color="auto"/>
        <w:bottom w:val="none" w:sz="0" w:space="0" w:color="auto"/>
        <w:right w:val="none" w:sz="0" w:space="0" w:color="auto"/>
      </w:divBdr>
    </w:div>
    <w:div w:id="98986392">
      <w:bodyDiv w:val="1"/>
      <w:marLeft w:val="0"/>
      <w:marRight w:val="0"/>
      <w:marTop w:val="0"/>
      <w:marBottom w:val="0"/>
      <w:divBdr>
        <w:top w:val="none" w:sz="0" w:space="0" w:color="auto"/>
        <w:left w:val="none" w:sz="0" w:space="0" w:color="auto"/>
        <w:bottom w:val="none" w:sz="0" w:space="0" w:color="auto"/>
        <w:right w:val="none" w:sz="0" w:space="0" w:color="auto"/>
      </w:divBdr>
    </w:div>
    <w:div w:id="155190757">
      <w:bodyDiv w:val="1"/>
      <w:marLeft w:val="0"/>
      <w:marRight w:val="0"/>
      <w:marTop w:val="0"/>
      <w:marBottom w:val="0"/>
      <w:divBdr>
        <w:top w:val="none" w:sz="0" w:space="0" w:color="auto"/>
        <w:left w:val="none" w:sz="0" w:space="0" w:color="auto"/>
        <w:bottom w:val="none" w:sz="0" w:space="0" w:color="auto"/>
        <w:right w:val="none" w:sz="0" w:space="0" w:color="auto"/>
      </w:divBdr>
    </w:div>
    <w:div w:id="157380031">
      <w:bodyDiv w:val="1"/>
      <w:marLeft w:val="0"/>
      <w:marRight w:val="0"/>
      <w:marTop w:val="0"/>
      <w:marBottom w:val="0"/>
      <w:divBdr>
        <w:top w:val="none" w:sz="0" w:space="0" w:color="auto"/>
        <w:left w:val="none" w:sz="0" w:space="0" w:color="auto"/>
        <w:bottom w:val="none" w:sz="0" w:space="0" w:color="auto"/>
        <w:right w:val="none" w:sz="0" w:space="0" w:color="auto"/>
      </w:divBdr>
    </w:div>
    <w:div w:id="161511518">
      <w:bodyDiv w:val="1"/>
      <w:marLeft w:val="0"/>
      <w:marRight w:val="0"/>
      <w:marTop w:val="0"/>
      <w:marBottom w:val="0"/>
      <w:divBdr>
        <w:top w:val="none" w:sz="0" w:space="0" w:color="auto"/>
        <w:left w:val="none" w:sz="0" w:space="0" w:color="auto"/>
        <w:bottom w:val="none" w:sz="0" w:space="0" w:color="auto"/>
        <w:right w:val="none" w:sz="0" w:space="0" w:color="auto"/>
      </w:divBdr>
      <w:divsChild>
        <w:div w:id="160850517">
          <w:marLeft w:val="446"/>
          <w:marRight w:val="0"/>
          <w:marTop w:val="0"/>
          <w:marBottom w:val="0"/>
          <w:divBdr>
            <w:top w:val="none" w:sz="0" w:space="0" w:color="auto"/>
            <w:left w:val="none" w:sz="0" w:space="0" w:color="auto"/>
            <w:bottom w:val="none" w:sz="0" w:space="0" w:color="auto"/>
            <w:right w:val="none" w:sz="0" w:space="0" w:color="auto"/>
          </w:divBdr>
        </w:div>
        <w:div w:id="895825091">
          <w:marLeft w:val="446"/>
          <w:marRight w:val="0"/>
          <w:marTop w:val="0"/>
          <w:marBottom w:val="0"/>
          <w:divBdr>
            <w:top w:val="none" w:sz="0" w:space="0" w:color="auto"/>
            <w:left w:val="none" w:sz="0" w:space="0" w:color="auto"/>
            <w:bottom w:val="none" w:sz="0" w:space="0" w:color="auto"/>
            <w:right w:val="none" w:sz="0" w:space="0" w:color="auto"/>
          </w:divBdr>
        </w:div>
        <w:div w:id="952053902">
          <w:marLeft w:val="446"/>
          <w:marRight w:val="0"/>
          <w:marTop w:val="0"/>
          <w:marBottom w:val="0"/>
          <w:divBdr>
            <w:top w:val="none" w:sz="0" w:space="0" w:color="auto"/>
            <w:left w:val="none" w:sz="0" w:space="0" w:color="auto"/>
            <w:bottom w:val="none" w:sz="0" w:space="0" w:color="auto"/>
            <w:right w:val="none" w:sz="0" w:space="0" w:color="auto"/>
          </w:divBdr>
        </w:div>
        <w:div w:id="1218542829">
          <w:marLeft w:val="446"/>
          <w:marRight w:val="0"/>
          <w:marTop w:val="0"/>
          <w:marBottom w:val="0"/>
          <w:divBdr>
            <w:top w:val="none" w:sz="0" w:space="0" w:color="auto"/>
            <w:left w:val="none" w:sz="0" w:space="0" w:color="auto"/>
            <w:bottom w:val="none" w:sz="0" w:space="0" w:color="auto"/>
            <w:right w:val="none" w:sz="0" w:space="0" w:color="auto"/>
          </w:divBdr>
        </w:div>
        <w:div w:id="1302348768">
          <w:marLeft w:val="446"/>
          <w:marRight w:val="0"/>
          <w:marTop w:val="0"/>
          <w:marBottom w:val="0"/>
          <w:divBdr>
            <w:top w:val="none" w:sz="0" w:space="0" w:color="auto"/>
            <w:left w:val="none" w:sz="0" w:space="0" w:color="auto"/>
            <w:bottom w:val="none" w:sz="0" w:space="0" w:color="auto"/>
            <w:right w:val="none" w:sz="0" w:space="0" w:color="auto"/>
          </w:divBdr>
        </w:div>
        <w:div w:id="1315526785">
          <w:marLeft w:val="446"/>
          <w:marRight w:val="0"/>
          <w:marTop w:val="0"/>
          <w:marBottom w:val="0"/>
          <w:divBdr>
            <w:top w:val="none" w:sz="0" w:space="0" w:color="auto"/>
            <w:left w:val="none" w:sz="0" w:space="0" w:color="auto"/>
            <w:bottom w:val="none" w:sz="0" w:space="0" w:color="auto"/>
            <w:right w:val="none" w:sz="0" w:space="0" w:color="auto"/>
          </w:divBdr>
        </w:div>
        <w:div w:id="1602908503">
          <w:marLeft w:val="446"/>
          <w:marRight w:val="0"/>
          <w:marTop w:val="0"/>
          <w:marBottom w:val="0"/>
          <w:divBdr>
            <w:top w:val="none" w:sz="0" w:space="0" w:color="auto"/>
            <w:left w:val="none" w:sz="0" w:space="0" w:color="auto"/>
            <w:bottom w:val="none" w:sz="0" w:space="0" w:color="auto"/>
            <w:right w:val="none" w:sz="0" w:space="0" w:color="auto"/>
          </w:divBdr>
        </w:div>
        <w:div w:id="1614247680">
          <w:marLeft w:val="446"/>
          <w:marRight w:val="0"/>
          <w:marTop w:val="0"/>
          <w:marBottom w:val="0"/>
          <w:divBdr>
            <w:top w:val="none" w:sz="0" w:space="0" w:color="auto"/>
            <w:left w:val="none" w:sz="0" w:space="0" w:color="auto"/>
            <w:bottom w:val="none" w:sz="0" w:space="0" w:color="auto"/>
            <w:right w:val="none" w:sz="0" w:space="0" w:color="auto"/>
          </w:divBdr>
        </w:div>
        <w:div w:id="1981032341">
          <w:marLeft w:val="562"/>
          <w:marRight w:val="0"/>
          <w:marTop w:val="0"/>
          <w:marBottom w:val="0"/>
          <w:divBdr>
            <w:top w:val="none" w:sz="0" w:space="0" w:color="auto"/>
            <w:left w:val="none" w:sz="0" w:space="0" w:color="auto"/>
            <w:bottom w:val="none" w:sz="0" w:space="0" w:color="auto"/>
            <w:right w:val="none" w:sz="0" w:space="0" w:color="auto"/>
          </w:divBdr>
        </w:div>
        <w:div w:id="2107798078">
          <w:marLeft w:val="446"/>
          <w:marRight w:val="0"/>
          <w:marTop w:val="0"/>
          <w:marBottom w:val="0"/>
          <w:divBdr>
            <w:top w:val="none" w:sz="0" w:space="0" w:color="auto"/>
            <w:left w:val="none" w:sz="0" w:space="0" w:color="auto"/>
            <w:bottom w:val="none" w:sz="0" w:space="0" w:color="auto"/>
            <w:right w:val="none" w:sz="0" w:space="0" w:color="auto"/>
          </w:divBdr>
        </w:div>
      </w:divsChild>
    </w:div>
    <w:div w:id="236284704">
      <w:bodyDiv w:val="1"/>
      <w:marLeft w:val="0"/>
      <w:marRight w:val="0"/>
      <w:marTop w:val="0"/>
      <w:marBottom w:val="0"/>
      <w:divBdr>
        <w:top w:val="none" w:sz="0" w:space="0" w:color="auto"/>
        <w:left w:val="none" w:sz="0" w:space="0" w:color="auto"/>
        <w:bottom w:val="none" w:sz="0" w:space="0" w:color="auto"/>
        <w:right w:val="none" w:sz="0" w:space="0" w:color="auto"/>
      </w:divBdr>
      <w:divsChild>
        <w:div w:id="1143232584">
          <w:marLeft w:val="547"/>
          <w:marRight w:val="0"/>
          <w:marTop w:val="58"/>
          <w:marBottom w:val="0"/>
          <w:divBdr>
            <w:top w:val="none" w:sz="0" w:space="0" w:color="auto"/>
            <w:left w:val="none" w:sz="0" w:space="0" w:color="auto"/>
            <w:bottom w:val="none" w:sz="0" w:space="0" w:color="auto"/>
            <w:right w:val="none" w:sz="0" w:space="0" w:color="auto"/>
          </w:divBdr>
        </w:div>
        <w:div w:id="1875460606">
          <w:marLeft w:val="547"/>
          <w:marRight w:val="0"/>
          <w:marTop w:val="58"/>
          <w:marBottom w:val="0"/>
          <w:divBdr>
            <w:top w:val="none" w:sz="0" w:space="0" w:color="auto"/>
            <w:left w:val="none" w:sz="0" w:space="0" w:color="auto"/>
            <w:bottom w:val="none" w:sz="0" w:space="0" w:color="auto"/>
            <w:right w:val="none" w:sz="0" w:space="0" w:color="auto"/>
          </w:divBdr>
        </w:div>
        <w:div w:id="1850295222">
          <w:marLeft w:val="547"/>
          <w:marRight w:val="0"/>
          <w:marTop w:val="58"/>
          <w:marBottom w:val="0"/>
          <w:divBdr>
            <w:top w:val="none" w:sz="0" w:space="0" w:color="auto"/>
            <w:left w:val="none" w:sz="0" w:space="0" w:color="auto"/>
            <w:bottom w:val="none" w:sz="0" w:space="0" w:color="auto"/>
            <w:right w:val="none" w:sz="0" w:space="0" w:color="auto"/>
          </w:divBdr>
        </w:div>
        <w:div w:id="1435974504">
          <w:marLeft w:val="547"/>
          <w:marRight w:val="0"/>
          <w:marTop w:val="58"/>
          <w:marBottom w:val="0"/>
          <w:divBdr>
            <w:top w:val="none" w:sz="0" w:space="0" w:color="auto"/>
            <w:left w:val="none" w:sz="0" w:space="0" w:color="auto"/>
            <w:bottom w:val="none" w:sz="0" w:space="0" w:color="auto"/>
            <w:right w:val="none" w:sz="0" w:space="0" w:color="auto"/>
          </w:divBdr>
        </w:div>
        <w:div w:id="398288104">
          <w:marLeft w:val="547"/>
          <w:marRight w:val="0"/>
          <w:marTop w:val="58"/>
          <w:marBottom w:val="0"/>
          <w:divBdr>
            <w:top w:val="none" w:sz="0" w:space="0" w:color="auto"/>
            <w:left w:val="none" w:sz="0" w:space="0" w:color="auto"/>
            <w:bottom w:val="none" w:sz="0" w:space="0" w:color="auto"/>
            <w:right w:val="none" w:sz="0" w:space="0" w:color="auto"/>
          </w:divBdr>
        </w:div>
        <w:div w:id="1911309198">
          <w:marLeft w:val="547"/>
          <w:marRight w:val="0"/>
          <w:marTop w:val="58"/>
          <w:marBottom w:val="0"/>
          <w:divBdr>
            <w:top w:val="none" w:sz="0" w:space="0" w:color="auto"/>
            <w:left w:val="none" w:sz="0" w:space="0" w:color="auto"/>
            <w:bottom w:val="none" w:sz="0" w:space="0" w:color="auto"/>
            <w:right w:val="none" w:sz="0" w:space="0" w:color="auto"/>
          </w:divBdr>
        </w:div>
        <w:div w:id="593246264">
          <w:marLeft w:val="547"/>
          <w:marRight w:val="0"/>
          <w:marTop w:val="58"/>
          <w:marBottom w:val="0"/>
          <w:divBdr>
            <w:top w:val="none" w:sz="0" w:space="0" w:color="auto"/>
            <w:left w:val="none" w:sz="0" w:space="0" w:color="auto"/>
            <w:bottom w:val="none" w:sz="0" w:space="0" w:color="auto"/>
            <w:right w:val="none" w:sz="0" w:space="0" w:color="auto"/>
          </w:divBdr>
        </w:div>
        <w:div w:id="440033390">
          <w:marLeft w:val="547"/>
          <w:marRight w:val="0"/>
          <w:marTop w:val="58"/>
          <w:marBottom w:val="0"/>
          <w:divBdr>
            <w:top w:val="none" w:sz="0" w:space="0" w:color="auto"/>
            <w:left w:val="none" w:sz="0" w:space="0" w:color="auto"/>
            <w:bottom w:val="none" w:sz="0" w:space="0" w:color="auto"/>
            <w:right w:val="none" w:sz="0" w:space="0" w:color="auto"/>
          </w:divBdr>
        </w:div>
      </w:divsChild>
    </w:div>
    <w:div w:id="243802816">
      <w:bodyDiv w:val="1"/>
      <w:marLeft w:val="0"/>
      <w:marRight w:val="0"/>
      <w:marTop w:val="0"/>
      <w:marBottom w:val="0"/>
      <w:divBdr>
        <w:top w:val="none" w:sz="0" w:space="0" w:color="auto"/>
        <w:left w:val="none" w:sz="0" w:space="0" w:color="auto"/>
        <w:bottom w:val="none" w:sz="0" w:space="0" w:color="auto"/>
        <w:right w:val="none" w:sz="0" w:space="0" w:color="auto"/>
      </w:divBdr>
    </w:div>
    <w:div w:id="245308680">
      <w:bodyDiv w:val="1"/>
      <w:marLeft w:val="0"/>
      <w:marRight w:val="0"/>
      <w:marTop w:val="0"/>
      <w:marBottom w:val="0"/>
      <w:divBdr>
        <w:top w:val="none" w:sz="0" w:space="0" w:color="auto"/>
        <w:left w:val="none" w:sz="0" w:space="0" w:color="auto"/>
        <w:bottom w:val="none" w:sz="0" w:space="0" w:color="auto"/>
        <w:right w:val="none" w:sz="0" w:space="0" w:color="auto"/>
      </w:divBdr>
    </w:div>
    <w:div w:id="269776699">
      <w:bodyDiv w:val="1"/>
      <w:marLeft w:val="0"/>
      <w:marRight w:val="0"/>
      <w:marTop w:val="0"/>
      <w:marBottom w:val="0"/>
      <w:divBdr>
        <w:top w:val="none" w:sz="0" w:space="0" w:color="auto"/>
        <w:left w:val="none" w:sz="0" w:space="0" w:color="auto"/>
        <w:bottom w:val="none" w:sz="0" w:space="0" w:color="auto"/>
        <w:right w:val="none" w:sz="0" w:space="0" w:color="auto"/>
      </w:divBdr>
      <w:divsChild>
        <w:div w:id="929585135">
          <w:marLeft w:val="1973"/>
          <w:marRight w:val="0"/>
          <w:marTop w:val="160"/>
          <w:marBottom w:val="0"/>
          <w:divBdr>
            <w:top w:val="none" w:sz="0" w:space="0" w:color="auto"/>
            <w:left w:val="none" w:sz="0" w:space="0" w:color="auto"/>
            <w:bottom w:val="none" w:sz="0" w:space="0" w:color="auto"/>
            <w:right w:val="none" w:sz="0" w:space="0" w:color="auto"/>
          </w:divBdr>
        </w:div>
        <w:div w:id="1967852366">
          <w:marLeft w:val="1973"/>
          <w:marRight w:val="0"/>
          <w:marTop w:val="160"/>
          <w:marBottom w:val="0"/>
          <w:divBdr>
            <w:top w:val="none" w:sz="0" w:space="0" w:color="auto"/>
            <w:left w:val="none" w:sz="0" w:space="0" w:color="auto"/>
            <w:bottom w:val="none" w:sz="0" w:space="0" w:color="auto"/>
            <w:right w:val="none" w:sz="0" w:space="0" w:color="auto"/>
          </w:divBdr>
        </w:div>
      </w:divsChild>
    </w:div>
    <w:div w:id="377555844">
      <w:bodyDiv w:val="1"/>
      <w:marLeft w:val="0"/>
      <w:marRight w:val="0"/>
      <w:marTop w:val="0"/>
      <w:marBottom w:val="0"/>
      <w:divBdr>
        <w:top w:val="none" w:sz="0" w:space="0" w:color="auto"/>
        <w:left w:val="none" w:sz="0" w:space="0" w:color="auto"/>
        <w:bottom w:val="none" w:sz="0" w:space="0" w:color="auto"/>
        <w:right w:val="none" w:sz="0" w:space="0" w:color="auto"/>
      </w:divBdr>
    </w:div>
    <w:div w:id="392120860">
      <w:bodyDiv w:val="1"/>
      <w:marLeft w:val="0"/>
      <w:marRight w:val="0"/>
      <w:marTop w:val="0"/>
      <w:marBottom w:val="0"/>
      <w:divBdr>
        <w:top w:val="none" w:sz="0" w:space="0" w:color="auto"/>
        <w:left w:val="none" w:sz="0" w:space="0" w:color="auto"/>
        <w:bottom w:val="none" w:sz="0" w:space="0" w:color="auto"/>
        <w:right w:val="none" w:sz="0" w:space="0" w:color="auto"/>
      </w:divBdr>
    </w:div>
    <w:div w:id="394426997">
      <w:bodyDiv w:val="1"/>
      <w:marLeft w:val="0"/>
      <w:marRight w:val="0"/>
      <w:marTop w:val="0"/>
      <w:marBottom w:val="0"/>
      <w:divBdr>
        <w:top w:val="none" w:sz="0" w:space="0" w:color="auto"/>
        <w:left w:val="none" w:sz="0" w:space="0" w:color="auto"/>
        <w:bottom w:val="none" w:sz="0" w:space="0" w:color="auto"/>
        <w:right w:val="none" w:sz="0" w:space="0" w:color="auto"/>
      </w:divBdr>
    </w:div>
    <w:div w:id="394819408">
      <w:bodyDiv w:val="1"/>
      <w:marLeft w:val="0"/>
      <w:marRight w:val="0"/>
      <w:marTop w:val="0"/>
      <w:marBottom w:val="0"/>
      <w:divBdr>
        <w:top w:val="none" w:sz="0" w:space="0" w:color="auto"/>
        <w:left w:val="none" w:sz="0" w:space="0" w:color="auto"/>
        <w:bottom w:val="none" w:sz="0" w:space="0" w:color="auto"/>
        <w:right w:val="none" w:sz="0" w:space="0" w:color="auto"/>
      </w:divBdr>
      <w:divsChild>
        <w:div w:id="124783168">
          <w:marLeft w:val="547"/>
          <w:marRight w:val="0"/>
          <w:marTop w:val="58"/>
          <w:marBottom w:val="0"/>
          <w:divBdr>
            <w:top w:val="none" w:sz="0" w:space="0" w:color="auto"/>
            <w:left w:val="none" w:sz="0" w:space="0" w:color="auto"/>
            <w:bottom w:val="none" w:sz="0" w:space="0" w:color="auto"/>
            <w:right w:val="none" w:sz="0" w:space="0" w:color="auto"/>
          </w:divBdr>
        </w:div>
        <w:div w:id="2039159372">
          <w:marLeft w:val="547"/>
          <w:marRight w:val="0"/>
          <w:marTop w:val="58"/>
          <w:marBottom w:val="0"/>
          <w:divBdr>
            <w:top w:val="none" w:sz="0" w:space="0" w:color="auto"/>
            <w:left w:val="none" w:sz="0" w:space="0" w:color="auto"/>
            <w:bottom w:val="none" w:sz="0" w:space="0" w:color="auto"/>
            <w:right w:val="none" w:sz="0" w:space="0" w:color="auto"/>
          </w:divBdr>
        </w:div>
        <w:div w:id="1747605088">
          <w:marLeft w:val="547"/>
          <w:marRight w:val="0"/>
          <w:marTop w:val="58"/>
          <w:marBottom w:val="0"/>
          <w:divBdr>
            <w:top w:val="none" w:sz="0" w:space="0" w:color="auto"/>
            <w:left w:val="none" w:sz="0" w:space="0" w:color="auto"/>
            <w:bottom w:val="none" w:sz="0" w:space="0" w:color="auto"/>
            <w:right w:val="none" w:sz="0" w:space="0" w:color="auto"/>
          </w:divBdr>
        </w:div>
        <w:div w:id="916211642">
          <w:marLeft w:val="547"/>
          <w:marRight w:val="0"/>
          <w:marTop w:val="58"/>
          <w:marBottom w:val="0"/>
          <w:divBdr>
            <w:top w:val="none" w:sz="0" w:space="0" w:color="auto"/>
            <w:left w:val="none" w:sz="0" w:space="0" w:color="auto"/>
            <w:bottom w:val="none" w:sz="0" w:space="0" w:color="auto"/>
            <w:right w:val="none" w:sz="0" w:space="0" w:color="auto"/>
          </w:divBdr>
        </w:div>
        <w:div w:id="1370570029">
          <w:marLeft w:val="547"/>
          <w:marRight w:val="0"/>
          <w:marTop w:val="58"/>
          <w:marBottom w:val="0"/>
          <w:divBdr>
            <w:top w:val="none" w:sz="0" w:space="0" w:color="auto"/>
            <w:left w:val="none" w:sz="0" w:space="0" w:color="auto"/>
            <w:bottom w:val="none" w:sz="0" w:space="0" w:color="auto"/>
            <w:right w:val="none" w:sz="0" w:space="0" w:color="auto"/>
          </w:divBdr>
        </w:div>
        <w:div w:id="1824735907">
          <w:marLeft w:val="547"/>
          <w:marRight w:val="0"/>
          <w:marTop w:val="58"/>
          <w:marBottom w:val="0"/>
          <w:divBdr>
            <w:top w:val="none" w:sz="0" w:space="0" w:color="auto"/>
            <w:left w:val="none" w:sz="0" w:space="0" w:color="auto"/>
            <w:bottom w:val="none" w:sz="0" w:space="0" w:color="auto"/>
            <w:right w:val="none" w:sz="0" w:space="0" w:color="auto"/>
          </w:divBdr>
        </w:div>
        <w:div w:id="1022783173">
          <w:marLeft w:val="547"/>
          <w:marRight w:val="0"/>
          <w:marTop w:val="58"/>
          <w:marBottom w:val="0"/>
          <w:divBdr>
            <w:top w:val="none" w:sz="0" w:space="0" w:color="auto"/>
            <w:left w:val="none" w:sz="0" w:space="0" w:color="auto"/>
            <w:bottom w:val="none" w:sz="0" w:space="0" w:color="auto"/>
            <w:right w:val="none" w:sz="0" w:space="0" w:color="auto"/>
          </w:divBdr>
        </w:div>
      </w:divsChild>
    </w:div>
    <w:div w:id="453793910">
      <w:bodyDiv w:val="1"/>
      <w:marLeft w:val="0"/>
      <w:marRight w:val="0"/>
      <w:marTop w:val="0"/>
      <w:marBottom w:val="0"/>
      <w:divBdr>
        <w:top w:val="none" w:sz="0" w:space="0" w:color="auto"/>
        <w:left w:val="none" w:sz="0" w:space="0" w:color="auto"/>
        <w:bottom w:val="none" w:sz="0" w:space="0" w:color="auto"/>
        <w:right w:val="none" w:sz="0" w:space="0" w:color="auto"/>
      </w:divBdr>
    </w:div>
    <w:div w:id="491800122">
      <w:bodyDiv w:val="1"/>
      <w:marLeft w:val="0"/>
      <w:marRight w:val="0"/>
      <w:marTop w:val="0"/>
      <w:marBottom w:val="0"/>
      <w:divBdr>
        <w:top w:val="none" w:sz="0" w:space="0" w:color="auto"/>
        <w:left w:val="none" w:sz="0" w:space="0" w:color="auto"/>
        <w:bottom w:val="none" w:sz="0" w:space="0" w:color="auto"/>
        <w:right w:val="none" w:sz="0" w:space="0" w:color="auto"/>
      </w:divBdr>
    </w:div>
    <w:div w:id="559755336">
      <w:bodyDiv w:val="1"/>
      <w:marLeft w:val="0"/>
      <w:marRight w:val="0"/>
      <w:marTop w:val="0"/>
      <w:marBottom w:val="0"/>
      <w:divBdr>
        <w:top w:val="none" w:sz="0" w:space="0" w:color="auto"/>
        <w:left w:val="none" w:sz="0" w:space="0" w:color="auto"/>
        <w:bottom w:val="none" w:sz="0" w:space="0" w:color="auto"/>
        <w:right w:val="none" w:sz="0" w:space="0" w:color="auto"/>
      </w:divBdr>
    </w:div>
    <w:div w:id="612639394">
      <w:bodyDiv w:val="1"/>
      <w:marLeft w:val="0"/>
      <w:marRight w:val="0"/>
      <w:marTop w:val="0"/>
      <w:marBottom w:val="0"/>
      <w:divBdr>
        <w:top w:val="none" w:sz="0" w:space="0" w:color="auto"/>
        <w:left w:val="none" w:sz="0" w:space="0" w:color="auto"/>
        <w:bottom w:val="none" w:sz="0" w:space="0" w:color="auto"/>
        <w:right w:val="none" w:sz="0" w:space="0" w:color="auto"/>
      </w:divBdr>
      <w:divsChild>
        <w:div w:id="106780011">
          <w:marLeft w:val="547"/>
          <w:marRight w:val="0"/>
          <w:marTop w:val="154"/>
          <w:marBottom w:val="0"/>
          <w:divBdr>
            <w:top w:val="none" w:sz="0" w:space="0" w:color="auto"/>
            <w:left w:val="none" w:sz="0" w:space="0" w:color="auto"/>
            <w:bottom w:val="none" w:sz="0" w:space="0" w:color="auto"/>
            <w:right w:val="none" w:sz="0" w:space="0" w:color="auto"/>
          </w:divBdr>
        </w:div>
        <w:div w:id="279190157">
          <w:marLeft w:val="547"/>
          <w:marRight w:val="0"/>
          <w:marTop w:val="154"/>
          <w:marBottom w:val="0"/>
          <w:divBdr>
            <w:top w:val="none" w:sz="0" w:space="0" w:color="auto"/>
            <w:left w:val="none" w:sz="0" w:space="0" w:color="auto"/>
            <w:bottom w:val="none" w:sz="0" w:space="0" w:color="auto"/>
            <w:right w:val="none" w:sz="0" w:space="0" w:color="auto"/>
          </w:divBdr>
        </w:div>
        <w:div w:id="1248466342">
          <w:marLeft w:val="547"/>
          <w:marRight w:val="0"/>
          <w:marTop w:val="154"/>
          <w:marBottom w:val="0"/>
          <w:divBdr>
            <w:top w:val="none" w:sz="0" w:space="0" w:color="auto"/>
            <w:left w:val="none" w:sz="0" w:space="0" w:color="auto"/>
            <w:bottom w:val="none" w:sz="0" w:space="0" w:color="auto"/>
            <w:right w:val="none" w:sz="0" w:space="0" w:color="auto"/>
          </w:divBdr>
        </w:div>
      </w:divsChild>
    </w:div>
    <w:div w:id="679042351">
      <w:bodyDiv w:val="1"/>
      <w:marLeft w:val="0"/>
      <w:marRight w:val="0"/>
      <w:marTop w:val="0"/>
      <w:marBottom w:val="0"/>
      <w:divBdr>
        <w:top w:val="none" w:sz="0" w:space="0" w:color="auto"/>
        <w:left w:val="none" w:sz="0" w:space="0" w:color="auto"/>
        <w:bottom w:val="none" w:sz="0" w:space="0" w:color="auto"/>
        <w:right w:val="none" w:sz="0" w:space="0" w:color="auto"/>
      </w:divBdr>
      <w:divsChild>
        <w:div w:id="517935084">
          <w:marLeft w:val="432"/>
          <w:marRight w:val="0"/>
          <w:marTop w:val="116"/>
          <w:marBottom w:val="0"/>
          <w:divBdr>
            <w:top w:val="none" w:sz="0" w:space="0" w:color="auto"/>
            <w:left w:val="none" w:sz="0" w:space="0" w:color="auto"/>
            <w:bottom w:val="none" w:sz="0" w:space="0" w:color="auto"/>
            <w:right w:val="none" w:sz="0" w:space="0" w:color="auto"/>
          </w:divBdr>
        </w:div>
        <w:div w:id="585769937">
          <w:marLeft w:val="432"/>
          <w:marRight w:val="0"/>
          <w:marTop w:val="116"/>
          <w:marBottom w:val="0"/>
          <w:divBdr>
            <w:top w:val="none" w:sz="0" w:space="0" w:color="auto"/>
            <w:left w:val="none" w:sz="0" w:space="0" w:color="auto"/>
            <w:bottom w:val="none" w:sz="0" w:space="0" w:color="auto"/>
            <w:right w:val="none" w:sz="0" w:space="0" w:color="auto"/>
          </w:divBdr>
        </w:div>
        <w:div w:id="638456060">
          <w:marLeft w:val="432"/>
          <w:marRight w:val="0"/>
          <w:marTop w:val="116"/>
          <w:marBottom w:val="0"/>
          <w:divBdr>
            <w:top w:val="none" w:sz="0" w:space="0" w:color="auto"/>
            <w:left w:val="none" w:sz="0" w:space="0" w:color="auto"/>
            <w:bottom w:val="none" w:sz="0" w:space="0" w:color="auto"/>
            <w:right w:val="none" w:sz="0" w:space="0" w:color="auto"/>
          </w:divBdr>
        </w:div>
        <w:div w:id="1463840720">
          <w:marLeft w:val="432"/>
          <w:marRight w:val="0"/>
          <w:marTop w:val="116"/>
          <w:marBottom w:val="0"/>
          <w:divBdr>
            <w:top w:val="none" w:sz="0" w:space="0" w:color="auto"/>
            <w:left w:val="none" w:sz="0" w:space="0" w:color="auto"/>
            <w:bottom w:val="none" w:sz="0" w:space="0" w:color="auto"/>
            <w:right w:val="none" w:sz="0" w:space="0" w:color="auto"/>
          </w:divBdr>
        </w:div>
      </w:divsChild>
    </w:div>
    <w:div w:id="725224958">
      <w:bodyDiv w:val="1"/>
      <w:marLeft w:val="0"/>
      <w:marRight w:val="0"/>
      <w:marTop w:val="0"/>
      <w:marBottom w:val="0"/>
      <w:divBdr>
        <w:top w:val="none" w:sz="0" w:space="0" w:color="auto"/>
        <w:left w:val="none" w:sz="0" w:space="0" w:color="auto"/>
        <w:bottom w:val="none" w:sz="0" w:space="0" w:color="auto"/>
        <w:right w:val="none" w:sz="0" w:space="0" w:color="auto"/>
      </w:divBdr>
    </w:div>
    <w:div w:id="755634463">
      <w:bodyDiv w:val="1"/>
      <w:marLeft w:val="0"/>
      <w:marRight w:val="0"/>
      <w:marTop w:val="0"/>
      <w:marBottom w:val="0"/>
      <w:divBdr>
        <w:top w:val="none" w:sz="0" w:space="0" w:color="auto"/>
        <w:left w:val="none" w:sz="0" w:space="0" w:color="auto"/>
        <w:bottom w:val="none" w:sz="0" w:space="0" w:color="auto"/>
        <w:right w:val="none" w:sz="0" w:space="0" w:color="auto"/>
      </w:divBdr>
      <w:divsChild>
        <w:div w:id="1766537091">
          <w:marLeft w:val="547"/>
          <w:marRight w:val="0"/>
          <w:marTop w:val="58"/>
          <w:marBottom w:val="0"/>
          <w:divBdr>
            <w:top w:val="none" w:sz="0" w:space="0" w:color="auto"/>
            <w:left w:val="none" w:sz="0" w:space="0" w:color="auto"/>
            <w:bottom w:val="none" w:sz="0" w:space="0" w:color="auto"/>
            <w:right w:val="none" w:sz="0" w:space="0" w:color="auto"/>
          </w:divBdr>
        </w:div>
        <w:div w:id="2049793982">
          <w:marLeft w:val="547"/>
          <w:marRight w:val="0"/>
          <w:marTop w:val="58"/>
          <w:marBottom w:val="0"/>
          <w:divBdr>
            <w:top w:val="none" w:sz="0" w:space="0" w:color="auto"/>
            <w:left w:val="none" w:sz="0" w:space="0" w:color="auto"/>
            <w:bottom w:val="none" w:sz="0" w:space="0" w:color="auto"/>
            <w:right w:val="none" w:sz="0" w:space="0" w:color="auto"/>
          </w:divBdr>
        </w:div>
        <w:div w:id="2124763996">
          <w:marLeft w:val="547"/>
          <w:marRight w:val="0"/>
          <w:marTop w:val="58"/>
          <w:marBottom w:val="0"/>
          <w:divBdr>
            <w:top w:val="none" w:sz="0" w:space="0" w:color="auto"/>
            <w:left w:val="none" w:sz="0" w:space="0" w:color="auto"/>
            <w:bottom w:val="none" w:sz="0" w:space="0" w:color="auto"/>
            <w:right w:val="none" w:sz="0" w:space="0" w:color="auto"/>
          </w:divBdr>
        </w:div>
        <w:div w:id="1295209460">
          <w:marLeft w:val="547"/>
          <w:marRight w:val="0"/>
          <w:marTop w:val="58"/>
          <w:marBottom w:val="0"/>
          <w:divBdr>
            <w:top w:val="none" w:sz="0" w:space="0" w:color="auto"/>
            <w:left w:val="none" w:sz="0" w:space="0" w:color="auto"/>
            <w:bottom w:val="none" w:sz="0" w:space="0" w:color="auto"/>
            <w:right w:val="none" w:sz="0" w:space="0" w:color="auto"/>
          </w:divBdr>
        </w:div>
        <w:div w:id="1739015092">
          <w:marLeft w:val="547"/>
          <w:marRight w:val="0"/>
          <w:marTop w:val="58"/>
          <w:marBottom w:val="0"/>
          <w:divBdr>
            <w:top w:val="none" w:sz="0" w:space="0" w:color="auto"/>
            <w:left w:val="none" w:sz="0" w:space="0" w:color="auto"/>
            <w:bottom w:val="none" w:sz="0" w:space="0" w:color="auto"/>
            <w:right w:val="none" w:sz="0" w:space="0" w:color="auto"/>
          </w:divBdr>
        </w:div>
        <w:div w:id="916980173">
          <w:marLeft w:val="547"/>
          <w:marRight w:val="0"/>
          <w:marTop w:val="58"/>
          <w:marBottom w:val="0"/>
          <w:divBdr>
            <w:top w:val="none" w:sz="0" w:space="0" w:color="auto"/>
            <w:left w:val="none" w:sz="0" w:space="0" w:color="auto"/>
            <w:bottom w:val="none" w:sz="0" w:space="0" w:color="auto"/>
            <w:right w:val="none" w:sz="0" w:space="0" w:color="auto"/>
          </w:divBdr>
        </w:div>
        <w:div w:id="1331061333">
          <w:marLeft w:val="547"/>
          <w:marRight w:val="0"/>
          <w:marTop w:val="58"/>
          <w:marBottom w:val="0"/>
          <w:divBdr>
            <w:top w:val="none" w:sz="0" w:space="0" w:color="auto"/>
            <w:left w:val="none" w:sz="0" w:space="0" w:color="auto"/>
            <w:bottom w:val="none" w:sz="0" w:space="0" w:color="auto"/>
            <w:right w:val="none" w:sz="0" w:space="0" w:color="auto"/>
          </w:divBdr>
        </w:div>
        <w:div w:id="2011256442">
          <w:marLeft w:val="547"/>
          <w:marRight w:val="0"/>
          <w:marTop w:val="58"/>
          <w:marBottom w:val="0"/>
          <w:divBdr>
            <w:top w:val="none" w:sz="0" w:space="0" w:color="auto"/>
            <w:left w:val="none" w:sz="0" w:space="0" w:color="auto"/>
            <w:bottom w:val="none" w:sz="0" w:space="0" w:color="auto"/>
            <w:right w:val="none" w:sz="0" w:space="0" w:color="auto"/>
          </w:divBdr>
        </w:div>
      </w:divsChild>
    </w:div>
    <w:div w:id="771977092">
      <w:bodyDiv w:val="1"/>
      <w:marLeft w:val="0"/>
      <w:marRight w:val="0"/>
      <w:marTop w:val="0"/>
      <w:marBottom w:val="0"/>
      <w:divBdr>
        <w:top w:val="none" w:sz="0" w:space="0" w:color="auto"/>
        <w:left w:val="none" w:sz="0" w:space="0" w:color="auto"/>
        <w:bottom w:val="none" w:sz="0" w:space="0" w:color="auto"/>
        <w:right w:val="none" w:sz="0" w:space="0" w:color="auto"/>
      </w:divBdr>
      <w:divsChild>
        <w:div w:id="1261838810">
          <w:marLeft w:val="547"/>
          <w:marRight w:val="0"/>
          <w:marTop w:val="58"/>
          <w:marBottom w:val="0"/>
          <w:divBdr>
            <w:top w:val="none" w:sz="0" w:space="0" w:color="auto"/>
            <w:left w:val="none" w:sz="0" w:space="0" w:color="auto"/>
            <w:bottom w:val="none" w:sz="0" w:space="0" w:color="auto"/>
            <w:right w:val="none" w:sz="0" w:space="0" w:color="auto"/>
          </w:divBdr>
        </w:div>
        <w:div w:id="2029981653">
          <w:marLeft w:val="547"/>
          <w:marRight w:val="0"/>
          <w:marTop w:val="58"/>
          <w:marBottom w:val="0"/>
          <w:divBdr>
            <w:top w:val="none" w:sz="0" w:space="0" w:color="auto"/>
            <w:left w:val="none" w:sz="0" w:space="0" w:color="auto"/>
            <w:bottom w:val="none" w:sz="0" w:space="0" w:color="auto"/>
            <w:right w:val="none" w:sz="0" w:space="0" w:color="auto"/>
          </w:divBdr>
        </w:div>
        <w:div w:id="782456651">
          <w:marLeft w:val="547"/>
          <w:marRight w:val="0"/>
          <w:marTop w:val="58"/>
          <w:marBottom w:val="0"/>
          <w:divBdr>
            <w:top w:val="none" w:sz="0" w:space="0" w:color="auto"/>
            <w:left w:val="none" w:sz="0" w:space="0" w:color="auto"/>
            <w:bottom w:val="none" w:sz="0" w:space="0" w:color="auto"/>
            <w:right w:val="none" w:sz="0" w:space="0" w:color="auto"/>
          </w:divBdr>
        </w:div>
        <w:div w:id="2053072670">
          <w:marLeft w:val="547"/>
          <w:marRight w:val="0"/>
          <w:marTop w:val="58"/>
          <w:marBottom w:val="0"/>
          <w:divBdr>
            <w:top w:val="none" w:sz="0" w:space="0" w:color="auto"/>
            <w:left w:val="none" w:sz="0" w:space="0" w:color="auto"/>
            <w:bottom w:val="none" w:sz="0" w:space="0" w:color="auto"/>
            <w:right w:val="none" w:sz="0" w:space="0" w:color="auto"/>
          </w:divBdr>
        </w:div>
        <w:div w:id="1835682250">
          <w:marLeft w:val="547"/>
          <w:marRight w:val="0"/>
          <w:marTop w:val="58"/>
          <w:marBottom w:val="0"/>
          <w:divBdr>
            <w:top w:val="none" w:sz="0" w:space="0" w:color="auto"/>
            <w:left w:val="none" w:sz="0" w:space="0" w:color="auto"/>
            <w:bottom w:val="none" w:sz="0" w:space="0" w:color="auto"/>
            <w:right w:val="none" w:sz="0" w:space="0" w:color="auto"/>
          </w:divBdr>
        </w:div>
        <w:div w:id="933591538">
          <w:marLeft w:val="547"/>
          <w:marRight w:val="0"/>
          <w:marTop w:val="58"/>
          <w:marBottom w:val="0"/>
          <w:divBdr>
            <w:top w:val="none" w:sz="0" w:space="0" w:color="auto"/>
            <w:left w:val="none" w:sz="0" w:space="0" w:color="auto"/>
            <w:bottom w:val="none" w:sz="0" w:space="0" w:color="auto"/>
            <w:right w:val="none" w:sz="0" w:space="0" w:color="auto"/>
          </w:divBdr>
        </w:div>
        <w:div w:id="169804365">
          <w:marLeft w:val="547"/>
          <w:marRight w:val="0"/>
          <w:marTop w:val="58"/>
          <w:marBottom w:val="0"/>
          <w:divBdr>
            <w:top w:val="none" w:sz="0" w:space="0" w:color="auto"/>
            <w:left w:val="none" w:sz="0" w:space="0" w:color="auto"/>
            <w:bottom w:val="none" w:sz="0" w:space="0" w:color="auto"/>
            <w:right w:val="none" w:sz="0" w:space="0" w:color="auto"/>
          </w:divBdr>
        </w:div>
        <w:div w:id="1661345303">
          <w:marLeft w:val="547"/>
          <w:marRight w:val="0"/>
          <w:marTop w:val="58"/>
          <w:marBottom w:val="0"/>
          <w:divBdr>
            <w:top w:val="none" w:sz="0" w:space="0" w:color="auto"/>
            <w:left w:val="none" w:sz="0" w:space="0" w:color="auto"/>
            <w:bottom w:val="none" w:sz="0" w:space="0" w:color="auto"/>
            <w:right w:val="none" w:sz="0" w:space="0" w:color="auto"/>
          </w:divBdr>
        </w:div>
        <w:div w:id="1246651397">
          <w:marLeft w:val="547"/>
          <w:marRight w:val="0"/>
          <w:marTop w:val="58"/>
          <w:marBottom w:val="0"/>
          <w:divBdr>
            <w:top w:val="none" w:sz="0" w:space="0" w:color="auto"/>
            <w:left w:val="none" w:sz="0" w:space="0" w:color="auto"/>
            <w:bottom w:val="none" w:sz="0" w:space="0" w:color="auto"/>
            <w:right w:val="none" w:sz="0" w:space="0" w:color="auto"/>
          </w:divBdr>
        </w:div>
      </w:divsChild>
    </w:div>
    <w:div w:id="797138620">
      <w:bodyDiv w:val="1"/>
      <w:marLeft w:val="0"/>
      <w:marRight w:val="0"/>
      <w:marTop w:val="0"/>
      <w:marBottom w:val="0"/>
      <w:divBdr>
        <w:top w:val="none" w:sz="0" w:space="0" w:color="auto"/>
        <w:left w:val="none" w:sz="0" w:space="0" w:color="auto"/>
        <w:bottom w:val="none" w:sz="0" w:space="0" w:color="auto"/>
        <w:right w:val="none" w:sz="0" w:space="0" w:color="auto"/>
      </w:divBdr>
    </w:div>
    <w:div w:id="894194857">
      <w:bodyDiv w:val="1"/>
      <w:marLeft w:val="0"/>
      <w:marRight w:val="0"/>
      <w:marTop w:val="0"/>
      <w:marBottom w:val="0"/>
      <w:divBdr>
        <w:top w:val="none" w:sz="0" w:space="0" w:color="auto"/>
        <w:left w:val="none" w:sz="0" w:space="0" w:color="auto"/>
        <w:bottom w:val="none" w:sz="0" w:space="0" w:color="auto"/>
        <w:right w:val="none" w:sz="0" w:space="0" w:color="auto"/>
      </w:divBdr>
      <w:divsChild>
        <w:div w:id="1590193962">
          <w:marLeft w:val="547"/>
          <w:marRight w:val="0"/>
          <w:marTop w:val="0"/>
          <w:marBottom w:val="0"/>
          <w:divBdr>
            <w:top w:val="none" w:sz="0" w:space="0" w:color="auto"/>
            <w:left w:val="none" w:sz="0" w:space="0" w:color="auto"/>
            <w:bottom w:val="none" w:sz="0" w:space="0" w:color="auto"/>
            <w:right w:val="none" w:sz="0" w:space="0" w:color="auto"/>
          </w:divBdr>
        </w:div>
      </w:divsChild>
    </w:div>
    <w:div w:id="903761055">
      <w:bodyDiv w:val="1"/>
      <w:marLeft w:val="0"/>
      <w:marRight w:val="0"/>
      <w:marTop w:val="0"/>
      <w:marBottom w:val="0"/>
      <w:divBdr>
        <w:top w:val="none" w:sz="0" w:space="0" w:color="auto"/>
        <w:left w:val="none" w:sz="0" w:space="0" w:color="auto"/>
        <w:bottom w:val="none" w:sz="0" w:space="0" w:color="auto"/>
        <w:right w:val="none" w:sz="0" w:space="0" w:color="auto"/>
      </w:divBdr>
    </w:div>
    <w:div w:id="929580001">
      <w:bodyDiv w:val="1"/>
      <w:marLeft w:val="0"/>
      <w:marRight w:val="0"/>
      <w:marTop w:val="0"/>
      <w:marBottom w:val="0"/>
      <w:divBdr>
        <w:top w:val="none" w:sz="0" w:space="0" w:color="auto"/>
        <w:left w:val="none" w:sz="0" w:space="0" w:color="auto"/>
        <w:bottom w:val="none" w:sz="0" w:space="0" w:color="auto"/>
        <w:right w:val="none" w:sz="0" w:space="0" w:color="auto"/>
      </w:divBdr>
      <w:divsChild>
        <w:div w:id="151261973">
          <w:marLeft w:val="547"/>
          <w:marRight w:val="0"/>
          <w:marTop w:val="58"/>
          <w:marBottom w:val="0"/>
          <w:divBdr>
            <w:top w:val="none" w:sz="0" w:space="0" w:color="auto"/>
            <w:left w:val="none" w:sz="0" w:space="0" w:color="auto"/>
            <w:bottom w:val="none" w:sz="0" w:space="0" w:color="auto"/>
            <w:right w:val="none" w:sz="0" w:space="0" w:color="auto"/>
          </w:divBdr>
        </w:div>
        <w:div w:id="1681155337">
          <w:marLeft w:val="547"/>
          <w:marRight w:val="0"/>
          <w:marTop w:val="58"/>
          <w:marBottom w:val="0"/>
          <w:divBdr>
            <w:top w:val="none" w:sz="0" w:space="0" w:color="auto"/>
            <w:left w:val="none" w:sz="0" w:space="0" w:color="auto"/>
            <w:bottom w:val="none" w:sz="0" w:space="0" w:color="auto"/>
            <w:right w:val="none" w:sz="0" w:space="0" w:color="auto"/>
          </w:divBdr>
        </w:div>
        <w:div w:id="71590666">
          <w:marLeft w:val="547"/>
          <w:marRight w:val="0"/>
          <w:marTop w:val="58"/>
          <w:marBottom w:val="0"/>
          <w:divBdr>
            <w:top w:val="none" w:sz="0" w:space="0" w:color="auto"/>
            <w:left w:val="none" w:sz="0" w:space="0" w:color="auto"/>
            <w:bottom w:val="none" w:sz="0" w:space="0" w:color="auto"/>
            <w:right w:val="none" w:sz="0" w:space="0" w:color="auto"/>
          </w:divBdr>
        </w:div>
        <w:div w:id="1536044589">
          <w:marLeft w:val="547"/>
          <w:marRight w:val="0"/>
          <w:marTop w:val="58"/>
          <w:marBottom w:val="0"/>
          <w:divBdr>
            <w:top w:val="none" w:sz="0" w:space="0" w:color="auto"/>
            <w:left w:val="none" w:sz="0" w:space="0" w:color="auto"/>
            <w:bottom w:val="none" w:sz="0" w:space="0" w:color="auto"/>
            <w:right w:val="none" w:sz="0" w:space="0" w:color="auto"/>
          </w:divBdr>
        </w:div>
        <w:div w:id="465199172">
          <w:marLeft w:val="547"/>
          <w:marRight w:val="0"/>
          <w:marTop w:val="58"/>
          <w:marBottom w:val="0"/>
          <w:divBdr>
            <w:top w:val="none" w:sz="0" w:space="0" w:color="auto"/>
            <w:left w:val="none" w:sz="0" w:space="0" w:color="auto"/>
            <w:bottom w:val="none" w:sz="0" w:space="0" w:color="auto"/>
            <w:right w:val="none" w:sz="0" w:space="0" w:color="auto"/>
          </w:divBdr>
        </w:div>
        <w:div w:id="1378503863">
          <w:marLeft w:val="547"/>
          <w:marRight w:val="0"/>
          <w:marTop w:val="58"/>
          <w:marBottom w:val="0"/>
          <w:divBdr>
            <w:top w:val="none" w:sz="0" w:space="0" w:color="auto"/>
            <w:left w:val="none" w:sz="0" w:space="0" w:color="auto"/>
            <w:bottom w:val="none" w:sz="0" w:space="0" w:color="auto"/>
            <w:right w:val="none" w:sz="0" w:space="0" w:color="auto"/>
          </w:divBdr>
        </w:div>
        <w:div w:id="1123424931">
          <w:marLeft w:val="547"/>
          <w:marRight w:val="0"/>
          <w:marTop w:val="58"/>
          <w:marBottom w:val="0"/>
          <w:divBdr>
            <w:top w:val="none" w:sz="0" w:space="0" w:color="auto"/>
            <w:left w:val="none" w:sz="0" w:space="0" w:color="auto"/>
            <w:bottom w:val="none" w:sz="0" w:space="0" w:color="auto"/>
            <w:right w:val="none" w:sz="0" w:space="0" w:color="auto"/>
          </w:divBdr>
        </w:div>
        <w:div w:id="1675526054">
          <w:marLeft w:val="547"/>
          <w:marRight w:val="0"/>
          <w:marTop w:val="58"/>
          <w:marBottom w:val="0"/>
          <w:divBdr>
            <w:top w:val="none" w:sz="0" w:space="0" w:color="auto"/>
            <w:left w:val="none" w:sz="0" w:space="0" w:color="auto"/>
            <w:bottom w:val="none" w:sz="0" w:space="0" w:color="auto"/>
            <w:right w:val="none" w:sz="0" w:space="0" w:color="auto"/>
          </w:divBdr>
        </w:div>
      </w:divsChild>
    </w:div>
    <w:div w:id="934706159">
      <w:bodyDiv w:val="1"/>
      <w:marLeft w:val="0"/>
      <w:marRight w:val="0"/>
      <w:marTop w:val="0"/>
      <w:marBottom w:val="0"/>
      <w:divBdr>
        <w:top w:val="none" w:sz="0" w:space="0" w:color="auto"/>
        <w:left w:val="none" w:sz="0" w:space="0" w:color="auto"/>
        <w:bottom w:val="none" w:sz="0" w:space="0" w:color="auto"/>
        <w:right w:val="none" w:sz="0" w:space="0" w:color="auto"/>
      </w:divBdr>
    </w:div>
    <w:div w:id="938877598">
      <w:bodyDiv w:val="1"/>
      <w:marLeft w:val="0"/>
      <w:marRight w:val="0"/>
      <w:marTop w:val="0"/>
      <w:marBottom w:val="0"/>
      <w:divBdr>
        <w:top w:val="none" w:sz="0" w:space="0" w:color="auto"/>
        <w:left w:val="none" w:sz="0" w:space="0" w:color="auto"/>
        <w:bottom w:val="none" w:sz="0" w:space="0" w:color="auto"/>
        <w:right w:val="none" w:sz="0" w:space="0" w:color="auto"/>
      </w:divBdr>
      <w:divsChild>
        <w:div w:id="33652599">
          <w:marLeft w:val="446"/>
          <w:marRight w:val="0"/>
          <w:marTop w:val="0"/>
          <w:marBottom w:val="0"/>
          <w:divBdr>
            <w:top w:val="none" w:sz="0" w:space="0" w:color="auto"/>
            <w:left w:val="none" w:sz="0" w:space="0" w:color="auto"/>
            <w:bottom w:val="none" w:sz="0" w:space="0" w:color="auto"/>
            <w:right w:val="none" w:sz="0" w:space="0" w:color="auto"/>
          </w:divBdr>
        </w:div>
        <w:div w:id="2012563327">
          <w:marLeft w:val="446"/>
          <w:marRight w:val="0"/>
          <w:marTop w:val="0"/>
          <w:marBottom w:val="0"/>
          <w:divBdr>
            <w:top w:val="none" w:sz="0" w:space="0" w:color="auto"/>
            <w:left w:val="none" w:sz="0" w:space="0" w:color="auto"/>
            <w:bottom w:val="none" w:sz="0" w:space="0" w:color="auto"/>
            <w:right w:val="none" w:sz="0" w:space="0" w:color="auto"/>
          </w:divBdr>
        </w:div>
      </w:divsChild>
    </w:div>
    <w:div w:id="973484080">
      <w:bodyDiv w:val="1"/>
      <w:marLeft w:val="0"/>
      <w:marRight w:val="0"/>
      <w:marTop w:val="0"/>
      <w:marBottom w:val="0"/>
      <w:divBdr>
        <w:top w:val="none" w:sz="0" w:space="0" w:color="auto"/>
        <w:left w:val="none" w:sz="0" w:space="0" w:color="auto"/>
        <w:bottom w:val="none" w:sz="0" w:space="0" w:color="auto"/>
        <w:right w:val="none" w:sz="0" w:space="0" w:color="auto"/>
      </w:divBdr>
    </w:div>
    <w:div w:id="1029180360">
      <w:bodyDiv w:val="1"/>
      <w:marLeft w:val="0"/>
      <w:marRight w:val="0"/>
      <w:marTop w:val="0"/>
      <w:marBottom w:val="0"/>
      <w:divBdr>
        <w:top w:val="none" w:sz="0" w:space="0" w:color="auto"/>
        <w:left w:val="none" w:sz="0" w:space="0" w:color="auto"/>
        <w:bottom w:val="none" w:sz="0" w:space="0" w:color="auto"/>
        <w:right w:val="none" w:sz="0" w:space="0" w:color="auto"/>
      </w:divBdr>
    </w:div>
    <w:div w:id="1029572908">
      <w:bodyDiv w:val="1"/>
      <w:marLeft w:val="0"/>
      <w:marRight w:val="0"/>
      <w:marTop w:val="0"/>
      <w:marBottom w:val="0"/>
      <w:divBdr>
        <w:top w:val="none" w:sz="0" w:space="0" w:color="auto"/>
        <w:left w:val="none" w:sz="0" w:space="0" w:color="auto"/>
        <w:bottom w:val="none" w:sz="0" w:space="0" w:color="auto"/>
        <w:right w:val="none" w:sz="0" w:space="0" w:color="auto"/>
      </w:divBdr>
    </w:div>
    <w:div w:id="1045838458">
      <w:bodyDiv w:val="1"/>
      <w:marLeft w:val="0"/>
      <w:marRight w:val="0"/>
      <w:marTop w:val="0"/>
      <w:marBottom w:val="0"/>
      <w:divBdr>
        <w:top w:val="none" w:sz="0" w:space="0" w:color="auto"/>
        <w:left w:val="none" w:sz="0" w:space="0" w:color="auto"/>
        <w:bottom w:val="none" w:sz="0" w:space="0" w:color="auto"/>
        <w:right w:val="none" w:sz="0" w:space="0" w:color="auto"/>
      </w:divBdr>
    </w:div>
    <w:div w:id="1071192181">
      <w:bodyDiv w:val="1"/>
      <w:marLeft w:val="0"/>
      <w:marRight w:val="0"/>
      <w:marTop w:val="0"/>
      <w:marBottom w:val="0"/>
      <w:divBdr>
        <w:top w:val="none" w:sz="0" w:space="0" w:color="auto"/>
        <w:left w:val="none" w:sz="0" w:space="0" w:color="auto"/>
        <w:bottom w:val="none" w:sz="0" w:space="0" w:color="auto"/>
        <w:right w:val="none" w:sz="0" w:space="0" w:color="auto"/>
      </w:divBdr>
    </w:div>
    <w:div w:id="1100447433">
      <w:bodyDiv w:val="1"/>
      <w:marLeft w:val="0"/>
      <w:marRight w:val="0"/>
      <w:marTop w:val="0"/>
      <w:marBottom w:val="0"/>
      <w:divBdr>
        <w:top w:val="none" w:sz="0" w:space="0" w:color="auto"/>
        <w:left w:val="none" w:sz="0" w:space="0" w:color="auto"/>
        <w:bottom w:val="none" w:sz="0" w:space="0" w:color="auto"/>
        <w:right w:val="none" w:sz="0" w:space="0" w:color="auto"/>
      </w:divBdr>
      <w:divsChild>
        <w:div w:id="115686191">
          <w:marLeft w:val="547"/>
          <w:marRight w:val="0"/>
          <w:marTop w:val="53"/>
          <w:marBottom w:val="0"/>
          <w:divBdr>
            <w:top w:val="none" w:sz="0" w:space="0" w:color="auto"/>
            <w:left w:val="none" w:sz="0" w:space="0" w:color="auto"/>
            <w:bottom w:val="none" w:sz="0" w:space="0" w:color="auto"/>
            <w:right w:val="none" w:sz="0" w:space="0" w:color="auto"/>
          </w:divBdr>
        </w:div>
        <w:div w:id="1062484590">
          <w:marLeft w:val="547"/>
          <w:marRight w:val="0"/>
          <w:marTop w:val="53"/>
          <w:marBottom w:val="0"/>
          <w:divBdr>
            <w:top w:val="none" w:sz="0" w:space="0" w:color="auto"/>
            <w:left w:val="none" w:sz="0" w:space="0" w:color="auto"/>
            <w:bottom w:val="none" w:sz="0" w:space="0" w:color="auto"/>
            <w:right w:val="none" w:sz="0" w:space="0" w:color="auto"/>
          </w:divBdr>
        </w:div>
        <w:div w:id="825779522">
          <w:marLeft w:val="547"/>
          <w:marRight w:val="0"/>
          <w:marTop w:val="53"/>
          <w:marBottom w:val="0"/>
          <w:divBdr>
            <w:top w:val="none" w:sz="0" w:space="0" w:color="auto"/>
            <w:left w:val="none" w:sz="0" w:space="0" w:color="auto"/>
            <w:bottom w:val="none" w:sz="0" w:space="0" w:color="auto"/>
            <w:right w:val="none" w:sz="0" w:space="0" w:color="auto"/>
          </w:divBdr>
        </w:div>
      </w:divsChild>
    </w:div>
    <w:div w:id="1124076332">
      <w:bodyDiv w:val="1"/>
      <w:marLeft w:val="0"/>
      <w:marRight w:val="0"/>
      <w:marTop w:val="0"/>
      <w:marBottom w:val="0"/>
      <w:divBdr>
        <w:top w:val="none" w:sz="0" w:space="0" w:color="auto"/>
        <w:left w:val="none" w:sz="0" w:space="0" w:color="auto"/>
        <w:bottom w:val="none" w:sz="0" w:space="0" w:color="auto"/>
        <w:right w:val="none" w:sz="0" w:space="0" w:color="auto"/>
      </w:divBdr>
      <w:divsChild>
        <w:div w:id="923997343">
          <w:marLeft w:val="547"/>
          <w:marRight w:val="0"/>
          <w:marTop w:val="53"/>
          <w:marBottom w:val="0"/>
          <w:divBdr>
            <w:top w:val="none" w:sz="0" w:space="0" w:color="auto"/>
            <w:left w:val="none" w:sz="0" w:space="0" w:color="auto"/>
            <w:bottom w:val="none" w:sz="0" w:space="0" w:color="auto"/>
            <w:right w:val="none" w:sz="0" w:space="0" w:color="auto"/>
          </w:divBdr>
        </w:div>
        <w:div w:id="1031765850">
          <w:marLeft w:val="547"/>
          <w:marRight w:val="0"/>
          <w:marTop w:val="53"/>
          <w:marBottom w:val="0"/>
          <w:divBdr>
            <w:top w:val="none" w:sz="0" w:space="0" w:color="auto"/>
            <w:left w:val="none" w:sz="0" w:space="0" w:color="auto"/>
            <w:bottom w:val="none" w:sz="0" w:space="0" w:color="auto"/>
            <w:right w:val="none" w:sz="0" w:space="0" w:color="auto"/>
          </w:divBdr>
        </w:div>
      </w:divsChild>
    </w:div>
    <w:div w:id="1131629910">
      <w:bodyDiv w:val="1"/>
      <w:marLeft w:val="0"/>
      <w:marRight w:val="0"/>
      <w:marTop w:val="0"/>
      <w:marBottom w:val="0"/>
      <w:divBdr>
        <w:top w:val="none" w:sz="0" w:space="0" w:color="auto"/>
        <w:left w:val="none" w:sz="0" w:space="0" w:color="auto"/>
        <w:bottom w:val="none" w:sz="0" w:space="0" w:color="auto"/>
        <w:right w:val="none" w:sz="0" w:space="0" w:color="auto"/>
      </w:divBdr>
      <w:divsChild>
        <w:div w:id="218127756">
          <w:marLeft w:val="0"/>
          <w:marRight w:val="0"/>
          <w:marTop w:val="86"/>
          <w:marBottom w:val="0"/>
          <w:divBdr>
            <w:top w:val="none" w:sz="0" w:space="0" w:color="auto"/>
            <w:left w:val="none" w:sz="0" w:space="0" w:color="auto"/>
            <w:bottom w:val="none" w:sz="0" w:space="0" w:color="auto"/>
            <w:right w:val="none" w:sz="0" w:space="0" w:color="auto"/>
          </w:divBdr>
        </w:div>
        <w:div w:id="388849486">
          <w:marLeft w:val="0"/>
          <w:marRight w:val="0"/>
          <w:marTop w:val="86"/>
          <w:marBottom w:val="0"/>
          <w:divBdr>
            <w:top w:val="none" w:sz="0" w:space="0" w:color="auto"/>
            <w:left w:val="none" w:sz="0" w:space="0" w:color="auto"/>
            <w:bottom w:val="none" w:sz="0" w:space="0" w:color="auto"/>
            <w:right w:val="none" w:sz="0" w:space="0" w:color="auto"/>
          </w:divBdr>
        </w:div>
        <w:div w:id="431241732">
          <w:marLeft w:val="0"/>
          <w:marRight w:val="0"/>
          <w:marTop w:val="86"/>
          <w:marBottom w:val="0"/>
          <w:divBdr>
            <w:top w:val="none" w:sz="0" w:space="0" w:color="auto"/>
            <w:left w:val="none" w:sz="0" w:space="0" w:color="auto"/>
            <w:bottom w:val="none" w:sz="0" w:space="0" w:color="auto"/>
            <w:right w:val="none" w:sz="0" w:space="0" w:color="auto"/>
          </w:divBdr>
        </w:div>
        <w:div w:id="530842986">
          <w:marLeft w:val="0"/>
          <w:marRight w:val="0"/>
          <w:marTop w:val="86"/>
          <w:marBottom w:val="0"/>
          <w:divBdr>
            <w:top w:val="none" w:sz="0" w:space="0" w:color="auto"/>
            <w:left w:val="none" w:sz="0" w:space="0" w:color="auto"/>
            <w:bottom w:val="none" w:sz="0" w:space="0" w:color="auto"/>
            <w:right w:val="none" w:sz="0" w:space="0" w:color="auto"/>
          </w:divBdr>
        </w:div>
        <w:div w:id="1069111701">
          <w:marLeft w:val="0"/>
          <w:marRight w:val="0"/>
          <w:marTop w:val="86"/>
          <w:marBottom w:val="0"/>
          <w:divBdr>
            <w:top w:val="none" w:sz="0" w:space="0" w:color="auto"/>
            <w:left w:val="none" w:sz="0" w:space="0" w:color="auto"/>
            <w:bottom w:val="none" w:sz="0" w:space="0" w:color="auto"/>
            <w:right w:val="none" w:sz="0" w:space="0" w:color="auto"/>
          </w:divBdr>
        </w:div>
        <w:div w:id="1077240616">
          <w:marLeft w:val="0"/>
          <w:marRight w:val="0"/>
          <w:marTop w:val="86"/>
          <w:marBottom w:val="0"/>
          <w:divBdr>
            <w:top w:val="none" w:sz="0" w:space="0" w:color="auto"/>
            <w:left w:val="none" w:sz="0" w:space="0" w:color="auto"/>
            <w:bottom w:val="none" w:sz="0" w:space="0" w:color="auto"/>
            <w:right w:val="none" w:sz="0" w:space="0" w:color="auto"/>
          </w:divBdr>
        </w:div>
        <w:div w:id="1445273648">
          <w:marLeft w:val="0"/>
          <w:marRight w:val="0"/>
          <w:marTop w:val="86"/>
          <w:marBottom w:val="0"/>
          <w:divBdr>
            <w:top w:val="none" w:sz="0" w:space="0" w:color="auto"/>
            <w:left w:val="none" w:sz="0" w:space="0" w:color="auto"/>
            <w:bottom w:val="none" w:sz="0" w:space="0" w:color="auto"/>
            <w:right w:val="none" w:sz="0" w:space="0" w:color="auto"/>
          </w:divBdr>
        </w:div>
        <w:div w:id="1694305108">
          <w:marLeft w:val="0"/>
          <w:marRight w:val="0"/>
          <w:marTop w:val="86"/>
          <w:marBottom w:val="0"/>
          <w:divBdr>
            <w:top w:val="none" w:sz="0" w:space="0" w:color="auto"/>
            <w:left w:val="none" w:sz="0" w:space="0" w:color="auto"/>
            <w:bottom w:val="none" w:sz="0" w:space="0" w:color="auto"/>
            <w:right w:val="none" w:sz="0" w:space="0" w:color="auto"/>
          </w:divBdr>
        </w:div>
        <w:div w:id="1723794756">
          <w:marLeft w:val="0"/>
          <w:marRight w:val="0"/>
          <w:marTop w:val="86"/>
          <w:marBottom w:val="0"/>
          <w:divBdr>
            <w:top w:val="none" w:sz="0" w:space="0" w:color="auto"/>
            <w:left w:val="none" w:sz="0" w:space="0" w:color="auto"/>
            <w:bottom w:val="none" w:sz="0" w:space="0" w:color="auto"/>
            <w:right w:val="none" w:sz="0" w:space="0" w:color="auto"/>
          </w:divBdr>
        </w:div>
        <w:div w:id="1833443973">
          <w:marLeft w:val="0"/>
          <w:marRight w:val="0"/>
          <w:marTop w:val="86"/>
          <w:marBottom w:val="0"/>
          <w:divBdr>
            <w:top w:val="none" w:sz="0" w:space="0" w:color="auto"/>
            <w:left w:val="none" w:sz="0" w:space="0" w:color="auto"/>
            <w:bottom w:val="none" w:sz="0" w:space="0" w:color="auto"/>
            <w:right w:val="none" w:sz="0" w:space="0" w:color="auto"/>
          </w:divBdr>
        </w:div>
      </w:divsChild>
    </w:div>
    <w:div w:id="1187674876">
      <w:bodyDiv w:val="1"/>
      <w:marLeft w:val="0"/>
      <w:marRight w:val="0"/>
      <w:marTop w:val="0"/>
      <w:marBottom w:val="0"/>
      <w:divBdr>
        <w:top w:val="none" w:sz="0" w:space="0" w:color="auto"/>
        <w:left w:val="none" w:sz="0" w:space="0" w:color="auto"/>
        <w:bottom w:val="none" w:sz="0" w:space="0" w:color="auto"/>
        <w:right w:val="none" w:sz="0" w:space="0" w:color="auto"/>
      </w:divBdr>
      <w:divsChild>
        <w:div w:id="733354824">
          <w:marLeft w:val="547"/>
          <w:marRight w:val="0"/>
          <w:marTop w:val="58"/>
          <w:marBottom w:val="0"/>
          <w:divBdr>
            <w:top w:val="none" w:sz="0" w:space="0" w:color="auto"/>
            <w:left w:val="none" w:sz="0" w:space="0" w:color="auto"/>
            <w:bottom w:val="none" w:sz="0" w:space="0" w:color="auto"/>
            <w:right w:val="none" w:sz="0" w:space="0" w:color="auto"/>
          </w:divBdr>
        </w:div>
        <w:div w:id="881360262">
          <w:marLeft w:val="547"/>
          <w:marRight w:val="0"/>
          <w:marTop w:val="58"/>
          <w:marBottom w:val="0"/>
          <w:divBdr>
            <w:top w:val="none" w:sz="0" w:space="0" w:color="auto"/>
            <w:left w:val="none" w:sz="0" w:space="0" w:color="auto"/>
            <w:bottom w:val="none" w:sz="0" w:space="0" w:color="auto"/>
            <w:right w:val="none" w:sz="0" w:space="0" w:color="auto"/>
          </w:divBdr>
        </w:div>
        <w:div w:id="787361171">
          <w:marLeft w:val="547"/>
          <w:marRight w:val="0"/>
          <w:marTop w:val="58"/>
          <w:marBottom w:val="0"/>
          <w:divBdr>
            <w:top w:val="none" w:sz="0" w:space="0" w:color="auto"/>
            <w:left w:val="none" w:sz="0" w:space="0" w:color="auto"/>
            <w:bottom w:val="none" w:sz="0" w:space="0" w:color="auto"/>
            <w:right w:val="none" w:sz="0" w:space="0" w:color="auto"/>
          </w:divBdr>
        </w:div>
        <w:div w:id="79447315">
          <w:marLeft w:val="547"/>
          <w:marRight w:val="0"/>
          <w:marTop w:val="58"/>
          <w:marBottom w:val="0"/>
          <w:divBdr>
            <w:top w:val="none" w:sz="0" w:space="0" w:color="auto"/>
            <w:left w:val="none" w:sz="0" w:space="0" w:color="auto"/>
            <w:bottom w:val="none" w:sz="0" w:space="0" w:color="auto"/>
            <w:right w:val="none" w:sz="0" w:space="0" w:color="auto"/>
          </w:divBdr>
        </w:div>
        <w:div w:id="1336224685">
          <w:marLeft w:val="547"/>
          <w:marRight w:val="0"/>
          <w:marTop w:val="58"/>
          <w:marBottom w:val="0"/>
          <w:divBdr>
            <w:top w:val="none" w:sz="0" w:space="0" w:color="auto"/>
            <w:left w:val="none" w:sz="0" w:space="0" w:color="auto"/>
            <w:bottom w:val="none" w:sz="0" w:space="0" w:color="auto"/>
            <w:right w:val="none" w:sz="0" w:space="0" w:color="auto"/>
          </w:divBdr>
        </w:div>
        <w:div w:id="603339731">
          <w:marLeft w:val="547"/>
          <w:marRight w:val="0"/>
          <w:marTop w:val="58"/>
          <w:marBottom w:val="0"/>
          <w:divBdr>
            <w:top w:val="none" w:sz="0" w:space="0" w:color="auto"/>
            <w:left w:val="none" w:sz="0" w:space="0" w:color="auto"/>
            <w:bottom w:val="none" w:sz="0" w:space="0" w:color="auto"/>
            <w:right w:val="none" w:sz="0" w:space="0" w:color="auto"/>
          </w:divBdr>
        </w:div>
        <w:div w:id="1621648466">
          <w:marLeft w:val="547"/>
          <w:marRight w:val="0"/>
          <w:marTop w:val="58"/>
          <w:marBottom w:val="0"/>
          <w:divBdr>
            <w:top w:val="none" w:sz="0" w:space="0" w:color="auto"/>
            <w:left w:val="none" w:sz="0" w:space="0" w:color="auto"/>
            <w:bottom w:val="none" w:sz="0" w:space="0" w:color="auto"/>
            <w:right w:val="none" w:sz="0" w:space="0" w:color="auto"/>
          </w:divBdr>
        </w:div>
      </w:divsChild>
    </w:div>
    <w:div w:id="1192840673">
      <w:bodyDiv w:val="1"/>
      <w:marLeft w:val="0"/>
      <w:marRight w:val="0"/>
      <w:marTop w:val="0"/>
      <w:marBottom w:val="0"/>
      <w:divBdr>
        <w:top w:val="none" w:sz="0" w:space="0" w:color="auto"/>
        <w:left w:val="none" w:sz="0" w:space="0" w:color="auto"/>
        <w:bottom w:val="none" w:sz="0" w:space="0" w:color="auto"/>
        <w:right w:val="none" w:sz="0" w:space="0" w:color="auto"/>
      </w:divBdr>
      <w:divsChild>
        <w:div w:id="55588100">
          <w:marLeft w:val="547"/>
          <w:marRight w:val="0"/>
          <w:marTop w:val="96"/>
          <w:marBottom w:val="0"/>
          <w:divBdr>
            <w:top w:val="none" w:sz="0" w:space="0" w:color="auto"/>
            <w:left w:val="none" w:sz="0" w:space="0" w:color="auto"/>
            <w:bottom w:val="none" w:sz="0" w:space="0" w:color="auto"/>
            <w:right w:val="none" w:sz="0" w:space="0" w:color="auto"/>
          </w:divBdr>
        </w:div>
        <w:div w:id="792554229">
          <w:marLeft w:val="547"/>
          <w:marRight w:val="0"/>
          <w:marTop w:val="96"/>
          <w:marBottom w:val="0"/>
          <w:divBdr>
            <w:top w:val="none" w:sz="0" w:space="0" w:color="auto"/>
            <w:left w:val="none" w:sz="0" w:space="0" w:color="auto"/>
            <w:bottom w:val="none" w:sz="0" w:space="0" w:color="auto"/>
            <w:right w:val="none" w:sz="0" w:space="0" w:color="auto"/>
          </w:divBdr>
        </w:div>
        <w:div w:id="878542535">
          <w:marLeft w:val="547"/>
          <w:marRight w:val="0"/>
          <w:marTop w:val="96"/>
          <w:marBottom w:val="0"/>
          <w:divBdr>
            <w:top w:val="none" w:sz="0" w:space="0" w:color="auto"/>
            <w:left w:val="none" w:sz="0" w:space="0" w:color="auto"/>
            <w:bottom w:val="none" w:sz="0" w:space="0" w:color="auto"/>
            <w:right w:val="none" w:sz="0" w:space="0" w:color="auto"/>
          </w:divBdr>
        </w:div>
        <w:div w:id="1757625725">
          <w:marLeft w:val="547"/>
          <w:marRight w:val="0"/>
          <w:marTop w:val="96"/>
          <w:marBottom w:val="0"/>
          <w:divBdr>
            <w:top w:val="none" w:sz="0" w:space="0" w:color="auto"/>
            <w:left w:val="none" w:sz="0" w:space="0" w:color="auto"/>
            <w:bottom w:val="none" w:sz="0" w:space="0" w:color="auto"/>
            <w:right w:val="none" w:sz="0" w:space="0" w:color="auto"/>
          </w:divBdr>
        </w:div>
        <w:div w:id="2062048536">
          <w:marLeft w:val="547"/>
          <w:marRight w:val="0"/>
          <w:marTop w:val="96"/>
          <w:marBottom w:val="0"/>
          <w:divBdr>
            <w:top w:val="none" w:sz="0" w:space="0" w:color="auto"/>
            <w:left w:val="none" w:sz="0" w:space="0" w:color="auto"/>
            <w:bottom w:val="none" w:sz="0" w:space="0" w:color="auto"/>
            <w:right w:val="none" w:sz="0" w:space="0" w:color="auto"/>
          </w:divBdr>
        </w:div>
        <w:div w:id="2130122545">
          <w:marLeft w:val="547"/>
          <w:marRight w:val="0"/>
          <w:marTop w:val="96"/>
          <w:marBottom w:val="0"/>
          <w:divBdr>
            <w:top w:val="none" w:sz="0" w:space="0" w:color="auto"/>
            <w:left w:val="none" w:sz="0" w:space="0" w:color="auto"/>
            <w:bottom w:val="none" w:sz="0" w:space="0" w:color="auto"/>
            <w:right w:val="none" w:sz="0" w:space="0" w:color="auto"/>
          </w:divBdr>
        </w:div>
      </w:divsChild>
    </w:div>
    <w:div w:id="1193105842">
      <w:bodyDiv w:val="1"/>
      <w:marLeft w:val="0"/>
      <w:marRight w:val="0"/>
      <w:marTop w:val="0"/>
      <w:marBottom w:val="0"/>
      <w:divBdr>
        <w:top w:val="none" w:sz="0" w:space="0" w:color="auto"/>
        <w:left w:val="none" w:sz="0" w:space="0" w:color="auto"/>
        <w:bottom w:val="none" w:sz="0" w:space="0" w:color="auto"/>
        <w:right w:val="none" w:sz="0" w:space="0" w:color="auto"/>
      </w:divBdr>
    </w:div>
    <w:div w:id="1198082111">
      <w:bodyDiv w:val="1"/>
      <w:marLeft w:val="0"/>
      <w:marRight w:val="0"/>
      <w:marTop w:val="0"/>
      <w:marBottom w:val="0"/>
      <w:divBdr>
        <w:top w:val="none" w:sz="0" w:space="0" w:color="auto"/>
        <w:left w:val="none" w:sz="0" w:space="0" w:color="auto"/>
        <w:bottom w:val="none" w:sz="0" w:space="0" w:color="auto"/>
        <w:right w:val="none" w:sz="0" w:space="0" w:color="auto"/>
      </w:divBdr>
    </w:div>
    <w:div w:id="1228959710">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547"/>
          <w:marRight w:val="0"/>
          <w:marTop w:val="58"/>
          <w:marBottom w:val="0"/>
          <w:divBdr>
            <w:top w:val="none" w:sz="0" w:space="0" w:color="auto"/>
            <w:left w:val="none" w:sz="0" w:space="0" w:color="auto"/>
            <w:bottom w:val="none" w:sz="0" w:space="0" w:color="auto"/>
            <w:right w:val="none" w:sz="0" w:space="0" w:color="auto"/>
          </w:divBdr>
        </w:div>
        <w:div w:id="373119739">
          <w:marLeft w:val="547"/>
          <w:marRight w:val="0"/>
          <w:marTop w:val="58"/>
          <w:marBottom w:val="0"/>
          <w:divBdr>
            <w:top w:val="none" w:sz="0" w:space="0" w:color="auto"/>
            <w:left w:val="none" w:sz="0" w:space="0" w:color="auto"/>
            <w:bottom w:val="none" w:sz="0" w:space="0" w:color="auto"/>
            <w:right w:val="none" w:sz="0" w:space="0" w:color="auto"/>
          </w:divBdr>
        </w:div>
        <w:div w:id="333412416">
          <w:marLeft w:val="547"/>
          <w:marRight w:val="0"/>
          <w:marTop w:val="58"/>
          <w:marBottom w:val="0"/>
          <w:divBdr>
            <w:top w:val="none" w:sz="0" w:space="0" w:color="auto"/>
            <w:left w:val="none" w:sz="0" w:space="0" w:color="auto"/>
            <w:bottom w:val="none" w:sz="0" w:space="0" w:color="auto"/>
            <w:right w:val="none" w:sz="0" w:space="0" w:color="auto"/>
          </w:divBdr>
        </w:div>
        <w:div w:id="151526979">
          <w:marLeft w:val="547"/>
          <w:marRight w:val="0"/>
          <w:marTop w:val="58"/>
          <w:marBottom w:val="0"/>
          <w:divBdr>
            <w:top w:val="none" w:sz="0" w:space="0" w:color="auto"/>
            <w:left w:val="none" w:sz="0" w:space="0" w:color="auto"/>
            <w:bottom w:val="none" w:sz="0" w:space="0" w:color="auto"/>
            <w:right w:val="none" w:sz="0" w:space="0" w:color="auto"/>
          </w:divBdr>
        </w:div>
        <w:div w:id="751774224">
          <w:marLeft w:val="547"/>
          <w:marRight w:val="0"/>
          <w:marTop w:val="58"/>
          <w:marBottom w:val="0"/>
          <w:divBdr>
            <w:top w:val="none" w:sz="0" w:space="0" w:color="auto"/>
            <w:left w:val="none" w:sz="0" w:space="0" w:color="auto"/>
            <w:bottom w:val="none" w:sz="0" w:space="0" w:color="auto"/>
            <w:right w:val="none" w:sz="0" w:space="0" w:color="auto"/>
          </w:divBdr>
        </w:div>
        <w:div w:id="1693220382">
          <w:marLeft w:val="547"/>
          <w:marRight w:val="0"/>
          <w:marTop w:val="58"/>
          <w:marBottom w:val="0"/>
          <w:divBdr>
            <w:top w:val="none" w:sz="0" w:space="0" w:color="auto"/>
            <w:left w:val="none" w:sz="0" w:space="0" w:color="auto"/>
            <w:bottom w:val="none" w:sz="0" w:space="0" w:color="auto"/>
            <w:right w:val="none" w:sz="0" w:space="0" w:color="auto"/>
          </w:divBdr>
        </w:div>
        <w:div w:id="1871918853">
          <w:marLeft w:val="547"/>
          <w:marRight w:val="0"/>
          <w:marTop w:val="58"/>
          <w:marBottom w:val="0"/>
          <w:divBdr>
            <w:top w:val="none" w:sz="0" w:space="0" w:color="auto"/>
            <w:left w:val="none" w:sz="0" w:space="0" w:color="auto"/>
            <w:bottom w:val="none" w:sz="0" w:space="0" w:color="auto"/>
            <w:right w:val="none" w:sz="0" w:space="0" w:color="auto"/>
          </w:divBdr>
        </w:div>
      </w:divsChild>
    </w:div>
    <w:div w:id="1243174964">
      <w:bodyDiv w:val="1"/>
      <w:marLeft w:val="0"/>
      <w:marRight w:val="0"/>
      <w:marTop w:val="0"/>
      <w:marBottom w:val="0"/>
      <w:divBdr>
        <w:top w:val="none" w:sz="0" w:space="0" w:color="auto"/>
        <w:left w:val="none" w:sz="0" w:space="0" w:color="auto"/>
        <w:bottom w:val="none" w:sz="0" w:space="0" w:color="auto"/>
        <w:right w:val="none" w:sz="0" w:space="0" w:color="auto"/>
      </w:divBdr>
    </w:div>
    <w:div w:id="1244946973">
      <w:bodyDiv w:val="1"/>
      <w:marLeft w:val="0"/>
      <w:marRight w:val="0"/>
      <w:marTop w:val="0"/>
      <w:marBottom w:val="0"/>
      <w:divBdr>
        <w:top w:val="none" w:sz="0" w:space="0" w:color="auto"/>
        <w:left w:val="none" w:sz="0" w:space="0" w:color="auto"/>
        <w:bottom w:val="none" w:sz="0" w:space="0" w:color="auto"/>
        <w:right w:val="none" w:sz="0" w:space="0" w:color="auto"/>
      </w:divBdr>
      <w:divsChild>
        <w:div w:id="1509902861">
          <w:marLeft w:val="1123"/>
          <w:marRight w:val="0"/>
          <w:marTop w:val="0"/>
          <w:marBottom w:val="0"/>
          <w:divBdr>
            <w:top w:val="none" w:sz="0" w:space="0" w:color="auto"/>
            <w:left w:val="none" w:sz="0" w:space="0" w:color="auto"/>
            <w:bottom w:val="none" w:sz="0" w:space="0" w:color="auto"/>
            <w:right w:val="none" w:sz="0" w:space="0" w:color="auto"/>
          </w:divBdr>
        </w:div>
        <w:div w:id="1584757560">
          <w:marLeft w:val="1123"/>
          <w:marRight w:val="0"/>
          <w:marTop w:val="0"/>
          <w:marBottom w:val="0"/>
          <w:divBdr>
            <w:top w:val="none" w:sz="0" w:space="0" w:color="auto"/>
            <w:left w:val="none" w:sz="0" w:space="0" w:color="auto"/>
            <w:bottom w:val="none" w:sz="0" w:space="0" w:color="auto"/>
            <w:right w:val="none" w:sz="0" w:space="0" w:color="auto"/>
          </w:divBdr>
        </w:div>
        <w:div w:id="1953710340">
          <w:marLeft w:val="1123"/>
          <w:marRight w:val="0"/>
          <w:marTop w:val="0"/>
          <w:marBottom w:val="0"/>
          <w:divBdr>
            <w:top w:val="none" w:sz="0" w:space="0" w:color="auto"/>
            <w:left w:val="none" w:sz="0" w:space="0" w:color="auto"/>
            <w:bottom w:val="none" w:sz="0" w:space="0" w:color="auto"/>
            <w:right w:val="none" w:sz="0" w:space="0" w:color="auto"/>
          </w:divBdr>
        </w:div>
        <w:div w:id="2009087997">
          <w:marLeft w:val="1123"/>
          <w:marRight w:val="0"/>
          <w:marTop w:val="0"/>
          <w:marBottom w:val="0"/>
          <w:divBdr>
            <w:top w:val="none" w:sz="0" w:space="0" w:color="auto"/>
            <w:left w:val="none" w:sz="0" w:space="0" w:color="auto"/>
            <w:bottom w:val="none" w:sz="0" w:space="0" w:color="auto"/>
            <w:right w:val="none" w:sz="0" w:space="0" w:color="auto"/>
          </w:divBdr>
        </w:div>
      </w:divsChild>
    </w:div>
    <w:div w:id="1274247292">
      <w:bodyDiv w:val="1"/>
      <w:marLeft w:val="0"/>
      <w:marRight w:val="0"/>
      <w:marTop w:val="0"/>
      <w:marBottom w:val="0"/>
      <w:divBdr>
        <w:top w:val="none" w:sz="0" w:space="0" w:color="auto"/>
        <w:left w:val="none" w:sz="0" w:space="0" w:color="auto"/>
        <w:bottom w:val="none" w:sz="0" w:space="0" w:color="auto"/>
        <w:right w:val="none" w:sz="0" w:space="0" w:color="auto"/>
      </w:divBdr>
    </w:div>
    <w:div w:id="1279990810">
      <w:bodyDiv w:val="1"/>
      <w:marLeft w:val="0"/>
      <w:marRight w:val="0"/>
      <w:marTop w:val="0"/>
      <w:marBottom w:val="0"/>
      <w:divBdr>
        <w:top w:val="none" w:sz="0" w:space="0" w:color="auto"/>
        <w:left w:val="none" w:sz="0" w:space="0" w:color="auto"/>
        <w:bottom w:val="none" w:sz="0" w:space="0" w:color="auto"/>
        <w:right w:val="none" w:sz="0" w:space="0" w:color="auto"/>
      </w:divBdr>
    </w:div>
    <w:div w:id="1298143440">
      <w:bodyDiv w:val="1"/>
      <w:marLeft w:val="0"/>
      <w:marRight w:val="0"/>
      <w:marTop w:val="0"/>
      <w:marBottom w:val="0"/>
      <w:divBdr>
        <w:top w:val="none" w:sz="0" w:space="0" w:color="auto"/>
        <w:left w:val="none" w:sz="0" w:space="0" w:color="auto"/>
        <w:bottom w:val="none" w:sz="0" w:space="0" w:color="auto"/>
        <w:right w:val="none" w:sz="0" w:space="0" w:color="auto"/>
      </w:divBdr>
      <w:divsChild>
        <w:div w:id="517625375">
          <w:marLeft w:val="547"/>
          <w:marRight w:val="0"/>
          <w:marTop w:val="58"/>
          <w:marBottom w:val="0"/>
          <w:divBdr>
            <w:top w:val="none" w:sz="0" w:space="0" w:color="auto"/>
            <w:left w:val="none" w:sz="0" w:space="0" w:color="auto"/>
            <w:bottom w:val="none" w:sz="0" w:space="0" w:color="auto"/>
            <w:right w:val="none" w:sz="0" w:space="0" w:color="auto"/>
          </w:divBdr>
        </w:div>
        <w:div w:id="80152843">
          <w:marLeft w:val="547"/>
          <w:marRight w:val="0"/>
          <w:marTop w:val="58"/>
          <w:marBottom w:val="0"/>
          <w:divBdr>
            <w:top w:val="none" w:sz="0" w:space="0" w:color="auto"/>
            <w:left w:val="none" w:sz="0" w:space="0" w:color="auto"/>
            <w:bottom w:val="none" w:sz="0" w:space="0" w:color="auto"/>
            <w:right w:val="none" w:sz="0" w:space="0" w:color="auto"/>
          </w:divBdr>
        </w:div>
        <w:div w:id="1947811195">
          <w:marLeft w:val="547"/>
          <w:marRight w:val="0"/>
          <w:marTop w:val="58"/>
          <w:marBottom w:val="0"/>
          <w:divBdr>
            <w:top w:val="none" w:sz="0" w:space="0" w:color="auto"/>
            <w:left w:val="none" w:sz="0" w:space="0" w:color="auto"/>
            <w:bottom w:val="none" w:sz="0" w:space="0" w:color="auto"/>
            <w:right w:val="none" w:sz="0" w:space="0" w:color="auto"/>
          </w:divBdr>
        </w:div>
        <w:div w:id="410126479">
          <w:marLeft w:val="547"/>
          <w:marRight w:val="0"/>
          <w:marTop w:val="58"/>
          <w:marBottom w:val="0"/>
          <w:divBdr>
            <w:top w:val="none" w:sz="0" w:space="0" w:color="auto"/>
            <w:left w:val="none" w:sz="0" w:space="0" w:color="auto"/>
            <w:bottom w:val="none" w:sz="0" w:space="0" w:color="auto"/>
            <w:right w:val="none" w:sz="0" w:space="0" w:color="auto"/>
          </w:divBdr>
        </w:div>
        <w:div w:id="475953436">
          <w:marLeft w:val="547"/>
          <w:marRight w:val="0"/>
          <w:marTop w:val="58"/>
          <w:marBottom w:val="0"/>
          <w:divBdr>
            <w:top w:val="none" w:sz="0" w:space="0" w:color="auto"/>
            <w:left w:val="none" w:sz="0" w:space="0" w:color="auto"/>
            <w:bottom w:val="none" w:sz="0" w:space="0" w:color="auto"/>
            <w:right w:val="none" w:sz="0" w:space="0" w:color="auto"/>
          </w:divBdr>
        </w:div>
        <w:div w:id="2127577588">
          <w:marLeft w:val="547"/>
          <w:marRight w:val="0"/>
          <w:marTop w:val="58"/>
          <w:marBottom w:val="0"/>
          <w:divBdr>
            <w:top w:val="none" w:sz="0" w:space="0" w:color="auto"/>
            <w:left w:val="none" w:sz="0" w:space="0" w:color="auto"/>
            <w:bottom w:val="none" w:sz="0" w:space="0" w:color="auto"/>
            <w:right w:val="none" w:sz="0" w:space="0" w:color="auto"/>
          </w:divBdr>
        </w:div>
        <w:div w:id="501626185">
          <w:marLeft w:val="547"/>
          <w:marRight w:val="0"/>
          <w:marTop w:val="58"/>
          <w:marBottom w:val="0"/>
          <w:divBdr>
            <w:top w:val="none" w:sz="0" w:space="0" w:color="auto"/>
            <w:left w:val="none" w:sz="0" w:space="0" w:color="auto"/>
            <w:bottom w:val="none" w:sz="0" w:space="0" w:color="auto"/>
            <w:right w:val="none" w:sz="0" w:space="0" w:color="auto"/>
          </w:divBdr>
        </w:div>
      </w:divsChild>
    </w:div>
    <w:div w:id="1316179846">
      <w:bodyDiv w:val="1"/>
      <w:marLeft w:val="0"/>
      <w:marRight w:val="0"/>
      <w:marTop w:val="0"/>
      <w:marBottom w:val="0"/>
      <w:divBdr>
        <w:top w:val="none" w:sz="0" w:space="0" w:color="auto"/>
        <w:left w:val="none" w:sz="0" w:space="0" w:color="auto"/>
        <w:bottom w:val="none" w:sz="0" w:space="0" w:color="auto"/>
        <w:right w:val="none" w:sz="0" w:space="0" w:color="auto"/>
      </w:divBdr>
    </w:div>
    <w:div w:id="1321691689">
      <w:bodyDiv w:val="1"/>
      <w:marLeft w:val="0"/>
      <w:marRight w:val="0"/>
      <w:marTop w:val="0"/>
      <w:marBottom w:val="0"/>
      <w:divBdr>
        <w:top w:val="none" w:sz="0" w:space="0" w:color="auto"/>
        <w:left w:val="none" w:sz="0" w:space="0" w:color="auto"/>
        <w:bottom w:val="none" w:sz="0" w:space="0" w:color="auto"/>
        <w:right w:val="none" w:sz="0" w:space="0" w:color="auto"/>
      </w:divBdr>
      <w:divsChild>
        <w:div w:id="1748649368">
          <w:marLeft w:val="547"/>
          <w:marRight w:val="0"/>
          <w:marTop w:val="58"/>
          <w:marBottom w:val="0"/>
          <w:divBdr>
            <w:top w:val="none" w:sz="0" w:space="0" w:color="auto"/>
            <w:left w:val="none" w:sz="0" w:space="0" w:color="auto"/>
            <w:bottom w:val="none" w:sz="0" w:space="0" w:color="auto"/>
            <w:right w:val="none" w:sz="0" w:space="0" w:color="auto"/>
          </w:divBdr>
        </w:div>
        <w:div w:id="1482497474">
          <w:marLeft w:val="547"/>
          <w:marRight w:val="0"/>
          <w:marTop w:val="58"/>
          <w:marBottom w:val="0"/>
          <w:divBdr>
            <w:top w:val="none" w:sz="0" w:space="0" w:color="auto"/>
            <w:left w:val="none" w:sz="0" w:space="0" w:color="auto"/>
            <w:bottom w:val="none" w:sz="0" w:space="0" w:color="auto"/>
            <w:right w:val="none" w:sz="0" w:space="0" w:color="auto"/>
          </w:divBdr>
        </w:div>
        <w:div w:id="1708069031">
          <w:marLeft w:val="547"/>
          <w:marRight w:val="0"/>
          <w:marTop w:val="58"/>
          <w:marBottom w:val="0"/>
          <w:divBdr>
            <w:top w:val="none" w:sz="0" w:space="0" w:color="auto"/>
            <w:left w:val="none" w:sz="0" w:space="0" w:color="auto"/>
            <w:bottom w:val="none" w:sz="0" w:space="0" w:color="auto"/>
            <w:right w:val="none" w:sz="0" w:space="0" w:color="auto"/>
          </w:divBdr>
        </w:div>
        <w:div w:id="1332030125">
          <w:marLeft w:val="547"/>
          <w:marRight w:val="0"/>
          <w:marTop w:val="58"/>
          <w:marBottom w:val="0"/>
          <w:divBdr>
            <w:top w:val="none" w:sz="0" w:space="0" w:color="auto"/>
            <w:left w:val="none" w:sz="0" w:space="0" w:color="auto"/>
            <w:bottom w:val="none" w:sz="0" w:space="0" w:color="auto"/>
            <w:right w:val="none" w:sz="0" w:space="0" w:color="auto"/>
          </w:divBdr>
        </w:div>
        <w:div w:id="1808354150">
          <w:marLeft w:val="547"/>
          <w:marRight w:val="0"/>
          <w:marTop w:val="58"/>
          <w:marBottom w:val="0"/>
          <w:divBdr>
            <w:top w:val="none" w:sz="0" w:space="0" w:color="auto"/>
            <w:left w:val="none" w:sz="0" w:space="0" w:color="auto"/>
            <w:bottom w:val="none" w:sz="0" w:space="0" w:color="auto"/>
            <w:right w:val="none" w:sz="0" w:space="0" w:color="auto"/>
          </w:divBdr>
        </w:div>
        <w:div w:id="988747956">
          <w:marLeft w:val="547"/>
          <w:marRight w:val="0"/>
          <w:marTop w:val="58"/>
          <w:marBottom w:val="0"/>
          <w:divBdr>
            <w:top w:val="none" w:sz="0" w:space="0" w:color="auto"/>
            <w:left w:val="none" w:sz="0" w:space="0" w:color="auto"/>
            <w:bottom w:val="none" w:sz="0" w:space="0" w:color="auto"/>
            <w:right w:val="none" w:sz="0" w:space="0" w:color="auto"/>
          </w:divBdr>
        </w:div>
        <w:div w:id="37361788">
          <w:marLeft w:val="547"/>
          <w:marRight w:val="0"/>
          <w:marTop w:val="58"/>
          <w:marBottom w:val="0"/>
          <w:divBdr>
            <w:top w:val="none" w:sz="0" w:space="0" w:color="auto"/>
            <w:left w:val="none" w:sz="0" w:space="0" w:color="auto"/>
            <w:bottom w:val="none" w:sz="0" w:space="0" w:color="auto"/>
            <w:right w:val="none" w:sz="0" w:space="0" w:color="auto"/>
          </w:divBdr>
        </w:div>
        <w:div w:id="601034401">
          <w:marLeft w:val="547"/>
          <w:marRight w:val="0"/>
          <w:marTop w:val="58"/>
          <w:marBottom w:val="0"/>
          <w:divBdr>
            <w:top w:val="none" w:sz="0" w:space="0" w:color="auto"/>
            <w:left w:val="none" w:sz="0" w:space="0" w:color="auto"/>
            <w:bottom w:val="none" w:sz="0" w:space="0" w:color="auto"/>
            <w:right w:val="none" w:sz="0" w:space="0" w:color="auto"/>
          </w:divBdr>
        </w:div>
      </w:divsChild>
    </w:div>
    <w:div w:id="1337146935">
      <w:bodyDiv w:val="1"/>
      <w:marLeft w:val="0"/>
      <w:marRight w:val="0"/>
      <w:marTop w:val="0"/>
      <w:marBottom w:val="0"/>
      <w:divBdr>
        <w:top w:val="none" w:sz="0" w:space="0" w:color="auto"/>
        <w:left w:val="none" w:sz="0" w:space="0" w:color="auto"/>
        <w:bottom w:val="none" w:sz="0" w:space="0" w:color="auto"/>
        <w:right w:val="none" w:sz="0" w:space="0" w:color="auto"/>
      </w:divBdr>
    </w:div>
    <w:div w:id="1340813062">
      <w:bodyDiv w:val="1"/>
      <w:marLeft w:val="0"/>
      <w:marRight w:val="0"/>
      <w:marTop w:val="0"/>
      <w:marBottom w:val="0"/>
      <w:divBdr>
        <w:top w:val="none" w:sz="0" w:space="0" w:color="auto"/>
        <w:left w:val="none" w:sz="0" w:space="0" w:color="auto"/>
        <w:bottom w:val="none" w:sz="0" w:space="0" w:color="auto"/>
        <w:right w:val="none" w:sz="0" w:space="0" w:color="auto"/>
      </w:divBdr>
    </w:div>
    <w:div w:id="1357534909">
      <w:bodyDiv w:val="1"/>
      <w:marLeft w:val="0"/>
      <w:marRight w:val="0"/>
      <w:marTop w:val="0"/>
      <w:marBottom w:val="0"/>
      <w:divBdr>
        <w:top w:val="none" w:sz="0" w:space="0" w:color="auto"/>
        <w:left w:val="none" w:sz="0" w:space="0" w:color="auto"/>
        <w:bottom w:val="none" w:sz="0" w:space="0" w:color="auto"/>
        <w:right w:val="none" w:sz="0" w:space="0" w:color="auto"/>
      </w:divBdr>
    </w:div>
    <w:div w:id="1371221797">
      <w:bodyDiv w:val="1"/>
      <w:marLeft w:val="0"/>
      <w:marRight w:val="0"/>
      <w:marTop w:val="0"/>
      <w:marBottom w:val="0"/>
      <w:divBdr>
        <w:top w:val="none" w:sz="0" w:space="0" w:color="auto"/>
        <w:left w:val="none" w:sz="0" w:space="0" w:color="auto"/>
        <w:bottom w:val="none" w:sz="0" w:space="0" w:color="auto"/>
        <w:right w:val="none" w:sz="0" w:space="0" w:color="auto"/>
      </w:divBdr>
    </w:div>
    <w:div w:id="1382514300">
      <w:bodyDiv w:val="1"/>
      <w:marLeft w:val="0"/>
      <w:marRight w:val="0"/>
      <w:marTop w:val="0"/>
      <w:marBottom w:val="0"/>
      <w:divBdr>
        <w:top w:val="none" w:sz="0" w:space="0" w:color="auto"/>
        <w:left w:val="none" w:sz="0" w:space="0" w:color="auto"/>
        <w:bottom w:val="none" w:sz="0" w:space="0" w:color="auto"/>
        <w:right w:val="none" w:sz="0" w:space="0" w:color="auto"/>
      </w:divBdr>
      <w:divsChild>
        <w:div w:id="182666705">
          <w:marLeft w:val="1253"/>
          <w:marRight w:val="0"/>
          <w:marTop w:val="160"/>
          <w:marBottom w:val="0"/>
          <w:divBdr>
            <w:top w:val="none" w:sz="0" w:space="0" w:color="auto"/>
            <w:left w:val="none" w:sz="0" w:space="0" w:color="auto"/>
            <w:bottom w:val="none" w:sz="0" w:space="0" w:color="auto"/>
            <w:right w:val="none" w:sz="0" w:space="0" w:color="auto"/>
          </w:divBdr>
        </w:div>
        <w:div w:id="1458989113">
          <w:marLeft w:val="1253"/>
          <w:marRight w:val="0"/>
          <w:marTop w:val="160"/>
          <w:marBottom w:val="0"/>
          <w:divBdr>
            <w:top w:val="none" w:sz="0" w:space="0" w:color="auto"/>
            <w:left w:val="none" w:sz="0" w:space="0" w:color="auto"/>
            <w:bottom w:val="none" w:sz="0" w:space="0" w:color="auto"/>
            <w:right w:val="none" w:sz="0" w:space="0" w:color="auto"/>
          </w:divBdr>
        </w:div>
        <w:div w:id="1822187749">
          <w:marLeft w:val="1253"/>
          <w:marRight w:val="0"/>
          <w:marTop w:val="160"/>
          <w:marBottom w:val="0"/>
          <w:divBdr>
            <w:top w:val="none" w:sz="0" w:space="0" w:color="auto"/>
            <w:left w:val="none" w:sz="0" w:space="0" w:color="auto"/>
            <w:bottom w:val="none" w:sz="0" w:space="0" w:color="auto"/>
            <w:right w:val="none" w:sz="0" w:space="0" w:color="auto"/>
          </w:divBdr>
        </w:div>
      </w:divsChild>
    </w:div>
    <w:div w:id="1385761832">
      <w:bodyDiv w:val="1"/>
      <w:marLeft w:val="0"/>
      <w:marRight w:val="0"/>
      <w:marTop w:val="0"/>
      <w:marBottom w:val="0"/>
      <w:divBdr>
        <w:top w:val="none" w:sz="0" w:space="0" w:color="auto"/>
        <w:left w:val="none" w:sz="0" w:space="0" w:color="auto"/>
        <w:bottom w:val="none" w:sz="0" w:space="0" w:color="auto"/>
        <w:right w:val="none" w:sz="0" w:space="0" w:color="auto"/>
      </w:divBdr>
    </w:div>
    <w:div w:id="1400519737">
      <w:bodyDiv w:val="1"/>
      <w:marLeft w:val="0"/>
      <w:marRight w:val="0"/>
      <w:marTop w:val="0"/>
      <w:marBottom w:val="0"/>
      <w:divBdr>
        <w:top w:val="none" w:sz="0" w:space="0" w:color="auto"/>
        <w:left w:val="none" w:sz="0" w:space="0" w:color="auto"/>
        <w:bottom w:val="none" w:sz="0" w:space="0" w:color="auto"/>
        <w:right w:val="none" w:sz="0" w:space="0" w:color="auto"/>
      </w:divBdr>
      <w:divsChild>
        <w:div w:id="610666953">
          <w:marLeft w:val="547"/>
          <w:marRight w:val="0"/>
          <w:marTop w:val="96"/>
          <w:marBottom w:val="0"/>
          <w:divBdr>
            <w:top w:val="none" w:sz="0" w:space="0" w:color="auto"/>
            <w:left w:val="none" w:sz="0" w:space="0" w:color="auto"/>
            <w:bottom w:val="none" w:sz="0" w:space="0" w:color="auto"/>
            <w:right w:val="none" w:sz="0" w:space="0" w:color="auto"/>
          </w:divBdr>
        </w:div>
        <w:div w:id="1270158388">
          <w:marLeft w:val="547"/>
          <w:marRight w:val="0"/>
          <w:marTop w:val="96"/>
          <w:marBottom w:val="0"/>
          <w:divBdr>
            <w:top w:val="none" w:sz="0" w:space="0" w:color="auto"/>
            <w:left w:val="none" w:sz="0" w:space="0" w:color="auto"/>
            <w:bottom w:val="none" w:sz="0" w:space="0" w:color="auto"/>
            <w:right w:val="none" w:sz="0" w:space="0" w:color="auto"/>
          </w:divBdr>
        </w:div>
        <w:div w:id="2134903307">
          <w:marLeft w:val="547"/>
          <w:marRight w:val="0"/>
          <w:marTop w:val="96"/>
          <w:marBottom w:val="0"/>
          <w:divBdr>
            <w:top w:val="none" w:sz="0" w:space="0" w:color="auto"/>
            <w:left w:val="none" w:sz="0" w:space="0" w:color="auto"/>
            <w:bottom w:val="none" w:sz="0" w:space="0" w:color="auto"/>
            <w:right w:val="none" w:sz="0" w:space="0" w:color="auto"/>
          </w:divBdr>
        </w:div>
      </w:divsChild>
    </w:div>
    <w:div w:id="1414545260">
      <w:bodyDiv w:val="1"/>
      <w:marLeft w:val="0"/>
      <w:marRight w:val="0"/>
      <w:marTop w:val="0"/>
      <w:marBottom w:val="0"/>
      <w:divBdr>
        <w:top w:val="none" w:sz="0" w:space="0" w:color="auto"/>
        <w:left w:val="none" w:sz="0" w:space="0" w:color="auto"/>
        <w:bottom w:val="none" w:sz="0" w:space="0" w:color="auto"/>
        <w:right w:val="none" w:sz="0" w:space="0" w:color="auto"/>
      </w:divBdr>
    </w:div>
    <w:div w:id="1427380261">
      <w:bodyDiv w:val="1"/>
      <w:marLeft w:val="0"/>
      <w:marRight w:val="0"/>
      <w:marTop w:val="0"/>
      <w:marBottom w:val="0"/>
      <w:divBdr>
        <w:top w:val="none" w:sz="0" w:space="0" w:color="auto"/>
        <w:left w:val="none" w:sz="0" w:space="0" w:color="auto"/>
        <w:bottom w:val="none" w:sz="0" w:space="0" w:color="auto"/>
        <w:right w:val="none" w:sz="0" w:space="0" w:color="auto"/>
      </w:divBdr>
    </w:div>
    <w:div w:id="1448431230">
      <w:bodyDiv w:val="1"/>
      <w:marLeft w:val="0"/>
      <w:marRight w:val="0"/>
      <w:marTop w:val="0"/>
      <w:marBottom w:val="0"/>
      <w:divBdr>
        <w:top w:val="none" w:sz="0" w:space="0" w:color="auto"/>
        <w:left w:val="none" w:sz="0" w:space="0" w:color="auto"/>
        <w:bottom w:val="none" w:sz="0" w:space="0" w:color="auto"/>
        <w:right w:val="none" w:sz="0" w:space="0" w:color="auto"/>
      </w:divBdr>
      <w:divsChild>
        <w:div w:id="422455984">
          <w:marLeft w:val="446"/>
          <w:marRight w:val="0"/>
          <w:marTop w:val="0"/>
          <w:marBottom w:val="0"/>
          <w:divBdr>
            <w:top w:val="none" w:sz="0" w:space="0" w:color="auto"/>
            <w:left w:val="none" w:sz="0" w:space="0" w:color="auto"/>
            <w:bottom w:val="none" w:sz="0" w:space="0" w:color="auto"/>
            <w:right w:val="none" w:sz="0" w:space="0" w:color="auto"/>
          </w:divBdr>
        </w:div>
        <w:div w:id="1059132139">
          <w:marLeft w:val="446"/>
          <w:marRight w:val="0"/>
          <w:marTop w:val="0"/>
          <w:marBottom w:val="0"/>
          <w:divBdr>
            <w:top w:val="none" w:sz="0" w:space="0" w:color="auto"/>
            <w:left w:val="none" w:sz="0" w:space="0" w:color="auto"/>
            <w:bottom w:val="none" w:sz="0" w:space="0" w:color="auto"/>
            <w:right w:val="none" w:sz="0" w:space="0" w:color="auto"/>
          </w:divBdr>
        </w:div>
      </w:divsChild>
    </w:div>
    <w:div w:id="1459883343">
      <w:bodyDiv w:val="1"/>
      <w:marLeft w:val="0"/>
      <w:marRight w:val="0"/>
      <w:marTop w:val="0"/>
      <w:marBottom w:val="0"/>
      <w:divBdr>
        <w:top w:val="none" w:sz="0" w:space="0" w:color="auto"/>
        <w:left w:val="none" w:sz="0" w:space="0" w:color="auto"/>
        <w:bottom w:val="none" w:sz="0" w:space="0" w:color="auto"/>
        <w:right w:val="none" w:sz="0" w:space="0" w:color="auto"/>
      </w:divBdr>
      <w:divsChild>
        <w:div w:id="41289847">
          <w:marLeft w:val="547"/>
          <w:marRight w:val="0"/>
          <w:marTop w:val="115"/>
          <w:marBottom w:val="0"/>
          <w:divBdr>
            <w:top w:val="none" w:sz="0" w:space="0" w:color="auto"/>
            <w:left w:val="none" w:sz="0" w:space="0" w:color="auto"/>
            <w:bottom w:val="none" w:sz="0" w:space="0" w:color="auto"/>
            <w:right w:val="none" w:sz="0" w:space="0" w:color="auto"/>
          </w:divBdr>
        </w:div>
        <w:div w:id="127599216">
          <w:marLeft w:val="547"/>
          <w:marRight w:val="0"/>
          <w:marTop w:val="115"/>
          <w:marBottom w:val="0"/>
          <w:divBdr>
            <w:top w:val="none" w:sz="0" w:space="0" w:color="auto"/>
            <w:left w:val="none" w:sz="0" w:space="0" w:color="auto"/>
            <w:bottom w:val="none" w:sz="0" w:space="0" w:color="auto"/>
            <w:right w:val="none" w:sz="0" w:space="0" w:color="auto"/>
          </w:divBdr>
        </w:div>
        <w:div w:id="437527081">
          <w:marLeft w:val="547"/>
          <w:marRight w:val="0"/>
          <w:marTop w:val="115"/>
          <w:marBottom w:val="0"/>
          <w:divBdr>
            <w:top w:val="none" w:sz="0" w:space="0" w:color="auto"/>
            <w:left w:val="none" w:sz="0" w:space="0" w:color="auto"/>
            <w:bottom w:val="none" w:sz="0" w:space="0" w:color="auto"/>
            <w:right w:val="none" w:sz="0" w:space="0" w:color="auto"/>
          </w:divBdr>
        </w:div>
        <w:div w:id="1310789013">
          <w:marLeft w:val="547"/>
          <w:marRight w:val="0"/>
          <w:marTop w:val="115"/>
          <w:marBottom w:val="0"/>
          <w:divBdr>
            <w:top w:val="none" w:sz="0" w:space="0" w:color="auto"/>
            <w:left w:val="none" w:sz="0" w:space="0" w:color="auto"/>
            <w:bottom w:val="none" w:sz="0" w:space="0" w:color="auto"/>
            <w:right w:val="none" w:sz="0" w:space="0" w:color="auto"/>
          </w:divBdr>
        </w:div>
      </w:divsChild>
    </w:div>
    <w:div w:id="1481769083">
      <w:bodyDiv w:val="1"/>
      <w:marLeft w:val="0"/>
      <w:marRight w:val="0"/>
      <w:marTop w:val="0"/>
      <w:marBottom w:val="0"/>
      <w:divBdr>
        <w:top w:val="none" w:sz="0" w:space="0" w:color="auto"/>
        <w:left w:val="none" w:sz="0" w:space="0" w:color="auto"/>
        <w:bottom w:val="none" w:sz="0" w:space="0" w:color="auto"/>
        <w:right w:val="none" w:sz="0" w:space="0" w:color="auto"/>
      </w:divBdr>
    </w:div>
    <w:div w:id="1482237838">
      <w:bodyDiv w:val="1"/>
      <w:marLeft w:val="0"/>
      <w:marRight w:val="0"/>
      <w:marTop w:val="0"/>
      <w:marBottom w:val="0"/>
      <w:divBdr>
        <w:top w:val="none" w:sz="0" w:space="0" w:color="auto"/>
        <w:left w:val="none" w:sz="0" w:space="0" w:color="auto"/>
        <w:bottom w:val="none" w:sz="0" w:space="0" w:color="auto"/>
        <w:right w:val="none" w:sz="0" w:space="0" w:color="auto"/>
      </w:divBdr>
    </w:div>
    <w:div w:id="1512911290">
      <w:bodyDiv w:val="1"/>
      <w:marLeft w:val="0"/>
      <w:marRight w:val="0"/>
      <w:marTop w:val="0"/>
      <w:marBottom w:val="0"/>
      <w:divBdr>
        <w:top w:val="none" w:sz="0" w:space="0" w:color="auto"/>
        <w:left w:val="none" w:sz="0" w:space="0" w:color="auto"/>
        <w:bottom w:val="none" w:sz="0" w:space="0" w:color="auto"/>
        <w:right w:val="none" w:sz="0" w:space="0" w:color="auto"/>
      </w:divBdr>
      <w:divsChild>
        <w:div w:id="240913227">
          <w:marLeft w:val="547"/>
          <w:marRight w:val="0"/>
          <w:marTop w:val="67"/>
          <w:marBottom w:val="0"/>
          <w:divBdr>
            <w:top w:val="none" w:sz="0" w:space="0" w:color="auto"/>
            <w:left w:val="none" w:sz="0" w:space="0" w:color="auto"/>
            <w:bottom w:val="none" w:sz="0" w:space="0" w:color="auto"/>
            <w:right w:val="none" w:sz="0" w:space="0" w:color="auto"/>
          </w:divBdr>
        </w:div>
        <w:div w:id="488601651">
          <w:marLeft w:val="547"/>
          <w:marRight w:val="0"/>
          <w:marTop w:val="67"/>
          <w:marBottom w:val="0"/>
          <w:divBdr>
            <w:top w:val="none" w:sz="0" w:space="0" w:color="auto"/>
            <w:left w:val="none" w:sz="0" w:space="0" w:color="auto"/>
            <w:bottom w:val="none" w:sz="0" w:space="0" w:color="auto"/>
            <w:right w:val="none" w:sz="0" w:space="0" w:color="auto"/>
          </w:divBdr>
        </w:div>
        <w:div w:id="547912206">
          <w:marLeft w:val="547"/>
          <w:marRight w:val="0"/>
          <w:marTop w:val="67"/>
          <w:marBottom w:val="0"/>
          <w:divBdr>
            <w:top w:val="none" w:sz="0" w:space="0" w:color="auto"/>
            <w:left w:val="none" w:sz="0" w:space="0" w:color="auto"/>
            <w:bottom w:val="none" w:sz="0" w:space="0" w:color="auto"/>
            <w:right w:val="none" w:sz="0" w:space="0" w:color="auto"/>
          </w:divBdr>
        </w:div>
        <w:div w:id="1311130865">
          <w:marLeft w:val="547"/>
          <w:marRight w:val="0"/>
          <w:marTop w:val="67"/>
          <w:marBottom w:val="0"/>
          <w:divBdr>
            <w:top w:val="none" w:sz="0" w:space="0" w:color="auto"/>
            <w:left w:val="none" w:sz="0" w:space="0" w:color="auto"/>
            <w:bottom w:val="none" w:sz="0" w:space="0" w:color="auto"/>
            <w:right w:val="none" w:sz="0" w:space="0" w:color="auto"/>
          </w:divBdr>
        </w:div>
        <w:div w:id="1812554810">
          <w:marLeft w:val="547"/>
          <w:marRight w:val="0"/>
          <w:marTop w:val="67"/>
          <w:marBottom w:val="0"/>
          <w:divBdr>
            <w:top w:val="none" w:sz="0" w:space="0" w:color="auto"/>
            <w:left w:val="none" w:sz="0" w:space="0" w:color="auto"/>
            <w:bottom w:val="none" w:sz="0" w:space="0" w:color="auto"/>
            <w:right w:val="none" w:sz="0" w:space="0" w:color="auto"/>
          </w:divBdr>
        </w:div>
      </w:divsChild>
    </w:div>
    <w:div w:id="1521971221">
      <w:bodyDiv w:val="1"/>
      <w:marLeft w:val="0"/>
      <w:marRight w:val="0"/>
      <w:marTop w:val="0"/>
      <w:marBottom w:val="0"/>
      <w:divBdr>
        <w:top w:val="none" w:sz="0" w:space="0" w:color="auto"/>
        <w:left w:val="none" w:sz="0" w:space="0" w:color="auto"/>
        <w:bottom w:val="none" w:sz="0" w:space="0" w:color="auto"/>
        <w:right w:val="none" w:sz="0" w:space="0" w:color="auto"/>
      </w:divBdr>
      <w:divsChild>
        <w:div w:id="84302787">
          <w:marLeft w:val="1253"/>
          <w:marRight w:val="0"/>
          <w:marTop w:val="160"/>
          <w:marBottom w:val="0"/>
          <w:divBdr>
            <w:top w:val="none" w:sz="0" w:space="0" w:color="auto"/>
            <w:left w:val="none" w:sz="0" w:space="0" w:color="auto"/>
            <w:bottom w:val="none" w:sz="0" w:space="0" w:color="auto"/>
            <w:right w:val="none" w:sz="0" w:space="0" w:color="auto"/>
          </w:divBdr>
        </w:div>
        <w:div w:id="1603538188">
          <w:marLeft w:val="1253"/>
          <w:marRight w:val="0"/>
          <w:marTop w:val="160"/>
          <w:marBottom w:val="0"/>
          <w:divBdr>
            <w:top w:val="none" w:sz="0" w:space="0" w:color="auto"/>
            <w:left w:val="none" w:sz="0" w:space="0" w:color="auto"/>
            <w:bottom w:val="none" w:sz="0" w:space="0" w:color="auto"/>
            <w:right w:val="none" w:sz="0" w:space="0" w:color="auto"/>
          </w:divBdr>
        </w:div>
        <w:div w:id="1752654050">
          <w:marLeft w:val="1253"/>
          <w:marRight w:val="0"/>
          <w:marTop w:val="160"/>
          <w:marBottom w:val="0"/>
          <w:divBdr>
            <w:top w:val="none" w:sz="0" w:space="0" w:color="auto"/>
            <w:left w:val="none" w:sz="0" w:space="0" w:color="auto"/>
            <w:bottom w:val="none" w:sz="0" w:space="0" w:color="auto"/>
            <w:right w:val="none" w:sz="0" w:space="0" w:color="auto"/>
          </w:divBdr>
        </w:div>
        <w:div w:id="2125342826">
          <w:marLeft w:val="1253"/>
          <w:marRight w:val="0"/>
          <w:marTop w:val="160"/>
          <w:marBottom w:val="0"/>
          <w:divBdr>
            <w:top w:val="none" w:sz="0" w:space="0" w:color="auto"/>
            <w:left w:val="none" w:sz="0" w:space="0" w:color="auto"/>
            <w:bottom w:val="none" w:sz="0" w:space="0" w:color="auto"/>
            <w:right w:val="none" w:sz="0" w:space="0" w:color="auto"/>
          </w:divBdr>
        </w:div>
      </w:divsChild>
    </w:div>
    <w:div w:id="1522090427">
      <w:bodyDiv w:val="1"/>
      <w:marLeft w:val="0"/>
      <w:marRight w:val="0"/>
      <w:marTop w:val="0"/>
      <w:marBottom w:val="0"/>
      <w:divBdr>
        <w:top w:val="none" w:sz="0" w:space="0" w:color="auto"/>
        <w:left w:val="none" w:sz="0" w:space="0" w:color="auto"/>
        <w:bottom w:val="none" w:sz="0" w:space="0" w:color="auto"/>
        <w:right w:val="none" w:sz="0" w:space="0" w:color="auto"/>
      </w:divBdr>
    </w:div>
    <w:div w:id="1532306151">
      <w:bodyDiv w:val="1"/>
      <w:marLeft w:val="0"/>
      <w:marRight w:val="0"/>
      <w:marTop w:val="0"/>
      <w:marBottom w:val="0"/>
      <w:divBdr>
        <w:top w:val="none" w:sz="0" w:space="0" w:color="auto"/>
        <w:left w:val="none" w:sz="0" w:space="0" w:color="auto"/>
        <w:bottom w:val="none" w:sz="0" w:space="0" w:color="auto"/>
        <w:right w:val="none" w:sz="0" w:space="0" w:color="auto"/>
      </w:divBdr>
    </w:div>
    <w:div w:id="1547065282">
      <w:bodyDiv w:val="1"/>
      <w:marLeft w:val="0"/>
      <w:marRight w:val="0"/>
      <w:marTop w:val="0"/>
      <w:marBottom w:val="0"/>
      <w:divBdr>
        <w:top w:val="none" w:sz="0" w:space="0" w:color="auto"/>
        <w:left w:val="none" w:sz="0" w:space="0" w:color="auto"/>
        <w:bottom w:val="none" w:sz="0" w:space="0" w:color="auto"/>
        <w:right w:val="none" w:sz="0" w:space="0" w:color="auto"/>
      </w:divBdr>
      <w:divsChild>
        <w:div w:id="1623145715">
          <w:marLeft w:val="720"/>
          <w:marRight w:val="0"/>
          <w:marTop w:val="53"/>
          <w:marBottom w:val="0"/>
          <w:divBdr>
            <w:top w:val="none" w:sz="0" w:space="0" w:color="auto"/>
            <w:left w:val="none" w:sz="0" w:space="0" w:color="auto"/>
            <w:bottom w:val="none" w:sz="0" w:space="0" w:color="auto"/>
            <w:right w:val="none" w:sz="0" w:space="0" w:color="auto"/>
          </w:divBdr>
        </w:div>
        <w:div w:id="640041979">
          <w:marLeft w:val="720"/>
          <w:marRight w:val="0"/>
          <w:marTop w:val="53"/>
          <w:marBottom w:val="0"/>
          <w:divBdr>
            <w:top w:val="none" w:sz="0" w:space="0" w:color="auto"/>
            <w:left w:val="none" w:sz="0" w:space="0" w:color="auto"/>
            <w:bottom w:val="none" w:sz="0" w:space="0" w:color="auto"/>
            <w:right w:val="none" w:sz="0" w:space="0" w:color="auto"/>
          </w:divBdr>
        </w:div>
        <w:div w:id="437484335">
          <w:marLeft w:val="720"/>
          <w:marRight w:val="0"/>
          <w:marTop w:val="53"/>
          <w:marBottom w:val="0"/>
          <w:divBdr>
            <w:top w:val="none" w:sz="0" w:space="0" w:color="auto"/>
            <w:left w:val="none" w:sz="0" w:space="0" w:color="auto"/>
            <w:bottom w:val="none" w:sz="0" w:space="0" w:color="auto"/>
            <w:right w:val="none" w:sz="0" w:space="0" w:color="auto"/>
          </w:divBdr>
        </w:div>
        <w:div w:id="678124780">
          <w:marLeft w:val="720"/>
          <w:marRight w:val="0"/>
          <w:marTop w:val="53"/>
          <w:marBottom w:val="0"/>
          <w:divBdr>
            <w:top w:val="none" w:sz="0" w:space="0" w:color="auto"/>
            <w:left w:val="none" w:sz="0" w:space="0" w:color="auto"/>
            <w:bottom w:val="none" w:sz="0" w:space="0" w:color="auto"/>
            <w:right w:val="none" w:sz="0" w:space="0" w:color="auto"/>
          </w:divBdr>
        </w:div>
      </w:divsChild>
    </w:div>
    <w:div w:id="1582834651">
      <w:bodyDiv w:val="1"/>
      <w:marLeft w:val="0"/>
      <w:marRight w:val="0"/>
      <w:marTop w:val="0"/>
      <w:marBottom w:val="0"/>
      <w:divBdr>
        <w:top w:val="none" w:sz="0" w:space="0" w:color="auto"/>
        <w:left w:val="none" w:sz="0" w:space="0" w:color="auto"/>
        <w:bottom w:val="none" w:sz="0" w:space="0" w:color="auto"/>
        <w:right w:val="none" w:sz="0" w:space="0" w:color="auto"/>
      </w:divBdr>
    </w:div>
    <w:div w:id="1598051070">
      <w:bodyDiv w:val="1"/>
      <w:marLeft w:val="0"/>
      <w:marRight w:val="0"/>
      <w:marTop w:val="0"/>
      <w:marBottom w:val="0"/>
      <w:divBdr>
        <w:top w:val="none" w:sz="0" w:space="0" w:color="auto"/>
        <w:left w:val="none" w:sz="0" w:space="0" w:color="auto"/>
        <w:bottom w:val="none" w:sz="0" w:space="0" w:color="auto"/>
        <w:right w:val="none" w:sz="0" w:space="0" w:color="auto"/>
      </w:divBdr>
      <w:divsChild>
        <w:div w:id="1623070259">
          <w:marLeft w:val="547"/>
          <w:marRight w:val="0"/>
          <w:marTop w:val="58"/>
          <w:marBottom w:val="0"/>
          <w:divBdr>
            <w:top w:val="none" w:sz="0" w:space="0" w:color="auto"/>
            <w:left w:val="none" w:sz="0" w:space="0" w:color="auto"/>
            <w:bottom w:val="none" w:sz="0" w:space="0" w:color="auto"/>
            <w:right w:val="none" w:sz="0" w:space="0" w:color="auto"/>
          </w:divBdr>
        </w:div>
        <w:div w:id="456217602">
          <w:marLeft w:val="547"/>
          <w:marRight w:val="0"/>
          <w:marTop w:val="58"/>
          <w:marBottom w:val="0"/>
          <w:divBdr>
            <w:top w:val="none" w:sz="0" w:space="0" w:color="auto"/>
            <w:left w:val="none" w:sz="0" w:space="0" w:color="auto"/>
            <w:bottom w:val="none" w:sz="0" w:space="0" w:color="auto"/>
            <w:right w:val="none" w:sz="0" w:space="0" w:color="auto"/>
          </w:divBdr>
        </w:div>
        <w:div w:id="1665427021">
          <w:marLeft w:val="547"/>
          <w:marRight w:val="0"/>
          <w:marTop w:val="58"/>
          <w:marBottom w:val="0"/>
          <w:divBdr>
            <w:top w:val="none" w:sz="0" w:space="0" w:color="auto"/>
            <w:left w:val="none" w:sz="0" w:space="0" w:color="auto"/>
            <w:bottom w:val="none" w:sz="0" w:space="0" w:color="auto"/>
            <w:right w:val="none" w:sz="0" w:space="0" w:color="auto"/>
          </w:divBdr>
        </w:div>
        <w:div w:id="1195192766">
          <w:marLeft w:val="547"/>
          <w:marRight w:val="0"/>
          <w:marTop w:val="58"/>
          <w:marBottom w:val="0"/>
          <w:divBdr>
            <w:top w:val="none" w:sz="0" w:space="0" w:color="auto"/>
            <w:left w:val="none" w:sz="0" w:space="0" w:color="auto"/>
            <w:bottom w:val="none" w:sz="0" w:space="0" w:color="auto"/>
            <w:right w:val="none" w:sz="0" w:space="0" w:color="auto"/>
          </w:divBdr>
        </w:div>
        <w:div w:id="1163355353">
          <w:marLeft w:val="547"/>
          <w:marRight w:val="0"/>
          <w:marTop w:val="58"/>
          <w:marBottom w:val="0"/>
          <w:divBdr>
            <w:top w:val="none" w:sz="0" w:space="0" w:color="auto"/>
            <w:left w:val="none" w:sz="0" w:space="0" w:color="auto"/>
            <w:bottom w:val="none" w:sz="0" w:space="0" w:color="auto"/>
            <w:right w:val="none" w:sz="0" w:space="0" w:color="auto"/>
          </w:divBdr>
        </w:div>
        <w:div w:id="1807504952">
          <w:marLeft w:val="547"/>
          <w:marRight w:val="0"/>
          <w:marTop w:val="58"/>
          <w:marBottom w:val="0"/>
          <w:divBdr>
            <w:top w:val="none" w:sz="0" w:space="0" w:color="auto"/>
            <w:left w:val="none" w:sz="0" w:space="0" w:color="auto"/>
            <w:bottom w:val="none" w:sz="0" w:space="0" w:color="auto"/>
            <w:right w:val="none" w:sz="0" w:space="0" w:color="auto"/>
          </w:divBdr>
        </w:div>
        <w:div w:id="1429472176">
          <w:marLeft w:val="547"/>
          <w:marRight w:val="0"/>
          <w:marTop w:val="58"/>
          <w:marBottom w:val="0"/>
          <w:divBdr>
            <w:top w:val="none" w:sz="0" w:space="0" w:color="auto"/>
            <w:left w:val="none" w:sz="0" w:space="0" w:color="auto"/>
            <w:bottom w:val="none" w:sz="0" w:space="0" w:color="auto"/>
            <w:right w:val="none" w:sz="0" w:space="0" w:color="auto"/>
          </w:divBdr>
        </w:div>
        <w:div w:id="1076709632">
          <w:marLeft w:val="547"/>
          <w:marRight w:val="0"/>
          <w:marTop w:val="58"/>
          <w:marBottom w:val="0"/>
          <w:divBdr>
            <w:top w:val="none" w:sz="0" w:space="0" w:color="auto"/>
            <w:left w:val="none" w:sz="0" w:space="0" w:color="auto"/>
            <w:bottom w:val="none" w:sz="0" w:space="0" w:color="auto"/>
            <w:right w:val="none" w:sz="0" w:space="0" w:color="auto"/>
          </w:divBdr>
        </w:div>
        <w:div w:id="1428423029">
          <w:marLeft w:val="547"/>
          <w:marRight w:val="0"/>
          <w:marTop w:val="58"/>
          <w:marBottom w:val="0"/>
          <w:divBdr>
            <w:top w:val="none" w:sz="0" w:space="0" w:color="auto"/>
            <w:left w:val="none" w:sz="0" w:space="0" w:color="auto"/>
            <w:bottom w:val="none" w:sz="0" w:space="0" w:color="auto"/>
            <w:right w:val="none" w:sz="0" w:space="0" w:color="auto"/>
          </w:divBdr>
        </w:div>
      </w:divsChild>
    </w:div>
    <w:div w:id="1628782456">
      <w:bodyDiv w:val="1"/>
      <w:marLeft w:val="0"/>
      <w:marRight w:val="0"/>
      <w:marTop w:val="0"/>
      <w:marBottom w:val="0"/>
      <w:divBdr>
        <w:top w:val="none" w:sz="0" w:space="0" w:color="auto"/>
        <w:left w:val="none" w:sz="0" w:space="0" w:color="auto"/>
        <w:bottom w:val="none" w:sz="0" w:space="0" w:color="auto"/>
        <w:right w:val="none" w:sz="0" w:space="0" w:color="auto"/>
      </w:divBdr>
    </w:div>
    <w:div w:id="1631784100">
      <w:bodyDiv w:val="1"/>
      <w:marLeft w:val="0"/>
      <w:marRight w:val="0"/>
      <w:marTop w:val="0"/>
      <w:marBottom w:val="0"/>
      <w:divBdr>
        <w:top w:val="none" w:sz="0" w:space="0" w:color="auto"/>
        <w:left w:val="none" w:sz="0" w:space="0" w:color="auto"/>
        <w:bottom w:val="none" w:sz="0" w:space="0" w:color="auto"/>
        <w:right w:val="none" w:sz="0" w:space="0" w:color="auto"/>
      </w:divBdr>
    </w:div>
    <w:div w:id="1634943435">
      <w:bodyDiv w:val="1"/>
      <w:marLeft w:val="0"/>
      <w:marRight w:val="0"/>
      <w:marTop w:val="0"/>
      <w:marBottom w:val="0"/>
      <w:divBdr>
        <w:top w:val="none" w:sz="0" w:space="0" w:color="auto"/>
        <w:left w:val="none" w:sz="0" w:space="0" w:color="auto"/>
        <w:bottom w:val="none" w:sz="0" w:space="0" w:color="auto"/>
        <w:right w:val="none" w:sz="0" w:space="0" w:color="auto"/>
      </w:divBdr>
    </w:div>
    <w:div w:id="1641959751">
      <w:bodyDiv w:val="1"/>
      <w:marLeft w:val="0"/>
      <w:marRight w:val="0"/>
      <w:marTop w:val="0"/>
      <w:marBottom w:val="0"/>
      <w:divBdr>
        <w:top w:val="none" w:sz="0" w:space="0" w:color="auto"/>
        <w:left w:val="none" w:sz="0" w:space="0" w:color="auto"/>
        <w:bottom w:val="none" w:sz="0" w:space="0" w:color="auto"/>
        <w:right w:val="none" w:sz="0" w:space="0" w:color="auto"/>
      </w:divBdr>
      <w:divsChild>
        <w:div w:id="67581629">
          <w:marLeft w:val="547"/>
          <w:marRight w:val="0"/>
          <w:marTop w:val="58"/>
          <w:marBottom w:val="0"/>
          <w:divBdr>
            <w:top w:val="none" w:sz="0" w:space="0" w:color="auto"/>
            <w:left w:val="none" w:sz="0" w:space="0" w:color="auto"/>
            <w:bottom w:val="none" w:sz="0" w:space="0" w:color="auto"/>
            <w:right w:val="none" w:sz="0" w:space="0" w:color="auto"/>
          </w:divBdr>
        </w:div>
        <w:div w:id="1217863132">
          <w:marLeft w:val="547"/>
          <w:marRight w:val="0"/>
          <w:marTop w:val="58"/>
          <w:marBottom w:val="0"/>
          <w:divBdr>
            <w:top w:val="none" w:sz="0" w:space="0" w:color="auto"/>
            <w:left w:val="none" w:sz="0" w:space="0" w:color="auto"/>
            <w:bottom w:val="none" w:sz="0" w:space="0" w:color="auto"/>
            <w:right w:val="none" w:sz="0" w:space="0" w:color="auto"/>
          </w:divBdr>
        </w:div>
        <w:div w:id="622737274">
          <w:marLeft w:val="547"/>
          <w:marRight w:val="0"/>
          <w:marTop w:val="58"/>
          <w:marBottom w:val="0"/>
          <w:divBdr>
            <w:top w:val="none" w:sz="0" w:space="0" w:color="auto"/>
            <w:left w:val="none" w:sz="0" w:space="0" w:color="auto"/>
            <w:bottom w:val="none" w:sz="0" w:space="0" w:color="auto"/>
            <w:right w:val="none" w:sz="0" w:space="0" w:color="auto"/>
          </w:divBdr>
        </w:div>
        <w:div w:id="1024596309">
          <w:marLeft w:val="547"/>
          <w:marRight w:val="0"/>
          <w:marTop w:val="58"/>
          <w:marBottom w:val="0"/>
          <w:divBdr>
            <w:top w:val="none" w:sz="0" w:space="0" w:color="auto"/>
            <w:left w:val="none" w:sz="0" w:space="0" w:color="auto"/>
            <w:bottom w:val="none" w:sz="0" w:space="0" w:color="auto"/>
            <w:right w:val="none" w:sz="0" w:space="0" w:color="auto"/>
          </w:divBdr>
        </w:div>
        <w:div w:id="384060804">
          <w:marLeft w:val="547"/>
          <w:marRight w:val="0"/>
          <w:marTop w:val="58"/>
          <w:marBottom w:val="0"/>
          <w:divBdr>
            <w:top w:val="none" w:sz="0" w:space="0" w:color="auto"/>
            <w:left w:val="none" w:sz="0" w:space="0" w:color="auto"/>
            <w:bottom w:val="none" w:sz="0" w:space="0" w:color="auto"/>
            <w:right w:val="none" w:sz="0" w:space="0" w:color="auto"/>
          </w:divBdr>
        </w:div>
        <w:div w:id="1541359982">
          <w:marLeft w:val="547"/>
          <w:marRight w:val="0"/>
          <w:marTop w:val="58"/>
          <w:marBottom w:val="0"/>
          <w:divBdr>
            <w:top w:val="none" w:sz="0" w:space="0" w:color="auto"/>
            <w:left w:val="none" w:sz="0" w:space="0" w:color="auto"/>
            <w:bottom w:val="none" w:sz="0" w:space="0" w:color="auto"/>
            <w:right w:val="none" w:sz="0" w:space="0" w:color="auto"/>
          </w:divBdr>
        </w:div>
        <w:div w:id="991256538">
          <w:marLeft w:val="547"/>
          <w:marRight w:val="0"/>
          <w:marTop w:val="58"/>
          <w:marBottom w:val="0"/>
          <w:divBdr>
            <w:top w:val="none" w:sz="0" w:space="0" w:color="auto"/>
            <w:left w:val="none" w:sz="0" w:space="0" w:color="auto"/>
            <w:bottom w:val="none" w:sz="0" w:space="0" w:color="auto"/>
            <w:right w:val="none" w:sz="0" w:space="0" w:color="auto"/>
          </w:divBdr>
        </w:div>
      </w:divsChild>
    </w:div>
    <w:div w:id="1667248964">
      <w:bodyDiv w:val="1"/>
      <w:marLeft w:val="0"/>
      <w:marRight w:val="0"/>
      <w:marTop w:val="0"/>
      <w:marBottom w:val="0"/>
      <w:divBdr>
        <w:top w:val="none" w:sz="0" w:space="0" w:color="auto"/>
        <w:left w:val="none" w:sz="0" w:space="0" w:color="auto"/>
        <w:bottom w:val="none" w:sz="0" w:space="0" w:color="auto"/>
        <w:right w:val="none" w:sz="0" w:space="0" w:color="auto"/>
      </w:divBdr>
    </w:div>
    <w:div w:id="1680736412">
      <w:bodyDiv w:val="1"/>
      <w:marLeft w:val="0"/>
      <w:marRight w:val="0"/>
      <w:marTop w:val="0"/>
      <w:marBottom w:val="0"/>
      <w:divBdr>
        <w:top w:val="none" w:sz="0" w:space="0" w:color="auto"/>
        <w:left w:val="none" w:sz="0" w:space="0" w:color="auto"/>
        <w:bottom w:val="none" w:sz="0" w:space="0" w:color="auto"/>
        <w:right w:val="none" w:sz="0" w:space="0" w:color="auto"/>
      </w:divBdr>
      <w:divsChild>
        <w:div w:id="177044384">
          <w:marLeft w:val="1800"/>
          <w:marRight w:val="0"/>
          <w:marTop w:val="53"/>
          <w:marBottom w:val="0"/>
          <w:divBdr>
            <w:top w:val="none" w:sz="0" w:space="0" w:color="auto"/>
            <w:left w:val="none" w:sz="0" w:space="0" w:color="auto"/>
            <w:bottom w:val="none" w:sz="0" w:space="0" w:color="auto"/>
            <w:right w:val="none" w:sz="0" w:space="0" w:color="auto"/>
          </w:divBdr>
        </w:div>
        <w:div w:id="668675832">
          <w:marLeft w:val="1800"/>
          <w:marRight w:val="0"/>
          <w:marTop w:val="53"/>
          <w:marBottom w:val="0"/>
          <w:divBdr>
            <w:top w:val="none" w:sz="0" w:space="0" w:color="auto"/>
            <w:left w:val="none" w:sz="0" w:space="0" w:color="auto"/>
            <w:bottom w:val="none" w:sz="0" w:space="0" w:color="auto"/>
            <w:right w:val="none" w:sz="0" w:space="0" w:color="auto"/>
          </w:divBdr>
        </w:div>
        <w:div w:id="1201437304">
          <w:marLeft w:val="1800"/>
          <w:marRight w:val="0"/>
          <w:marTop w:val="53"/>
          <w:marBottom w:val="0"/>
          <w:divBdr>
            <w:top w:val="none" w:sz="0" w:space="0" w:color="auto"/>
            <w:left w:val="none" w:sz="0" w:space="0" w:color="auto"/>
            <w:bottom w:val="none" w:sz="0" w:space="0" w:color="auto"/>
            <w:right w:val="none" w:sz="0" w:space="0" w:color="auto"/>
          </w:divBdr>
        </w:div>
        <w:div w:id="1768965489">
          <w:marLeft w:val="1800"/>
          <w:marRight w:val="0"/>
          <w:marTop w:val="53"/>
          <w:marBottom w:val="0"/>
          <w:divBdr>
            <w:top w:val="none" w:sz="0" w:space="0" w:color="auto"/>
            <w:left w:val="none" w:sz="0" w:space="0" w:color="auto"/>
            <w:bottom w:val="none" w:sz="0" w:space="0" w:color="auto"/>
            <w:right w:val="none" w:sz="0" w:space="0" w:color="auto"/>
          </w:divBdr>
        </w:div>
        <w:div w:id="2071073914">
          <w:marLeft w:val="1800"/>
          <w:marRight w:val="0"/>
          <w:marTop w:val="53"/>
          <w:marBottom w:val="0"/>
          <w:divBdr>
            <w:top w:val="none" w:sz="0" w:space="0" w:color="auto"/>
            <w:left w:val="none" w:sz="0" w:space="0" w:color="auto"/>
            <w:bottom w:val="none" w:sz="0" w:space="0" w:color="auto"/>
            <w:right w:val="none" w:sz="0" w:space="0" w:color="auto"/>
          </w:divBdr>
        </w:div>
      </w:divsChild>
    </w:div>
    <w:div w:id="1714185262">
      <w:bodyDiv w:val="1"/>
      <w:marLeft w:val="0"/>
      <w:marRight w:val="0"/>
      <w:marTop w:val="0"/>
      <w:marBottom w:val="0"/>
      <w:divBdr>
        <w:top w:val="none" w:sz="0" w:space="0" w:color="auto"/>
        <w:left w:val="none" w:sz="0" w:space="0" w:color="auto"/>
        <w:bottom w:val="none" w:sz="0" w:space="0" w:color="auto"/>
        <w:right w:val="none" w:sz="0" w:space="0" w:color="auto"/>
      </w:divBdr>
      <w:divsChild>
        <w:div w:id="408776117">
          <w:marLeft w:val="2520"/>
          <w:marRight w:val="0"/>
          <w:marTop w:val="160"/>
          <w:marBottom w:val="0"/>
          <w:divBdr>
            <w:top w:val="none" w:sz="0" w:space="0" w:color="auto"/>
            <w:left w:val="none" w:sz="0" w:space="0" w:color="auto"/>
            <w:bottom w:val="none" w:sz="0" w:space="0" w:color="auto"/>
            <w:right w:val="none" w:sz="0" w:space="0" w:color="auto"/>
          </w:divBdr>
        </w:div>
        <w:div w:id="1381980990">
          <w:marLeft w:val="2520"/>
          <w:marRight w:val="0"/>
          <w:marTop w:val="160"/>
          <w:marBottom w:val="0"/>
          <w:divBdr>
            <w:top w:val="none" w:sz="0" w:space="0" w:color="auto"/>
            <w:left w:val="none" w:sz="0" w:space="0" w:color="auto"/>
            <w:bottom w:val="none" w:sz="0" w:space="0" w:color="auto"/>
            <w:right w:val="none" w:sz="0" w:space="0" w:color="auto"/>
          </w:divBdr>
        </w:div>
        <w:div w:id="1809931857">
          <w:marLeft w:val="2520"/>
          <w:marRight w:val="0"/>
          <w:marTop w:val="160"/>
          <w:marBottom w:val="0"/>
          <w:divBdr>
            <w:top w:val="none" w:sz="0" w:space="0" w:color="auto"/>
            <w:left w:val="none" w:sz="0" w:space="0" w:color="auto"/>
            <w:bottom w:val="none" w:sz="0" w:space="0" w:color="auto"/>
            <w:right w:val="none" w:sz="0" w:space="0" w:color="auto"/>
          </w:divBdr>
        </w:div>
        <w:div w:id="2024165946">
          <w:marLeft w:val="1800"/>
          <w:marRight w:val="0"/>
          <w:marTop w:val="160"/>
          <w:marBottom w:val="0"/>
          <w:divBdr>
            <w:top w:val="none" w:sz="0" w:space="0" w:color="auto"/>
            <w:left w:val="none" w:sz="0" w:space="0" w:color="auto"/>
            <w:bottom w:val="none" w:sz="0" w:space="0" w:color="auto"/>
            <w:right w:val="none" w:sz="0" w:space="0" w:color="auto"/>
          </w:divBdr>
        </w:div>
        <w:div w:id="2089841468">
          <w:marLeft w:val="2520"/>
          <w:marRight w:val="0"/>
          <w:marTop w:val="160"/>
          <w:marBottom w:val="0"/>
          <w:divBdr>
            <w:top w:val="none" w:sz="0" w:space="0" w:color="auto"/>
            <w:left w:val="none" w:sz="0" w:space="0" w:color="auto"/>
            <w:bottom w:val="none" w:sz="0" w:space="0" w:color="auto"/>
            <w:right w:val="none" w:sz="0" w:space="0" w:color="auto"/>
          </w:divBdr>
        </w:div>
      </w:divsChild>
    </w:div>
    <w:div w:id="1718971827">
      <w:bodyDiv w:val="1"/>
      <w:marLeft w:val="0"/>
      <w:marRight w:val="0"/>
      <w:marTop w:val="0"/>
      <w:marBottom w:val="0"/>
      <w:divBdr>
        <w:top w:val="none" w:sz="0" w:space="0" w:color="auto"/>
        <w:left w:val="none" w:sz="0" w:space="0" w:color="auto"/>
        <w:bottom w:val="none" w:sz="0" w:space="0" w:color="auto"/>
        <w:right w:val="none" w:sz="0" w:space="0" w:color="auto"/>
      </w:divBdr>
    </w:div>
    <w:div w:id="1763529839">
      <w:bodyDiv w:val="1"/>
      <w:marLeft w:val="0"/>
      <w:marRight w:val="0"/>
      <w:marTop w:val="0"/>
      <w:marBottom w:val="0"/>
      <w:divBdr>
        <w:top w:val="none" w:sz="0" w:space="0" w:color="auto"/>
        <w:left w:val="none" w:sz="0" w:space="0" w:color="auto"/>
        <w:bottom w:val="none" w:sz="0" w:space="0" w:color="auto"/>
        <w:right w:val="none" w:sz="0" w:space="0" w:color="auto"/>
      </w:divBdr>
    </w:div>
    <w:div w:id="1803379386">
      <w:bodyDiv w:val="1"/>
      <w:marLeft w:val="0"/>
      <w:marRight w:val="0"/>
      <w:marTop w:val="0"/>
      <w:marBottom w:val="0"/>
      <w:divBdr>
        <w:top w:val="none" w:sz="0" w:space="0" w:color="auto"/>
        <w:left w:val="none" w:sz="0" w:space="0" w:color="auto"/>
        <w:bottom w:val="none" w:sz="0" w:space="0" w:color="auto"/>
        <w:right w:val="none" w:sz="0" w:space="0" w:color="auto"/>
      </w:divBdr>
      <w:divsChild>
        <w:div w:id="747921751">
          <w:marLeft w:val="662"/>
          <w:marRight w:val="0"/>
          <w:marTop w:val="116"/>
          <w:marBottom w:val="0"/>
          <w:divBdr>
            <w:top w:val="none" w:sz="0" w:space="0" w:color="auto"/>
            <w:left w:val="none" w:sz="0" w:space="0" w:color="auto"/>
            <w:bottom w:val="none" w:sz="0" w:space="0" w:color="auto"/>
            <w:right w:val="none" w:sz="0" w:space="0" w:color="auto"/>
          </w:divBdr>
        </w:div>
        <w:div w:id="1105737247">
          <w:marLeft w:val="1094"/>
          <w:marRight w:val="0"/>
          <w:marTop w:val="74"/>
          <w:marBottom w:val="0"/>
          <w:divBdr>
            <w:top w:val="none" w:sz="0" w:space="0" w:color="auto"/>
            <w:left w:val="none" w:sz="0" w:space="0" w:color="auto"/>
            <w:bottom w:val="none" w:sz="0" w:space="0" w:color="auto"/>
            <w:right w:val="none" w:sz="0" w:space="0" w:color="auto"/>
          </w:divBdr>
        </w:div>
        <w:div w:id="1675918209">
          <w:marLeft w:val="1094"/>
          <w:marRight w:val="0"/>
          <w:marTop w:val="74"/>
          <w:marBottom w:val="0"/>
          <w:divBdr>
            <w:top w:val="none" w:sz="0" w:space="0" w:color="auto"/>
            <w:left w:val="none" w:sz="0" w:space="0" w:color="auto"/>
            <w:bottom w:val="none" w:sz="0" w:space="0" w:color="auto"/>
            <w:right w:val="none" w:sz="0" w:space="0" w:color="auto"/>
          </w:divBdr>
        </w:div>
        <w:div w:id="1773471034">
          <w:marLeft w:val="662"/>
          <w:marRight w:val="0"/>
          <w:marTop w:val="116"/>
          <w:marBottom w:val="0"/>
          <w:divBdr>
            <w:top w:val="none" w:sz="0" w:space="0" w:color="auto"/>
            <w:left w:val="none" w:sz="0" w:space="0" w:color="auto"/>
            <w:bottom w:val="none" w:sz="0" w:space="0" w:color="auto"/>
            <w:right w:val="none" w:sz="0" w:space="0" w:color="auto"/>
          </w:divBdr>
        </w:div>
        <w:div w:id="2041316228">
          <w:marLeft w:val="662"/>
          <w:marRight w:val="0"/>
          <w:marTop w:val="116"/>
          <w:marBottom w:val="0"/>
          <w:divBdr>
            <w:top w:val="none" w:sz="0" w:space="0" w:color="auto"/>
            <w:left w:val="none" w:sz="0" w:space="0" w:color="auto"/>
            <w:bottom w:val="none" w:sz="0" w:space="0" w:color="auto"/>
            <w:right w:val="none" w:sz="0" w:space="0" w:color="auto"/>
          </w:divBdr>
        </w:div>
        <w:div w:id="2078743383">
          <w:marLeft w:val="1094"/>
          <w:marRight w:val="0"/>
          <w:marTop w:val="74"/>
          <w:marBottom w:val="0"/>
          <w:divBdr>
            <w:top w:val="none" w:sz="0" w:space="0" w:color="auto"/>
            <w:left w:val="none" w:sz="0" w:space="0" w:color="auto"/>
            <w:bottom w:val="none" w:sz="0" w:space="0" w:color="auto"/>
            <w:right w:val="none" w:sz="0" w:space="0" w:color="auto"/>
          </w:divBdr>
        </w:div>
      </w:divsChild>
    </w:div>
    <w:div w:id="1812988746">
      <w:bodyDiv w:val="1"/>
      <w:marLeft w:val="0"/>
      <w:marRight w:val="0"/>
      <w:marTop w:val="0"/>
      <w:marBottom w:val="0"/>
      <w:divBdr>
        <w:top w:val="none" w:sz="0" w:space="0" w:color="auto"/>
        <w:left w:val="none" w:sz="0" w:space="0" w:color="auto"/>
        <w:bottom w:val="none" w:sz="0" w:space="0" w:color="auto"/>
        <w:right w:val="none" w:sz="0" w:space="0" w:color="auto"/>
      </w:divBdr>
    </w:div>
    <w:div w:id="1814909796">
      <w:bodyDiv w:val="1"/>
      <w:marLeft w:val="0"/>
      <w:marRight w:val="0"/>
      <w:marTop w:val="0"/>
      <w:marBottom w:val="0"/>
      <w:divBdr>
        <w:top w:val="none" w:sz="0" w:space="0" w:color="auto"/>
        <w:left w:val="none" w:sz="0" w:space="0" w:color="auto"/>
        <w:bottom w:val="none" w:sz="0" w:space="0" w:color="auto"/>
        <w:right w:val="none" w:sz="0" w:space="0" w:color="auto"/>
      </w:divBdr>
      <w:divsChild>
        <w:div w:id="2075470574">
          <w:marLeft w:val="547"/>
          <w:marRight w:val="0"/>
          <w:marTop w:val="58"/>
          <w:marBottom w:val="0"/>
          <w:divBdr>
            <w:top w:val="none" w:sz="0" w:space="0" w:color="auto"/>
            <w:left w:val="none" w:sz="0" w:space="0" w:color="auto"/>
            <w:bottom w:val="none" w:sz="0" w:space="0" w:color="auto"/>
            <w:right w:val="none" w:sz="0" w:space="0" w:color="auto"/>
          </w:divBdr>
        </w:div>
        <w:div w:id="1719090484">
          <w:marLeft w:val="547"/>
          <w:marRight w:val="0"/>
          <w:marTop w:val="58"/>
          <w:marBottom w:val="0"/>
          <w:divBdr>
            <w:top w:val="none" w:sz="0" w:space="0" w:color="auto"/>
            <w:left w:val="none" w:sz="0" w:space="0" w:color="auto"/>
            <w:bottom w:val="none" w:sz="0" w:space="0" w:color="auto"/>
            <w:right w:val="none" w:sz="0" w:space="0" w:color="auto"/>
          </w:divBdr>
        </w:div>
        <w:div w:id="1906796307">
          <w:marLeft w:val="547"/>
          <w:marRight w:val="0"/>
          <w:marTop w:val="58"/>
          <w:marBottom w:val="0"/>
          <w:divBdr>
            <w:top w:val="none" w:sz="0" w:space="0" w:color="auto"/>
            <w:left w:val="none" w:sz="0" w:space="0" w:color="auto"/>
            <w:bottom w:val="none" w:sz="0" w:space="0" w:color="auto"/>
            <w:right w:val="none" w:sz="0" w:space="0" w:color="auto"/>
          </w:divBdr>
        </w:div>
        <w:div w:id="1279142276">
          <w:marLeft w:val="547"/>
          <w:marRight w:val="0"/>
          <w:marTop w:val="58"/>
          <w:marBottom w:val="0"/>
          <w:divBdr>
            <w:top w:val="none" w:sz="0" w:space="0" w:color="auto"/>
            <w:left w:val="none" w:sz="0" w:space="0" w:color="auto"/>
            <w:bottom w:val="none" w:sz="0" w:space="0" w:color="auto"/>
            <w:right w:val="none" w:sz="0" w:space="0" w:color="auto"/>
          </w:divBdr>
        </w:div>
        <w:div w:id="2010524953">
          <w:marLeft w:val="547"/>
          <w:marRight w:val="0"/>
          <w:marTop w:val="58"/>
          <w:marBottom w:val="0"/>
          <w:divBdr>
            <w:top w:val="none" w:sz="0" w:space="0" w:color="auto"/>
            <w:left w:val="none" w:sz="0" w:space="0" w:color="auto"/>
            <w:bottom w:val="none" w:sz="0" w:space="0" w:color="auto"/>
            <w:right w:val="none" w:sz="0" w:space="0" w:color="auto"/>
          </w:divBdr>
        </w:div>
        <w:div w:id="1971130465">
          <w:marLeft w:val="547"/>
          <w:marRight w:val="0"/>
          <w:marTop w:val="58"/>
          <w:marBottom w:val="0"/>
          <w:divBdr>
            <w:top w:val="none" w:sz="0" w:space="0" w:color="auto"/>
            <w:left w:val="none" w:sz="0" w:space="0" w:color="auto"/>
            <w:bottom w:val="none" w:sz="0" w:space="0" w:color="auto"/>
            <w:right w:val="none" w:sz="0" w:space="0" w:color="auto"/>
          </w:divBdr>
        </w:div>
        <w:div w:id="2029404622">
          <w:marLeft w:val="547"/>
          <w:marRight w:val="0"/>
          <w:marTop w:val="58"/>
          <w:marBottom w:val="0"/>
          <w:divBdr>
            <w:top w:val="none" w:sz="0" w:space="0" w:color="auto"/>
            <w:left w:val="none" w:sz="0" w:space="0" w:color="auto"/>
            <w:bottom w:val="none" w:sz="0" w:space="0" w:color="auto"/>
            <w:right w:val="none" w:sz="0" w:space="0" w:color="auto"/>
          </w:divBdr>
        </w:div>
        <w:div w:id="1340809643">
          <w:marLeft w:val="547"/>
          <w:marRight w:val="0"/>
          <w:marTop w:val="58"/>
          <w:marBottom w:val="0"/>
          <w:divBdr>
            <w:top w:val="none" w:sz="0" w:space="0" w:color="auto"/>
            <w:left w:val="none" w:sz="0" w:space="0" w:color="auto"/>
            <w:bottom w:val="none" w:sz="0" w:space="0" w:color="auto"/>
            <w:right w:val="none" w:sz="0" w:space="0" w:color="auto"/>
          </w:divBdr>
        </w:div>
        <w:div w:id="1201699651">
          <w:marLeft w:val="547"/>
          <w:marRight w:val="0"/>
          <w:marTop w:val="58"/>
          <w:marBottom w:val="0"/>
          <w:divBdr>
            <w:top w:val="none" w:sz="0" w:space="0" w:color="auto"/>
            <w:left w:val="none" w:sz="0" w:space="0" w:color="auto"/>
            <w:bottom w:val="none" w:sz="0" w:space="0" w:color="auto"/>
            <w:right w:val="none" w:sz="0" w:space="0" w:color="auto"/>
          </w:divBdr>
        </w:div>
      </w:divsChild>
    </w:div>
    <w:div w:id="1817795857">
      <w:bodyDiv w:val="1"/>
      <w:marLeft w:val="0"/>
      <w:marRight w:val="0"/>
      <w:marTop w:val="0"/>
      <w:marBottom w:val="0"/>
      <w:divBdr>
        <w:top w:val="none" w:sz="0" w:space="0" w:color="auto"/>
        <w:left w:val="none" w:sz="0" w:space="0" w:color="auto"/>
        <w:bottom w:val="none" w:sz="0" w:space="0" w:color="auto"/>
        <w:right w:val="none" w:sz="0" w:space="0" w:color="auto"/>
      </w:divBdr>
      <w:divsChild>
        <w:div w:id="223950906">
          <w:marLeft w:val="547"/>
          <w:marRight w:val="0"/>
          <w:marTop w:val="96"/>
          <w:marBottom w:val="0"/>
          <w:divBdr>
            <w:top w:val="none" w:sz="0" w:space="0" w:color="auto"/>
            <w:left w:val="none" w:sz="0" w:space="0" w:color="auto"/>
            <w:bottom w:val="none" w:sz="0" w:space="0" w:color="auto"/>
            <w:right w:val="none" w:sz="0" w:space="0" w:color="auto"/>
          </w:divBdr>
        </w:div>
        <w:div w:id="266668355">
          <w:marLeft w:val="547"/>
          <w:marRight w:val="0"/>
          <w:marTop w:val="96"/>
          <w:marBottom w:val="0"/>
          <w:divBdr>
            <w:top w:val="none" w:sz="0" w:space="0" w:color="auto"/>
            <w:left w:val="none" w:sz="0" w:space="0" w:color="auto"/>
            <w:bottom w:val="none" w:sz="0" w:space="0" w:color="auto"/>
            <w:right w:val="none" w:sz="0" w:space="0" w:color="auto"/>
          </w:divBdr>
        </w:div>
        <w:div w:id="942304167">
          <w:marLeft w:val="547"/>
          <w:marRight w:val="0"/>
          <w:marTop w:val="96"/>
          <w:marBottom w:val="0"/>
          <w:divBdr>
            <w:top w:val="none" w:sz="0" w:space="0" w:color="auto"/>
            <w:left w:val="none" w:sz="0" w:space="0" w:color="auto"/>
            <w:bottom w:val="none" w:sz="0" w:space="0" w:color="auto"/>
            <w:right w:val="none" w:sz="0" w:space="0" w:color="auto"/>
          </w:divBdr>
        </w:div>
      </w:divsChild>
    </w:div>
    <w:div w:id="1827700191">
      <w:bodyDiv w:val="1"/>
      <w:marLeft w:val="0"/>
      <w:marRight w:val="0"/>
      <w:marTop w:val="0"/>
      <w:marBottom w:val="0"/>
      <w:divBdr>
        <w:top w:val="none" w:sz="0" w:space="0" w:color="auto"/>
        <w:left w:val="none" w:sz="0" w:space="0" w:color="auto"/>
        <w:bottom w:val="none" w:sz="0" w:space="0" w:color="auto"/>
        <w:right w:val="none" w:sz="0" w:space="0" w:color="auto"/>
      </w:divBdr>
      <w:divsChild>
        <w:div w:id="663825069">
          <w:marLeft w:val="547"/>
          <w:marRight w:val="0"/>
          <w:marTop w:val="96"/>
          <w:marBottom w:val="0"/>
          <w:divBdr>
            <w:top w:val="none" w:sz="0" w:space="0" w:color="auto"/>
            <w:left w:val="none" w:sz="0" w:space="0" w:color="auto"/>
            <w:bottom w:val="none" w:sz="0" w:space="0" w:color="auto"/>
            <w:right w:val="none" w:sz="0" w:space="0" w:color="auto"/>
          </w:divBdr>
        </w:div>
        <w:div w:id="1168980376">
          <w:marLeft w:val="547"/>
          <w:marRight w:val="0"/>
          <w:marTop w:val="96"/>
          <w:marBottom w:val="0"/>
          <w:divBdr>
            <w:top w:val="none" w:sz="0" w:space="0" w:color="auto"/>
            <w:left w:val="none" w:sz="0" w:space="0" w:color="auto"/>
            <w:bottom w:val="none" w:sz="0" w:space="0" w:color="auto"/>
            <w:right w:val="none" w:sz="0" w:space="0" w:color="auto"/>
          </w:divBdr>
        </w:div>
        <w:div w:id="1318993303">
          <w:marLeft w:val="547"/>
          <w:marRight w:val="0"/>
          <w:marTop w:val="96"/>
          <w:marBottom w:val="0"/>
          <w:divBdr>
            <w:top w:val="none" w:sz="0" w:space="0" w:color="auto"/>
            <w:left w:val="none" w:sz="0" w:space="0" w:color="auto"/>
            <w:bottom w:val="none" w:sz="0" w:space="0" w:color="auto"/>
            <w:right w:val="none" w:sz="0" w:space="0" w:color="auto"/>
          </w:divBdr>
        </w:div>
        <w:div w:id="1710031190">
          <w:marLeft w:val="547"/>
          <w:marRight w:val="0"/>
          <w:marTop w:val="96"/>
          <w:marBottom w:val="0"/>
          <w:divBdr>
            <w:top w:val="none" w:sz="0" w:space="0" w:color="auto"/>
            <w:left w:val="none" w:sz="0" w:space="0" w:color="auto"/>
            <w:bottom w:val="none" w:sz="0" w:space="0" w:color="auto"/>
            <w:right w:val="none" w:sz="0" w:space="0" w:color="auto"/>
          </w:divBdr>
        </w:div>
      </w:divsChild>
    </w:div>
    <w:div w:id="1831363669">
      <w:bodyDiv w:val="1"/>
      <w:marLeft w:val="0"/>
      <w:marRight w:val="0"/>
      <w:marTop w:val="0"/>
      <w:marBottom w:val="0"/>
      <w:divBdr>
        <w:top w:val="none" w:sz="0" w:space="0" w:color="auto"/>
        <w:left w:val="none" w:sz="0" w:space="0" w:color="auto"/>
        <w:bottom w:val="none" w:sz="0" w:space="0" w:color="auto"/>
        <w:right w:val="none" w:sz="0" w:space="0" w:color="auto"/>
      </w:divBdr>
      <w:divsChild>
        <w:div w:id="887835087">
          <w:marLeft w:val="547"/>
          <w:marRight w:val="0"/>
          <w:marTop w:val="115"/>
          <w:marBottom w:val="0"/>
          <w:divBdr>
            <w:top w:val="none" w:sz="0" w:space="0" w:color="auto"/>
            <w:left w:val="none" w:sz="0" w:space="0" w:color="auto"/>
            <w:bottom w:val="none" w:sz="0" w:space="0" w:color="auto"/>
            <w:right w:val="none" w:sz="0" w:space="0" w:color="auto"/>
          </w:divBdr>
        </w:div>
        <w:div w:id="1450276788">
          <w:marLeft w:val="547"/>
          <w:marRight w:val="0"/>
          <w:marTop w:val="115"/>
          <w:marBottom w:val="0"/>
          <w:divBdr>
            <w:top w:val="none" w:sz="0" w:space="0" w:color="auto"/>
            <w:left w:val="none" w:sz="0" w:space="0" w:color="auto"/>
            <w:bottom w:val="none" w:sz="0" w:space="0" w:color="auto"/>
            <w:right w:val="none" w:sz="0" w:space="0" w:color="auto"/>
          </w:divBdr>
        </w:div>
      </w:divsChild>
    </w:div>
    <w:div w:id="1837070358">
      <w:bodyDiv w:val="1"/>
      <w:marLeft w:val="0"/>
      <w:marRight w:val="0"/>
      <w:marTop w:val="0"/>
      <w:marBottom w:val="0"/>
      <w:divBdr>
        <w:top w:val="none" w:sz="0" w:space="0" w:color="auto"/>
        <w:left w:val="none" w:sz="0" w:space="0" w:color="auto"/>
        <w:bottom w:val="none" w:sz="0" w:space="0" w:color="auto"/>
        <w:right w:val="none" w:sz="0" w:space="0" w:color="auto"/>
      </w:divBdr>
    </w:div>
    <w:div w:id="1839418953">
      <w:bodyDiv w:val="1"/>
      <w:marLeft w:val="0"/>
      <w:marRight w:val="0"/>
      <w:marTop w:val="0"/>
      <w:marBottom w:val="0"/>
      <w:divBdr>
        <w:top w:val="none" w:sz="0" w:space="0" w:color="auto"/>
        <w:left w:val="none" w:sz="0" w:space="0" w:color="auto"/>
        <w:bottom w:val="none" w:sz="0" w:space="0" w:color="auto"/>
        <w:right w:val="none" w:sz="0" w:space="0" w:color="auto"/>
      </w:divBdr>
      <w:divsChild>
        <w:div w:id="194974639">
          <w:marLeft w:val="547"/>
          <w:marRight w:val="0"/>
          <w:marTop w:val="0"/>
          <w:marBottom w:val="0"/>
          <w:divBdr>
            <w:top w:val="none" w:sz="0" w:space="0" w:color="auto"/>
            <w:left w:val="none" w:sz="0" w:space="0" w:color="auto"/>
            <w:bottom w:val="none" w:sz="0" w:space="0" w:color="auto"/>
            <w:right w:val="none" w:sz="0" w:space="0" w:color="auto"/>
          </w:divBdr>
        </w:div>
        <w:div w:id="533542592">
          <w:marLeft w:val="547"/>
          <w:marRight w:val="0"/>
          <w:marTop w:val="0"/>
          <w:marBottom w:val="0"/>
          <w:divBdr>
            <w:top w:val="none" w:sz="0" w:space="0" w:color="auto"/>
            <w:left w:val="none" w:sz="0" w:space="0" w:color="auto"/>
            <w:bottom w:val="none" w:sz="0" w:space="0" w:color="auto"/>
            <w:right w:val="none" w:sz="0" w:space="0" w:color="auto"/>
          </w:divBdr>
        </w:div>
        <w:div w:id="1123117981">
          <w:marLeft w:val="547"/>
          <w:marRight w:val="0"/>
          <w:marTop w:val="0"/>
          <w:marBottom w:val="0"/>
          <w:divBdr>
            <w:top w:val="none" w:sz="0" w:space="0" w:color="auto"/>
            <w:left w:val="none" w:sz="0" w:space="0" w:color="auto"/>
            <w:bottom w:val="none" w:sz="0" w:space="0" w:color="auto"/>
            <w:right w:val="none" w:sz="0" w:space="0" w:color="auto"/>
          </w:divBdr>
        </w:div>
      </w:divsChild>
    </w:div>
    <w:div w:id="1844857892">
      <w:bodyDiv w:val="1"/>
      <w:marLeft w:val="0"/>
      <w:marRight w:val="0"/>
      <w:marTop w:val="0"/>
      <w:marBottom w:val="0"/>
      <w:divBdr>
        <w:top w:val="none" w:sz="0" w:space="0" w:color="auto"/>
        <w:left w:val="none" w:sz="0" w:space="0" w:color="auto"/>
        <w:bottom w:val="none" w:sz="0" w:space="0" w:color="auto"/>
        <w:right w:val="none" w:sz="0" w:space="0" w:color="auto"/>
      </w:divBdr>
    </w:div>
    <w:div w:id="1849178926">
      <w:bodyDiv w:val="1"/>
      <w:marLeft w:val="0"/>
      <w:marRight w:val="0"/>
      <w:marTop w:val="0"/>
      <w:marBottom w:val="0"/>
      <w:divBdr>
        <w:top w:val="none" w:sz="0" w:space="0" w:color="auto"/>
        <w:left w:val="none" w:sz="0" w:space="0" w:color="auto"/>
        <w:bottom w:val="none" w:sz="0" w:space="0" w:color="auto"/>
        <w:right w:val="none" w:sz="0" w:space="0" w:color="auto"/>
      </w:divBdr>
    </w:div>
    <w:div w:id="1870683475">
      <w:bodyDiv w:val="1"/>
      <w:marLeft w:val="0"/>
      <w:marRight w:val="0"/>
      <w:marTop w:val="0"/>
      <w:marBottom w:val="0"/>
      <w:divBdr>
        <w:top w:val="none" w:sz="0" w:space="0" w:color="auto"/>
        <w:left w:val="none" w:sz="0" w:space="0" w:color="auto"/>
        <w:bottom w:val="none" w:sz="0" w:space="0" w:color="auto"/>
        <w:right w:val="none" w:sz="0" w:space="0" w:color="auto"/>
      </w:divBdr>
      <w:divsChild>
        <w:div w:id="1343778190">
          <w:marLeft w:val="547"/>
          <w:marRight w:val="0"/>
          <w:marTop w:val="53"/>
          <w:marBottom w:val="0"/>
          <w:divBdr>
            <w:top w:val="none" w:sz="0" w:space="0" w:color="auto"/>
            <w:left w:val="none" w:sz="0" w:space="0" w:color="auto"/>
            <w:bottom w:val="none" w:sz="0" w:space="0" w:color="auto"/>
            <w:right w:val="none" w:sz="0" w:space="0" w:color="auto"/>
          </w:divBdr>
        </w:div>
        <w:div w:id="1266768155">
          <w:marLeft w:val="1166"/>
          <w:marRight w:val="0"/>
          <w:marTop w:val="53"/>
          <w:marBottom w:val="0"/>
          <w:divBdr>
            <w:top w:val="none" w:sz="0" w:space="0" w:color="auto"/>
            <w:left w:val="none" w:sz="0" w:space="0" w:color="auto"/>
            <w:bottom w:val="none" w:sz="0" w:space="0" w:color="auto"/>
            <w:right w:val="none" w:sz="0" w:space="0" w:color="auto"/>
          </w:divBdr>
        </w:div>
        <w:div w:id="1974214067">
          <w:marLeft w:val="1166"/>
          <w:marRight w:val="0"/>
          <w:marTop w:val="53"/>
          <w:marBottom w:val="0"/>
          <w:divBdr>
            <w:top w:val="none" w:sz="0" w:space="0" w:color="auto"/>
            <w:left w:val="none" w:sz="0" w:space="0" w:color="auto"/>
            <w:bottom w:val="none" w:sz="0" w:space="0" w:color="auto"/>
            <w:right w:val="none" w:sz="0" w:space="0" w:color="auto"/>
          </w:divBdr>
        </w:div>
        <w:div w:id="1078134881">
          <w:marLeft w:val="1166"/>
          <w:marRight w:val="0"/>
          <w:marTop w:val="53"/>
          <w:marBottom w:val="0"/>
          <w:divBdr>
            <w:top w:val="none" w:sz="0" w:space="0" w:color="auto"/>
            <w:left w:val="none" w:sz="0" w:space="0" w:color="auto"/>
            <w:bottom w:val="none" w:sz="0" w:space="0" w:color="auto"/>
            <w:right w:val="none" w:sz="0" w:space="0" w:color="auto"/>
          </w:divBdr>
        </w:div>
        <w:div w:id="1041517150">
          <w:marLeft w:val="1166"/>
          <w:marRight w:val="0"/>
          <w:marTop w:val="53"/>
          <w:marBottom w:val="0"/>
          <w:divBdr>
            <w:top w:val="none" w:sz="0" w:space="0" w:color="auto"/>
            <w:left w:val="none" w:sz="0" w:space="0" w:color="auto"/>
            <w:bottom w:val="none" w:sz="0" w:space="0" w:color="auto"/>
            <w:right w:val="none" w:sz="0" w:space="0" w:color="auto"/>
          </w:divBdr>
        </w:div>
        <w:div w:id="1882667947">
          <w:marLeft w:val="1166"/>
          <w:marRight w:val="0"/>
          <w:marTop w:val="53"/>
          <w:marBottom w:val="0"/>
          <w:divBdr>
            <w:top w:val="none" w:sz="0" w:space="0" w:color="auto"/>
            <w:left w:val="none" w:sz="0" w:space="0" w:color="auto"/>
            <w:bottom w:val="none" w:sz="0" w:space="0" w:color="auto"/>
            <w:right w:val="none" w:sz="0" w:space="0" w:color="auto"/>
          </w:divBdr>
        </w:div>
        <w:div w:id="1998806719">
          <w:marLeft w:val="1166"/>
          <w:marRight w:val="0"/>
          <w:marTop w:val="53"/>
          <w:marBottom w:val="0"/>
          <w:divBdr>
            <w:top w:val="none" w:sz="0" w:space="0" w:color="auto"/>
            <w:left w:val="none" w:sz="0" w:space="0" w:color="auto"/>
            <w:bottom w:val="none" w:sz="0" w:space="0" w:color="auto"/>
            <w:right w:val="none" w:sz="0" w:space="0" w:color="auto"/>
          </w:divBdr>
        </w:div>
        <w:div w:id="998652965">
          <w:marLeft w:val="547"/>
          <w:marRight w:val="0"/>
          <w:marTop w:val="53"/>
          <w:marBottom w:val="0"/>
          <w:divBdr>
            <w:top w:val="none" w:sz="0" w:space="0" w:color="auto"/>
            <w:left w:val="none" w:sz="0" w:space="0" w:color="auto"/>
            <w:bottom w:val="none" w:sz="0" w:space="0" w:color="auto"/>
            <w:right w:val="none" w:sz="0" w:space="0" w:color="auto"/>
          </w:divBdr>
        </w:div>
        <w:div w:id="554201362">
          <w:marLeft w:val="1166"/>
          <w:marRight w:val="0"/>
          <w:marTop w:val="53"/>
          <w:marBottom w:val="0"/>
          <w:divBdr>
            <w:top w:val="none" w:sz="0" w:space="0" w:color="auto"/>
            <w:left w:val="none" w:sz="0" w:space="0" w:color="auto"/>
            <w:bottom w:val="none" w:sz="0" w:space="0" w:color="auto"/>
            <w:right w:val="none" w:sz="0" w:space="0" w:color="auto"/>
          </w:divBdr>
        </w:div>
        <w:div w:id="435638134">
          <w:marLeft w:val="1166"/>
          <w:marRight w:val="0"/>
          <w:marTop w:val="53"/>
          <w:marBottom w:val="0"/>
          <w:divBdr>
            <w:top w:val="none" w:sz="0" w:space="0" w:color="auto"/>
            <w:left w:val="none" w:sz="0" w:space="0" w:color="auto"/>
            <w:bottom w:val="none" w:sz="0" w:space="0" w:color="auto"/>
            <w:right w:val="none" w:sz="0" w:space="0" w:color="auto"/>
          </w:divBdr>
        </w:div>
      </w:divsChild>
    </w:div>
    <w:div w:id="1896622681">
      <w:bodyDiv w:val="1"/>
      <w:marLeft w:val="0"/>
      <w:marRight w:val="0"/>
      <w:marTop w:val="0"/>
      <w:marBottom w:val="0"/>
      <w:divBdr>
        <w:top w:val="none" w:sz="0" w:space="0" w:color="auto"/>
        <w:left w:val="none" w:sz="0" w:space="0" w:color="auto"/>
        <w:bottom w:val="none" w:sz="0" w:space="0" w:color="auto"/>
        <w:right w:val="none" w:sz="0" w:space="0" w:color="auto"/>
      </w:divBdr>
    </w:div>
    <w:div w:id="1930843245">
      <w:bodyDiv w:val="1"/>
      <w:marLeft w:val="0"/>
      <w:marRight w:val="0"/>
      <w:marTop w:val="0"/>
      <w:marBottom w:val="0"/>
      <w:divBdr>
        <w:top w:val="none" w:sz="0" w:space="0" w:color="auto"/>
        <w:left w:val="none" w:sz="0" w:space="0" w:color="auto"/>
        <w:bottom w:val="none" w:sz="0" w:space="0" w:color="auto"/>
        <w:right w:val="none" w:sz="0" w:space="0" w:color="auto"/>
      </w:divBdr>
      <w:divsChild>
        <w:div w:id="1332096954">
          <w:marLeft w:val="547"/>
          <w:marRight w:val="0"/>
          <w:marTop w:val="58"/>
          <w:marBottom w:val="0"/>
          <w:divBdr>
            <w:top w:val="none" w:sz="0" w:space="0" w:color="auto"/>
            <w:left w:val="none" w:sz="0" w:space="0" w:color="auto"/>
            <w:bottom w:val="none" w:sz="0" w:space="0" w:color="auto"/>
            <w:right w:val="none" w:sz="0" w:space="0" w:color="auto"/>
          </w:divBdr>
        </w:div>
        <w:div w:id="1767189275">
          <w:marLeft w:val="547"/>
          <w:marRight w:val="0"/>
          <w:marTop w:val="58"/>
          <w:marBottom w:val="0"/>
          <w:divBdr>
            <w:top w:val="none" w:sz="0" w:space="0" w:color="auto"/>
            <w:left w:val="none" w:sz="0" w:space="0" w:color="auto"/>
            <w:bottom w:val="none" w:sz="0" w:space="0" w:color="auto"/>
            <w:right w:val="none" w:sz="0" w:space="0" w:color="auto"/>
          </w:divBdr>
        </w:div>
        <w:div w:id="630861721">
          <w:marLeft w:val="547"/>
          <w:marRight w:val="0"/>
          <w:marTop w:val="58"/>
          <w:marBottom w:val="0"/>
          <w:divBdr>
            <w:top w:val="none" w:sz="0" w:space="0" w:color="auto"/>
            <w:left w:val="none" w:sz="0" w:space="0" w:color="auto"/>
            <w:bottom w:val="none" w:sz="0" w:space="0" w:color="auto"/>
            <w:right w:val="none" w:sz="0" w:space="0" w:color="auto"/>
          </w:divBdr>
        </w:div>
        <w:div w:id="913007413">
          <w:marLeft w:val="547"/>
          <w:marRight w:val="0"/>
          <w:marTop w:val="58"/>
          <w:marBottom w:val="0"/>
          <w:divBdr>
            <w:top w:val="none" w:sz="0" w:space="0" w:color="auto"/>
            <w:left w:val="none" w:sz="0" w:space="0" w:color="auto"/>
            <w:bottom w:val="none" w:sz="0" w:space="0" w:color="auto"/>
            <w:right w:val="none" w:sz="0" w:space="0" w:color="auto"/>
          </w:divBdr>
        </w:div>
        <w:div w:id="1028599858">
          <w:marLeft w:val="547"/>
          <w:marRight w:val="0"/>
          <w:marTop w:val="58"/>
          <w:marBottom w:val="0"/>
          <w:divBdr>
            <w:top w:val="none" w:sz="0" w:space="0" w:color="auto"/>
            <w:left w:val="none" w:sz="0" w:space="0" w:color="auto"/>
            <w:bottom w:val="none" w:sz="0" w:space="0" w:color="auto"/>
            <w:right w:val="none" w:sz="0" w:space="0" w:color="auto"/>
          </w:divBdr>
        </w:div>
        <w:div w:id="34695433">
          <w:marLeft w:val="547"/>
          <w:marRight w:val="0"/>
          <w:marTop w:val="58"/>
          <w:marBottom w:val="0"/>
          <w:divBdr>
            <w:top w:val="none" w:sz="0" w:space="0" w:color="auto"/>
            <w:left w:val="none" w:sz="0" w:space="0" w:color="auto"/>
            <w:bottom w:val="none" w:sz="0" w:space="0" w:color="auto"/>
            <w:right w:val="none" w:sz="0" w:space="0" w:color="auto"/>
          </w:divBdr>
        </w:div>
        <w:div w:id="1791779600">
          <w:marLeft w:val="547"/>
          <w:marRight w:val="0"/>
          <w:marTop w:val="58"/>
          <w:marBottom w:val="0"/>
          <w:divBdr>
            <w:top w:val="none" w:sz="0" w:space="0" w:color="auto"/>
            <w:left w:val="none" w:sz="0" w:space="0" w:color="auto"/>
            <w:bottom w:val="none" w:sz="0" w:space="0" w:color="auto"/>
            <w:right w:val="none" w:sz="0" w:space="0" w:color="auto"/>
          </w:divBdr>
        </w:div>
        <w:div w:id="1241868188">
          <w:marLeft w:val="547"/>
          <w:marRight w:val="0"/>
          <w:marTop w:val="58"/>
          <w:marBottom w:val="0"/>
          <w:divBdr>
            <w:top w:val="none" w:sz="0" w:space="0" w:color="auto"/>
            <w:left w:val="none" w:sz="0" w:space="0" w:color="auto"/>
            <w:bottom w:val="none" w:sz="0" w:space="0" w:color="auto"/>
            <w:right w:val="none" w:sz="0" w:space="0" w:color="auto"/>
          </w:divBdr>
        </w:div>
        <w:div w:id="1662004931">
          <w:marLeft w:val="547"/>
          <w:marRight w:val="0"/>
          <w:marTop w:val="58"/>
          <w:marBottom w:val="0"/>
          <w:divBdr>
            <w:top w:val="none" w:sz="0" w:space="0" w:color="auto"/>
            <w:left w:val="none" w:sz="0" w:space="0" w:color="auto"/>
            <w:bottom w:val="none" w:sz="0" w:space="0" w:color="auto"/>
            <w:right w:val="none" w:sz="0" w:space="0" w:color="auto"/>
          </w:divBdr>
        </w:div>
      </w:divsChild>
    </w:div>
    <w:div w:id="2026201351">
      <w:bodyDiv w:val="1"/>
      <w:marLeft w:val="0"/>
      <w:marRight w:val="0"/>
      <w:marTop w:val="0"/>
      <w:marBottom w:val="0"/>
      <w:divBdr>
        <w:top w:val="none" w:sz="0" w:space="0" w:color="auto"/>
        <w:left w:val="none" w:sz="0" w:space="0" w:color="auto"/>
        <w:bottom w:val="none" w:sz="0" w:space="0" w:color="auto"/>
        <w:right w:val="none" w:sz="0" w:space="0" w:color="auto"/>
      </w:divBdr>
    </w:div>
    <w:div w:id="2032948774">
      <w:bodyDiv w:val="1"/>
      <w:marLeft w:val="0"/>
      <w:marRight w:val="0"/>
      <w:marTop w:val="0"/>
      <w:marBottom w:val="0"/>
      <w:divBdr>
        <w:top w:val="none" w:sz="0" w:space="0" w:color="auto"/>
        <w:left w:val="none" w:sz="0" w:space="0" w:color="auto"/>
        <w:bottom w:val="none" w:sz="0" w:space="0" w:color="auto"/>
        <w:right w:val="none" w:sz="0" w:space="0" w:color="auto"/>
      </w:divBdr>
    </w:div>
    <w:div w:id="2039769279">
      <w:bodyDiv w:val="1"/>
      <w:marLeft w:val="0"/>
      <w:marRight w:val="0"/>
      <w:marTop w:val="0"/>
      <w:marBottom w:val="0"/>
      <w:divBdr>
        <w:top w:val="none" w:sz="0" w:space="0" w:color="auto"/>
        <w:left w:val="none" w:sz="0" w:space="0" w:color="auto"/>
        <w:bottom w:val="none" w:sz="0" w:space="0" w:color="auto"/>
        <w:right w:val="none" w:sz="0" w:space="0" w:color="auto"/>
      </w:divBdr>
      <w:divsChild>
        <w:div w:id="339087885">
          <w:marLeft w:val="547"/>
          <w:marRight w:val="0"/>
          <w:marTop w:val="115"/>
          <w:marBottom w:val="0"/>
          <w:divBdr>
            <w:top w:val="none" w:sz="0" w:space="0" w:color="auto"/>
            <w:left w:val="none" w:sz="0" w:space="0" w:color="auto"/>
            <w:bottom w:val="none" w:sz="0" w:space="0" w:color="auto"/>
            <w:right w:val="none" w:sz="0" w:space="0" w:color="auto"/>
          </w:divBdr>
        </w:div>
        <w:div w:id="1043797214">
          <w:marLeft w:val="547"/>
          <w:marRight w:val="0"/>
          <w:marTop w:val="115"/>
          <w:marBottom w:val="0"/>
          <w:divBdr>
            <w:top w:val="none" w:sz="0" w:space="0" w:color="auto"/>
            <w:left w:val="none" w:sz="0" w:space="0" w:color="auto"/>
            <w:bottom w:val="none" w:sz="0" w:space="0" w:color="auto"/>
            <w:right w:val="none" w:sz="0" w:space="0" w:color="auto"/>
          </w:divBdr>
        </w:div>
      </w:divsChild>
    </w:div>
    <w:div w:id="2051218512">
      <w:bodyDiv w:val="1"/>
      <w:marLeft w:val="0"/>
      <w:marRight w:val="0"/>
      <w:marTop w:val="0"/>
      <w:marBottom w:val="0"/>
      <w:divBdr>
        <w:top w:val="none" w:sz="0" w:space="0" w:color="auto"/>
        <w:left w:val="none" w:sz="0" w:space="0" w:color="auto"/>
        <w:bottom w:val="none" w:sz="0" w:space="0" w:color="auto"/>
        <w:right w:val="none" w:sz="0" w:space="0" w:color="auto"/>
      </w:divBdr>
      <w:divsChild>
        <w:div w:id="344791615">
          <w:marLeft w:val="547"/>
          <w:marRight w:val="0"/>
          <w:marTop w:val="53"/>
          <w:marBottom w:val="0"/>
          <w:divBdr>
            <w:top w:val="none" w:sz="0" w:space="0" w:color="auto"/>
            <w:left w:val="none" w:sz="0" w:space="0" w:color="auto"/>
            <w:bottom w:val="none" w:sz="0" w:space="0" w:color="auto"/>
            <w:right w:val="none" w:sz="0" w:space="0" w:color="auto"/>
          </w:divBdr>
        </w:div>
        <w:div w:id="1889220149">
          <w:marLeft w:val="1166"/>
          <w:marRight w:val="0"/>
          <w:marTop w:val="53"/>
          <w:marBottom w:val="0"/>
          <w:divBdr>
            <w:top w:val="none" w:sz="0" w:space="0" w:color="auto"/>
            <w:left w:val="none" w:sz="0" w:space="0" w:color="auto"/>
            <w:bottom w:val="none" w:sz="0" w:space="0" w:color="auto"/>
            <w:right w:val="none" w:sz="0" w:space="0" w:color="auto"/>
          </w:divBdr>
        </w:div>
        <w:div w:id="923223515">
          <w:marLeft w:val="1166"/>
          <w:marRight w:val="0"/>
          <w:marTop w:val="53"/>
          <w:marBottom w:val="0"/>
          <w:divBdr>
            <w:top w:val="none" w:sz="0" w:space="0" w:color="auto"/>
            <w:left w:val="none" w:sz="0" w:space="0" w:color="auto"/>
            <w:bottom w:val="none" w:sz="0" w:space="0" w:color="auto"/>
            <w:right w:val="none" w:sz="0" w:space="0" w:color="auto"/>
          </w:divBdr>
        </w:div>
        <w:div w:id="888490819">
          <w:marLeft w:val="1166"/>
          <w:marRight w:val="0"/>
          <w:marTop w:val="53"/>
          <w:marBottom w:val="0"/>
          <w:divBdr>
            <w:top w:val="none" w:sz="0" w:space="0" w:color="auto"/>
            <w:left w:val="none" w:sz="0" w:space="0" w:color="auto"/>
            <w:bottom w:val="none" w:sz="0" w:space="0" w:color="auto"/>
            <w:right w:val="none" w:sz="0" w:space="0" w:color="auto"/>
          </w:divBdr>
        </w:div>
        <w:div w:id="368654183">
          <w:marLeft w:val="547"/>
          <w:marRight w:val="0"/>
          <w:marTop w:val="53"/>
          <w:marBottom w:val="0"/>
          <w:divBdr>
            <w:top w:val="none" w:sz="0" w:space="0" w:color="auto"/>
            <w:left w:val="none" w:sz="0" w:space="0" w:color="auto"/>
            <w:bottom w:val="none" w:sz="0" w:space="0" w:color="auto"/>
            <w:right w:val="none" w:sz="0" w:space="0" w:color="auto"/>
          </w:divBdr>
        </w:div>
      </w:divsChild>
    </w:div>
    <w:div w:id="2053965566">
      <w:bodyDiv w:val="1"/>
      <w:marLeft w:val="0"/>
      <w:marRight w:val="0"/>
      <w:marTop w:val="0"/>
      <w:marBottom w:val="0"/>
      <w:divBdr>
        <w:top w:val="none" w:sz="0" w:space="0" w:color="auto"/>
        <w:left w:val="none" w:sz="0" w:space="0" w:color="auto"/>
        <w:bottom w:val="none" w:sz="0" w:space="0" w:color="auto"/>
        <w:right w:val="none" w:sz="0" w:space="0" w:color="auto"/>
      </w:divBdr>
    </w:div>
    <w:div w:id="2055882864">
      <w:bodyDiv w:val="1"/>
      <w:marLeft w:val="0"/>
      <w:marRight w:val="0"/>
      <w:marTop w:val="0"/>
      <w:marBottom w:val="0"/>
      <w:divBdr>
        <w:top w:val="none" w:sz="0" w:space="0" w:color="auto"/>
        <w:left w:val="none" w:sz="0" w:space="0" w:color="auto"/>
        <w:bottom w:val="none" w:sz="0" w:space="0" w:color="auto"/>
        <w:right w:val="none" w:sz="0" w:space="0" w:color="auto"/>
      </w:divBdr>
    </w:div>
    <w:div w:id="2130277018">
      <w:bodyDiv w:val="1"/>
      <w:marLeft w:val="0"/>
      <w:marRight w:val="0"/>
      <w:marTop w:val="0"/>
      <w:marBottom w:val="0"/>
      <w:divBdr>
        <w:top w:val="none" w:sz="0" w:space="0" w:color="auto"/>
        <w:left w:val="none" w:sz="0" w:space="0" w:color="auto"/>
        <w:bottom w:val="none" w:sz="0" w:space="0" w:color="auto"/>
        <w:right w:val="none" w:sz="0" w:space="0" w:color="auto"/>
      </w:divBdr>
    </w:div>
    <w:div w:id="21417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en.wikipedia.org/wiki/Value_(econom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9EC4-AAAD-47D3-A383-2E7E57B4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9536</Words>
  <Characters>54361</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63770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Asanda</cp:lastModifiedBy>
  <cp:revision>2</cp:revision>
  <cp:lastPrinted>2017-05-15T08:49:00Z</cp:lastPrinted>
  <dcterms:created xsi:type="dcterms:W3CDTF">2017-05-16T08:51:00Z</dcterms:created>
  <dcterms:modified xsi:type="dcterms:W3CDTF">2017-05-16T08:51:00Z</dcterms:modified>
</cp:coreProperties>
</file>